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jc w:val="center"/>
        <w:rPr>
          <w:rFonts w:hint="default" w:ascii="Times New Roman" w:hAnsi="Times New Roman" w:eastAsia="黑体" w:cs="Times New Roman"/>
          <w:color w:val="auto"/>
          <w:sz w:val="48"/>
          <w:szCs w:val="48"/>
          <w:highlight w:val="none"/>
        </w:rPr>
      </w:pPr>
      <w:r>
        <w:rPr>
          <w:rFonts w:hint="default" w:ascii="Times New Roman" w:hAnsi="Times New Roman" w:eastAsia="黑体" w:cs="Times New Roman"/>
          <w:color w:val="auto"/>
          <w:sz w:val="48"/>
          <w:szCs w:val="48"/>
          <w:highlight w:val="none"/>
        </w:rPr>
        <w:t>花都区新华街云山运动场改造（停车场）项目特许经营初步协议</w:t>
      </w: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rPr>
          <w:rFonts w:hint="default" w:ascii="Times New Roman" w:hAnsi="Times New Roman" w:eastAsia="仿宋" w:cs="Times New Roman"/>
          <w:color w:val="auto"/>
          <w:sz w:val="28"/>
          <w:szCs w:val="28"/>
          <w:highlight w:val="none"/>
        </w:rPr>
      </w:pPr>
    </w:p>
    <w:tbl>
      <w:tblPr>
        <w:tblStyle w:val="42"/>
        <w:tblW w:w="7645" w:type="dxa"/>
        <w:jc w:val="center"/>
        <w:tblLayout w:type="fixed"/>
        <w:tblCellMar>
          <w:top w:w="0" w:type="dxa"/>
          <w:left w:w="108" w:type="dxa"/>
          <w:bottom w:w="0" w:type="dxa"/>
          <w:right w:w="108" w:type="dxa"/>
        </w:tblCellMar>
      </w:tblPr>
      <w:tblGrid>
        <w:gridCol w:w="1260"/>
        <w:gridCol w:w="6385"/>
      </w:tblGrid>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甲方：</w:t>
            </w:r>
          </w:p>
        </w:tc>
        <w:tc>
          <w:tcPr>
            <w:tcW w:w="6385"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rPr>
            </w:pPr>
          </w:p>
        </w:tc>
      </w:tr>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rPr>
            </w:pPr>
            <w:r>
              <w:rPr>
                <w:rFonts w:hint="default" w:ascii="Times New Roman" w:hAnsi="Times New Roman" w:eastAsia="黑体" w:cs="Times New Roman"/>
                <w:color w:val="auto"/>
                <w:kern w:val="0"/>
                <w:sz w:val="28"/>
                <w:szCs w:val="28"/>
                <w:highlight w:val="none"/>
              </w:rPr>
              <w:t>乙方：</w:t>
            </w:r>
          </w:p>
        </w:tc>
        <w:tc>
          <w:tcPr>
            <w:tcW w:w="6385"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u w:val="single"/>
              </w:rPr>
            </w:pPr>
            <w:r>
              <w:rPr>
                <w:rFonts w:hint="default" w:ascii="Times New Roman" w:hAnsi="Times New Roman" w:eastAsia="黑体" w:cs="Times New Roman"/>
                <w:color w:val="auto"/>
                <w:kern w:val="0"/>
                <w:sz w:val="28"/>
                <w:szCs w:val="28"/>
                <w:highlight w:val="none"/>
                <w:u w:val="single"/>
              </w:rPr>
              <w:t>【】（</w:t>
            </w:r>
            <w:r>
              <w:rPr>
                <w:rFonts w:hint="eastAsia" w:eastAsia="黑体" w:cs="Times New Roman"/>
                <w:color w:val="auto"/>
                <w:kern w:val="0"/>
                <w:sz w:val="28"/>
                <w:szCs w:val="28"/>
                <w:highlight w:val="none"/>
                <w:u w:val="single"/>
                <w:lang w:val="en-US" w:eastAsia="zh-CN"/>
              </w:rPr>
              <w:t>牵头方</w:t>
            </w:r>
            <w:r>
              <w:rPr>
                <w:rFonts w:hint="default" w:ascii="Times New Roman" w:hAnsi="Times New Roman" w:eastAsia="黑体" w:cs="Times New Roman"/>
                <w:color w:val="auto"/>
                <w:kern w:val="0"/>
                <w:sz w:val="28"/>
                <w:szCs w:val="28"/>
                <w:highlight w:val="none"/>
                <w:u w:val="single"/>
              </w:rPr>
              <w:t>）</w:t>
            </w:r>
          </w:p>
        </w:tc>
      </w:tr>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rPr>
            </w:pPr>
          </w:p>
        </w:tc>
        <w:tc>
          <w:tcPr>
            <w:tcW w:w="6385"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u w:val="single"/>
              </w:rPr>
            </w:pPr>
            <w:r>
              <w:rPr>
                <w:rFonts w:hint="default" w:ascii="Times New Roman" w:hAnsi="Times New Roman" w:eastAsia="黑体" w:cs="Times New Roman"/>
                <w:color w:val="auto"/>
                <w:kern w:val="0"/>
                <w:sz w:val="28"/>
                <w:szCs w:val="28"/>
                <w:highlight w:val="none"/>
                <w:u w:val="single"/>
              </w:rPr>
              <w:t>【】（</w:t>
            </w:r>
            <w:r>
              <w:rPr>
                <w:rFonts w:hint="eastAsia" w:eastAsia="黑体" w:cs="Times New Roman"/>
                <w:color w:val="auto"/>
                <w:kern w:val="0"/>
                <w:sz w:val="28"/>
                <w:szCs w:val="28"/>
                <w:highlight w:val="none"/>
                <w:u w:val="single"/>
                <w:lang w:val="en-US" w:eastAsia="zh-CN"/>
              </w:rPr>
              <w:t>成员方1</w:t>
            </w:r>
            <w:r>
              <w:rPr>
                <w:rFonts w:hint="default" w:ascii="Times New Roman" w:hAnsi="Times New Roman" w:eastAsia="黑体" w:cs="Times New Roman"/>
                <w:color w:val="auto"/>
                <w:kern w:val="0"/>
                <w:sz w:val="28"/>
                <w:szCs w:val="28"/>
                <w:highlight w:val="none"/>
                <w:u w:val="single"/>
              </w:rPr>
              <w:t>）</w:t>
            </w:r>
          </w:p>
        </w:tc>
      </w:tr>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rPr>
            </w:pPr>
          </w:p>
        </w:tc>
        <w:tc>
          <w:tcPr>
            <w:tcW w:w="6385"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u w:val="single"/>
              </w:rPr>
            </w:pPr>
            <w:r>
              <w:rPr>
                <w:rFonts w:hint="default" w:ascii="Times New Roman" w:hAnsi="Times New Roman" w:eastAsia="黑体" w:cs="Times New Roman"/>
                <w:color w:val="auto"/>
                <w:kern w:val="0"/>
                <w:sz w:val="28"/>
                <w:szCs w:val="28"/>
                <w:highlight w:val="none"/>
                <w:u w:val="single"/>
              </w:rPr>
              <w:t>【】（</w:t>
            </w:r>
            <w:r>
              <w:rPr>
                <w:rFonts w:hint="eastAsia" w:eastAsia="黑体" w:cs="Times New Roman"/>
                <w:color w:val="auto"/>
                <w:kern w:val="0"/>
                <w:sz w:val="28"/>
                <w:szCs w:val="28"/>
                <w:highlight w:val="none"/>
                <w:u w:val="single"/>
                <w:lang w:val="en-US" w:eastAsia="zh-CN"/>
              </w:rPr>
              <w:t>成员方2</w:t>
            </w:r>
            <w:r>
              <w:rPr>
                <w:rFonts w:hint="default" w:ascii="Times New Roman" w:hAnsi="Times New Roman" w:eastAsia="黑体" w:cs="Times New Roman"/>
                <w:color w:val="auto"/>
                <w:kern w:val="0"/>
                <w:sz w:val="28"/>
                <w:szCs w:val="28"/>
                <w:highlight w:val="none"/>
                <w:u w:val="single"/>
              </w:rPr>
              <w:t>）</w:t>
            </w:r>
          </w:p>
        </w:tc>
      </w:tr>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rPr>
            </w:pPr>
          </w:p>
        </w:tc>
        <w:tc>
          <w:tcPr>
            <w:tcW w:w="6385"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u w:val="single"/>
              </w:rPr>
            </w:pPr>
          </w:p>
        </w:tc>
      </w:tr>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rPr>
            </w:pPr>
          </w:p>
        </w:tc>
        <w:tc>
          <w:tcPr>
            <w:tcW w:w="6385"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sz w:val="28"/>
                <w:szCs w:val="28"/>
                <w:highlight w:val="none"/>
                <w:u w:val="single"/>
              </w:rPr>
            </w:pPr>
          </w:p>
        </w:tc>
      </w:tr>
    </w:tbl>
    <w:p>
      <w:pPr>
        <w:spacing w:afterLines="0"/>
        <w:ind w:firstLine="0" w:firstLineChars="0"/>
        <w:rPr>
          <w:rFonts w:hint="default" w:ascii="Times New Roman" w:hAnsi="Times New Roman" w:eastAsia="仿宋" w:cs="Times New Roman"/>
          <w:color w:val="auto"/>
          <w:sz w:val="28"/>
          <w:szCs w:val="28"/>
          <w:highlight w:val="none"/>
        </w:rPr>
      </w:pPr>
    </w:p>
    <w:p>
      <w:pPr>
        <w:spacing w:afterLines="0"/>
        <w:ind w:firstLine="0" w:firstLineChars="0"/>
        <w:jc w:val="center"/>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签订地点：中国·广州·</w:t>
      </w:r>
      <w:r>
        <w:rPr>
          <w:rFonts w:hint="eastAsia" w:eastAsia="黑体" w:cs="Times New Roman"/>
          <w:color w:val="auto"/>
          <w:sz w:val="32"/>
          <w:szCs w:val="32"/>
          <w:highlight w:val="none"/>
          <w:lang w:val="en-US" w:eastAsia="zh-CN"/>
        </w:rPr>
        <w:t>花都</w:t>
      </w:r>
    </w:p>
    <w:p>
      <w:pPr>
        <w:spacing w:afterLines="0"/>
        <w:ind w:firstLine="0" w:firstLineChars="0"/>
        <w:jc w:val="center"/>
        <w:rPr>
          <w:rFonts w:hint="default" w:ascii="Times New Roman" w:hAnsi="Times New Roman" w:eastAsia="黑体" w:cs="Times New Roman"/>
          <w:color w:val="auto"/>
          <w:sz w:val="32"/>
          <w:szCs w:val="32"/>
          <w:highlight w:val="none"/>
        </w:rPr>
      </w:pPr>
      <w:r>
        <w:rPr>
          <w:rFonts w:hint="eastAsia" w:eastAsia="黑体" w:cs="Times New Roman"/>
          <w:color w:val="auto"/>
          <w:sz w:val="32"/>
          <w:szCs w:val="32"/>
          <w:highlight w:val="none"/>
          <w:lang w:eastAsia="zh-CN"/>
        </w:rPr>
        <w:t>二〇二五</w:t>
      </w:r>
      <w:r>
        <w:rPr>
          <w:rFonts w:hint="default" w:ascii="Times New Roman" w:hAnsi="Times New Roman" w:eastAsia="黑体" w:cs="Times New Roman"/>
          <w:color w:val="auto"/>
          <w:sz w:val="32"/>
          <w:szCs w:val="32"/>
          <w:highlight w:val="none"/>
        </w:rPr>
        <w:t>年【】月【】日</w:t>
      </w:r>
    </w:p>
    <w:p>
      <w:pPr>
        <w:pStyle w:val="386"/>
        <w:spacing w:after="156"/>
        <w:ind w:firstLine="0" w:firstLineChars="0"/>
        <w:rPr>
          <w:rFonts w:hint="default" w:ascii="Times New Roman" w:hAnsi="Times New Roman" w:cs="Times New Roman"/>
          <w:color w:val="auto"/>
          <w:sz w:val="28"/>
          <w:szCs w:val="24"/>
          <w:highlight w:val="none"/>
        </w:rPr>
      </w:pPr>
    </w:p>
    <w:p>
      <w:pPr>
        <w:pStyle w:val="386"/>
        <w:spacing w:after="156"/>
        <w:ind w:firstLine="0" w:firstLineChars="0"/>
        <w:rPr>
          <w:rFonts w:hint="default" w:ascii="Times New Roman" w:hAnsi="Times New Roman" w:cs="Times New Roman"/>
          <w:color w:val="auto"/>
          <w:sz w:val="36"/>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titlePg/>
          <w:docGrid w:type="linesAndChars" w:linePitch="312" w:charSpace="0"/>
        </w:sectPr>
      </w:pPr>
    </w:p>
    <w:p>
      <w:pPr>
        <w:pStyle w:val="137"/>
        <w:numPr>
          <w:ilvl w:val="0"/>
          <w:numId w:val="0"/>
        </w:numPr>
        <w:shd w:val="clear"/>
        <w:spacing w:beforeLines="0" w:afterLines="0"/>
        <w:jc w:val="center"/>
        <w:rPr>
          <w:rFonts w:hint="default" w:ascii="Times New Roman" w:hAnsi="Times New Roman" w:cs="Times New Roman"/>
          <w:color w:val="auto"/>
          <w:highlight w:val="none"/>
        </w:rPr>
      </w:pPr>
      <w:bookmarkStart w:id="0" w:name="_Toc22005"/>
      <w:bookmarkStart w:id="1" w:name="_Toc31042"/>
      <w:bookmarkStart w:id="2" w:name="_Toc536212198"/>
      <w:bookmarkStart w:id="3" w:name="_Toc497644410"/>
      <w:bookmarkStart w:id="4" w:name="_Toc535950760"/>
      <w:bookmarkStart w:id="5" w:name="_Toc487067483"/>
      <w:bookmarkStart w:id="6" w:name="_Toc190613428"/>
      <w:bookmarkStart w:id="7" w:name="_Toc535584806"/>
      <w:bookmarkStart w:id="8" w:name="_Toc29661"/>
      <w:bookmarkStart w:id="9" w:name="_Toc22547"/>
      <w:bookmarkStart w:id="10" w:name="_Toc535780456"/>
      <w:bookmarkStart w:id="11" w:name="_Toc767354684"/>
      <w:bookmarkStart w:id="12" w:name="_Toc19593"/>
      <w:bookmarkStart w:id="13" w:name="_Toc18505"/>
      <w:bookmarkStart w:id="14" w:name="_Toc497646367"/>
      <w:bookmarkStart w:id="15" w:name="_Toc496963336"/>
      <w:bookmarkStart w:id="16" w:name="_Toc535951125"/>
      <w:bookmarkStart w:id="17" w:name="_Toc17551"/>
      <w:bookmarkStart w:id="18" w:name="_Toc534473984"/>
      <w:bookmarkStart w:id="19" w:name="_Toc18832"/>
      <w:bookmarkStart w:id="20" w:name="_Toc492306126"/>
      <w:bookmarkStart w:id="21" w:name="_Toc462"/>
      <w:bookmarkStart w:id="22" w:name="_Toc23153"/>
      <w:bookmarkStart w:id="23" w:name="_Toc492110849"/>
      <w:bookmarkStart w:id="24" w:name="_Toc37336520"/>
      <w:bookmarkStart w:id="25" w:name="_Toc535150327"/>
      <w:bookmarkStart w:id="26" w:name="_Toc535868455"/>
      <w:bookmarkStart w:id="27" w:name="_Toc497644243"/>
      <w:bookmarkStart w:id="28" w:name="_Toc15355"/>
      <w:bookmarkStart w:id="29" w:name="_Toc486937450"/>
      <w:bookmarkStart w:id="30" w:name="_Toc486702139"/>
      <w:bookmarkStart w:id="31" w:name="_Toc436214904"/>
      <w:bookmarkStart w:id="32" w:name="OLE_LINK15"/>
      <w:r>
        <w:rPr>
          <w:rFonts w:hint="default" w:ascii="Times New Roman" w:hAnsi="Times New Roman" w:cs="Times New Roman"/>
          <w:color w:val="auto"/>
          <w:highlight w:val="none"/>
        </w:rPr>
        <w:t>目  录</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pPr>
        <w:pStyle w:val="28"/>
        <w:tabs>
          <w:tab w:val="right" w:leader="dot" w:pos="8306"/>
        </w:tabs>
      </w:pPr>
      <w:r>
        <w:rPr>
          <w:rFonts w:hint="default" w:ascii="Times New Roman" w:hAnsi="Times New Roman" w:cs="Times New Roman"/>
          <w:b w:val="0"/>
          <w:bCs w:val="0"/>
          <w:color w:val="auto"/>
          <w:sz w:val="24"/>
          <w:szCs w:val="24"/>
          <w:highlight w:val="none"/>
        </w:rPr>
        <w:fldChar w:fldCharType="begin"/>
      </w:r>
      <w:r>
        <w:rPr>
          <w:rFonts w:hint="default" w:ascii="Times New Roman" w:hAnsi="Times New Roman" w:cs="Times New Roman"/>
          <w:b w:val="0"/>
          <w:bCs w:val="0"/>
          <w:color w:val="auto"/>
          <w:sz w:val="24"/>
          <w:szCs w:val="24"/>
          <w:highlight w:val="none"/>
        </w:rPr>
        <w:instrText xml:space="preserve">TOC \o "1-1" \h \u </w:instrText>
      </w:r>
      <w:r>
        <w:rPr>
          <w:rFonts w:hint="default" w:ascii="Times New Roman" w:hAnsi="Times New Roman" w:cs="Times New Roman"/>
          <w:b w:val="0"/>
          <w:bCs w:val="0"/>
          <w:color w:val="auto"/>
          <w:sz w:val="24"/>
          <w:szCs w:val="24"/>
          <w:highlight w:val="none"/>
        </w:rPr>
        <w:fldChar w:fldCharType="separate"/>
      </w: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_Toc462 </w:instrText>
      </w:r>
      <w:r>
        <w:rPr>
          <w:rFonts w:hint="default" w:ascii="Times New Roman" w:hAnsi="Times New Roman" w:cs="Times New Roman"/>
          <w:bCs w:val="0"/>
          <w:highlight w:val="none"/>
        </w:rPr>
        <w:fldChar w:fldCharType="separate"/>
      </w:r>
      <w:r>
        <w:rPr>
          <w:rFonts w:hint="default" w:ascii="Times New Roman" w:hAnsi="Times New Roman" w:cs="Times New Roman"/>
          <w:highlight w:val="none"/>
        </w:rPr>
        <w:t>目  录</w:t>
      </w:r>
      <w:r>
        <w:tab/>
      </w:r>
      <w:r>
        <w:fldChar w:fldCharType="begin"/>
      </w:r>
      <w:r>
        <w:instrText xml:space="preserve"> PAGEREF _Toc462 \h </w:instrText>
      </w:r>
      <w:r>
        <w:fldChar w:fldCharType="separate"/>
      </w:r>
      <w:r>
        <w:t>I</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_Toc17758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第1条 </w:t>
      </w:r>
      <w:r>
        <w:rPr>
          <w:rFonts w:hint="default" w:ascii="Times New Roman" w:hAnsi="Times New Roman" w:cs="Times New Roman"/>
          <w:highlight w:val="none"/>
        </w:rPr>
        <w:t>项目概况</w:t>
      </w:r>
      <w:r>
        <w:tab/>
      </w:r>
      <w:r>
        <w:fldChar w:fldCharType="begin"/>
      </w:r>
      <w:r>
        <w:instrText xml:space="preserve"> PAGEREF _Toc17758 \h </w:instrText>
      </w:r>
      <w:r>
        <w:fldChar w:fldCharType="separate"/>
      </w:r>
      <w:r>
        <w:t>- 1 -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_Toc8968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第2条 </w:t>
      </w:r>
      <w:r>
        <w:rPr>
          <w:rFonts w:hint="default" w:ascii="Times New Roman" w:hAnsi="Times New Roman" w:cs="Times New Roman"/>
          <w:highlight w:val="none"/>
        </w:rPr>
        <w:t>合作模式</w:t>
      </w:r>
      <w:r>
        <w:tab/>
      </w:r>
      <w:r>
        <w:fldChar w:fldCharType="begin"/>
      </w:r>
      <w:r>
        <w:instrText xml:space="preserve"> PAGEREF _Toc8968 \h </w:instrText>
      </w:r>
      <w:r>
        <w:fldChar w:fldCharType="separate"/>
      </w:r>
      <w:r>
        <w:t>- 2 -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_Toc26983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第3条 </w:t>
      </w:r>
      <w:r>
        <w:rPr>
          <w:rFonts w:hint="default" w:ascii="Times New Roman" w:hAnsi="Times New Roman" w:cs="Times New Roman"/>
          <w:highlight w:val="none"/>
        </w:rPr>
        <w:t>合作范围</w:t>
      </w:r>
      <w:r>
        <w:tab/>
      </w:r>
      <w:r>
        <w:fldChar w:fldCharType="begin"/>
      </w:r>
      <w:r>
        <w:instrText xml:space="preserve"> PAGEREF _Toc26983 \h </w:instrText>
      </w:r>
      <w:r>
        <w:fldChar w:fldCharType="separate"/>
      </w:r>
      <w:r>
        <w:t>- 2 -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_Toc12002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第4条 </w:t>
      </w:r>
      <w:r>
        <w:rPr>
          <w:rFonts w:hint="default" w:ascii="Times New Roman" w:hAnsi="Times New Roman" w:cs="Times New Roman"/>
          <w:highlight w:val="none"/>
        </w:rPr>
        <w:t>双方权利义务</w:t>
      </w:r>
      <w:r>
        <w:tab/>
      </w:r>
      <w:r>
        <w:fldChar w:fldCharType="begin"/>
      </w:r>
      <w:r>
        <w:instrText xml:space="preserve"> PAGEREF _Toc12002 \h </w:instrText>
      </w:r>
      <w:r>
        <w:fldChar w:fldCharType="separate"/>
      </w:r>
      <w:r>
        <w:t>- 3 -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_Toc12446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第5条 </w:t>
      </w:r>
      <w:r>
        <w:rPr>
          <w:rFonts w:hint="default" w:ascii="Times New Roman" w:hAnsi="Times New Roman" w:cs="Times New Roman"/>
          <w:highlight w:val="none"/>
        </w:rPr>
        <w:t>协议签订安排</w:t>
      </w:r>
      <w:r>
        <w:tab/>
      </w:r>
      <w:r>
        <w:fldChar w:fldCharType="begin"/>
      </w:r>
      <w:r>
        <w:instrText xml:space="preserve"> PAGEREF _Toc12446 \h </w:instrText>
      </w:r>
      <w:r>
        <w:fldChar w:fldCharType="separate"/>
      </w:r>
      <w:r>
        <w:t>- 3 -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_Toc8467 </w:instrText>
      </w:r>
      <w:r>
        <w:rPr>
          <w:rFonts w:hint="default" w:ascii="Times New Roman" w:hAnsi="Times New Roman" w:cs="Times New Roman"/>
          <w:bCs w:val="0"/>
          <w:highlight w:val="none"/>
        </w:rPr>
        <w:fldChar w:fldCharType="separate"/>
      </w:r>
      <w:r>
        <w:rPr>
          <w:rFonts w:hint="default" w:ascii="Times New Roman" w:hAnsi="Times New Roman" w:cs="Times New Roman"/>
          <w:lang w:val="en-GB"/>
        </w:rPr>
        <w:t xml:space="preserve">第6条 </w:t>
      </w:r>
      <w:r>
        <w:rPr>
          <w:rFonts w:hint="default" w:ascii="Times New Roman" w:hAnsi="Times New Roman" w:cs="Times New Roman"/>
          <w:highlight w:val="none"/>
        </w:rPr>
        <w:t>特许经营期</w:t>
      </w:r>
      <w:r>
        <w:tab/>
      </w:r>
      <w:r>
        <w:fldChar w:fldCharType="begin"/>
      </w:r>
      <w:r>
        <w:instrText xml:space="preserve"> PAGEREF _Toc8467 \h </w:instrText>
      </w:r>
      <w:r>
        <w:fldChar w:fldCharType="separate"/>
      </w:r>
      <w:r>
        <w:t>- 4 -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_Toc27179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第7条 </w:t>
      </w:r>
      <w:r>
        <w:rPr>
          <w:rFonts w:hint="default" w:ascii="Times New Roman" w:hAnsi="Times New Roman" w:cs="Times New Roman"/>
          <w:highlight w:val="none"/>
        </w:rPr>
        <w:t>项目资本金与融资要求</w:t>
      </w:r>
      <w:r>
        <w:tab/>
      </w:r>
      <w:r>
        <w:fldChar w:fldCharType="begin"/>
      </w:r>
      <w:r>
        <w:instrText xml:space="preserve"> PAGEREF _Toc27179 \h </w:instrText>
      </w:r>
      <w:r>
        <w:fldChar w:fldCharType="separate"/>
      </w:r>
      <w:r>
        <w:t>- 4 -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_Toc3370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第8条 </w:t>
      </w:r>
      <w:r>
        <w:rPr>
          <w:rFonts w:hint="default" w:ascii="Times New Roman" w:hAnsi="Times New Roman" w:cs="Times New Roman"/>
          <w:highlight w:val="none"/>
        </w:rPr>
        <w:t>履约</w:t>
      </w:r>
      <w:r>
        <w:rPr>
          <w:rFonts w:hint="eastAsia" w:cs="Times New Roman"/>
          <w:highlight w:val="none"/>
          <w:lang w:eastAsia="zh-CN"/>
        </w:rPr>
        <w:t>保证金</w:t>
      </w:r>
      <w:r>
        <w:tab/>
      </w:r>
      <w:r>
        <w:fldChar w:fldCharType="begin"/>
      </w:r>
      <w:r>
        <w:instrText xml:space="preserve"> PAGEREF _Toc3370 \h </w:instrText>
      </w:r>
      <w:r>
        <w:fldChar w:fldCharType="separate"/>
      </w:r>
      <w:r>
        <w:t>- 6 -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_Toc66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第9条 </w:t>
      </w:r>
      <w:r>
        <w:rPr>
          <w:rFonts w:hint="default" w:ascii="Times New Roman" w:hAnsi="Times New Roman" w:cs="Times New Roman"/>
          <w:highlight w:val="none"/>
        </w:rPr>
        <w:t>中标价格、投入与回报</w:t>
      </w:r>
      <w:r>
        <w:tab/>
      </w:r>
      <w:r>
        <w:fldChar w:fldCharType="begin"/>
      </w:r>
      <w:r>
        <w:instrText xml:space="preserve"> PAGEREF _Toc66 \h </w:instrText>
      </w:r>
      <w:r>
        <w:fldChar w:fldCharType="separate"/>
      </w:r>
      <w:r>
        <w:t>- 8 -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_Toc19947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第10条 </w:t>
      </w:r>
      <w:r>
        <w:rPr>
          <w:rFonts w:hint="default" w:ascii="Times New Roman" w:hAnsi="Times New Roman" w:cs="Times New Roman"/>
          <w:highlight w:val="none"/>
        </w:rPr>
        <w:t>违约责任</w:t>
      </w:r>
      <w:r>
        <w:tab/>
      </w:r>
      <w:r>
        <w:fldChar w:fldCharType="begin"/>
      </w:r>
      <w:r>
        <w:instrText xml:space="preserve"> PAGEREF _Toc19947 \h </w:instrText>
      </w:r>
      <w:r>
        <w:fldChar w:fldCharType="separate"/>
      </w:r>
      <w:r>
        <w:t>- 9 -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_Toc32398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第11条 </w:t>
      </w:r>
      <w:r>
        <w:rPr>
          <w:rFonts w:hint="default" w:ascii="Times New Roman" w:hAnsi="Times New Roman" w:cs="Times New Roman"/>
          <w:highlight w:val="none"/>
        </w:rPr>
        <w:t>争议的解决</w:t>
      </w:r>
      <w:r>
        <w:tab/>
      </w:r>
      <w:r>
        <w:fldChar w:fldCharType="begin"/>
      </w:r>
      <w:r>
        <w:instrText xml:space="preserve"> PAGEREF _Toc32398 \h </w:instrText>
      </w:r>
      <w:r>
        <w:fldChar w:fldCharType="separate"/>
      </w:r>
      <w:r>
        <w:t>- 9 -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_Toc13439 </w:instrText>
      </w:r>
      <w:r>
        <w:rPr>
          <w:rFonts w:hint="default" w:ascii="Times New Roman" w:hAnsi="Times New Roman" w:cs="Times New Roman"/>
          <w:bCs w:val="0"/>
          <w:highlight w:val="none"/>
        </w:rPr>
        <w:fldChar w:fldCharType="separate"/>
      </w:r>
      <w:r>
        <w:rPr>
          <w:rFonts w:hint="default" w:ascii="Times New Roman" w:hAnsi="Times New Roman" w:cs="Times New Roman"/>
        </w:rPr>
        <w:t xml:space="preserve">第12条 </w:t>
      </w:r>
      <w:r>
        <w:rPr>
          <w:rFonts w:hint="eastAsia" w:cs="Times New Roman"/>
          <w:highlight w:val="none"/>
          <w:lang w:eastAsia="zh-CN"/>
        </w:rPr>
        <w:t>其他约定</w:t>
      </w:r>
      <w:r>
        <w:tab/>
      </w:r>
      <w:r>
        <w:fldChar w:fldCharType="begin"/>
      </w:r>
      <w:r>
        <w:instrText xml:space="preserve"> PAGEREF _Toc13439 \h </w:instrText>
      </w:r>
      <w:r>
        <w:fldChar w:fldCharType="separate"/>
      </w:r>
      <w:r>
        <w:t>- 9 -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_Toc15636 </w:instrText>
      </w:r>
      <w:r>
        <w:rPr>
          <w:rFonts w:hint="default" w:ascii="Times New Roman" w:hAnsi="Times New Roman" w:cs="Times New Roman"/>
          <w:bCs w:val="0"/>
          <w:highlight w:val="none"/>
        </w:rPr>
        <w:fldChar w:fldCharType="separate"/>
      </w:r>
      <w:r>
        <w:rPr>
          <w:rFonts w:hint="default" w:ascii="Times New Roman" w:hAnsi="Times New Roman" w:eastAsia="黑体" w:cs="Times New Roman"/>
          <w:bCs w:val="0"/>
          <w:szCs w:val="30"/>
          <w:highlight w:val="none"/>
        </w:rPr>
        <w:t>特许经营协议</w:t>
      </w:r>
      <w:r>
        <w:tab/>
      </w:r>
      <w:r>
        <w:fldChar w:fldCharType="begin"/>
      </w:r>
      <w:r>
        <w:instrText xml:space="preserve"> PAGEREF _Toc15636 \h </w:instrText>
      </w:r>
      <w:r>
        <w:fldChar w:fldCharType="separate"/>
      </w:r>
      <w:r>
        <w:t>- 12 -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_Toc24137 </w:instrText>
      </w:r>
      <w:r>
        <w:rPr>
          <w:rFonts w:hint="default" w:ascii="Times New Roman" w:hAnsi="Times New Roman" w:cs="Times New Roman"/>
          <w:bCs w:val="0"/>
          <w:highlight w:val="none"/>
        </w:rPr>
        <w:fldChar w:fldCharType="separate"/>
      </w:r>
      <w:r>
        <w:rPr>
          <w:rFonts w:hint="default" w:ascii="Times New Roman" w:hAnsi="Times New Roman" w:eastAsia="黑体" w:cs="Times New Roman"/>
          <w:szCs w:val="32"/>
          <w:highlight w:val="none"/>
        </w:rPr>
        <w:t>履约保函格式</w:t>
      </w:r>
      <w:r>
        <w:tab/>
      </w:r>
      <w:r>
        <w:fldChar w:fldCharType="begin"/>
      </w:r>
      <w:r>
        <w:instrText xml:space="preserve"> PAGEREF _Toc24137 \h </w:instrText>
      </w:r>
      <w:r>
        <w:fldChar w:fldCharType="separate"/>
      </w:r>
      <w:r>
        <w:t>- 13 -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_Toc23354 </w:instrText>
      </w:r>
      <w:r>
        <w:rPr>
          <w:rFonts w:hint="default" w:ascii="Times New Roman" w:hAnsi="Times New Roman" w:cs="Times New Roman"/>
          <w:bCs w:val="0"/>
          <w:highlight w:val="none"/>
        </w:rPr>
        <w:fldChar w:fldCharType="separate"/>
      </w:r>
      <w:r>
        <w:rPr>
          <w:rFonts w:hint="default" w:ascii="Times New Roman" w:hAnsi="Times New Roman" w:eastAsia="黑体" w:cs="Times New Roman"/>
          <w:szCs w:val="32"/>
          <w:highlight w:val="none"/>
        </w:rPr>
        <w:t>中标通知书</w:t>
      </w:r>
      <w:r>
        <w:tab/>
      </w:r>
      <w:r>
        <w:fldChar w:fldCharType="begin"/>
      </w:r>
      <w:r>
        <w:instrText xml:space="preserve"> PAGEREF _Toc23354 \h </w:instrText>
      </w:r>
      <w:r>
        <w:fldChar w:fldCharType="separate"/>
      </w:r>
      <w:r>
        <w:t>- 23 -</w:t>
      </w:r>
      <w:r>
        <w:fldChar w:fldCharType="end"/>
      </w:r>
      <w:r>
        <w:rPr>
          <w:rFonts w:hint="default" w:ascii="Times New Roman" w:hAnsi="Times New Roman" w:cs="Times New Roman"/>
          <w:bCs w:val="0"/>
          <w:color w:val="auto"/>
          <w:highlight w:val="none"/>
        </w:rPr>
        <w:fldChar w:fldCharType="end"/>
      </w:r>
    </w:p>
    <w:p>
      <w:pPr>
        <w:pStyle w:val="28"/>
        <w:tabs>
          <w:tab w:val="right" w:leader="dot" w:pos="8306"/>
        </w:tabs>
      </w:pPr>
      <w:r>
        <w:rPr>
          <w:rFonts w:hint="default" w:ascii="Times New Roman" w:hAnsi="Times New Roman" w:cs="Times New Roman"/>
          <w:bCs w:val="0"/>
          <w:color w:val="auto"/>
          <w:highlight w:val="none"/>
        </w:rPr>
        <w:fldChar w:fldCharType="begin"/>
      </w:r>
      <w:r>
        <w:rPr>
          <w:rFonts w:hint="default" w:ascii="Times New Roman" w:hAnsi="Times New Roman" w:cs="Times New Roman"/>
          <w:bCs w:val="0"/>
          <w:highlight w:val="none"/>
        </w:rPr>
        <w:instrText xml:space="preserve"> HYPERLINK \l _Toc20073 </w:instrText>
      </w:r>
      <w:r>
        <w:rPr>
          <w:rFonts w:hint="default" w:ascii="Times New Roman" w:hAnsi="Times New Roman" w:cs="Times New Roman"/>
          <w:bCs w:val="0"/>
          <w:highlight w:val="none"/>
        </w:rPr>
        <w:fldChar w:fldCharType="separate"/>
      </w:r>
      <w:r>
        <w:rPr>
          <w:rFonts w:hint="default" w:ascii="Times New Roman" w:hAnsi="Times New Roman" w:eastAsia="黑体" w:cs="Times New Roman"/>
          <w:szCs w:val="32"/>
          <w:highlight w:val="none"/>
        </w:rPr>
        <w:t>投标文件主要资料复印件</w:t>
      </w:r>
      <w:r>
        <w:tab/>
      </w:r>
      <w:r>
        <w:fldChar w:fldCharType="begin"/>
      </w:r>
      <w:r>
        <w:instrText xml:space="preserve"> PAGEREF _Toc20073 \h </w:instrText>
      </w:r>
      <w:r>
        <w:fldChar w:fldCharType="separate"/>
      </w:r>
      <w:r>
        <w:t>- 24 -</w:t>
      </w:r>
      <w:r>
        <w:fldChar w:fldCharType="end"/>
      </w:r>
      <w:r>
        <w:rPr>
          <w:rFonts w:hint="default" w:ascii="Times New Roman" w:hAnsi="Times New Roman" w:cs="Times New Roman"/>
          <w:bCs w:val="0"/>
          <w:color w:val="auto"/>
          <w:highlight w:val="none"/>
        </w:rPr>
        <w:fldChar w:fldCharType="end"/>
      </w:r>
    </w:p>
    <w:p>
      <w:pPr>
        <w:spacing w:afterLines="0" w:line="288" w:lineRule="auto"/>
        <w:ind w:firstLine="0" w:firstLineChars="0"/>
        <w:jc w:val="left"/>
        <w:rPr>
          <w:rFonts w:hint="default" w:ascii="Times New Roman" w:hAnsi="Times New Roman" w:cs="Times New Roman"/>
          <w:b w:val="0"/>
          <w:bCs/>
          <w:color w:val="auto"/>
          <w:sz w:val="21"/>
          <w:highlight w:val="none"/>
        </w:rPr>
      </w:pPr>
      <w:r>
        <w:rPr>
          <w:rFonts w:hint="default" w:ascii="Times New Roman" w:hAnsi="Times New Roman" w:cs="Times New Roman"/>
          <w:b w:val="0"/>
          <w:bCs w:val="0"/>
          <w:color w:val="auto"/>
          <w:highlight w:val="none"/>
        </w:rPr>
        <w:fldChar w:fldCharType="end"/>
      </w:r>
    </w:p>
    <w:p>
      <w:pPr>
        <w:spacing w:afterLines="0" w:line="288" w:lineRule="auto"/>
        <w:ind w:firstLine="0" w:firstLineChars="0"/>
        <w:rPr>
          <w:rFonts w:hint="default" w:ascii="Times New Roman" w:hAnsi="Times New Roman" w:cs="Times New Roman"/>
          <w:color w:val="auto"/>
          <w:sz w:val="21"/>
          <w:highlight w:val="none"/>
        </w:rPr>
      </w:pPr>
    </w:p>
    <w:p>
      <w:pPr>
        <w:spacing w:afterLines="0" w:line="288" w:lineRule="auto"/>
        <w:ind w:firstLine="0" w:firstLineChars="0"/>
        <w:rPr>
          <w:rFonts w:hint="default" w:ascii="Times New Roman" w:hAnsi="Times New Roman" w:cs="Times New Roman"/>
          <w:color w:val="auto"/>
          <w:sz w:val="21"/>
          <w:highlight w:val="none"/>
        </w:rPr>
      </w:pPr>
    </w:p>
    <w:p>
      <w:pPr>
        <w:spacing w:afterLines="0" w:line="288" w:lineRule="auto"/>
        <w:ind w:firstLine="0" w:firstLineChars="0"/>
        <w:rPr>
          <w:rFonts w:hint="default" w:ascii="Times New Roman" w:hAnsi="Times New Roman" w:cs="Times New Roman"/>
          <w:color w:val="auto"/>
          <w:sz w:val="21"/>
          <w:highlight w:val="none"/>
        </w:rPr>
      </w:pPr>
    </w:p>
    <w:p>
      <w:pPr>
        <w:spacing w:after="156" w:line="240" w:lineRule="auto"/>
        <w:ind w:firstLine="0" w:firstLineChars="0"/>
        <w:rPr>
          <w:rFonts w:hint="default" w:ascii="Times New Roman" w:hAnsi="Times New Roman" w:cs="Times New Roman"/>
          <w:color w:val="auto"/>
          <w:sz w:val="21"/>
          <w:highlight w:val="none"/>
        </w:rPr>
        <w:sectPr>
          <w:headerReference r:id="rId11" w:type="default"/>
          <w:footerReference r:id="rId12" w:type="default"/>
          <w:pgSz w:w="11906" w:h="16838"/>
          <w:pgMar w:top="1440" w:right="1800" w:bottom="1440" w:left="1800" w:header="851" w:footer="992" w:gutter="0"/>
          <w:pgNumType w:fmt="upperRoman" w:start="1"/>
          <w:cols w:space="425" w:num="1"/>
          <w:docGrid w:type="lines" w:linePitch="312" w:charSpace="0"/>
        </w:sectPr>
      </w:pPr>
    </w:p>
    <w:p>
      <w:pPr>
        <w:spacing w:afterLines="0"/>
        <w:ind w:firstLine="0" w:firstLineChars="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花都区新华街云山运动场改造（停车场）项目</w:t>
      </w:r>
    </w:p>
    <w:p>
      <w:pPr>
        <w:spacing w:afterLines="0"/>
        <w:ind w:firstLine="0" w:firstLineChars="0"/>
        <w:jc w:val="cente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特许经营初步协议</w:t>
      </w:r>
    </w:p>
    <w:p>
      <w:pPr>
        <w:spacing w:afterLines="0" w:line="300" w:lineRule="auto"/>
        <w:rPr>
          <w:rFonts w:hint="default" w:ascii="Times New Roman" w:hAnsi="Times New Roman" w:cs="Times New Roman"/>
          <w:color w:val="auto"/>
          <w:highlight w:val="none"/>
        </w:rPr>
      </w:pPr>
    </w:p>
    <w:p>
      <w:pPr>
        <w:spacing w:after="156" w:line="24" w:lineRule="atLeast"/>
        <w:rPr>
          <w:rFonts w:hint="default" w:ascii="Times New Roman" w:hAnsi="Times New Roman" w:cs="Times New Roman"/>
          <w:color w:val="auto"/>
          <w:highlight w:val="none"/>
        </w:rPr>
      </w:pPr>
      <w:r>
        <w:rPr>
          <w:rFonts w:hint="default" w:ascii="Times New Roman" w:hAnsi="Times New Roman" w:cs="Times New Roman"/>
          <w:color w:val="auto"/>
          <w:highlight w:val="none"/>
        </w:rPr>
        <w:t>花都区新华街云山运动场改造（停车场）项目特许经营初步协议（下称“初步协议”）于2025年【】月【】日由以下双方订立：</w:t>
      </w:r>
    </w:p>
    <w:p>
      <w:pPr>
        <w:spacing w:afterLines="0" w:line="300" w:lineRule="auto"/>
        <w:ind w:firstLine="482"/>
        <w:rPr>
          <w:rFonts w:hint="default" w:ascii="Times New Roman" w:hAnsi="Times New Roman" w:cs="Times New Roman"/>
          <w:b/>
          <w:color w:val="auto"/>
          <w:highlight w:val="none"/>
        </w:rPr>
      </w:pPr>
    </w:p>
    <w:tbl>
      <w:tblPr>
        <w:tblStyle w:val="42"/>
        <w:tblW w:w="7645" w:type="dxa"/>
        <w:jc w:val="center"/>
        <w:tblLayout w:type="fixed"/>
        <w:tblCellMar>
          <w:top w:w="0" w:type="dxa"/>
          <w:left w:w="108" w:type="dxa"/>
          <w:bottom w:w="0" w:type="dxa"/>
          <w:right w:w="108" w:type="dxa"/>
        </w:tblCellMar>
      </w:tblPr>
      <w:tblGrid>
        <w:gridCol w:w="1260"/>
        <w:gridCol w:w="6385"/>
      </w:tblGrid>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highlight w:val="none"/>
              </w:rPr>
            </w:pPr>
            <w:bookmarkStart w:id="33" w:name="_Toc486951129"/>
            <w:bookmarkStart w:id="34" w:name="_Toc496963337"/>
            <w:bookmarkStart w:id="35" w:name="_Toc487067484"/>
            <w:r>
              <w:rPr>
                <w:rFonts w:hint="default" w:ascii="Times New Roman" w:hAnsi="Times New Roman" w:eastAsia="黑体" w:cs="Times New Roman"/>
                <w:color w:val="auto"/>
                <w:kern w:val="0"/>
                <w:highlight w:val="none"/>
              </w:rPr>
              <w:t>甲方：</w:t>
            </w:r>
          </w:p>
        </w:tc>
        <w:tc>
          <w:tcPr>
            <w:tcW w:w="6385"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highlight w:val="none"/>
              </w:rPr>
            </w:pPr>
          </w:p>
        </w:tc>
      </w:tr>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乙方：</w:t>
            </w:r>
          </w:p>
        </w:tc>
        <w:tc>
          <w:tcPr>
            <w:tcW w:w="6385" w:type="dxa"/>
            <w:vAlign w:val="top"/>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w:t>
            </w:r>
            <w:r>
              <w:rPr>
                <w:rFonts w:hint="eastAsia" w:ascii="Times New Roman" w:hAnsi="Times New Roman" w:eastAsia="黑体" w:cs="Times New Roman"/>
                <w:color w:val="auto"/>
                <w:kern w:val="0"/>
                <w:highlight w:val="none"/>
                <w:lang w:val="en-US" w:eastAsia="zh-CN"/>
              </w:rPr>
              <w:t>牵头方</w:t>
            </w:r>
            <w:r>
              <w:rPr>
                <w:rFonts w:hint="default" w:ascii="Times New Roman" w:hAnsi="Times New Roman" w:eastAsia="黑体" w:cs="Times New Roman"/>
                <w:color w:val="auto"/>
                <w:kern w:val="0"/>
                <w:highlight w:val="none"/>
              </w:rPr>
              <w:t>）</w:t>
            </w:r>
          </w:p>
        </w:tc>
      </w:tr>
      <w:tr>
        <w:tblPrEx>
          <w:tblCellMar>
            <w:top w:w="0" w:type="dxa"/>
            <w:left w:w="108" w:type="dxa"/>
            <w:bottom w:w="0" w:type="dxa"/>
            <w:right w:w="108" w:type="dxa"/>
          </w:tblCellMar>
        </w:tblPrEx>
        <w:trPr>
          <w:jc w:val="center"/>
        </w:trPr>
        <w:tc>
          <w:tcPr>
            <w:tcW w:w="1260" w:type="dxa"/>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highlight w:val="none"/>
              </w:rPr>
            </w:pPr>
          </w:p>
        </w:tc>
        <w:tc>
          <w:tcPr>
            <w:tcW w:w="6385" w:type="dxa"/>
            <w:vAlign w:val="top"/>
          </w:tcPr>
          <w:p>
            <w:pPr>
              <w:autoSpaceDE w:val="0"/>
              <w:autoSpaceDN w:val="0"/>
              <w:spacing w:before="60" w:after="60" w:afterLines="0" w:line="240" w:lineRule="auto"/>
              <w:ind w:firstLine="0" w:firstLineChars="0"/>
              <w:jc w:val="left"/>
              <w:rPr>
                <w:rFonts w:hint="default" w:ascii="Times New Roman" w:hAnsi="Times New Roman" w:eastAsia="黑体" w:cs="Times New Roman"/>
                <w:color w:val="auto"/>
                <w:kern w:val="0"/>
                <w:highlight w:val="none"/>
              </w:rPr>
            </w:pPr>
            <w:r>
              <w:rPr>
                <w:rFonts w:hint="default" w:ascii="Times New Roman" w:hAnsi="Times New Roman" w:eastAsia="黑体" w:cs="Times New Roman"/>
                <w:color w:val="auto"/>
                <w:kern w:val="0"/>
                <w:highlight w:val="none"/>
              </w:rPr>
              <w:t>【】（</w:t>
            </w:r>
            <w:r>
              <w:rPr>
                <w:rFonts w:hint="eastAsia" w:ascii="Times New Roman" w:hAnsi="Times New Roman" w:eastAsia="黑体" w:cs="Times New Roman"/>
                <w:color w:val="auto"/>
                <w:kern w:val="0"/>
                <w:highlight w:val="none"/>
                <w:lang w:val="en-US" w:eastAsia="zh-CN"/>
              </w:rPr>
              <w:t>成员方</w:t>
            </w:r>
            <w:bookmarkStart w:id="535" w:name="_GoBack"/>
            <w:bookmarkEnd w:id="535"/>
            <w:r>
              <w:rPr>
                <w:rFonts w:hint="default" w:ascii="Times New Roman" w:hAnsi="Times New Roman" w:eastAsia="黑体" w:cs="Times New Roman"/>
                <w:color w:val="auto"/>
                <w:kern w:val="0"/>
                <w:highlight w:val="none"/>
              </w:rPr>
              <w:t>）</w:t>
            </w:r>
          </w:p>
        </w:tc>
      </w:tr>
    </w:tbl>
    <w:p>
      <w:pPr>
        <w:spacing w:afterLines="0" w:line="300" w:lineRule="auto"/>
        <w:ind w:firstLine="0" w:firstLineChars="0"/>
        <w:rPr>
          <w:rFonts w:hint="default" w:ascii="Times New Roman" w:hAnsi="Times New Roman" w:cs="Times New Roman"/>
          <w:b/>
          <w:caps/>
          <w:color w:val="auto"/>
          <w:kern w:val="0"/>
          <w:sz w:val="28"/>
          <w:highlight w:val="none"/>
        </w:rPr>
      </w:pPr>
    </w:p>
    <w:p>
      <w:pPr>
        <w:spacing w:afterLines="0" w:line="300" w:lineRule="auto"/>
        <w:ind w:firstLine="0" w:firstLineChars="0"/>
        <w:rPr>
          <w:rFonts w:hint="default" w:ascii="Times New Roman" w:hAnsi="Times New Roman" w:cs="Times New Roman"/>
          <w:b/>
          <w:caps/>
          <w:color w:val="auto"/>
          <w:kern w:val="0"/>
          <w:sz w:val="28"/>
          <w:highlight w:val="none"/>
        </w:rPr>
      </w:pPr>
    </w:p>
    <w:p>
      <w:pPr>
        <w:spacing w:afterLines="0" w:line="300" w:lineRule="auto"/>
        <w:ind w:firstLine="0" w:firstLineChars="0"/>
        <w:rPr>
          <w:rFonts w:hint="default" w:ascii="Times New Roman" w:hAnsi="Times New Roman" w:eastAsia="黑体" w:cs="Times New Roman"/>
          <w:bCs/>
          <w:caps/>
          <w:color w:val="auto"/>
          <w:kern w:val="0"/>
          <w:sz w:val="28"/>
          <w:highlight w:val="none"/>
        </w:rPr>
      </w:pPr>
      <w:r>
        <w:rPr>
          <w:rFonts w:hint="default" w:ascii="Times New Roman" w:hAnsi="Times New Roman" w:eastAsia="黑体" w:cs="Times New Roman"/>
          <w:bCs/>
          <w:caps/>
          <w:color w:val="auto"/>
          <w:kern w:val="0"/>
          <w:sz w:val="28"/>
          <w:highlight w:val="none"/>
        </w:rPr>
        <w:t>鉴于：</w:t>
      </w:r>
      <w:bookmarkEnd w:id="33"/>
      <w:bookmarkEnd w:id="34"/>
      <w:bookmarkEnd w:id="35"/>
    </w:p>
    <w:p>
      <w:pPr>
        <w:spacing w:after="156" w:line="24" w:lineRule="atLeast"/>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广州市</w:t>
      </w:r>
      <w:r>
        <w:rPr>
          <w:rFonts w:hint="eastAsia" w:cs="Times New Roman"/>
          <w:color w:val="auto"/>
          <w:highlight w:val="none"/>
          <w:u w:val="single"/>
          <w:lang w:eastAsia="zh-CN"/>
        </w:rPr>
        <w:t>花都区</w:t>
      </w:r>
      <w:r>
        <w:rPr>
          <w:rFonts w:hint="default" w:ascii="Times New Roman" w:hAnsi="Times New Roman" w:cs="Times New Roman"/>
          <w:color w:val="auto"/>
          <w:highlight w:val="none"/>
          <w:u w:val="single"/>
        </w:rPr>
        <w:t>人民政府</w:t>
      </w:r>
      <w:r>
        <w:rPr>
          <w:rFonts w:hint="default" w:ascii="Times New Roman" w:hAnsi="Times New Roman" w:cs="Times New Roman"/>
          <w:color w:val="auto"/>
          <w:highlight w:val="none"/>
        </w:rPr>
        <w:t>授权</w:t>
      </w:r>
      <w:r>
        <w:rPr>
          <w:rFonts w:hint="eastAsia" w:cs="Times New Roman"/>
          <w:bCs/>
          <w:color w:val="auto"/>
          <w:highlight w:val="none"/>
          <w:u w:val="single"/>
          <w:lang w:eastAsia="zh-CN"/>
        </w:rPr>
        <w:t>广州市花都区人民政府新华街道办事处</w:t>
      </w:r>
      <w:r>
        <w:rPr>
          <w:rFonts w:hint="default" w:ascii="Times New Roman" w:hAnsi="Times New Roman" w:cs="Times New Roman"/>
          <w:color w:val="auto"/>
          <w:highlight w:val="none"/>
        </w:rPr>
        <w:t>（“甲方”）采用</w:t>
      </w:r>
      <w:r>
        <w:rPr>
          <w:rFonts w:hint="default" w:ascii="Times New Roman" w:hAnsi="Times New Roman" w:cs="Times New Roman"/>
          <w:color w:val="auto"/>
          <w:highlight w:val="none"/>
          <w:u w:val="single"/>
        </w:rPr>
        <w:t>特许经营模式</w:t>
      </w:r>
      <w:r>
        <w:rPr>
          <w:rFonts w:hint="default" w:ascii="Times New Roman" w:hAnsi="Times New Roman" w:cs="Times New Roman"/>
          <w:color w:val="auto"/>
          <w:highlight w:val="none"/>
        </w:rPr>
        <w:t>实施</w:t>
      </w:r>
      <w:r>
        <w:rPr>
          <w:rFonts w:hint="eastAsia" w:cs="Times New Roman"/>
          <w:color w:val="auto"/>
          <w:highlight w:val="none"/>
          <w:u w:val="single"/>
          <w:lang w:eastAsia="zh-CN"/>
        </w:rPr>
        <w:t>花都区新华街云山运动场改造（停车场）项目</w:t>
      </w:r>
      <w:r>
        <w:rPr>
          <w:rFonts w:hint="default" w:ascii="Times New Roman" w:hAnsi="Times New Roman" w:cs="Times New Roman"/>
          <w:color w:val="auto"/>
          <w:kern w:val="0"/>
          <w:highlight w:val="none"/>
        </w:rPr>
        <w:t>（下称“本项目”）</w:t>
      </w:r>
      <w:r>
        <w:rPr>
          <w:rFonts w:hint="default" w:ascii="Times New Roman" w:hAnsi="Times New Roman" w:cs="Times New Roman"/>
          <w:color w:val="auto"/>
          <w:highlight w:val="none"/>
        </w:rPr>
        <w:t>，具体实施方式为</w:t>
      </w:r>
      <w:r>
        <w:rPr>
          <w:rFonts w:hint="eastAsia" w:cs="Times New Roman"/>
          <w:color w:val="auto"/>
          <w:highlight w:val="none"/>
          <w:lang w:val="en-US" w:eastAsia="zh-CN"/>
        </w:rPr>
        <w:t>BOT</w:t>
      </w:r>
      <w:r>
        <w:rPr>
          <w:rFonts w:hint="default" w:ascii="Times New Roman" w:hAnsi="Times New Roman" w:cs="Times New Roman"/>
          <w:color w:val="auto"/>
          <w:highlight w:val="none"/>
        </w:rPr>
        <w:t>（</w:t>
      </w:r>
      <w:r>
        <w:rPr>
          <w:rFonts w:hint="eastAsia" w:cs="Times New Roman"/>
          <w:color w:val="auto"/>
          <w:highlight w:val="none"/>
          <w:lang w:val="en-US" w:eastAsia="zh-CN"/>
        </w:rPr>
        <w:t>建设</w:t>
      </w:r>
      <w:r>
        <w:rPr>
          <w:rFonts w:hint="default" w:ascii="Times New Roman" w:hAnsi="Times New Roman" w:cs="Times New Roman"/>
          <w:color w:val="auto"/>
          <w:highlight w:val="none"/>
        </w:rPr>
        <w:t>-运营-移交）。</w:t>
      </w:r>
    </w:p>
    <w:p>
      <w:pPr>
        <w:spacing w:after="156" w:line="24" w:lineRule="atLeast"/>
        <w:rPr>
          <w:rFonts w:hint="default" w:ascii="Times New Roman" w:hAnsi="Times New Roman" w:cs="Times New Roman"/>
          <w:color w:val="auto"/>
          <w:highlight w:val="none"/>
        </w:rPr>
      </w:pPr>
      <w:r>
        <w:rPr>
          <w:rFonts w:hint="default" w:ascii="Times New Roman" w:hAnsi="Times New Roman" w:cs="Times New Roman"/>
          <w:color w:val="auto"/>
          <w:highlight w:val="none"/>
        </w:rPr>
        <w:t>甲方于2025年【】月至2025年【】月遵循公开、公平、公正和公共利益优先的原则，经过公开招标，确定【】为本项目中标的特许经营者（即本协议“乙方”）</w:t>
      </w:r>
      <w:r>
        <w:rPr>
          <w:rFonts w:hint="default" w:ascii="Times New Roman" w:hAnsi="Times New Roman" w:cs="Times New Roman" w:eastAsiaTheme="minorEastAsia"/>
          <w:color w:val="auto"/>
          <w:highlight w:val="none"/>
        </w:rPr>
        <w:t>，并于2025年【】月【】日发出中标通知书。</w:t>
      </w:r>
      <w:r>
        <w:rPr>
          <w:rFonts w:hint="default" w:ascii="Times New Roman" w:hAnsi="Times New Roman" w:cs="Times New Roman"/>
          <w:color w:val="auto"/>
          <w:highlight w:val="none"/>
        </w:rPr>
        <w:t>为维护合同各方主体的合法权益，根据国家有关政</w:t>
      </w:r>
      <w:r>
        <w:rPr>
          <w:rFonts w:hint="default" w:ascii="Times New Roman" w:hAnsi="Times New Roman" w:cs="Times New Roman"/>
          <w:color w:val="auto"/>
          <w:highlight w:val="none"/>
          <w:lang w:eastAsia="zh-CN"/>
        </w:rPr>
        <w:t>策和</w:t>
      </w:r>
      <w:r>
        <w:rPr>
          <w:rFonts w:hint="default" w:ascii="Times New Roman" w:hAnsi="Times New Roman" w:cs="Times New Roman"/>
          <w:color w:val="auto"/>
          <w:highlight w:val="none"/>
        </w:rPr>
        <w:t>招标文件、特许经营者投标响应文件等，甲乙双方签订本《</w:t>
      </w:r>
      <w:r>
        <w:rPr>
          <w:rFonts w:hint="eastAsia" w:cs="Times New Roman"/>
          <w:color w:val="auto"/>
          <w:highlight w:val="none"/>
          <w:lang w:eastAsia="zh-CN"/>
        </w:rPr>
        <w:t>花都区新华街云山运动场改造（停车场）</w:t>
      </w:r>
      <w:r>
        <w:rPr>
          <w:rFonts w:hint="default" w:ascii="Times New Roman" w:hAnsi="Times New Roman" w:cs="Times New Roman"/>
          <w:color w:val="auto"/>
          <w:highlight w:val="none"/>
        </w:rPr>
        <w:t>项目特许经营初步协议》（即“本协议”）。</w:t>
      </w:r>
    </w:p>
    <w:p>
      <w:pPr>
        <w:spacing w:after="156" w:line="24" w:lineRule="atLeast"/>
        <w:rPr>
          <w:rFonts w:hint="default" w:ascii="Times New Roman" w:hAnsi="Times New Roman" w:eastAsia="宋体" w:cs="Times New Roman"/>
          <w:color w:val="auto"/>
          <w:highlight w:val="none"/>
          <w:lang w:eastAsia="zh"/>
        </w:rPr>
      </w:pPr>
      <w:r>
        <w:rPr>
          <w:rFonts w:hint="default" w:ascii="Times New Roman" w:hAnsi="Times New Roman" w:cs="Times New Roman"/>
          <w:color w:val="auto"/>
          <w:highlight w:val="none"/>
          <w:lang w:eastAsia="zh"/>
        </w:rPr>
        <w:t>甲方的主体资格：甲方</w:t>
      </w:r>
      <w:r>
        <w:rPr>
          <w:rFonts w:hint="default" w:ascii="Times New Roman" w:hAnsi="Times New Roman" w:cs="Times New Roman"/>
          <w:color w:val="auto"/>
          <w:highlight w:val="none"/>
        </w:rPr>
        <w:t>为</w:t>
      </w:r>
      <w:r>
        <w:rPr>
          <w:rFonts w:hint="eastAsia" w:cs="Times New Roman"/>
          <w:color w:val="auto"/>
          <w:highlight w:val="none"/>
          <w:lang w:eastAsia="zh-CN"/>
        </w:rPr>
        <w:t>花都区</w:t>
      </w:r>
      <w:r>
        <w:rPr>
          <w:rFonts w:hint="default" w:ascii="Times New Roman" w:hAnsi="Times New Roman" w:cs="Times New Roman"/>
          <w:color w:val="auto"/>
          <w:highlight w:val="none"/>
          <w:lang w:eastAsia="zh"/>
        </w:rPr>
        <w:t>政府授权的</w:t>
      </w:r>
      <w:r>
        <w:rPr>
          <w:rFonts w:hint="default" w:ascii="Times New Roman" w:hAnsi="Times New Roman" w:cs="Times New Roman"/>
          <w:color w:val="auto"/>
          <w:highlight w:val="none"/>
        </w:rPr>
        <w:t>本项目实施机构</w:t>
      </w:r>
      <w:r>
        <w:rPr>
          <w:rFonts w:hint="default" w:ascii="Times New Roman" w:hAnsi="Times New Roman" w:cs="Times New Roman"/>
          <w:color w:val="auto"/>
          <w:highlight w:val="none"/>
          <w:lang w:eastAsia="zh"/>
        </w:rPr>
        <w:t>。</w:t>
      </w:r>
      <w:r>
        <w:rPr>
          <w:rFonts w:hint="default" w:ascii="Times New Roman" w:hAnsi="Times New Roman" w:cs="Times New Roman"/>
          <w:color w:val="auto"/>
          <w:highlight w:val="none"/>
        </w:rPr>
        <w:t>如因行政区划调整或机构调整，甲方被撤销或被合并的，由承继其相关职能的机构或合并后的政府主体完全承继本协议，并继续履行本协议中甲方义务、行使甲方权利。承继甲方职能的机构或政府主体不明确的，应当由政府继续履行甲方义务、行使甲方权利。本协议在前述承继完成之前的履行情况（包括所产生的甲方责任），对承继方具有约束力、并由承继方全部承担。</w:t>
      </w:r>
    </w:p>
    <w:p>
      <w:pPr>
        <w:spacing w:after="156" w:line="24" w:lineRule="atLeast"/>
        <w:rPr>
          <w:rFonts w:hint="default" w:ascii="Times New Roman" w:hAnsi="Times New Roman" w:cs="Times New Roman"/>
          <w:color w:val="auto"/>
          <w:highlight w:val="none"/>
          <w:lang w:eastAsia="zh"/>
        </w:rPr>
      </w:pPr>
      <w:r>
        <w:rPr>
          <w:rFonts w:hint="default" w:ascii="Times New Roman" w:hAnsi="Times New Roman" w:cs="Times New Roman"/>
          <w:color w:val="auto"/>
          <w:highlight w:val="none"/>
          <w:lang w:eastAsia="zh"/>
        </w:rPr>
        <w:t>乙方的主体资格：</w:t>
      </w:r>
      <w:r>
        <w:rPr>
          <w:rFonts w:hint="default" w:ascii="Times New Roman" w:hAnsi="Times New Roman" w:cs="Times New Roman" w:eastAsiaTheme="minorEastAsia"/>
          <w:color w:val="auto"/>
          <w:highlight w:val="none"/>
          <w:lang w:eastAsia="zh"/>
        </w:rPr>
        <w:t>乙方通过合法合规程序取得特许经营者主体资格。</w:t>
      </w:r>
    </w:p>
    <w:bookmarkEnd w:id="29"/>
    <w:bookmarkEnd w:id="30"/>
    <w:bookmarkEnd w:id="31"/>
    <w:p>
      <w:pPr>
        <w:pStyle w:val="137"/>
        <w:shd w:val="clear"/>
        <w:spacing w:before="312" w:after="156"/>
        <w:rPr>
          <w:rFonts w:hint="default" w:ascii="Times New Roman" w:hAnsi="Times New Roman" w:cs="Times New Roman"/>
          <w:color w:val="auto"/>
          <w:highlight w:val="none"/>
        </w:rPr>
      </w:pPr>
      <w:bookmarkStart w:id="36" w:name="_Toc15334"/>
      <w:bookmarkStart w:id="37" w:name="_Toc17114"/>
      <w:bookmarkStart w:id="38" w:name="_Toc1290873753"/>
      <w:bookmarkStart w:id="39" w:name="_Toc11036"/>
      <w:bookmarkStart w:id="40" w:name="_Toc21549"/>
      <w:bookmarkStart w:id="41" w:name="_Toc20878"/>
      <w:bookmarkStart w:id="42" w:name="_Toc449666716"/>
      <w:bookmarkStart w:id="43" w:name="_Toc22424"/>
      <w:bookmarkStart w:id="44" w:name="_Toc17758"/>
      <w:bookmarkStart w:id="45" w:name="_Toc18474"/>
      <w:bookmarkStart w:id="46" w:name="_Toc16606"/>
      <w:bookmarkStart w:id="47" w:name="_Toc190613429"/>
      <w:r>
        <w:rPr>
          <w:rFonts w:hint="default" w:ascii="Times New Roman" w:hAnsi="Times New Roman" w:cs="Times New Roman"/>
          <w:color w:val="auto"/>
          <w:highlight w:val="none"/>
        </w:rPr>
        <w:t>项目概况</w:t>
      </w:r>
      <w:bookmarkEnd w:id="36"/>
      <w:bookmarkEnd w:id="37"/>
      <w:bookmarkEnd w:id="38"/>
      <w:bookmarkEnd w:id="39"/>
      <w:bookmarkEnd w:id="40"/>
      <w:bookmarkEnd w:id="41"/>
      <w:bookmarkEnd w:id="42"/>
      <w:bookmarkEnd w:id="43"/>
      <w:bookmarkEnd w:id="44"/>
      <w:bookmarkEnd w:id="45"/>
      <w:bookmarkEnd w:id="46"/>
      <w:bookmarkEnd w:id="47"/>
    </w:p>
    <w:p>
      <w:pPr>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广州市花都区作为粤港澳大湾区北部的重要节点，近年来依托空铁联运优势（广州白云国际机场与广州北站），正加速打造“国际空铁枢纽、高端智造基地、生态宜居新城”三大核心功能。根据《花都区“十四五”发展规划》，区域重点推进“一核引领、三带联动、六片协同”空间布局，其中新华街道作为花都中心城区，承担着城市服务核心区的功能，亟需通过城市更新优化公共服务设施配置，提升城市品质。</w:t>
      </w:r>
    </w:p>
    <w:p>
      <w:pPr>
        <w:spacing w:after="156" w:line="288" w:lineRule="auto"/>
        <w:rPr>
          <w:rFonts w:hint="default" w:ascii="Times New Roman" w:hAnsi="Times New Roman" w:eastAsia="宋体" w:cs="Times New Roman"/>
          <w:color w:val="auto"/>
          <w:highlight w:val="none"/>
        </w:rPr>
      </w:pPr>
      <w:r>
        <w:rPr>
          <w:rFonts w:hint="eastAsia" w:ascii="Times New Roman" w:hAnsi="Times New Roman" w:eastAsia="宋体" w:cs="Times New Roman"/>
          <w:color w:val="auto"/>
          <w:highlight w:val="none"/>
          <w:lang w:val="en-US" w:eastAsia="zh-CN"/>
        </w:rPr>
        <w:t>本</w:t>
      </w:r>
      <w:r>
        <w:rPr>
          <w:rFonts w:hint="default" w:ascii="Times New Roman" w:hAnsi="Times New Roman" w:eastAsia="宋体" w:cs="Times New Roman"/>
          <w:color w:val="auto"/>
          <w:highlight w:val="none"/>
        </w:rPr>
        <w:t>项目通过“运动场上盖+地下停车”的垂直叠合模式，高效集约节约利用土地，契合《广州市停车场条例》关于“鼓励社会资本投资公共停车场”的政策导向，采用特许经营模式引入社会资本投资和运营本项目。本项目是花都区城市更新与公共服务补短板的标志性工程，通过“政府引导、市场运作、功能复合”的创新模式，实现交通纾困与民生改善的多重目标。项目不仅响应了粤港澳大湾区“宜居宜业宜游”的发展愿景，更为同类高密度城区的更新改造提供了可复制的范本。未来，随着地铁线等基础设施的落地，这一“校城融合”综合体将进一步释放区域活力，助力花都区迈向高质量发展新阶段。</w:t>
      </w:r>
    </w:p>
    <w:p>
      <w:pPr>
        <w:spacing w:after="156" w:line="288" w:lineRule="auto"/>
        <w:rPr>
          <w:rFonts w:hint="default"/>
          <w:color w:val="0D0D0D" w:themeColor="text1" w:themeTint="F2"/>
          <w:lang w:val="en-US" w:eastAsia="zh-CN"/>
          <w14:textFill>
            <w14:solidFill>
              <w14:schemeClr w14:val="tx1">
                <w14:lumMod w14:val="95000"/>
                <w14:lumOff w14:val="5000"/>
              </w14:schemeClr>
            </w14:solidFill>
          </w14:textFill>
        </w:rPr>
      </w:pPr>
      <w:r>
        <w:rPr>
          <w:rFonts w:hint="eastAsia"/>
          <w:color w:val="0D0D0D" w:themeColor="text1" w:themeTint="F2"/>
          <w:lang w:val="en-US" w:eastAsia="zh-CN"/>
          <w14:textFill>
            <w14:solidFill>
              <w14:schemeClr w14:val="tx1">
                <w14:lumMod w14:val="95000"/>
                <w14:lumOff w14:val="5000"/>
              </w14:schemeClr>
            </w14:solidFill>
          </w14:textFill>
        </w:rPr>
        <w:t>花都区新华街云山运动场改造（停车场）项目</w:t>
      </w:r>
      <w:r>
        <w:rPr>
          <w:rFonts w:hint="default"/>
          <w:color w:val="0D0D0D" w:themeColor="text1" w:themeTint="F2"/>
          <w:lang w:val="en-US" w:eastAsia="zh-CN"/>
          <w14:textFill>
            <w14:solidFill>
              <w14:schemeClr w14:val="tx1">
                <w14:lumMod w14:val="95000"/>
                <w14:lumOff w14:val="5000"/>
              </w14:schemeClr>
            </w14:solidFill>
          </w14:textFill>
        </w:rPr>
        <w:t>位于广州市</w:t>
      </w:r>
      <w:r>
        <w:rPr>
          <w:rFonts w:hint="eastAsia"/>
          <w:color w:val="0D0D0D" w:themeColor="text1" w:themeTint="F2"/>
          <w:lang w:val="en-US" w:eastAsia="zh-CN"/>
          <w14:textFill>
            <w14:solidFill>
              <w14:schemeClr w14:val="tx1">
                <w14:lumMod w14:val="95000"/>
                <w14:lumOff w14:val="5000"/>
              </w14:schemeClr>
            </w14:solidFill>
          </w14:textFill>
        </w:rPr>
        <w:t>花都</w:t>
      </w:r>
      <w:r>
        <w:rPr>
          <w:rFonts w:hint="default"/>
          <w:color w:val="0D0D0D" w:themeColor="text1" w:themeTint="F2"/>
          <w:lang w:val="en-US" w:eastAsia="zh-CN"/>
          <w14:textFill>
            <w14:solidFill>
              <w14:schemeClr w14:val="tx1">
                <w14:lumMod w14:val="95000"/>
                <w14:lumOff w14:val="5000"/>
              </w14:schemeClr>
            </w14:solidFill>
          </w14:textFill>
        </w:rPr>
        <w:t>区</w:t>
      </w:r>
      <w:r>
        <w:rPr>
          <w:rFonts w:hint="eastAsia"/>
          <w:color w:val="0D0D0D" w:themeColor="text1" w:themeTint="F2"/>
          <w:lang w:val="en-US" w:eastAsia="zh-CN"/>
          <w14:textFill>
            <w14:solidFill>
              <w14:schemeClr w14:val="tx1">
                <w14:lumMod w14:val="95000"/>
                <w14:lumOff w14:val="5000"/>
              </w14:schemeClr>
            </w14:solidFill>
          </w14:textFill>
        </w:rPr>
        <w:t>新华街</w:t>
      </w:r>
      <w:r>
        <w:rPr>
          <w:rFonts w:hint="default"/>
          <w:color w:val="0D0D0D" w:themeColor="text1" w:themeTint="F2"/>
          <w:lang w:val="en-US" w:eastAsia="zh-CN"/>
          <w14:textFill>
            <w14:solidFill>
              <w14:schemeClr w14:val="tx1">
                <w14:lumMod w14:val="95000"/>
                <w14:lumOff w14:val="5000"/>
              </w14:schemeClr>
            </w14:solidFill>
          </w14:textFill>
        </w:rPr>
        <w:t>，项目用地总面积47932.91㎡，规划建设用地面积27280.70㎡，总建筑面积为44930㎡，包含2层室内停车场，建筑面积为42400㎡，风雨体育馆及附属用房，建筑面积为2530㎡；室外球场，面积为20451.76㎡。</w:t>
      </w:r>
    </w:p>
    <w:p>
      <w:pPr>
        <w:pStyle w:val="137"/>
        <w:shd w:val="clear"/>
        <w:spacing w:before="312" w:after="156"/>
        <w:rPr>
          <w:rFonts w:hint="default" w:ascii="Times New Roman" w:hAnsi="Times New Roman" w:cs="Times New Roman"/>
          <w:color w:val="auto"/>
          <w:highlight w:val="none"/>
        </w:rPr>
      </w:pPr>
      <w:bookmarkStart w:id="48" w:name="_Toc31895"/>
      <w:bookmarkStart w:id="49" w:name="_Toc20989"/>
      <w:bookmarkStart w:id="50" w:name="_Toc8968"/>
      <w:bookmarkStart w:id="51" w:name="_Toc3598"/>
      <w:bookmarkStart w:id="52" w:name="_Toc13379"/>
      <w:bookmarkStart w:id="53" w:name="_Toc8883"/>
      <w:bookmarkStart w:id="54" w:name="_Toc13904"/>
      <w:bookmarkStart w:id="55" w:name="_Toc553542019"/>
      <w:bookmarkStart w:id="56" w:name="_Toc1835364677"/>
      <w:bookmarkStart w:id="57" w:name="_Toc370"/>
      <w:bookmarkStart w:id="58" w:name="_Toc190613430"/>
      <w:bookmarkStart w:id="59" w:name="_Toc22548"/>
      <w:r>
        <w:rPr>
          <w:rFonts w:hint="default" w:ascii="Times New Roman" w:hAnsi="Times New Roman" w:cs="Times New Roman"/>
          <w:color w:val="auto"/>
          <w:highlight w:val="none"/>
        </w:rPr>
        <w:t>合作模式</w:t>
      </w:r>
      <w:bookmarkEnd w:id="48"/>
      <w:bookmarkEnd w:id="49"/>
      <w:bookmarkEnd w:id="50"/>
      <w:bookmarkEnd w:id="51"/>
      <w:bookmarkEnd w:id="52"/>
      <w:bookmarkEnd w:id="53"/>
      <w:bookmarkEnd w:id="54"/>
      <w:bookmarkEnd w:id="55"/>
      <w:bookmarkEnd w:id="56"/>
      <w:bookmarkEnd w:id="57"/>
      <w:bookmarkEnd w:id="58"/>
      <w:bookmarkEnd w:id="59"/>
    </w:p>
    <w:p>
      <w:pPr>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本项目实施模式为</w:t>
      </w:r>
      <w:r>
        <w:rPr>
          <w:rFonts w:hint="eastAsia" w:cs="Times New Roman"/>
          <w:color w:val="auto"/>
          <w:highlight w:val="none"/>
          <w:lang w:val="en-US" w:eastAsia="zh-CN"/>
        </w:rPr>
        <w:t>BOT</w:t>
      </w:r>
      <w:r>
        <w:rPr>
          <w:rFonts w:hint="default" w:ascii="Times New Roman" w:hAnsi="Times New Roman" w:cs="Times New Roman"/>
          <w:color w:val="auto"/>
          <w:highlight w:val="none"/>
        </w:rPr>
        <w:t>（</w:t>
      </w:r>
      <w:r>
        <w:rPr>
          <w:rFonts w:hint="eastAsia" w:cs="Times New Roman"/>
          <w:color w:val="auto"/>
          <w:highlight w:val="none"/>
          <w:lang w:val="en-US" w:eastAsia="zh-CN"/>
        </w:rPr>
        <w:t>建设</w:t>
      </w:r>
      <w:r>
        <w:rPr>
          <w:rFonts w:hint="default" w:ascii="Times New Roman" w:hAnsi="Times New Roman" w:cs="Times New Roman"/>
          <w:color w:val="auto"/>
          <w:highlight w:val="none"/>
        </w:rPr>
        <w:t>-运营-移交），项目合作期内，由项目公司负责工程的投融资、</w:t>
      </w:r>
      <w:r>
        <w:rPr>
          <w:rFonts w:hint="eastAsia" w:cs="Times New Roman"/>
          <w:color w:val="auto"/>
          <w:highlight w:val="none"/>
          <w:lang w:val="en-US" w:eastAsia="zh-CN"/>
        </w:rPr>
        <w:t>建设</w:t>
      </w:r>
      <w:r>
        <w:rPr>
          <w:rFonts w:hint="default" w:ascii="Times New Roman" w:hAnsi="Times New Roman" w:cs="Times New Roman"/>
          <w:color w:val="auto"/>
          <w:highlight w:val="none"/>
        </w:rPr>
        <w:t>、运营维护工作，合作期结束后，项目公司向实施机构或花都区人民政府指定的其他机构进行无偿移交。</w:t>
      </w:r>
    </w:p>
    <w:p>
      <w:pPr>
        <w:pStyle w:val="137"/>
        <w:shd w:val="clear"/>
        <w:spacing w:before="312" w:after="156"/>
        <w:rPr>
          <w:rFonts w:hint="default" w:ascii="Times New Roman" w:hAnsi="Times New Roman" w:cs="Times New Roman"/>
          <w:color w:val="auto"/>
          <w:highlight w:val="none"/>
        </w:rPr>
      </w:pPr>
      <w:bookmarkStart w:id="60" w:name="_Toc13350"/>
      <w:bookmarkStart w:id="61" w:name="_Toc6328"/>
      <w:bookmarkStart w:id="62" w:name="_Toc519020831"/>
      <w:bookmarkStart w:id="63" w:name="_Toc15877"/>
      <w:bookmarkStart w:id="64" w:name="_Toc24492"/>
      <w:bookmarkStart w:id="65" w:name="_Toc12872"/>
      <w:bookmarkStart w:id="66" w:name="_Toc481554529"/>
      <w:bookmarkStart w:id="67" w:name="_Toc190613431"/>
      <w:bookmarkStart w:id="68" w:name="_Toc28271"/>
      <w:bookmarkStart w:id="69" w:name="_Toc26983"/>
      <w:bookmarkStart w:id="70" w:name="_Toc1964"/>
      <w:bookmarkStart w:id="71" w:name="_Toc5506"/>
      <w:r>
        <w:rPr>
          <w:rFonts w:hint="default" w:ascii="Times New Roman" w:hAnsi="Times New Roman" w:cs="Times New Roman"/>
          <w:color w:val="auto"/>
          <w:highlight w:val="none"/>
        </w:rPr>
        <w:t>合作范围</w:t>
      </w:r>
      <w:bookmarkEnd w:id="60"/>
      <w:bookmarkEnd w:id="61"/>
      <w:bookmarkEnd w:id="62"/>
      <w:bookmarkEnd w:id="63"/>
      <w:bookmarkEnd w:id="64"/>
      <w:bookmarkEnd w:id="65"/>
      <w:bookmarkEnd w:id="66"/>
      <w:bookmarkEnd w:id="67"/>
      <w:bookmarkEnd w:id="68"/>
      <w:bookmarkEnd w:id="69"/>
      <w:bookmarkEnd w:id="70"/>
      <w:bookmarkEnd w:id="71"/>
    </w:p>
    <w:p>
      <w:pPr>
        <w:pStyle w:val="138"/>
        <w:spacing w:after="156"/>
        <w:rPr>
          <w:rFonts w:hint="default" w:ascii="Times New Roman" w:hAnsi="Times New Roman" w:cs="Times New Roman"/>
          <w:color w:val="auto"/>
          <w:highlight w:val="none"/>
        </w:rPr>
      </w:pPr>
      <w:bookmarkStart w:id="72" w:name="_Toc20280"/>
      <w:bookmarkStart w:id="73" w:name="_Toc497644248"/>
      <w:r>
        <w:rPr>
          <w:rFonts w:hint="default" w:ascii="Times New Roman" w:hAnsi="Times New Roman" w:cs="Times New Roman"/>
          <w:color w:val="auto"/>
          <w:highlight w:val="none"/>
          <w:lang w:val="en-US"/>
        </w:rPr>
        <w:t>建设</w:t>
      </w:r>
      <w:r>
        <w:rPr>
          <w:rFonts w:hint="default" w:ascii="Times New Roman" w:hAnsi="Times New Roman" w:cs="Times New Roman"/>
          <w:color w:val="auto"/>
          <w:highlight w:val="none"/>
        </w:rPr>
        <w:t>内容</w:t>
      </w:r>
      <w:bookmarkEnd w:id="72"/>
      <w:bookmarkEnd w:id="73"/>
    </w:p>
    <w:p>
      <w:pPr>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建设内容必须满足本项目建设的实际需求，并实现建筑物的全部功能，内容包括但不限于：</w:t>
      </w:r>
      <w:bookmarkStart w:id="74" w:name="_Toc497644249"/>
      <w:r>
        <w:rPr>
          <w:rFonts w:hint="default" w:ascii="Times New Roman" w:hAnsi="Times New Roman" w:cs="Times New Roman"/>
          <w:color w:val="auto"/>
          <w:highlight w:val="none"/>
          <w:lang w:eastAsia="zh-CN"/>
        </w:rPr>
        <w:t>总建筑面积为44930㎡，包含2层室内停车场，建筑面积为42400㎡，风雨体育馆及附属用房，建筑面积为2530㎡；室外球场，面积为20451.76㎡。</w:t>
      </w:r>
    </w:p>
    <w:p>
      <w:pPr>
        <w:pStyle w:val="138"/>
        <w:spacing w:after="156"/>
        <w:rPr>
          <w:rFonts w:hint="default" w:ascii="Times New Roman" w:hAnsi="Times New Roman" w:cs="Times New Roman"/>
          <w:color w:val="auto"/>
          <w:highlight w:val="none"/>
        </w:rPr>
      </w:pPr>
      <w:bookmarkStart w:id="75" w:name="_Toc23828"/>
      <w:r>
        <w:rPr>
          <w:rFonts w:hint="default" w:ascii="Times New Roman" w:hAnsi="Times New Roman" w:cs="Times New Roman"/>
          <w:color w:val="auto"/>
          <w:highlight w:val="none"/>
        </w:rPr>
        <w:t>运营内容</w:t>
      </w:r>
      <w:bookmarkEnd w:id="74"/>
      <w:bookmarkEnd w:id="75"/>
    </w:p>
    <w:p>
      <w:pPr>
        <w:keepNext w:val="0"/>
        <w:keepLines w:val="0"/>
        <w:pageBreakBefore w:val="0"/>
        <w:widowControl w:val="0"/>
        <w:kinsoku/>
        <w:wordWrap/>
        <w:overflowPunct/>
        <w:topLinePunct w:val="0"/>
        <w:autoSpaceDE/>
        <w:autoSpaceDN/>
        <w:bidi w:val="0"/>
        <w:adjustRightInd w:val="0"/>
        <w:snapToGrid w:val="0"/>
        <w:spacing w:afterLines="0" w:line="288" w:lineRule="auto"/>
        <w:textAlignment w:val="auto"/>
        <w:rPr>
          <w:rFonts w:hint="eastAsia" w:cs="Times New Roman"/>
          <w:color w:val="auto"/>
          <w:highlight w:val="none"/>
          <w:lang w:val="en-US" w:eastAsia="zh-CN"/>
        </w:rPr>
      </w:pPr>
      <w:r>
        <w:rPr>
          <w:rFonts w:hint="default" w:ascii="Times New Roman" w:hAnsi="Times New Roman" w:cs="Times New Roman"/>
          <w:color w:val="auto"/>
          <w:highlight w:val="none"/>
        </w:rPr>
        <w:t>本项目运营内容为</w:t>
      </w:r>
      <w:r>
        <w:rPr>
          <w:rFonts w:hint="eastAsia" w:cs="Times New Roman"/>
          <w:color w:val="auto"/>
          <w:highlight w:val="none"/>
          <w:lang w:val="en-US" w:eastAsia="zh-CN"/>
        </w:rPr>
        <w:t>项目对应建设内容的运营，包括：</w:t>
      </w:r>
    </w:p>
    <w:p>
      <w:pPr>
        <w:keepNext w:val="0"/>
        <w:keepLines w:val="0"/>
        <w:pageBreakBefore w:val="0"/>
        <w:widowControl w:val="0"/>
        <w:numPr>
          <w:ilvl w:val="0"/>
          <w:numId w:val="3"/>
        </w:numPr>
        <w:kinsoku/>
        <w:wordWrap/>
        <w:overflowPunct/>
        <w:topLinePunct w:val="0"/>
        <w:autoSpaceDE/>
        <w:autoSpaceDN/>
        <w:bidi w:val="0"/>
        <w:adjustRightInd w:val="0"/>
        <w:snapToGrid w:val="0"/>
        <w:spacing w:afterLines="0" w:line="288" w:lineRule="auto"/>
        <w:textAlignment w:val="auto"/>
        <w:rPr>
          <w:rFonts w:hint="eastAsia" w:cs="Times New Roman"/>
          <w:color w:val="auto"/>
          <w:highlight w:val="none"/>
          <w:lang w:val="en-US" w:eastAsia="zh-CN"/>
        </w:rPr>
      </w:pPr>
      <w:r>
        <w:rPr>
          <w:rFonts w:hint="eastAsia" w:cs="Times New Roman"/>
          <w:color w:val="auto"/>
          <w:highlight w:val="none"/>
          <w:lang w:val="en-US" w:eastAsia="zh-CN"/>
        </w:rPr>
        <w:t>停车场的维护、修理与更新重置；负责停车场的日常运营管理。</w:t>
      </w:r>
    </w:p>
    <w:p>
      <w:pPr>
        <w:keepNext w:val="0"/>
        <w:keepLines w:val="0"/>
        <w:pageBreakBefore w:val="0"/>
        <w:widowControl w:val="0"/>
        <w:numPr>
          <w:ilvl w:val="0"/>
          <w:numId w:val="3"/>
        </w:numPr>
        <w:kinsoku/>
        <w:wordWrap/>
        <w:overflowPunct/>
        <w:topLinePunct w:val="0"/>
        <w:autoSpaceDE/>
        <w:autoSpaceDN/>
        <w:bidi w:val="0"/>
        <w:adjustRightInd w:val="0"/>
        <w:snapToGrid w:val="0"/>
        <w:spacing w:afterLines="0" w:line="288" w:lineRule="auto"/>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负责室内体育场馆的维护、修理与更新重置。负责室内体育场馆对社会开放时段的运营管理，不负责教学时段的运营管理。</w:t>
      </w:r>
    </w:p>
    <w:p>
      <w:pPr>
        <w:keepNext w:val="0"/>
        <w:keepLines w:val="0"/>
        <w:pageBreakBefore w:val="0"/>
        <w:widowControl w:val="0"/>
        <w:numPr>
          <w:ilvl w:val="0"/>
          <w:numId w:val="3"/>
        </w:numPr>
        <w:kinsoku/>
        <w:wordWrap/>
        <w:overflowPunct/>
        <w:topLinePunct w:val="0"/>
        <w:autoSpaceDE/>
        <w:autoSpaceDN/>
        <w:bidi w:val="0"/>
        <w:adjustRightInd w:val="0"/>
        <w:snapToGrid w:val="0"/>
        <w:spacing w:afterLines="0" w:line="288" w:lineRule="auto"/>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负责室外体育场地与设施的维护、修理与更新重置。不承担户外体育设施与场地使用期间，非因设施维护等项目公司原因导致的安全、运营、管理责任。</w:t>
      </w:r>
    </w:p>
    <w:p>
      <w:pPr>
        <w:pStyle w:val="137"/>
        <w:shd w:val="clear"/>
        <w:spacing w:before="312" w:after="156"/>
        <w:rPr>
          <w:rFonts w:hint="default" w:ascii="Times New Roman" w:hAnsi="Times New Roman" w:cs="Times New Roman"/>
          <w:color w:val="auto"/>
          <w:highlight w:val="none"/>
        </w:rPr>
      </w:pPr>
      <w:bookmarkStart w:id="76" w:name="_Toc22312"/>
      <w:bookmarkStart w:id="77" w:name="_Toc7158"/>
      <w:bookmarkStart w:id="78" w:name="_Toc22049"/>
      <w:bookmarkStart w:id="79" w:name="_Toc190613432"/>
      <w:bookmarkStart w:id="80" w:name="_Toc11582"/>
      <w:bookmarkStart w:id="81" w:name="_Toc104532503"/>
      <w:bookmarkStart w:id="82" w:name="_Toc16633"/>
      <w:bookmarkStart w:id="83" w:name="_Toc468"/>
      <w:bookmarkStart w:id="84" w:name="_Toc497644273"/>
      <w:bookmarkStart w:id="85" w:name="_Toc12002"/>
      <w:bookmarkStart w:id="86" w:name="_Toc1528"/>
      <w:bookmarkStart w:id="87" w:name="_Toc18015"/>
      <w:bookmarkStart w:id="88" w:name="_Toc1768587007"/>
      <w:r>
        <w:rPr>
          <w:rFonts w:hint="default" w:ascii="Times New Roman" w:hAnsi="Times New Roman" w:cs="Times New Roman"/>
          <w:color w:val="auto"/>
          <w:highlight w:val="none"/>
        </w:rPr>
        <w:t>双方权利义务</w:t>
      </w:r>
      <w:bookmarkEnd w:id="76"/>
      <w:bookmarkEnd w:id="77"/>
      <w:bookmarkEnd w:id="78"/>
      <w:bookmarkEnd w:id="79"/>
      <w:bookmarkEnd w:id="80"/>
      <w:bookmarkEnd w:id="81"/>
      <w:bookmarkEnd w:id="82"/>
      <w:bookmarkEnd w:id="83"/>
      <w:bookmarkEnd w:id="84"/>
      <w:bookmarkEnd w:id="85"/>
      <w:bookmarkEnd w:id="86"/>
      <w:bookmarkEnd w:id="87"/>
      <w:bookmarkEnd w:id="88"/>
    </w:p>
    <w:p>
      <w:pPr>
        <w:pStyle w:val="138"/>
        <w:keepNext w:val="0"/>
        <w:keepLines w:val="0"/>
        <w:pageBreakBefore w:val="0"/>
        <w:widowControl w:val="0"/>
        <w:kinsoku/>
        <w:wordWrap/>
        <w:overflowPunct/>
        <w:topLinePunct w:val="0"/>
        <w:autoSpaceDE/>
        <w:autoSpaceDN/>
        <w:bidi w:val="0"/>
        <w:adjustRightInd w:val="0"/>
        <w:snapToGrid w:val="0"/>
        <w:spacing w:after="156"/>
        <w:textAlignment w:val="auto"/>
        <w:rPr>
          <w:rFonts w:hint="default" w:ascii="Times New Roman" w:hAnsi="Times New Roman" w:cs="Times New Roman"/>
          <w:color w:val="auto"/>
          <w:highlight w:val="none"/>
        </w:rPr>
      </w:pPr>
      <w:bookmarkStart w:id="89" w:name="_Toc492306157"/>
      <w:bookmarkStart w:id="90" w:name="_Toc497644274"/>
      <w:bookmarkStart w:id="91" w:name="_Toc496963367"/>
      <w:bookmarkStart w:id="92" w:name="_Toc29071"/>
      <w:bookmarkStart w:id="93" w:name="_Toc535584838"/>
      <w:bookmarkStart w:id="94" w:name="_Toc492110880"/>
      <w:bookmarkStart w:id="95" w:name="_Toc534534941"/>
      <w:bookmarkStart w:id="96" w:name="_Toc535150357"/>
      <w:bookmarkStart w:id="97" w:name="_Toc497644441"/>
      <w:bookmarkStart w:id="98" w:name="_Toc487067521"/>
      <w:bookmarkStart w:id="99" w:name="_Toc497646398"/>
      <w:bookmarkStart w:id="100" w:name="_Toc487066985"/>
      <w:bookmarkStart w:id="101" w:name="_Toc534474017"/>
      <w:r>
        <w:rPr>
          <w:rFonts w:hint="default" w:ascii="Times New Roman" w:hAnsi="Times New Roman" w:cs="Times New Roman"/>
          <w:color w:val="auto"/>
          <w:highlight w:val="none"/>
        </w:rPr>
        <w:t>甲方已获得</w:t>
      </w:r>
      <w:r>
        <w:rPr>
          <w:rFonts w:hint="eastAsia" w:ascii="Times New Roman" w:hAnsi="Times New Roman" w:cs="Times New Roman"/>
          <w:color w:val="auto"/>
          <w:highlight w:val="none"/>
          <w:lang w:eastAsia="zh-CN"/>
        </w:rPr>
        <w:t>花都区</w:t>
      </w:r>
      <w:r>
        <w:rPr>
          <w:rFonts w:hint="default" w:ascii="Times New Roman" w:hAnsi="Times New Roman" w:cs="Times New Roman"/>
          <w:color w:val="auto"/>
          <w:highlight w:val="none"/>
        </w:rPr>
        <w:t>人民政府授权签署本协议，并有权根据</w:t>
      </w:r>
      <w:r>
        <w:rPr>
          <w:rFonts w:hint="default" w:ascii="Times New Roman" w:hAnsi="Times New Roman" w:cs="Times New Roman"/>
          <w:color w:val="auto"/>
          <w:highlight w:val="none"/>
          <w:lang w:eastAsia="zh-CN"/>
        </w:rPr>
        <w:t>法律法规</w:t>
      </w:r>
      <w:r>
        <w:rPr>
          <w:rFonts w:hint="default" w:ascii="Times New Roman" w:hAnsi="Times New Roman" w:cs="Times New Roman"/>
          <w:color w:val="auto"/>
          <w:highlight w:val="none"/>
        </w:rPr>
        <w:t>和本协议、</w:t>
      </w:r>
      <w:r>
        <w:rPr>
          <w:rFonts w:hint="default" w:ascii="Times New Roman" w:hAnsi="Times New Roman" w:cs="Times New Roman"/>
          <w:color w:val="auto"/>
          <w:highlight w:val="none"/>
          <w:lang w:val="en-US"/>
        </w:rPr>
        <w:t>特许经营协议</w:t>
      </w:r>
      <w:r>
        <w:rPr>
          <w:rFonts w:hint="default" w:ascii="Times New Roman" w:hAnsi="Times New Roman" w:cs="Times New Roman"/>
          <w:color w:val="auto"/>
          <w:highlight w:val="none"/>
        </w:rPr>
        <w:t>等有关规定监管本项目；甲方按照本协议及特许经营协议中的规定履行义务及享有相关权利。</w:t>
      </w:r>
      <w:bookmarkEnd w:id="89"/>
      <w:bookmarkEnd w:id="90"/>
      <w:bookmarkEnd w:id="91"/>
      <w:bookmarkEnd w:id="92"/>
      <w:bookmarkEnd w:id="93"/>
      <w:bookmarkEnd w:id="94"/>
      <w:bookmarkEnd w:id="95"/>
      <w:bookmarkEnd w:id="96"/>
      <w:bookmarkEnd w:id="97"/>
      <w:bookmarkEnd w:id="98"/>
      <w:bookmarkEnd w:id="99"/>
      <w:bookmarkEnd w:id="100"/>
      <w:bookmarkEnd w:id="101"/>
      <w:bookmarkStart w:id="102" w:name="_Toc535584839"/>
    </w:p>
    <w:bookmarkEnd w:id="102"/>
    <w:p>
      <w:pPr>
        <w:pStyle w:val="138"/>
        <w:spacing w:after="156"/>
        <w:rPr>
          <w:rFonts w:hint="default" w:ascii="Times New Roman" w:hAnsi="Times New Roman" w:cs="Times New Roman"/>
          <w:color w:val="auto"/>
          <w:highlight w:val="none"/>
        </w:rPr>
      </w:pPr>
      <w:bookmarkStart w:id="103" w:name="_Toc534474018"/>
      <w:bookmarkStart w:id="104" w:name="_Toc492110881"/>
      <w:bookmarkStart w:id="105" w:name="_Toc497644442"/>
      <w:bookmarkStart w:id="106" w:name="_Toc534534942"/>
      <w:bookmarkStart w:id="107" w:name="_Toc31984"/>
      <w:bookmarkStart w:id="108" w:name="_Toc497644275"/>
      <w:bookmarkStart w:id="109" w:name="_Toc497646399"/>
      <w:bookmarkStart w:id="110" w:name="_Toc492306158"/>
      <w:bookmarkStart w:id="111" w:name="_Toc496963368"/>
      <w:bookmarkStart w:id="112" w:name="_Toc487066986"/>
      <w:bookmarkStart w:id="113" w:name="_Toc535150358"/>
      <w:bookmarkStart w:id="114" w:name="_Toc487067522"/>
      <w:bookmarkStart w:id="115" w:name="_Toc535584840"/>
      <w:r>
        <w:rPr>
          <w:rFonts w:hint="default" w:ascii="Times New Roman" w:hAnsi="Times New Roman" w:cs="Times New Roman"/>
          <w:color w:val="auto"/>
          <w:highlight w:val="none"/>
        </w:rPr>
        <w:t>乙方（</w:t>
      </w:r>
      <w:r>
        <w:rPr>
          <w:rFonts w:hint="default" w:ascii="Times New Roman" w:hAnsi="Times New Roman" w:cs="Times New Roman"/>
          <w:color w:val="auto"/>
          <w:highlight w:val="none"/>
          <w:lang w:val="en-US"/>
        </w:rPr>
        <w:t>及设立的项目公司</w:t>
      </w:r>
      <w:r>
        <w:rPr>
          <w:rFonts w:hint="default" w:ascii="Times New Roman" w:hAnsi="Times New Roman" w:cs="Times New Roman"/>
          <w:color w:val="auto"/>
          <w:highlight w:val="none"/>
        </w:rPr>
        <w:t>）保证按照本协议约定对项目的资金筹措、</w:t>
      </w:r>
      <w:r>
        <w:rPr>
          <w:rFonts w:hint="default" w:ascii="Times New Roman" w:hAnsi="Times New Roman" w:cs="Times New Roman"/>
          <w:color w:val="auto"/>
          <w:highlight w:val="none"/>
          <w:lang w:val="en-US" w:eastAsia="zh-CN"/>
        </w:rPr>
        <w:t>勘察设计、</w:t>
      </w:r>
      <w:r>
        <w:rPr>
          <w:rFonts w:hint="default" w:ascii="Times New Roman" w:hAnsi="Times New Roman" w:cs="Times New Roman"/>
          <w:color w:val="auto"/>
          <w:highlight w:val="none"/>
        </w:rPr>
        <w:t>建设实施、运营管理</w:t>
      </w:r>
      <w:r>
        <w:rPr>
          <w:rFonts w:hint="default" w:ascii="Times New Roman" w:hAnsi="Times New Roman" w:cs="Times New Roman"/>
          <w:color w:val="auto"/>
          <w:highlight w:val="none"/>
          <w:lang w:val="en-US"/>
        </w:rPr>
        <w:t>和移交</w:t>
      </w:r>
      <w:r>
        <w:rPr>
          <w:rFonts w:hint="default" w:ascii="Times New Roman" w:hAnsi="Times New Roman" w:cs="Times New Roman"/>
          <w:color w:val="auto"/>
          <w:highlight w:val="none"/>
        </w:rPr>
        <w:t>等全过程负责；乙方（</w:t>
      </w:r>
      <w:r>
        <w:rPr>
          <w:rFonts w:hint="default" w:ascii="Times New Roman" w:hAnsi="Times New Roman" w:cs="Times New Roman"/>
          <w:color w:val="auto"/>
          <w:highlight w:val="none"/>
          <w:lang w:val="en-US"/>
        </w:rPr>
        <w:t>及设立的项目公司</w:t>
      </w:r>
      <w:r>
        <w:rPr>
          <w:rFonts w:hint="default" w:ascii="Times New Roman" w:hAnsi="Times New Roman" w:cs="Times New Roman"/>
          <w:color w:val="auto"/>
          <w:highlight w:val="none"/>
        </w:rPr>
        <w:t>）承诺按本协议的约定提交各种履约担保；乙方（</w:t>
      </w:r>
      <w:r>
        <w:rPr>
          <w:rFonts w:hint="default" w:ascii="Times New Roman" w:hAnsi="Times New Roman" w:cs="Times New Roman"/>
          <w:color w:val="auto"/>
          <w:highlight w:val="none"/>
          <w:lang w:val="en-US"/>
        </w:rPr>
        <w:t>及设立的项目公司</w:t>
      </w:r>
      <w:r>
        <w:rPr>
          <w:rFonts w:hint="default" w:ascii="Times New Roman" w:hAnsi="Times New Roman" w:cs="Times New Roman"/>
          <w:color w:val="auto"/>
          <w:highlight w:val="none"/>
        </w:rPr>
        <w:t>）承诺遵守甲方所制定的针对本项目管理的各项制度、规定和要求</w:t>
      </w:r>
      <w:r>
        <w:rPr>
          <w:rFonts w:hint="default" w:ascii="Times New Roman" w:hAnsi="Times New Roman" w:cs="Times New Roman"/>
          <w:color w:val="auto"/>
          <w:highlight w:val="none"/>
          <w:lang w:eastAsia="zh"/>
        </w:rPr>
        <w:t>；乙方享有项目公司股东的权利</w:t>
      </w:r>
      <w:r>
        <w:rPr>
          <w:rFonts w:hint="default" w:ascii="Times New Roman" w:hAnsi="Times New Roman" w:cs="Times New Roman"/>
          <w:color w:val="auto"/>
          <w:highlight w:val="none"/>
        </w:rPr>
        <w:t>。</w:t>
      </w:r>
      <w:bookmarkEnd w:id="103"/>
      <w:bookmarkEnd w:id="104"/>
      <w:bookmarkEnd w:id="105"/>
      <w:bookmarkEnd w:id="106"/>
      <w:bookmarkEnd w:id="107"/>
      <w:bookmarkEnd w:id="108"/>
      <w:bookmarkEnd w:id="109"/>
      <w:bookmarkEnd w:id="110"/>
      <w:bookmarkEnd w:id="111"/>
      <w:bookmarkEnd w:id="112"/>
      <w:bookmarkEnd w:id="113"/>
      <w:bookmarkEnd w:id="114"/>
      <w:bookmarkEnd w:id="115"/>
    </w:p>
    <w:p>
      <w:pPr>
        <w:pStyle w:val="138"/>
        <w:spacing w:after="156"/>
        <w:rPr>
          <w:rFonts w:hint="default" w:ascii="Times New Roman" w:hAnsi="Times New Roman" w:cs="Times New Roman"/>
          <w:color w:val="auto"/>
          <w:highlight w:val="none"/>
        </w:rPr>
      </w:pPr>
      <w:bookmarkStart w:id="116" w:name="_Toc11662"/>
      <w:bookmarkStart w:id="117" w:name="_Toc535150245"/>
      <w:bookmarkStart w:id="118" w:name="_Toc535584842"/>
      <w:bookmarkStart w:id="119" w:name="_Toc497646401"/>
      <w:bookmarkStart w:id="120" w:name="_Toc492306160"/>
      <w:bookmarkStart w:id="121" w:name="_Toc492110883"/>
      <w:bookmarkStart w:id="122" w:name="_Toc497644444"/>
      <w:bookmarkStart w:id="123" w:name="_Toc496963370"/>
      <w:bookmarkStart w:id="124" w:name="_Toc534474020"/>
      <w:bookmarkStart w:id="125" w:name="_Toc534534944"/>
      <w:bookmarkStart w:id="126" w:name="_Toc497644277"/>
      <w:bookmarkStart w:id="127" w:name="_Toc487067524"/>
      <w:bookmarkStart w:id="128" w:name="_Toc487066988"/>
      <w:bookmarkStart w:id="129" w:name="_Toc535150360"/>
      <w:r>
        <w:rPr>
          <w:rFonts w:hint="default" w:ascii="Times New Roman" w:hAnsi="Times New Roman" w:cs="Times New Roman"/>
          <w:color w:val="auto"/>
          <w:highlight w:val="none"/>
        </w:rPr>
        <w:t>项目公司签署《</w:t>
      </w:r>
      <w:r>
        <w:rPr>
          <w:rFonts w:hint="eastAsia" w:ascii="Times New Roman" w:hAnsi="Times New Roman" w:cs="Times New Roman"/>
          <w:color w:val="auto"/>
          <w:highlight w:val="none"/>
          <w:lang w:eastAsia="zh-CN"/>
        </w:rPr>
        <w:t>花都区新华街云山运动场改造（停车场）</w:t>
      </w:r>
      <w:r>
        <w:rPr>
          <w:rFonts w:hint="default" w:ascii="Times New Roman" w:hAnsi="Times New Roman" w:cs="Times New Roman"/>
          <w:color w:val="auto"/>
          <w:highlight w:val="none"/>
        </w:rPr>
        <w:t>项目特许经营协议》后承接履行项目投资、建设、运营维护</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移交</w:t>
      </w:r>
      <w:r>
        <w:rPr>
          <w:rFonts w:hint="default" w:ascii="Times New Roman" w:hAnsi="Times New Roman" w:cs="Times New Roman"/>
          <w:color w:val="auto"/>
          <w:highlight w:val="none"/>
        </w:rPr>
        <w:t>等合同责任，</w:t>
      </w:r>
      <w:r>
        <w:rPr>
          <w:rFonts w:hint="default" w:ascii="Times New Roman" w:hAnsi="Times New Roman" w:cs="Times New Roman"/>
          <w:color w:val="auto"/>
          <w:highlight w:val="none"/>
          <w:lang w:val="en-US"/>
        </w:rPr>
        <w:t>项目公司不履行有关责任义务的，甲方有权追责乙方</w:t>
      </w:r>
      <w:r>
        <w:rPr>
          <w:rFonts w:hint="default" w:ascii="Times New Roman" w:hAnsi="Times New Roman" w:cs="Times New Roman"/>
          <w:color w:val="auto"/>
          <w:highlight w:val="none"/>
        </w:rPr>
        <w:t>承担连带责任。</w:t>
      </w:r>
      <w:bookmarkEnd w:id="116"/>
      <w:bookmarkEnd w:id="117"/>
      <w:bookmarkEnd w:id="118"/>
      <w:r>
        <w:rPr>
          <w:rFonts w:hint="default" w:ascii="Times New Roman" w:hAnsi="Times New Roman" w:cs="Times New Roman"/>
          <w:color w:val="auto"/>
          <w:highlight w:val="none"/>
          <w:lang w:val="en-US" w:eastAsia="zh-CN"/>
        </w:rPr>
        <w:t>为</w:t>
      </w:r>
      <w:r>
        <w:rPr>
          <w:rFonts w:hint="default" w:ascii="Times New Roman" w:hAnsi="Times New Roman" w:cs="Times New Roman"/>
          <w:color w:val="auto"/>
          <w:highlight w:val="none"/>
        </w:rPr>
        <w:t>保障项目公司具备足够的特许经营协议履约能力</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乙方有</w:t>
      </w:r>
      <w:r>
        <w:rPr>
          <w:rFonts w:hint="default" w:ascii="Times New Roman" w:hAnsi="Times New Roman" w:cs="Times New Roman"/>
          <w:color w:val="auto"/>
          <w:highlight w:val="none"/>
        </w:rPr>
        <w:t>提供必要的人力、技术、经验、资金等资源支持的义务</w:t>
      </w:r>
      <w:r>
        <w:rPr>
          <w:rFonts w:hint="default" w:ascii="Times New Roman" w:hAnsi="Times New Roman" w:cs="Times New Roman"/>
          <w:color w:val="auto"/>
          <w:highlight w:val="none"/>
          <w:lang w:eastAsia="zh-CN"/>
        </w:rPr>
        <w:t>。</w:t>
      </w:r>
    </w:p>
    <w:bookmarkEnd w:id="119"/>
    <w:bookmarkEnd w:id="120"/>
    <w:bookmarkEnd w:id="121"/>
    <w:bookmarkEnd w:id="122"/>
    <w:bookmarkEnd w:id="123"/>
    <w:bookmarkEnd w:id="124"/>
    <w:bookmarkEnd w:id="125"/>
    <w:bookmarkEnd w:id="126"/>
    <w:bookmarkEnd w:id="127"/>
    <w:bookmarkEnd w:id="128"/>
    <w:bookmarkEnd w:id="129"/>
    <w:p>
      <w:pPr>
        <w:pStyle w:val="138"/>
        <w:spacing w:after="156"/>
        <w:rPr>
          <w:rFonts w:hint="default" w:ascii="Times New Roman" w:hAnsi="Times New Roman" w:cs="Times New Roman"/>
          <w:color w:val="auto"/>
          <w:highlight w:val="none"/>
        </w:rPr>
      </w:pPr>
      <w:bookmarkStart w:id="130" w:name="_Toc25823"/>
      <w:r>
        <w:rPr>
          <w:rFonts w:hint="default" w:ascii="Times New Roman" w:hAnsi="Times New Roman" w:cs="Times New Roman"/>
          <w:color w:val="auto"/>
          <w:highlight w:val="none"/>
        </w:rPr>
        <w:t>乙方保证：乙方各成员与项目公司签订的施工</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勘察</w:t>
      </w:r>
      <w:r>
        <w:rPr>
          <w:rFonts w:hint="default" w:ascii="Times New Roman" w:hAnsi="Times New Roman" w:cs="Times New Roman"/>
          <w:color w:val="auto"/>
          <w:highlight w:val="none"/>
        </w:rPr>
        <w:t>、设计等</w:t>
      </w:r>
      <w:r>
        <w:rPr>
          <w:rFonts w:hint="default" w:ascii="Times New Roman" w:hAnsi="Times New Roman" w:cs="Times New Roman"/>
          <w:color w:val="auto"/>
          <w:highlight w:val="none"/>
          <w:lang w:val="en-US" w:eastAsia="zh-CN"/>
        </w:rPr>
        <w:t>合同</w:t>
      </w:r>
      <w:r>
        <w:rPr>
          <w:rFonts w:hint="default" w:ascii="Times New Roman" w:hAnsi="Times New Roman" w:cs="Times New Roman"/>
          <w:color w:val="auto"/>
          <w:highlight w:val="none"/>
        </w:rPr>
        <w:t>应遵循</w:t>
      </w:r>
      <w:r>
        <w:rPr>
          <w:rFonts w:hint="default" w:ascii="Times New Roman" w:hAnsi="Times New Roman" w:cs="Times New Roman"/>
          <w:color w:val="auto"/>
          <w:highlight w:val="none"/>
          <w:lang w:val="en-US" w:eastAsia="zh-CN"/>
        </w:rPr>
        <w:t>法律法规</w:t>
      </w:r>
      <w:r>
        <w:rPr>
          <w:rFonts w:hint="default" w:ascii="Times New Roman" w:hAnsi="Times New Roman" w:cs="Times New Roman"/>
          <w:color w:val="auto"/>
          <w:highlight w:val="none"/>
        </w:rPr>
        <w:t>，同时应</w:t>
      </w:r>
      <w:r>
        <w:rPr>
          <w:rFonts w:hint="default" w:ascii="Times New Roman" w:hAnsi="Times New Roman" w:cs="Times New Roman"/>
          <w:color w:val="auto"/>
          <w:highlight w:val="none"/>
          <w:lang w:val="en-US" w:eastAsia="zh-CN"/>
        </w:rPr>
        <w:t>优先采用</w:t>
      </w:r>
      <w:r>
        <w:rPr>
          <w:rFonts w:hint="eastAsia" w:ascii="Times New Roman" w:hAnsi="Times New Roman" w:cs="Times New Roman"/>
          <w:color w:val="auto"/>
          <w:highlight w:val="none"/>
          <w:lang w:val="en-US" w:eastAsia="zh-CN"/>
        </w:rPr>
        <w:t>花都区</w:t>
      </w:r>
      <w:r>
        <w:rPr>
          <w:rFonts w:hint="default" w:ascii="Times New Roman" w:hAnsi="Times New Roman" w:cs="Times New Roman"/>
          <w:color w:val="auto"/>
          <w:highlight w:val="none"/>
          <w:lang w:val="en-US" w:eastAsia="zh-CN"/>
        </w:rPr>
        <w:t>合同范本</w:t>
      </w:r>
      <w:r>
        <w:rPr>
          <w:rFonts w:hint="default" w:ascii="Times New Roman" w:hAnsi="Times New Roman" w:cs="Times New Roman"/>
          <w:color w:val="auto"/>
          <w:highlight w:val="none"/>
        </w:rPr>
        <w:t>。甲方有权自行或委托相关单位对项目公司与乙方各成员签订的合同进行审查，有权要求乙方就此类合同与特许经营协议或本协议相冲突的条款进行修改</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对于特许经营协议及本协议中未约定的条款，甲方有权</w:t>
      </w:r>
      <w:r>
        <w:rPr>
          <w:rFonts w:hint="default" w:ascii="Times New Roman" w:hAnsi="Times New Roman" w:cs="Times New Roman"/>
          <w:color w:val="auto"/>
          <w:highlight w:val="none"/>
          <w:lang w:val="en-US" w:eastAsia="zh-CN"/>
        </w:rPr>
        <w:t>要求</w:t>
      </w:r>
      <w:r>
        <w:rPr>
          <w:rFonts w:hint="default" w:ascii="Times New Roman" w:hAnsi="Times New Roman" w:cs="Times New Roman"/>
          <w:color w:val="auto"/>
          <w:highlight w:val="none"/>
        </w:rPr>
        <w:t>项目公司采用或参考</w:t>
      </w:r>
      <w:r>
        <w:rPr>
          <w:rFonts w:hint="eastAsia" w:ascii="Times New Roman" w:hAnsi="Times New Roman" w:cs="Times New Roman"/>
          <w:color w:val="auto"/>
          <w:highlight w:val="none"/>
          <w:lang w:eastAsia="zh-CN"/>
        </w:rPr>
        <w:t>花都区</w:t>
      </w:r>
      <w:r>
        <w:rPr>
          <w:rFonts w:hint="default" w:ascii="Times New Roman" w:hAnsi="Times New Roman" w:cs="Times New Roman"/>
          <w:color w:val="auto"/>
          <w:highlight w:val="none"/>
        </w:rPr>
        <w:t>类似的合同文本或条款。</w:t>
      </w:r>
      <w:bookmarkEnd w:id="130"/>
    </w:p>
    <w:p>
      <w:pPr>
        <w:pStyle w:val="138"/>
        <w:spacing w:after="156"/>
        <w:rPr>
          <w:rFonts w:hint="default" w:ascii="Times New Roman" w:hAnsi="Times New Roman" w:cs="Times New Roman"/>
          <w:color w:val="auto"/>
          <w:highlight w:val="none"/>
        </w:rPr>
      </w:pPr>
      <w:bookmarkStart w:id="131" w:name="_Toc24347"/>
      <w:r>
        <w:rPr>
          <w:rFonts w:hint="default" w:ascii="Times New Roman" w:hAnsi="Times New Roman" w:cs="Times New Roman"/>
          <w:color w:val="auto"/>
          <w:highlight w:val="none"/>
        </w:rPr>
        <w:t>依据特许经营协议约定，因</w:t>
      </w:r>
      <w:r>
        <w:rPr>
          <w:rFonts w:hint="default" w:ascii="Times New Roman" w:hAnsi="Times New Roman" w:cs="Times New Roman"/>
          <w:color w:val="auto"/>
          <w:highlight w:val="none"/>
          <w:lang w:val="en-US" w:eastAsia="zh-CN"/>
        </w:rPr>
        <w:t>项目公司</w:t>
      </w:r>
      <w:r>
        <w:rPr>
          <w:rFonts w:hint="default" w:ascii="Times New Roman" w:hAnsi="Times New Roman" w:cs="Times New Roman"/>
          <w:color w:val="auto"/>
          <w:highlight w:val="none"/>
        </w:rPr>
        <w:t>合同违约或其他不可抗力导致该合同提前解除的，或项目公司提前退出本项目、提前终止</w:t>
      </w:r>
      <w:r>
        <w:rPr>
          <w:rFonts w:hint="default" w:ascii="Times New Roman" w:hAnsi="Times New Roman" w:cs="Times New Roman"/>
          <w:color w:val="auto"/>
          <w:highlight w:val="none"/>
          <w:lang w:val="en-US" w:eastAsia="zh-CN"/>
        </w:rPr>
        <w:t>合同</w:t>
      </w:r>
      <w:r>
        <w:rPr>
          <w:rFonts w:hint="default" w:ascii="Times New Roman" w:hAnsi="Times New Roman" w:cs="Times New Roman"/>
          <w:color w:val="auto"/>
          <w:highlight w:val="none"/>
        </w:rPr>
        <w:t>的</w:t>
      </w:r>
      <w:r>
        <w:rPr>
          <w:rFonts w:hint="default" w:ascii="Times New Roman" w:hAnsi="Times New Roman" w:cs="Times New Roman"/>
          <w:color w:val="auto"/>
          <w:highlight w:val="none"/>
          <w:lang w:val="en-US" w:eastAsia="zh-CN"/>
        </w:rPr>
        <w:t>情形</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乙方自</w:t>
      </w:r>
      <w:r>
        <w:rPr>
          <w:rFonts w:hint="default" w:ascii="Times New Roman" w:hAnsi="Times New Roman" w:cs="Times New Roman"/>
          <w:color w:val="auto"/>
          <w:highlight w:val="none"/>
          <w:lang w:val="en-US"/>
        </w:rPr>
        <w:t>特许经营协议</w:t>
      </w:r>
      <w:r>
        <w:rPr>
          <w:rFonts w:hint="default" w:ascii="Times New Roman" w:hAnsi="Times New Roman" w:cs="Times New Roman"/>
          <w:color w:val="auto"/>
          <w:highlight w:val="none"/>
        </w:rPr>
        <w:t>终止或解除之日起一（1）年后方可进行项目公司清算</w:t>
      </w:r>
      <w:r>
        <w:rPr>
          <w:rFonts w:hint="default" w:ascii="Times New Roman" w:hAnsi="Times New Roman" w:cs="Times New Roman"/>
          <w:color w:val="auto"/>
          <w:highlight w:val="none"/>
          <w:lang w:val="en-US" w:eastAsia="zh-CN"/>
        </w:rPr>
        <w:t>和</w:t>
      </w:r>
      <w:r>
        <w:rPr>
          <w:rFonts w:hint="default" w:ascii="Times New Roman" w:hAnsi="Times New Roman" w:cs="Times New Roman"/>
          <w:color w:val="auto"/>
          <w:highlight w:val="none"/>
        </w:rPr>
        <w:t>股权变动。</w:t>
      </w:r>
      <w:bookmarkEnd w:id="131"/>
    </w:p>
    <w:p>
      <w:pPr>
        <w:pStyle w:val="138"/>
        <w:spacing w:after="156"/>
        <w:rPr>
          <w:rFonts w:hint="default" w:ascii="Times New Roman" w:hAnsi="Times New Roman" w:cs="Times New Roman"/>
          <w:color w:val="auto"/>
          <w:highlight w:val="none"/>
        </w:rPr>
      </w:pPr>
      <w:bookmarkStart w:id="132" w:name="_Toc24105"/>
      <w:bookmarkStart w:id="133" w:name="_Toc12003"/>
      <w:bookmarkStart w:id="134" w:name="_Toc2270"/>
      <w:bookmarkStart w:id="135" w:name="_Toc13032"/>
      <w:bookmarkStart w:id="136" w:name="OLE_LINK1"/>
      <w:r>
        <w:rPr>
          <w:rFonts w:hint="default" w:ascii="Times New Roman" w:hAnsi="Times New Roman" w:eastAsia="宋体" w:cs="Times New Roman"/>
          <w:color w:val="auto"/>
          <w:highlight w:val="none"/>
          <w:lang w:val="en-US"/>
        </w:rPr>
        <w:t>对乙方</w:t>
      </w:r>
      <w:r>
        <w:rPr>
          <w:rFonts w:hint="default" w:ascii="Times New Roman" w:hAnsi="Times New Roman" w:eastAsia="宋体" w:cs="Times New Roman"/>
          <w:color w:val="auto"/>
          <w:highlight w:val="none"/>
          <w:lang w:val="en-US" w:eastAsia="zh-CN"/>
        </w:rPr>
        <w:t>在项目公司中的</w:t>
      </w:r>
      <w:r>
        <w:rPr>
          <w:rFonts w:hint="default" w:ascii="Times New Roman" w:hAnsi="Times New Roman" w:eastAsia="宋体" w:cs="Times New Roman"/>
          <w:color w:val="auto"/>
          <w:highlight w:val="none"/>
          <w:lang w:val="en-US"/>
        </w:rPr>
        <w:t>股权限制</w:t>
      </w:r>
      <w:bookmarkEnd w:id="132"/>
      <w:bookmarkEnd w:id="133"/>
      <w:bookmarkEnd w:id="134"/>
      <w:bookmarkEnd w:id="135"/>
      <w:r>
        <w:rPr>
          <w:rFonts w:hint="default" w:ascii="Times New Roman" w:hAnsi="Times New Roman" w:eastAsia="宋体" w:cs="Times New Roman"/>
          <w:color w:val="auto"/>
          <w:highlight w:val="none"/>
          <w:lang w:val="en-US" w:eastAsia="zh-CN"/>
        </w:rPr>
        <w:t>。</w:t>
      </w:r>
      <w:r>
        <w:rPr>
          <w:rFonts w:hint="default" w:ascii="Times New Roman" w:hAnsi="Times New Roman" w:eastAsia="宋体" w:cs="Times New Roman"/>
          <w:color w:val="auto"/>
          <w:highlight w:val="none"/>
          <w:lang w:val="en-US" w:eastAsia="zh"/>
        </w:rPr>
        <w:t>项目公司设立之日</w:t>
      </w:r>
      <w:r>
        <w:rPr>
          <w:rFonts w:hint="default" w:ascii="Times New Roman" w:hAnsi="Times New Roman" w:eastAsia="宋体" w:cs="Times New Roman"/>
          <w:color w:val="auto"/>
          <w:highlight w:val="none"/>
          <w:lang w:val="en-US"/>
        </w:rPr>
        <w:t>起【</w:t>
      </w:r>
      <w:r>
        <w:rPr>
          <w:rFonts w:hint="eastAsia" w:ascii="Times New Roman" w:hAnsi="Times New Roman" w:cs="Times New Roman"/>
          <w:color w:val="auto"/>
          <w:highlight w:val="none"/>
          <w:lang w:val="en-US" w:eastAsia="zh-CN"/>
        </w:rPr>
        <w:t>5</w:t>
      </w:r>
      <w:r>
        <w:rPr>
          <w:rFonts w:hint="default" w:ascii="Times New Roman" w:hAnsi="Times New Roman" w:eastAsia="宋体" w:cs="Times New Roman"/>
          <w:color w:val="auto"/>
          <w:highlight w:val="none"/>
          <w:lang w:val="en-US"/>
        </w:rPr>
        <w:t>】年内，未经甲方同意，乙方持有的项目公司股权不得发生任何形式的转让、变相转让或权利处置，包括但不限于乙方及其关联方之间相互转让股权（关联方包括但不限于乙方的控股股东、实际控制人、控股子公司、受同一实际控制人控制的其他企业及其他具有关联关系的主体）、乙方对外转让股权或者通过股权质押等其他方式实质转移股权控制权。</w:t>
      </w:r>
      <w:r>
        <w:rPr>
          <w:rFonts w:hint="default" w:ascii="Times New Roman" w:hAnsi="Times New Roman" w:eastAsia="宋体" w:cs="Times New Roman"/>
          <w:color w:val="auto"/>
          <w:highlight w:val="none"/>
          <w:lang w:val="en-US" w:eastAsia="zh"/>
        </w:rPr>
        <w:t>否则甲方有权依据特许经营协议进行违约处罚或提取</w:t>
      </w:r>
      <w:r>
        <w:rPr>
          <w:rFonts w:hint="eastAsia" w:ascii="Times New Roman" w:hAnsi="Times New Roman" w:cs="Times New Roman"/>
          <w:color w:val="auto"/>
          <w:highlight w:val="none"/>
          <w:lang w:val="en-US" w:eastAsia="zh-CN"/>
        </w:rPr>
        <w:t>保证金</w:t>
      </w:r>
      <w:r>
        <w:rPr>
          <w:rFonts w:hint="default" w:ascii="Times New Roman" w:hAnsi="Times New Roman" w:eastAsia="宋体" w:cs="Times New Roman"/>
          <w:color w:val="auto"/>
          <w:highlight w:val="none"/>
          <w:lang w:val="en-US" w:eastAsia="zh"/>
        </w:rPr>
        <w:t>。</w:t>
      </w:r>
      <w:bookmarkEnd w:id="136"/>
    </w:p>
    <w:p>
      <w:pPr>
        <w:pStyle w:val="138"/>
        <w:spacing w:after="156"/>
        <w:rPr>
          <w:rFonts w:hint="default" w:ascii="Times New Roman" w:hAnsi="Times New Roman" w:cs="Times New Roman"/>
          <w:color w:val="auto"/>
          <w:highlight w:val="none"/>
        </w:rPr>
      </w:pPr>
      <w:r>
        <w:rPr>
          <w:rFonts w:hint="eastAsia" w:ascii="Segoe UI" w:hAnsi="Segoe UI" w:eastAsia="宋体" w:cs="Segoe UI"/>
          <w:i w:val="0"/>
          <w:iCs w:val="0"/>
          <w:caps w:val="0"/>
          <w:spacing w:val="0"/>
          <w:sz w:val="24"/>
          <w:szCs w:val="24"/>
          <w:shd w:val="clear" w:fill="FFFFFF"/>
          <w:lang w:val="en-US" w:eastAsia="zh-CN"/>
        </w:rPr>
        <w:t>特许经营期内</w:t>
      </w:r>
      <w:r>
        <w:rPr>
          <w:rFonts w:ascii="Segoe UI" w:hAnsi="Segoe UI" w:eastAsia="Segoe UI" w:cs="Segoe UI"/>
          <w:i w:val="0"/>
          <w:iCs w:val="0"/>
          <w:caps w:val="0"/>
          <w:spacing w:val="0"/>
          <w:sz w:val="24"/>
          <w:szCs w:val="24"/>
          <w:shd w:val="clear" w:fill="FFFFFF"/>
        </w:rPr>
        <w:t>，若国家监管部门针对特许经营的审核要求发生调整，乙方需无条件配合甲方对本协议相关内容进行修改。</w:t>
      </w:r>
    </w:p>
    <w:p>
      <w:pPr>
        <w:pStyle w:val="137"/>
        <w:shd w:val="clear"/>
        <w:spacing w:before="312" w:after="156"/>
        <w:rPr>
          <w:rFonts w:hint="default" w:ascii="Times New Roman" w:hAnsi="Times New Roman" w:cs="Times New Roman"/>
          <w:color w:val="auto"/>
          <w:highlight w:val="none"/>
        </w:rPr>
      </w:pPr>
      <w:bookmarkStart w:id="137" w:name="_Toc29352"/>
      <w:bookmarkStart w:id="138" w:name="_Toc24074"/>
      <w:bookmarkStart w:id="139" w:name="_Toc190613433"/>
      <w:bookmarkStart w:id="140" w:name="_Toc9167"/>
      <w:bookmarkStart w:id="141" w:name="_Ref10333"/>
      <w:bookmarkStart w:id="142" w:name="_Toc21810"/>
      <w:bookmarkStart w:id="143" w:name="_Toc12446"/>
      <w:bookmarkStart w:id="144" w:name="_Toc1320668522"/>
      <w:bookmarkStart w:id="145" w:name="_Toc3101"/>
      <w:bookmarkStart w:id="146" w:name="_Ref10310"/>
      <w:bookmarkStart w:id="147" w:name="_Toc26473"/>
      <w:bookmarkStart w:id="148" w:name="_Toc1107"/>
      <w:bookmarkStart w:id="149" w:name="_Toc236154675"/>
      <w:bookmarkStart w:id="150" w:name="_Toc23756"/>
      <w:r>
        <w:rPr>
          <w:rFonts w:hint="default" w:ascii="Times New Roman" w:hAnsi="Times New Roman" w:cs="Times New Roman"/>
          <w:color w:val="auto"/>
          <w:highlight w:val="none"/>
        </w:rPr>
        <w:t>协议签订安排</w:t>
      </w:r>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pPr>
        <w:spacing w:after="156" w:line="24" w:lineRule="atLeast"/>
        <w:rPr>
          <w:rFonts w:hint="default" w:ascii="Times New Roman" w:hAnsi="Times New Roman" w:cs="Times New Roman"/>
          <w:color w:val="auto"/>
          <w:kern w:val="0"/>
          <w:highlight w:val="none"/>
        </w:rPr>
      </w:pPr>
      <w:r>
        <w:rPr>
          <w:rFonts w:hint="default" w:ascii="Times New Roman" w:hAnsi="Times New Roman" w:cs="Times New Roman"/>
          <w:color w:val="auto"/>
          <w:kern w:val="0"/>
          <w:highlight w:val="none"/>
        </w:rPr>
        <w:t>本项目由特许经营者组建特许经营项目公司，政府方不出资入股。有关协议签订安排如下：</w:t>
      </w:r>
    </w:p>
    <w:p>
      <w:pPr>
        <w:numPr>
          <w:ilvl w:val="0"/>
          <w:numId w:val="4"/>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根据《中华人民共和国招标投标法</w:t>
      </w:r>
      <w:r>
        <w:rPr>
          <w:rFonts w:hint="default" w:ascii="Times New Roman" w:hAnsi="Times New Roman" w:cs="Times New Roman"/>
          <w:color w:val="auto"/>
          <w:highlight w:val="none"/>
          <w:lang w:eastAsia="zh-CN"/>
        </w:rPr>
        <w:t>》的</w:t>
      </w:r>
      <w:r>
        <w:rPr>
          <w:rFonts w:hint="default" w:ascii="Times New Roman" w:hAnsi="Times New Roman" w:cs="Times New Roman"/>
          <w:color w:val="auto"/>
          <w:highlight w:val="none"/>
        </w:rPr>
        <w:t>规定，甲方和乙方应当自中标通知书发出之日起三十日内签订本协议。因乙方原因未及时签订本协议的，甲方有权取消乙方中标资格，并依据招投标有关规定对乙方进行处罚。</w:t>
      </w:r>
    </w:p>
    <w:p>
      <w:pPr>
        <w:numPr>
          <w:ilvl w:val="0"/>
          <w:numId w:val="4"/>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乙方须在本协议</w:t>
      </w:r>
      <w:r>
        <w:rPr>
          <w:rFonts w:hint="default" w:ascii="Times New Roman" w:hAnsi="Times New Roman" w:cs="Times New Roman"/>
          <w:color w:val="auto"/>
          <w:highlight w:val="none"/>
          <w:lang w:val="en-US" w:eastAsia="zh-CN"/>
        </w:rPr>
        <w:t>生效之日</w:t>
      </w:r>
      <w:r>
        <w:rPr>
          <w:rFonts w:hint="default" w:ascii="Times New Roman" w:hAnsi="Times New Roman" w:cs="Times New Roman"/>
          <w:color w:val="auto"/>
          <w:highlight w:val="none"/>
          <w:lang w:val="en-US" w:eastAsia="zh"/>
        </w:rPr>
        <w:t>起</w:t>
      </w:r>
      <w:r>
        <w:rPr>
          <w:rFonts w:hint="default" w:ascii="Times New Roman" w:hAnsi="Times New Roman" w:cs="Times New Roman"/>
          <w:color w:val="auto"/>
          <w:highlight w:val="none"/>
        </w:rPr>
        <w:t>【20】天内</w:t>
      </w:r>
      <w:r>
        <w:rPr>
          <w:rFonts w:hint="default" w:ascii="Times New Roman" w:hAnsi="Times New Roman" w:cs="Times New Roman"/>
          <w:color w:val="auto"/>
          <w:highlight w:val="none"/>
          <w:lang w:val="en-US" w:eastAsia="zh-CN"/>
        </w:rPr>
        <w:t>在广州市</w:t>
      </w:r>
      <w:r>
        <w:rPr>
          <w:rFonts w:hint="eastAsia" w:cs="Times New Roman"/>
          <w:color w:val="auto"/>
          <w:highlight w:val="none"/>
          <w:lang w:val="en-US" w:eastAsia="zh-CN"/>
        </w:rPr>
        <w:t>花都区</w:t>
      </w:r>
      <w:r>
        <w:rPr>
          <w:rFonts w:hint="default" w:ascii="Times New Roman" w:hAnsi="Times New Roman" w:cs="Times New Roman"/>
          <w:color w:val="auto"/>
          <w:highlight w:val="none"/>
        </w:rPr>
        <w:t>完成项目公司的设立程序，包括但不限于签订合资协议、公司章程、工商注册。鉴于本项目政府方不出资入股、项目公司股东为乙方，因此具体合资协议、公司章程由乙方自行依法合规签订，</w:t>
      </w:r>
      <w:r>
        <w:rPr>
          <w:rFonts w:hint="default" w:ascii="Times New Roman" w:hAnsi="Times New Roman" w:cs="Times New Roman"/>
          <w:color w:val="auto"/>
          <w:highlight w:val="none"/>
          <w:lang w:val="en-US" w:eastAsia="zh-CN"/>
        </w:rPr>
        <w:t>但</w:t>
      </w:r>
      <w:r>
        <w:rPr>
          <w:rFonts w:hint="default" w:ascii="Times New Roman" w:hAnsi="Times New Roman" w:cs="Times New Roman"/>
          <w:color w:val="auto"/>
          <w:highlight w:val="none"/>
        </w:rPr>
        <w:t>有关合同约定不得与本协议、特许经营协议冲突</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合资协议必须</w:t>
      </w:r>
      <w:r>
        <w:rPr>
          <w:rFonts w:hint="eastAsia" w:cs="Times New Roman"/>
          <w:color w:val="auto"/>
          <w:highlight w:val="none"/>
          <w:lang w:val="en-US" w:eastAsia="zh-CN"/>
        </w:rPr>
        <w:t>按本协议</w:t>
      </w:r>
      <w:r>
        <w:rPr>
          <w:rFonts w:hint="default" w:ascii="Times New Roman" w:hAnsi="Times New Roman" w:cs="Times New Roman"/>
          <w:color w:val="auto"/>
          <w:highlight w:val="none"/>
        </w:rPr>
        <w:t>约定</w:t>
      </w:r>
      <w:r>
        <w:rPr>
          <w:rFonts w:hint="default" w:ascii="Times New Roman" w:hAnsi="Times New Roman" w:cs="Times New Roman"/>
          <w:color w:val="auto"/>
          <w:highlight w:val="none"/>
          <w:lang w:val="en-US" w:eastAsia="zh-CN"/>
        </w:rPr>
        <w:t>落实</w:t>
      </w:r>
      <w:r>
        <w:rPr>
          <w:rFonts w:hint="eastAsia" w:cs="Times New Roman"/>
          <w:color w:val="auto"/>
          <w:highlight w:val="none"/>
          <w:lang w:val="en-US" w:eastAsia="zh-CN"/>
        </w:rPr>
        <w:t>约定</w:t>
      </w:r>
      <w:r>
        <w:rPr>
          <w:rFonts w:hint="default" w:ascii="Times New Roman" w:hAnsi="Times New Roman" w:cs="Times New Roman"/>
          <w:color w:val="auto"/>
          <w:highlight w:val="none"/>
        </w:rPr>
        <w:t>有关股权转让限制、股东义务等</w:t>
      </w:r>
      <w:r>
        <w:rPr>
          <w:rFonts w:hint="default" w:ascii="Times New Roman" w:hAnsi="Times New Roman" w:cs="Times New Roman"/>
          <w:color w:val="auto"/>
          <w:highlight w:val="none"/>
          <w:lang w:val="en-US" w:eastAsia="zh-CN"/>
        </w:rPr>
        <w:t>关键内容</w:t>
      </w:r>
      <w:r>
        <w:rPr>
          <w:rFonts w:hint="default" w:ascii="Times New Roman" w:hAnsi="Times New Roman" w:cs="Times New Roman"/>
          <w:color w:val="auto"/>
          <w:highlight w:val="none"/>
        </w:rPr>
        <w:t>。乙方签订的合资协议、公司章程</w:t>
      </w:r>
      <w:r>
        <w:rPr>
          <w:rFonts w:hint="default" w:ascii="Times New Roman" w:hAnsi="Times New Roman" w:cs="Times New Roman"/>
          <w:color w:val="auto"/>
          <w:highlight w:val="none"/>
          <w:lang w:val="en-US" w:eastAsia="zh-CN"/>
        </w:rPr>
        <w:t>应</w:t>
      </w:r>
      <w:r>
        <w:rPr>
          <w:rFonts w:hint="default" w:ascii="Times New Roman" w:hAnsi="Times New Roman" w:cs="Times New Roman"/>
          <w:color w:val="auto"/>
          <w:highlight w:val="none"/>
        </w:rPr>
        <w:t>盖章后</w:t>
      </w:r>
      <w:r>
        <w:rPr>
          <w:rFonts w:hint="default" w:ascii="Times New Roman" w:hAnsi="Times New Roman" w:cs="Times New Roman"/>
          <w:color w:val="auto"/>
          <w:highlight w:val="none"/>
          <w:lang w:val="en-US" w:eastAsia="zh-CN"/>
        </w:rPr>
        <w:t>报</w:t>
      </w:r>
      <w:r>
        <w:rPr>
          <w:rFonts w:hint="default" w:ascii="Times New Roman" w:hAnsi="Times New Roman" w:cs="Times New Roman"/>
          <w:color w:val="auto"/>
          <w:highlight w:val="none"/>
        </w:rPr>
        <w:t>甲方备案，如后续</w:t>
      </w:r>
      <w:r>
        <w:rPr>
          <w:rFonts w:hint="default" w:ascii="Times New Roman" w:hAnsi="Times New Roman" w:cs="Times New Roman"/>
          <w:color w:val="auto"/>
          <w:highlight w:val="none"/>
          <w:lang w:eastAsia="zh-CN"/>
        </w:rPr>
        <w:t>有</w:t>
      </w:r>
      <w:r>
        <w:rPr>
          <w:rFonts w:hint="default" w:ascii="Times New Roman" w:hAnsi="Times New Roman" w:cs="Times New Roman"/>
          <w:color w:val="auto"/>
          <w:highlight w:val="none"/>
        </w:rPr>
        <w:t>变更的，需及时备案。</w:t>
      </w:r>
    </w:p>
    <w:p>
      <w:pPr>
        <w:numPr>
          <w:ilvl w:val="0"/>
          <w:numId w:val="4"/>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项目公司成立后【15】天内，项目公司与甲方正式签署《</w:t>
      </w:r>
      <w:r>
        <w:rPr>
          <w:rFonts w:hint="eastAsia" w:cs="Times New Roman"/>
          <w:color w:val="auto"/>
          <w:highlight w:val="none"/>
          <w:lang w:eastAsia="zh-CN"/>
        </w:rPr>
        <w:t>花都区新华街云山运动场改造（停车场）</w:t>
      </w:r>
      <w:r>
        <w:rPr>
          <w:rFonts w:hint="default" w:ascii="Times New Roman" w:hAnsi="Times New Roman" w:cs="Times New Roman"/>
          <w:color w:val="auto"/>
          <w:highlight w:val="none"/>
        </w:rPr>
        <w:t>项目特许经营协议》（下称“特许经营协议”）。</w:t>
      </w:r>
    </w:p>
    <w:p>
      <w:pPr>
        <w:numPr>
          <w:ilvl w:val="0"/>
          <w:numId w:val="4"/>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特许经营协议是</w:t>
      </w:r>
      <w:r>
        <w:rPr>
          <w:rFonts w:hint="default" w:ascii="Times New Roman" w:hAnsi="Times New Roman" w:cs="Times New Roman"/>
          <w:color w:val="auto"/>
          <w:highlight w:val="none"/>
          <w:lang w:val="en-US" w:eastAsia="zh-CN"/>
        </w:rPr>
        <w:t>双方</w:t>
      </w:r>
      <w:r>
        <w:rPr>
          <w:rFonts w:hint="default" w:ascii="Times New Roman" w:hAnsi="Times New Roman" w:cs="Times New Roman"/>
          <w:color w:val="auto"/>
          <w:highlight w:val="none"/>
        </w:rPr>
        <w:t>协商一致的条款，届时除填写必要的数据和信息外，乙方（包括项目公司）不得提出修改，除非非实质性内容并且经得甲方同意。</w:t>
      </w:r>
    </w:p>
    <w:p>
      <w:pPr>
        <w:pStyle w:val="137"/>
        <w:shd w:val="clear"/>
        <w:spacing w:before="312" w:after="156"/>
        <w:rPr>
          <w:rFonts w:hint="default" w:ascii="Times New Roman" w:hAnsi="Times New Roman" w:cs="Times New Roman"/>
          <w:color w:val="auto"/>
          <w:highlight w:val="none"/>
          <w:lang w:val="en-GB"/>
        </w:rPr>
      </w:pPr>
      <w:bookmarkStart w:id="151" w:name="_Toc26380"/>
      <w:bookmarkStart w:id="152" w:name="_Toc190613434"/>
      <w:bookmarkStart w:id="153" w:name="_Toc23634"/>
      <w:bookmarkStart w:id="154" w:name="_Toc84873862"/>
      <w:bookmarkStart w:id="155" w:name="_Toc8467"/>
      <w:bookmarkStart w:id="156" w:name="_Toc13238"/>
      <w:bookmarkStart w:id="157" w:name="_Toc2005"/>
      <w:bookmarkStart w:id="158" w:name="_Toc14045"/>
      <w:bookmarkStart w:id="159" w:name="_Toc30651"/>
      <w:bookmarkStart w:id="160" w:name="_Toc23843"/>
      <w:bookmarkStart w:id="161" w:name="_Toc28133"/>
      <w:bookmarkStart w:id="162" w:name="_Toc501843069"/>
      <w:r>
        <w:rPr>
          <w:rFonts w:hint="default" w:ascii="Times New Roman" w:hAnsi="Times New Roman" w:cs="Times New Roman"/>
          <w:color w:val="auto"/>
          <w:highlight w:val="none"/>
        </w:rPr>
        <w:t>特许经营期</w:t>
      </w:r>
      <w:bookmarkEnd w:id="151"/>
      <w:bookmarkEnd w:id="152"/>
      <w:bookmarkEnd w:id="153"/>
      <w:bookmarkEnd w:id="154"/>
      <w:bookmarkEnd w:id="155"/>
      <w:bookmarkEnd w:id="156"/>
      <w:bookmarkEnd w:id="157"/>
      <w:bookmarkEnd w:id="158"/>
      <w:bookmarkEnd w:id="159"/>
      <w:bookmarkEnd w:id="160"/>
      <w:bookmarkEnd w:id="161"/>
      <w:bookmarkEnd w:id="162"/>
    </w:p>
    <w:p>
      <w:pPr>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本项目特许经营期为</w:t>
      </w:r>
      <w:r>
        <w:rPr>
          <w:rFonts w:hint="eastAsia" w:cs="Times New Roman"/>
          <w:color w:val="auto"/>
          <w:highlight w:val="none"/>
          <w:lang w:eastAsia="zh-CN"/>
        </w:rPr>
        <w:t>【】</w:t>
      </w:r>
      <w:r>
        <w:rPr>
          <w:rFonts w:hint="eastAsia" w:cs="Times New Roman"/>
          <w:color w:val="auto"/>
          <w:highlight w:val="none"/>
          <w:lang w:val="en-US" w:eastAsia="zh-CN"/>
        </w:rPr>
        <w:t>个月整（中标后确定）</w:t>
      </w:r>
      <w:r>
        <w:rPr>
          <w:rFonts w:hint="default" w:ascii="Times New Roman" w:hAnsi="Times New Roman" w:cs="Times New Roman"/>
          <w:color w:val="auto"/>
          <w:highlight w:val="none"/>
        </w:rPr>
        <w:t>，合作期自本协议生效日起算、至</w:t>
      </w:r>
      <w:r>
        <w:rPr>
          <w:rFonts w:hint="eastAsia" w:cs="Times New Roman"/>
          <w:color w:val="auto"/>
          <w:highlight w:val="none"/>
          <w:lang w:eastAsia="zh-CN"/>
        </w:rPr>
        <w:t>【】</w:t>
      </w:r>
      <w:r>
        <w:rPr>
          <w:rFonts w:hint="eastAsia" w:cs="Times New Roman"/>
          <w:color w:val="auto"/>
          <w:highlight w:val="none"/>
          <w:lang w:val="en-US" w:eastAsia="zh-CN"/>
        </w:rPr>
        <w:t>个月</w:t>
      </w:r>
      <w:r>
        <w:rPr>
          <w:rFonts w:hint="default" w:ascii="Times New Roman" w:hAnsi="Times New Roman" w:cs="Times New Roman"/>
          <w:color w:val="auto"/>
          <w:highlight w:val="none"/>
        </w:rPr>
        <w:t>到期之日止。特许经营期为固定期限，除发生特许经营协议约定的调整情形外，特许经营期不</w:t>
      </w:r>
      <w:r>
        <w:rPr>
          <w:rFonts w:hint="default" w:ascii="Times New Roman" w:hAnsi="Times New Roman" w:cs="Times New Roman"/>
          <w:color w:val="auto"/>
          <w:highlight w:val="none"/>
          <w:lang w:eastAsia="zh-CN"/>
        </w:rPr>
        <w:t>作调整</w:t>
      </w:r>
      <w:r>
        <w:rPr>
          <w:rFonts w:hint="default" w:ascii="Times New Roman" w:hAnsi="Times New Roman" w:cs="Times New Roman"/>
          <w:color w:val="auto"/>
          <w:highlight w:val="none"/>
        </w:rPr>
        <w:t>。其中</w:t>
      </w:r>
      <w:r>
        <w:rPr>
          <w:rFonts w:hint="default" w:ascii="Times New Roman" w:hAnsi="Times New Roman" w:cs="Times New Roman"/>
          <w:color w:val="auto"/>
          <w:highlight w:val="none"/>
          <w:lang w:val="en-US" w:eastAsia="zh-CN"/>
        </w:rPr>
        <w:t>预计</w:t>
      </w:r>
      <w:r>
        <w:rPr>
          <w:rFonts w:hint="default" w:ascii="Times New Roman" w:hAnsi="Times New Roman" w:cs="Times New Roman"/>
          <w:color w:val="auto"/>
          <w:highlight w:val="none"/>
        </w:rPr>
        <w:t>：</w:t>
      </w:r>
    </w:p>
    <w:p>
      <w:pPr>
        <w:numPr>
          <w:ilvl w:val="0"/>
          <w:numId w:val="5"/>
        </w:numPr>
        <w:spacing w:after="156" w:line="288" w:lineRule="auto"/>
        <w:ind w:left="0" w:firstLine="480"/>
        <w:rPr>
          <w:rFonts w:hint="default" w:ascii="Times New Roman" w:hAnsi="Times New Roman" w:cs="Times New Roman"/>
          <w:color w:val="auto"/>
          <w:highlight w:val="none"/>
        </w:rPr>
      </w:pPr>
      <w:r>
        <w:rPr>
          <w:rFonts w:hint="eastAsia" w:cs="Times New Roman"/>
          <w:color w:val="auto"/>
          <w:highlight w:val="none"/>
          <w:lang w:val="en-US" w:eastAsia="zh-CN"/>
        </w:rPr>
        <w:t>项目总体</w:t>
      </w:r>
      <w:r>
        <w:rPr>
          <w:rFonts w:hint="default" w:ascii="Times New Roman" w:hAnsi="Times New Roman" w:cs="Times New Roman"/>
          <w:color w:val="auto"/>
          <w:highlight w:val="none"/>
          <w:lang w:val="en-US" w:eastAsia="zh-CN"/>
        </w:rPr>
        <w:t>合作期</w:t>
      </w:r>
      <w:r>
        <w:rPr>
          <w:rFonts w:hint="eastAsia" w:cs="Times New Roman"/>
          <w:color w:val="auto"/>
          <w:highlight w:val="none"/>
          <w:lang w:eastAsia="zh-CN"/>
        </w:rPr>
        <w:t>【】</w:t>
      </w:r>
      <w:r>
        <w:rPr>
          <w:rFonts w:hint="eastAsia" w:cs="Times New Roman"/>
          <w:color w:val="auto"/>
          <w:highlight w:val="none"/>
          <w:lang w:val="en-US" w:eastAsia="zh-CN"/>
        </w:rPr>
        <w:t>个月</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自</w:t>
      </w:r>
      <w:r>
        <w:rPr>
          <w:rFonts w:hint="default" w:ascii="Times New Roman" w:hAnsi="Times New Roman" w:cs="Times New Roman"/>
          <w:color w:val="auto"/>
          <w:highlight w:val="none"/>
          <w:lang w:val="en-US" w:eastAsia="zh-CN"/>
        </w:rPr>
        <w:t>本</w:t>
      </w:r>
      <w:r>
        <w:rPr>
          <w:rFonts w:hint="default" w:ascii="Times New Roman" w:hAnsi="Times New Roman" w:cs="Times New Roman"/>
          <w:color w:val="auto"/>
          <w:highlight w:val="none"/>
        </w:rPr>
        <w:t>协议签订之日起，至满</w:t>
      </w:r>
      <w:r>
        <w:rPr>
          <w:rFonts w:hint="eastAsia" w:cs="Times New Roman"/>
          <w:color w:val="auto"/>
          <w:highlight w:val="none"/>
          <w:lang w:eastAsia="zh-CN"/>
        </w:rPr>
        <w:t>【】</w:t>
      </w:r>
      <w:r>
        <w:rPr>
          <w:rFonts w:hint="eastAsia" w:cs="Times New Roman"/>
          <w:color w:val="auto"/>
          <w:highlight w:val="none"/>
          <w:lang w:val="en-US" w:eastAsia="zh-CN"/>
        </w:rPr>
        <w:t>个月</w:t>
      </w:r>
      <w:r>
        <w:rPr>
          <w:rFonts w:hint="default" w:ascii="Times New Roman" w:hAnsi="Times New Roman" w:cs="Times New Roman"/>
          <w:color w:val="auto"/>
          <w:highlight w:val="none"/>
        </w:rPr>
        <w:t>止。</w:t>
      </w:r>
      <w:r>
        <w:rPr>
          <w:rFonts w:hint="default" w:ascii="Times New Roman" w:hAnsi="Times New Roman" w:cs="Times New Roman"/>
          <w:color w:val="auto"/>
          <w:highlight w:val="none"/>
          <w:lang w:val="en-US" w:eastAsia="zh-CN"/>
        </w:rPr>
        <w:t>其中</w:t>
      </w:r>
      <w:r>
        <w:rPr>
          <w:rFonts w:hint="eastAsia" w:cs="Times New Roman"/>
          <w:color w:val="auto"/>
          <w:highlight w:val="none"/>
          <w:lang w:val="en-US" w:eastAsia="zh-CN"/>
        </w:rPr>
        <w:t>前期及</w:t>
      </w:r>
      <w:r>
        <w:rPr>
          <w:rFonts w:hint="default" w:ascii="Times New Roman" w:hAnsi="Times New Roman" w:cs="Times New Roman"/>
          <w:color w:val="auto"/>
          <w:highlight w:val="none"/>
          <w:lang w:eastAsia="zh-CN"/>
        </w:rPr>
        <w:t>建设期</w:t>
      </w:r>
      <w:r>
        <w:rPr>
          <w:rFonts w:hint="default" w:ascii="Times New Roman" w:hAnsi="Times New Roman" w:cs="Times New Roman"/>
          <w:color w:val="auto"/>
          <w:highlight w:val="none"/>
          <w:lang w:val="en-US" w:eastAsia="zh-CN"/>
        </w:rPr>
        <w:t>预计</w:t>
      </w:r>
      <w:r>
        <w:rPr>
          <w:rFonts w:hint="default" w:ascii="Times New Roman" w:hAnsi="Times New Roman" w:cs="Times New Roman"/>
          <w:color w:val="auto"/>
          <w:highlight w:val="none"/>
          <w:lang w:eastAsia="zh-CN"/>
        </w:rPr>
        <w:t>为</w:t>
      </w:r>
      <w:r>
        <w:rPr>
          <w:rFonts w:hint="default" w:cs="Times New Roman"/>
          <w:color w:val="auto"/>
          <w:highlight w:val="none"/>
          <w:lang w:val="en-US" w:eastAsia="zh-CN"/>
        </w:rPr>
        <w:t>1年</w:t>
      </w:r>
      <w:r>
        <w:rPr>
          <w:rFonts w:hint="eastAsia" w:cs="Times New Roman"/>
          <w:color w:val="auto"/>
          <w:highlight w:val="none"/>
          <w:lang w:val="en-US" w:eastAsia="zh-CN"/>
        </w:rPr>
        <w:t>（12个月，固定），</w:t>
      </w:r>
      <w:r>
        <w:rPr>
          <w:rFonts w:hint="default" w:ascii="Times New Roman" w:hAnsi="Times New Roman" w:cs="Times New Roman"/>
          <w:color w:val="auto"/>
          <w:highlight w:val="none"/>
          <w:lang w:eastAsia="zh-CN"/>
        </w:rPr>
        <w:t>运营期</w:t>
      </w:r>
      <w:r>
        <w:rPr>
          <w:rFonts w:hint="default" w:ascii="Times New Roman" w:hAnsi="Times New Roman" w:cs="Times New Roman"/>
          <w:color w:val="auto"/>
          <w:highlight w:val="none"/>
          <w:lang w:val="en-US" w:eastAsia="zh-CN"/>
        </w:rPr>
        <w:t>预计</w:t>
      </w:r>
      <w:r>
        <w:rPr>
          <w:rFonts w:hint="eastAsia" w:cs="Times New Roman"/>
          <w:color w:val="auto"/>
          <w:highlight w:val="none"/>
          <w:lang w:eastAsia="zh-CN"/>
        </w:rPr>
        <w:t>【】</w:t>
      </w:r>
      <w:r>
        <w:rPr>
          <w:rFonts w:hint="eastAsia" w:cs="Times New Roman"/>
          <w:color w:val="auto"/>
          <w:highlight w:val="none"/>
          <w:lang w:val="en-US" w:eastAsia="zh-CN"/>
        </w:rPr>
        <w:t>个月（中标价格）</w:t>
      </w:r>
      <w:r>
        <w:rPr>
          <w:rFonts w:hint="default" w:ascii="Times New Roman" w:hAnsi="Times New Roman" w:cs="Times New Roman"/>
          <w:color w:val="auto"/>
          <w:highlight w:val="none"/>
          <w:lang w:eastAsia="zh-CN"/>
        </w:rPr>
        <w:t>。</w:t>
      </w:r>
    </w:p>
    <w:p>
      <w:pPr>
        <w:numPr>
          <w:ilvl w:val="0"/>
          <w:numId w:val="5"/>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eastAsia="zh"/>
        </w:rPr>
        <w:t>有关</w:t>
      </w:r>
      <w:r>
        <w:rPr>
          <w:rFonts w:hint="eastAsia" w:cs="Times New Roman"/>
          <w:color w:val="auto"/>
          <w:highlight w:val="none"/>
          <w:lang w:val="en-US" w:eastAsia="zh-CN"/>
        </w:rPr>
        <w:t>前期及</w:t>
      </w:r>
      <w:r>
        <w:rPr>
          <w:rFonts w:hint="default" w:ascii="Times New Roman" w:hAnsi="Times New Roman" w:cs="Times New Roman"/>
          <w:color w:val="auto"/>
          <w:highlight w:val="none"/>
          <w:lang w:eastAsia="zh"/>
        </w:rPr>
        <w:t>建设期的定义见特许经营协议。</w:t>
      </w:r>
    </w:p>
    <w:p>
      <w:pPr>
        <w:numPr>
          <w:ilvl w:val="0"/>
          <w:numId w:val="5"/>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因</w:t>
      </w:r>
      <w:r>
        <w:rPr>
          <w:rFonts w:hint="eastAsia" w:cs="Times New Roman"/>
          <w:color w:val="auto"/>
          <w:highlight w:val="none"/>
          <w:lang w:val="en-US" w:eastAsia="zh-CN"/>
        </w:rPr>
        <w:t>用地手续办理</w:t>
      </w:r>
      <w:r>
        <w:rPr>
          <w:rFonts w:hint="default" w:ascii="Times New Roman" w:hAnsi="Times New Roman" w:cs="Times New Roman"/>
          <w:color w:val="auto"/>
          <w:highlight w:val="none"/>
          <w:lang w:val="en-US" w:eastAsia="zh-CN"/>
        </w:rPr>
        <w:t>造成的本协议与建设有关的主要约定节点延期的，主要约定节点顺延且不构成甲乙方违约，包括特许经营起始日顺延、融资交割顺延、约定完工日顺延、运营起始日顺延、特许经营期顺延，顺延天数为初步协议签订之日起至甲方取得国有建设用地使用权划拨权属（以登记时间为准）期间（具体至</w:t>
      </w:r>
      <w:r>
        <w:rPr>
          <w:rFonts w:hint="eastAsia" w:cs="Times New Roman"/>
          <w:color w:val="auto"/>
          <w:highlight w:val="none"/>
          <w:lang w:val="en-US" w:eastAsia="zh-CN"/>
        </w:rPr>
        <w:t>自然日</w:t>
      </w:r>
      <w:r>
        <w:rPr>
          <w:rFonts w:hint="default" w:ascii="Times New Roman" w:hAnsi="Times New Roman" w:cs="Times New Roman"/>
          <w:color w:val="auto"/>
          <w:highlight w:val="none"/>
          <w:lang w:val="en-US" w:eastAsia="zh-CN"/>
        </w:rPr>
        <w:t>）；但不包括本协议“</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_Ref10310 \n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第5条</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_Ref10333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rPr>
        <w:t>协议签订安排</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_Ref4178 \n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7.1</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_Ref4188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rPr>
        <w:t>项目资本金及注册资本</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_Ref10431 \n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lang w:val="en-US" w:eastAsia="zh-CN"/>
        </w:rPr>
        <w:t>第8条</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en-US" w:eastAsia="zh-CN"/>
        </w:rPr>
        <w:fldChar w:fldCharType="begin"/>
      </w:r>
      <w:r>
        <w:rPr>
          <w:rFonts w:hint="default" w:ascii="Times New Roman" w:hAnsi="Times New Roman" w:cs="Times New Roman"/>
          <w:color w:val="auto"/>
          <w:highlight w:val="none"/>
          <w:lang w:val="en-US" w:eastAsia="zh-CN"/>
        </w:rPr>
        <w:instrText xml:space="preserve"> REF _Ref10437 \h </w:instrText>
      </w:r>
      <w:r>
        <w:rPr>
          <w:rFonts w:hint="default" w:ascii="Times New Roman" w:hAnsi="Times New Roman" w:cs="Times New Roman"/>
          <w:color w:val="auto"/>
          <w:highlight w:val="none"/>
          <w:lang w:val="en-US" w:eastAsia="zh-CN"/>
        </w:rPr>
        <w:fldChar w:fldCharType="separate"/>
      </w:r>
      <w:r>
        <w:rPr>
          <w:rFonts w:hint="default" w:ascii="Times New Roman" w:hAnsi="Times New Roman" w:cs="Times New Roman"/>
          <w:color w:val="auto"/>
          <w:highlight w:val="none"/>
        </w:rPr>
        <w:t>履约</w:t>
      </w:r>
      <w:r>
        <w:rPr>
          <w:rFonts w:hint="eastAsia" w:cs="Times New Roman"/>
          <w:color w:val="auto"/>
          <w:highlight w:val="none"/>
          <w:lang w:eastAsia="zh-CN"/>
        </w:rPr>
        <w:t>保证金</w:t>
      </w:r>
      <w:r>
        <w:rPr>
          <w:rFonts w:hint="default" w:ascii="Times New Roman" w:hAnsi="Times New Roman" w:cs="Times New Roman"/>
          <w:color w:val="auto"/>
          <w:highlight w:val="none"/>
          <w:lang w:val="en-US" w:eastAsia="zh-CN"/>
        </w:rPr>
        <w:fldChar w:fldCharType="end"/>
      </w:r>
      <w:r>
        <w:rPr>
          <w:rFonts w:hint="default" w:ascii="Times New Roman" w:hAnsi="Times New Roman" w:cs="Times New Roman"/>
          <w:color w:val="auto"/>
          <w:highlight w:val="none"/>
          <w:lang w:val="en-US" w:eastAsia="zh-CN"/>
        </w:rPr>
        <w:t>”。项目公司应积极开展各类前期工作，加快建设前期准备工作。</w:t>
      </w:r>
    </w:p>
    <w:p>
      <w:pPr>
        <w:pStyle w:val="137"/>
        <w:shd w:val="clear"/>
        <w:spacing w:before="312" w:after="156"/>
        <w:rPr>
          <w:rFonts w:hint="default" w:ascii="Times New Roman" w:hAnsi="Times New Roman" w:cs="Times New Roman"/>
          <w:color w:val="auto"/>
          <w:highlight w:val="none"/>
        </w:rPr>
      </w:pPr>
      <w:bookmarkStart w:id="163" w:name="_Toc545857026"/>
      <w:bookmarkStart w:id="164" w:name="_Toc30734"/>
      <w:bookmarkStart w:id="165" w:name="_Toc8022"/>
      <w:bookmarkStart w:id="166" w:name="_Toc27179"/>
      <w:bookmarkStart w:id="167" w:name="_Toc190613435"/>
      <w:bookmarkStart w:id="168" w:name="_Toc18491"/>
      <w:bookmarkStart w:id="169" w:name="_Toc1308178914"/>
      <w:bookmarkStart w:id="170" w:name="_Toc7360"/>
      <w:bookmarkStart w:id="171" w:name="_Toc8440"/>
      <w:bookmarkStart w:id="172" w:name="_Toc21084"/>
      <w:bookmarkStart w:id="173" w:name="_Toc1602"/>
      <w:bookmarkStart w:id="174" w:name="_Toc18040"/>
      <w:r>
        <w:rPr>
          <w:rFonts w:hint="default" w:ascii="Times New Roman" w:hAnsi="Times New Roman" w:cs="Times New Roman"/>
          <w:color w:val="auto"/>
          <w:highlight w:val="none"/>
        </w:rPr>
        <w:t>项目资本金与融资要求</w:t>
      </w:r>
      <w:bookmarkEnd w:id="163"/>
      <w:bookmarkEnd w:id="164"/>
      <w:bookmarkEnd w:id="165"/>
      <w:bookmarkEnd w:id="166"/>
      <w:bookmarkEnd w:id="167"/>
      <w:bookmarkEnd w:id="168"/>
      <w:bookmarkEnd w:id="169"/>
      <w:bookmarkEnd w:id="170"/>
      <w:bookmarkEnd w:id="171"/>
      <w:bookmarkEnd w:id="172"/>
      <w:bookmarkEnd w:id="173"/>
      <w:bookmarkEnd w:id="174"/>
    </w:p>
    <w:p>
      <w:pPr>
        <w:pStyle w:val="138"/>
        <w:spacing w:after="156"/>
        <w:rPr>
          <w:rFonts w:hint="default" w:ascii="Times New Roman" w:hAnsi="Times New Roman" w:cs="Times New Roman"/>
          <w:color w:val="auto"/>
          <w:highlight w:val="none"/>
        </w:rPr>
      </w:pPr>
      <w:bookmarkStart w:id="175" w:name="_Ref4188"/>
      <w:bookmarkStart w:id="176" w:name="_Ref4178"/>
      <w:bookmarkStart w:id="177" w:name="_Toc25083"/>
      <w:bookmarkStart w:id="178" w:name="_Toc497644257"/>
      <w:r>
        <w:rPr>
          <w:rFonts w:hint="default" w:ascii="Times New Roman" w:hAnsi="Times New Roman" w:cs="Times New Roman"/>
          <w:color w:val="auto"/>
          <w:highlight w:val="none"/>
        </w:rPr>
        <w:t>项目资本金及注册资本</w:t>
      </w:r>
      <w:bookmarkEnd w:id="175"/>
      <w:bookmarkEnd w:id="176"/>
      <w:bookmarkEnd w:id="177"/>
      <w:bookmarkEnd w:id="178"/>
    </w:p>
    <w:p>
      <w:pPr>
        <w:numPr>
          <w:ilvl w:val="0"/>
          <w:numId w:val="6"/>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项目资本金由</w:t>
      </w:r>
      <w:r>
        <w:rPr>
          <w:rFonts w:hint="default" w:ascii="Times New Roman" w:hAnsi="Times New Roman" w:cs="Times New Roman"/>
          <w:color w:val="auto"/>
          <w:highlight w:val="none"/>
          <w:lang w:val="en-US" w:eastAsia="zh-CN"/>
        </w:rPr>
        <w:t>乙方</w:t>
      </w:r>
      <w:r>
        <w:rPr>
          <w:rFonts w:hint="default" w:ascii="Times New Roman" w:hAnsi="Times New Roman" w:cs="Times New Roman"/>
          <w:color w:val="auto"/>
          <w:highlight w:val="none"/>
        </w:rPr>
        <w:t>各股东按出资责任缴纳到位，乙方作为项目公司股东应保障其对应项目资本金的及时缴纳，否则甲方有权依据特许经营协议约定提取</w:t>
      </w:r>
      <w:r>
        <w:rPr>
          <w:rFonts w:hint="eastAsia" w:cs="Times New Roman"/>
          <w:color w:val="auto"/>
          <w:highlight w:val="none"/>
          <w:lang w:eastAsia="zh-CN"/>
        </w:rPr>
        <w:t>保证金</w:t>
      </w:r>
      <w:r>
        <w:rPr>
          <w:rFonts w:hint="default" w:ascii="Times New Roman" w:hAnsi="Times New Roman" w:cs="Times New Roman"/>
          <w:color w:val="auto"/>
          <w:highlight w:val="none"/>
        </w:rPr>
        <w:t>。</w:t>
      </w:r>
    </w:p>
    <w:p>
      <w:pPr>
        <w:numPr>
          <w:ilvl w:val="0"/>
          <w:numId w:val="6"/>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本项目资本金暂定为项目总投资的</w:t>
      </w:r>
      <w:r>
        <w:rPr>
          <w:rFonts w:hint="eastAsia" w:cs="Times New Roman"/>
          <w:color w:val="auto"/>
          <w:highlight w:val="none"/>
          <w:lang w:val="en-US" w:eastAsia="zh-CN"/>
        </w:rPr>
        <w:t>3</w:t>
      </w:r>
      <w:r>
        <w:rPr>
          <w:rFonts w:hint="default" w:ascii="Times New Roman" w:hAnsi="Times New Roman" w:cs="Times New Roman"/>
          <w:color w:val="auto"/>
          <w:highlight w:val="none"/>
        </w:rPr>
        <w:t>0%，均为货币出资。项目公司的注册资本为</w:t>
      </w:r>
      <w:r>
        <w:rPr>
          <w:rFonts w:hint="eastAsia" w:cs="Times New Roman"/>
          <w:color w:val="auto"/>
          <w:highlight w:val="none"/>
          <w:lang w:val="en-US" w:eastAsia="zh-CN"/>
        </w:rPr>
        <w:t>2</w:t>
      </w:r>
      <w:r>
        <w:rPr>
          <w:rFonts w:hint="default" w:ascii="Times New Roman" w:hAnsi="Times New Roman" w:cs="Times New Roman"/>
          <w:color w:val="auto"/>
          <w:highlight w:val="none"/>
          <w:lang w:val="en-US" w:eastAsia="zh-CN"/>
        </w:rPr>
        <w:t>000</w:t>
      </w:r>
      <w:r>
        <w:rPr>
          <w:rFonts w:hint="default" w:ascii="Times New Roman" w:hAnsi="Times New Roman" w:cs="Times New Roman"/>
          <w:color w:val="auto"/>
          <w:highlight w:val="none"/>
        </w:rPr>
        <w:t>万元，在注册成立项目公司后120日内以货币出资形式实缴注册资本的50%，剩余注册资本金可根据项目建设进度逐步到位，但需在5年内实缴完成。本部分通过货币实缴的注册资本可作为项目的项目资本金使用。</w:t>
      </w:r>
    </w:p>
    <w:p>
      <w:pPr>
        <w:numPr>
          <w:ilvl w:val="0"/>
          <w:numId w:val="6"/>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乙方以权益类工具</w:t>
      </w:r>
      <w:r>
        <w:rPr>
          <w:rFonts w:hint="default" w:ascii="Times New Roman" w:hAnsi="Times New Roman" w:cs="Times New Roman"/>
          <w:color w:val="auto"/>
          <w:highlight w:val="none"/>
          <w:lang w:val="en-US" w:eastAsia="zh-CN"/>
        </w:rPr>
        <w:t>等方式筹措</w:t>
      </w:r>
      <w:r>
        <w:rPr>
          <w:rFonts w:hint="default" w:ascii="Times New Roman" w:hAnsi="Times New Roman" w:cs="Times New Roman"/>
          <w:color w:val="auto"/>
          <w:highlight w:val="none"/>
        </w:rPr>
        <w:t>注资项目剩余的</w:t>
      </w:r>
      <w:r>
        <w:rPr>
          <w:rFonts w:hint="default" w:ascii="Times New Roman" w:hAnsi="Times New Roman" w:cs="Times New Roman"/>
          <w:color w:val="auto"/>
          <w:highlight w:val="none"/>
          <w:lang w:val="en-US" w:eastAsia="zh-CN"/>
        </w:rPr>
        <w:t>项目</w:t>
      </w:r>
      <w:r>
        <w:rPr>
          <w:rFonts w:hint="default" w:ascii="Times New Roman" w:hAnsi="Times New Roman" w:cs="Times New Roman"/>
          <w:color w:val="auto"/>
          <w:highlight w:val="none"/>
        </w:rPr>
        <w:t>资本金，本部分项目资本金可根据工程建设进度逐步缴纳到位，但不得影响项目融资进度、项目建设进度。</w:t>
      </w:r>
    </w:p>
    <w:p>
      <w:pPr>
        <w:numPr>
          <w:ilvl w:val="0"/>
          <w:numId w:val="6"/>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若后续基于项目调整、融资需求等情况需增加项目资本金的，乙方需补足。</w:t>
      </w:r>
    </w:p>
    <w:p>
      <w:pPr>
        <w:numPr>
          <w:ilvl w:val="0"/>
          <w:numId w:val="6"/>
        </w:numPr>
        <w:spacing w:after="156" w:line="288" w:lineRule="auto"/>
        <w:ind w:left="0" w:firstLine="480"/>
        <w:rPr>
          <w:rFonts w:hint="default" w:ascii="Times New Roman" w:hAnsi="Times New Roman" w:cs="Times New Roman"/>
          <w:color w:val="auto"/>
          <w:highlight w:val="none"/>
        </w:rPr>
      </w:pPr>
      <w:r>
        <w:rPr>
          <w:rFonts w:hint="default" w:ascii="Times New Roman" w:hAnsi="Times New Roman" w:cs="Times New Roman"/>
          <w:color w:val="auto"/>
          <w:highlight w:val="none"/>
        </w:rPr>
        <w:t>项目公司依据《国务院关于加强固定资产投资项目资本金管理的通知》（国发〔2019〕26号）等规定向银行申请“可以适当降低项目最低资本金比例，但下调不得超过5个百分点”及“实行核准或备案制的项目，项目单位与金融机构可以按此规定自主调整投资项目资本金比例”，由项目公司依据风险与金融机构决策，甲方不做限制性规定。</w:t>
      </w:r>
    </w:p>
    <w:p>
      <w:pPr>
        <w:pStyle w:val="138"/>
        <w:spacing w:after="156"/>
        <w:rPr>
          <w:rFonts w:hint="default" w:ascii="Times New Roman" w:hAnsi="Times New Roman" w:cs="Times New Roman"/>
          <w:color w:val="auto"/>
          <w:highlight w:val="none"/>
        </w:rPr>
      </w:pPr>
      <w:bookmarkStart w:id="179" w:name="_Toc17822"/>
      <w:bookmarkStart w:id="180" w:name="_Toc497644258"/>
      <w:r>
        <w:rPr>
          <w:rFonts w:hint="default" w:ascii="Times New Roman" w:hAnsi="Times New Roman" w:cs="Times New Roman"/>
          <w:color w:val="auto"/>
          <w:highlight w:val="none"/>
        </w:rPr>
        <w:t>融资</w:t>
      </w:r>
      <w:bookmarkEnd w:id="179"/>
      <w:bookmarkEnd w:id="180"/>
    </w:p>
    <w:p>
      <w:pPr>
        <w:pStyle w:val="388"/>
        <w:spacing w:after="15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项目总投资中除项目资本金外的资金通过融资等方式获得。</w:t>
      </w:r>
    </w:p>
    <w:p>
      <w:pPr>
        <w:pStyle w:val="388"/>
        <w:spacing w:after="15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出于本项目融资的目的，项目公司可将特许经营协议项下的预期收益权设置质押担保权益进行融资，但不得在本项目的非乙方</w:t>
      </w:r>
      <w:r>
        <w:rPr>
          <w:rFonts w:hint="eastAsia" w:cs="Times New Roman"/>
          <w:color w:val="auto"/>
          <w:szCs w:val="24"/>
          <w:highlight w:val="none"/>
          <w:lang w:val="en-US" w:eastAsia="zh-CN"/>
        </w:rPr>
        <w:t>所有</w:t>
      </w:r>
      <w:r>
        <w:rPr>
          <w:rFonts w:hint="default" w:ascii="Times New Roman" w:hAnsi="Times New Roman" w:cs="Times New Roman"/>
          <w:color w:val="auto"/>
          <w:szCs w:val="24"/>
          <w:highlight w:val="none"/>
        </w:rPr>
        <w:t>、非项目公司</w:t>
      </w:r>
      <w:r>
        <w:rPr>
          <w:rFonts w:hint="eastAsia" w:cs="Times New Roman"/>
          <w:color w:val="auto"/>
          <w:szCs w:val="24"/>
          <w:highlight w:val="none"/>
          <w:lang w:val="en-US" w:eastAsia="zh-CN"/>
        </w:rPr>
        <w:t>所有的</w:t>
      </w:r>
      <w:r>
        <w:rPr>
          <w:rFonts w:hint="default" w:ascii="Times New Roman" w:hAnsi="Times New Roman" w:cs="Times New Roman"/>
          <w:color w:val="auto"/>
          <w:szCs w:val="24"/>
          <w:highlight w:val="none"/>
        </w:rPr>
        <w:t>资产上设置任何抵押及质押，不得</w:t>
      </w:r>
      <w:r>
        <w:rPr>
          <w:rFonts w:hint="eastAsia" w:cs="Times New Roman"/>
          <w:color w:val="auto"/>
          <w:szCs w:val="24"/>
          <w:highlight w:val="none"/>
          <w:lang w:val="en-US" w:eastAsia="zh-CN"/>
        </w:rPr>
        <w:t>以项目公司的股权设定</w:t>
      </w:r>
      <w:r>
        <w:rPr>
          <w:rFonts w:hint="default" w:ascii="Times New Roman" w:hAnsi="Times New Roman" w:cs="Times New Roman"/>
          <w:color w:val="auto"/>
          <w:szCs w:val="24"/>
          <w:highlight w:val="none"/>
        </w:rPr>
        <w:t>质押</w:t>
      </w:r>
      <w:r>
        <w:rPr>
          <w:rFonts w:hint="eastAsia" w:cs="Times New Roman"/>
          <w:color w:val="auto"/>
          <w:szCs w:val="24"/>
          <w:highlight w:val="none"/>
          <w:lang w:val="en-US" w:eastAsia="zh-CN"/>
        </w:rPr>
        <w:t>担保</w:t>
      </w:r>
      <w:r>
        <w:rPr>
          <w:rFonts w:hint="default" w:ascii="Times New Roman" w:hAnsi="Times New Roman" w:cs="Times New Roman"/>
          <w:color w:val="auto"/>
          <w:szCs w:val="24"/>
          <w:highlight w:val="none"/>
        </w:rPr>
        <w:t>。项目公司使用特许经营协议项下的预期收益权设置的质押担保不应损害甲方及政府部门的权益；若金融机构需要相关增信措施的，由乙方提供；若项目公司无法在规定期限内获得融资或融资金额不足的，由乙方向项目公司提供股东补充贷款或其他资金支持，确保不影响项目建设、实施。若乙方不能如时完成资金支持的，甲方可提取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w:t>
      </w:r>
    </w:p>
    <w:p>
      <w:pPr>
        <w:pStyle w:val="388"/>
        <w:spacing w:after="156"/>
        <w:ind w:firstLine="480"/>
        <w:rPr>
          <w:rFonts w:hint="default" w:ascii="Times New Roman" w:hAnsi="Times New Roman" w:cs="Times New Roman"/>
          <w:color w:val="auto"/>
          <w:szCs w:val="24"/>
          <w:highlight w:val="none"/>
        </w:rPr>
      </w:pPr>
      <w:bookmarkStart w:id="181" w:name="OLE_LINK2"/>
      <w:r>
        <w:rPr>
          <w:rFonts w:hint="default" w:ascii="Times New Roman" w:hAnsi="Times New Roman" w:cs="Times New Roman"/>
          <w:color w:val="auto"/>
          <w:szCs w:val="24"/>
          <w:highlight w:val="none"/>
          <w:lang w:eastAsia="zh"/>
        </w:rPr>
        <w:t>政府方不</w:t>
      </w:r>
      <w:r>
        <w:rPr>
          <w:rFonts w:hint="eastAsia" w:cs="Times New Roman"/>
          <w:color w:val="auto"/>
          <w:szCs w:val="24"/>
          <w:highlight w:val="none"/>
          <w:lang w:val="en-US" w:eastAsia="zh-CN"/>
        </w:rPr>
        <w:t>对乙方或项目公司</w:t>
      </w:r>
      <w:r>
        <w:rPr>
          <w:rFonts w:hint="default" w:ascii="Times New Roman" w:hAnsi="Times New Roman" w:cs="Times New Roman"/>
          <w:color w:val="auto"/>
          <w:szCs w:val="24"/>
          <w:highlight w:val="none"/>
          <w:lang w:eastAsia="zh"/>
        </w:rPr>
        <w:t>出资入股。</w:t>
      </w:r>
      <w:r>
        <w:rPr>
          <w:rFonts w:hint="default" w:ascii="Times New Roman" w:hAnsi="Times New Roman" w:cs="Times New Roman"/>
          <w:color w:val="auto"/>
          <w:szCs w:val="24"/>
          <w:highlight w:val="none"/>
        </w:rPr>
        <w:t>甲方或政府部门均</w:t>
      </w:r>
      <w:r>
        <w:rPr>
          <w:rFonts w:hint="default" w:ascii="Times New Roman" w:hAnsi="Times New Roman" w:cs="Times New Roman"/>
          <w:color w:val="auto"/>
          <w:szCs w:val="24"/>
          <w:highlight w:val="none"/>
          <w:lang w:eastAsia="zh-CN"/>
        </w:rPr>
        <w:t>不</w:t>
      </w:r>
      <w:r>
        <w:rPr>
          <w:rFonts w:hint="default" w:ascii="Times New Roman" w:hAnsi="Times New Roman" w:cs="Times New Roman"/>
          <w:color w:val="auto"/>
          <w:szCs w:val="24"/>
          <w:highlight w:val="none"/>
          <w:lang w:eastAsia="zh"/>
        </w:rPr>
        <w:t>对乙方或项目公司</w:t>
      </w:r>
      <w:r>
        <w:rPr>
          <w:rFonts w:hint="default" w:ascii="Times New Roman" w:hAnsi="Times New Roman" w:cs="Times New Roman"/>
          <w:color w:val="auto"/>
          <w:szCs w:val="24"/>
          <w:highlight w:val="none"/>
        </w:rPr>
        <w:t>承担任何融资职责，不承担相应的投融资风险，</w:t>
      </w:r>
      <w:r>
        <w:rPr>
          <w:rFonts w:hint="eastAsia" w:cs="Times New Roman"/>
          <w:color w:val="auto"/>
          <w:szCs w:val="24"/>
          <w:highlight w:val="none"/>
          <w:lang w:val="en-US" w:eastAsia="zh-CN"/>
        </w:rPr>
        <w:t>亦</w:t>
      </w:r>
      <w:r>
        <w:rPr>
          <w:rFonts w:hint="default" w:ascii="Times New Roman" w:hAnsi="Times New Roman" w:cs="Times New Roman"/>
          <w:color w:val="auto"/>
          <w:szCs w:val="24"/>
          <w:highlight w:val="none"/>
        </w:rPr>
        <w:t>不提供任何</w:t>
      </w:r>
      <w:r>
        <w:rPr>
          <w:rFonts w:hint="eastAsia" w:cs="Times New Roman"/>
          <w:color w:val="auto"/>
          <w:szCs w:val="24"/>
          <w:highlight w:val="none"/>
          <w:lang w:val="en-US" w:eastAsia="zh-CN"/>
        </w:rPr>
        <w:t>形式的</w:t>
      </w:r>
      <w:r>
        <w:rPr>
          <w:rFonts w:hint="default" w:ascii="Times New Roman" w:hAnsi="Times New Roman" w:cs="Times New Roman"/>
          <w:color w:val="auto"/>
          <w:szCs w:val="24"/>
          <w:highlight w:val="none"/>
        </w:rPr>
        <w:t>担保</w:t>
      </w:r>
      <w:r>
        <w:rPr>
          <w:rFonts w:hint="eastAsia" w:cs="Times New Roman"/>
          <w:color w:val="auto"/>
          <w:szCs w:val="24"/>
          <w:highlight w:val="none"/>
          <w:lang w:val="en-US" w:eastAsia="zh-CN"/>
        </w:rPr>
        <w:t>或</w:t>
      </w:r>
      <w:r>
        <w:rPr>
          <w:rFonts w:hint="default" w:ascii="Times New Roman" w:hAnsi="Times New Roman" w:cs="Times New Roman"/>
          <w:color w:val="auto"/>
          <w:szCs w:val="24"/>
          <w:highlight w:val="none"/>
        </w:rPr>
        <w:t>其他具有担保性质的承诺。在本协议或特许经营性协议合作期满或</w:t>
      </w:r>
      <w:r>
        <w:rPr>
          <w:rFonts w:hint="eastAsia" w:cs="Times New Roman"/>
          <w:color w:val="auto"/>
          <w:szCs w:val="24"/>
          <w:highlight w:val="none"/>
          <w:lang w:val="en-US" w:eastAsia="zh-CN"/>
        </w:rPr>
        <w:t>其他原因</w:t>
      </w:r>
      <w:r>
        <w:rPr>
          <w:rFonts w:hint="default" w:ascii="Times New Roman" w:hAnsi="Times New Roman" w:cs="Times New Roman"/>
          <w:color w:val="auto"/>
          <w:szCs w:val="24"/>
          <w:highlight w:val="none"/>
        </w:rPr>
        <w:t>提前终止时，对于乙方及项目公司</w:t>
      </w:r>
      <w:r>
        <w:rPr>
          <w:rFonts w:hint="eastAsia" w:cs="Times New Roman"/>
          <w:color w:val="auto"/>
          <w:szCs w:val="24"/>
          <w:highlight w:val="none"/>
          <w:lang w:val="en-US" w:eastAsia="zh-CN"/>
        </w:rPr>
        <w:t>在协议存续期间及终止前形成的</w:t>
      </w:r>
      <w:r>
        <w:rPr>
          <w:rFonts w:hint="default" w:ascii="Times New Roman" w:hAnsi="Times New Roman" w:cs="Times New Roman"/>
          <w:color w:val="auto"/>
          <w:szCs w:val="24"/>
          <w:highlight w:val="none"/>
        </w:rPr>
        <w:t>任何抵押、质押、</w:t>
      </w:r>
      <w:r>
        <w:rPr>
          <w:rFonts w:hint="eastAsia" w:cs="Times New Roman"/>
          <w:color w:val="auto"/>
          <w:szCs w:val="24"/>
          <w:highlight w:val="none"/>
          <w:lang w:val="en-US" w:eastAsia="zh-CN"/>
        </w:rPr>
        <w:t>其他</w:t>
      </w:r>
      <w:r>
        <w:rPr>
          <w:rFonts w:hint="default" w:ascii="Times New Roman" w:hAnsi="Times New Roman" w:cs="Times New Roman"/>
          <w:color w:val="auto"/>
          <w:szCs w:val="24"/>
          <w:highlight w:val="none"/>
        </w:rPr>
        <w:t>担保</w:t>
      </w:r>
      <w:r>
        <w:rPr>
          <w:rFonts w:hint="eastAsia" w:cs="Times New Roman"/>
          <w:color w:val="auto"/>
          <w:szCs w:val="24"/>
          <w:highlight w:val="none"/>
          <w:lang w:val="en-US" w:eastAsia="zh-CN"/>
        </w:rPr>
        <w:t>义务</w:t>
      </w:r>
      <w:r>
        <w:rPr>
          <w:rFonts w:hint="default" w:ascii="Times New Roman" w:hAnsi="Times New Roman" w:cs="Times New Roman"/>
          <w:color w:val="auto"/>
          <w:szCs w:val="24"/>
          <w:highlight w:val="none"/>
        </w:rPr>
        <w:t>、及其他各类债务，</w:t>
      </w:r>
      <w:r>
        <w:rPr>
          <w:rFonts w:hint="eastAsia" w:cs="Times New Roman"/>
          <w:color w:val="auto"/>
          <w:szCs w:val="24"/>
          <w:highlight w:val="none"/>
          <w:lang w:val="en-US" w:eastAsia="zh-CN"/>
        </w:rPr>
        <w:t>均</w:t>
      </w:r>
      <w:r>
        <w:rPr>
          <w:rFonts w:hint="default" w:ascii="Times New Roman" w:hAnsi="Times New Roman" w:cs="Times New Roman"/>
          <w:color w:val="auto"/>
          <w:szCs w:val="24"/>
          <w:highlight w:val="none"/>
        </w:rPr>
        <w:t>由乙方及项目公司自行承担，不得转移给甲方或要求甲方承担连带责任、补充责任或其他任何形式的责任。</w:t>
      </w:r>
      <w:bookmarkEnd w:id="181"/>
    </w:p>
    <w:p>
      <w:pPr>
        <w:pStyle w:val="388"/>
        <w:spacing w:after="15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如项目公司为本项目申请政策性贷款（国开行、农发行等），甲方或政府部门仅为该资金的申请提供必要的协助，不承担实质投融资责任。</w:t>
      </w:r>
    </w:p>
    <w:p>
      <w:pPr>
        <w:pStyle w:val="388"/>
        <w:spacing w:after="15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lang w:val="en-US" w:eastAsia="zh-CN"/>
        </w:rPr>
        <w:t>乙方对于项目公司的融资具有补足责任，包括但不限于融资不足时的补足责任、融资进度未达预期情形下的短期融资补足责任等。</w:t>
      </w:r>
    </w:p>
    <w:p>
      <w:pPr>
        <w:pStyle w:val="137"/>
        <w:shd w:val="clear"/>
        <w:spacing w:before="312" w:after="156"/>
        <w:rPr>
          <w:rFonts w:hint="default" w:ascii="Times New Roman" w:hAnsi="Times New Roman" w:cs="Times New Roman"/>
          <w:color w:val="auto"/>
          <w:highlight w:val="none"/>
        </w:rPr>
      </w:pPr>
      <w:bookmarkStart w:id="182" w:name="_Ref10437"/>
      <w:bookmarkStart w:id="183" w:name="_Toc20530"/>
      <w:bookmarkStart w:id="184" w:name="_Toc168895998"/>
      <w:bookmarkStart w:id="185" w:name="_Toc763"/>
      <w:bookmarkStart w:id="186" w:name="_Toc25759"/>
      <w:bookmarkStart w:id="187" w:name="_Toc8428"/>
      <w:bookmarkStart w:id="188" w:name="_Toc625429612"/>
      <w:bookmarkStart w:id="189" w:name="_Toc20264"/>
      <w:bookmarkStart w:id="190" w:name="_Ref10431"/>
      <w:bookmarkStart w:id="191" w:name="_Toc190613436"/>
      <w:bookmarkStart w:id="192" w:name="_Toc29558"/>
      <w:bookmarkStart w:id="193" w:name="_Toc12430"/>
      <w:bookmarkStart w:id="194" w:name="_Ref27145"/>
      <w:bookmarkStart w:id="195" w:name="_Toc3370"/>
      <w:bookmarkStart w:id="196" w:name="_Toc27174"/>
      <w:r>
        <w:rPr>
          <w:rFonts w:hint="default" w:ascii="Times New Roman" w:hAnsi="Times New Roman" w:cs="Times New Roman"/>
          <w:color w:val="auto"/>
          <w:highlight w:val="none"/>
        </w:rPr>
        <w:t>履约</w:t>
      </w:r>
      <w:bookmarkEnd w:id="182"/>
      <w:bookmarkEnd w:id="183"/>
      <w:bookmarkEnd w:id="184"/>
      <w:bookmarkEnd w:id="185"/>
      <w:bookmarkEnd w:id="186"/>
      <w:bookmarkEnd w:id="187"/>
      <w:bookmarkEnd w:id="188"/>
      <w:bookmarkEnd w:id="189"/>
      <w:bookmarkEnd w:id="190"/>
      <w:bookmarkEnd w:id="191"/>
      <w:bookmarkEnd w:id="192"/>
      <w:bookmarkEnd w:id="193"/>
      <w:bookmarkEnd w:id="194"/>
      <w:r>
        <w:rPr>
          <w:rFonts w:hint="eastAsia" w:cs="Times New Roman"/>
          <w:color w:val="auto"/>
          <w:highlight w:val="none"/>
          <w:lang w:eastAsia="zh-CN"/>
        </w:rPr>
        <w:t>保证金</w:t>
      </w:r>
      <w:bookmarkEnd w:id="195"/>
      <w:bookmarkEnd w:id="196"/>
    </w:p>
    <w:p>
      <w:pPr>
        <w:pStyle w:val="388"/>
        <w:spacing w:after="15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本项目履约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由建设履约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、运营维护履约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和移交维护履约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组成。</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lang w:eastAsia="zh"/>
        </w:rPr>
        <w:t>格式</w:t>
      </w:r>
      <w:r>
        <w:rPr>
          <w:rFonts w:hint="eastAsia" w:cs="Times New Roman"/>
          <w:color w:val="auto"/>
          <w:szCs w:val="24"/>
          <w:highlight w:val="none"/>
          <w:lang w:val="en-US" w:eastAsia="zh-CN"/>
        </w:rPr>
        <w:t>包括银行保函、保证保险、担保保函等，具体</w:t>
      </w:r>
      <w:r>
        <w:rPr>
          <w:rFonts w:hint="default" w:ascii="Times New Roman" w:hAnsi="Times New Roman" w:cs="Times New Roman"/>
          <w:color w:val="auto"/>
          <w:highlight w:val="none"/>
        </w:rPr>
        <w:t>以</w:t>
      </w:r>
      <w:r>
        <w:rPr>
          <w:rFonts w:hint="eastAsia" w:cs="Times New Roman"/>
          <w:color w:val="auto"/>
          <w:highlight w:val="none"/>
          <w:lang w:val="en-US" w:eastAsia="zh-CN"/>
        </w:rPr>
        <w:t>甲方</w:t>
      </w:r>
      <w:r>
        <w:rPr>
          <w:rFonts w:hint="default" w:ascii="Times New Roman" w:hAnsi="Times New Roman" w:cs="Times New Roman"/>
          <w:color w:val="auto"/>
          <w:highlight w:val="none"/>
        </w:rPr>
        <w:t>认可的为准，建设履约保函、运营维护履约保函、移交维护履约保函均可参考</w:t>
      </w:r>
      <w:r>
        <w:rPr>
          <w:rFonts w:hint="default" w:ascii="Times New Roman" w:hAnsi="Times New Roman" w:cs="Times New Roman"/>
          <w:color w:val="auto"/>
          <w:highlight w:val="none"/>
          <w:lang w:eastAsia="zh"/>
        </w:rPr>
        <w:t>附件</w:t>
      </w:r>
      <w:r>
        <w:rPr>
          <w:rFonts w:hint="default" w:ascii="Times New Roman" w:hAnsi="Times New Roman" w:cs="Times New Roman"/>
          <w:color w:val="auto"/>
          <w:highlight w:val="none"/>
        </w:rPr>
        <w:t>格式；最终乙方提交保函时，保函内容需征得甲方认可同意</w:t>
      </w:r>
      <w:r>
        <w:rPr>
          <w:rFonts w:hint="default" w:ascii="Times New Roman" w:hAnsi="Times New Roman" w:cs="Times New Roman"/>
          <w:color w:val="auto"/>
          <w:highlight w:val="none"/>
          <w:lang w:eastAsia="zh"/>
        </w:rPr>
        <w:t>。</w:t>
      </w:r>
    </w:p>
    <w:p>
      <w:pPr>
        <w:pStyle w:val="138"/>
        <w:spacing w:after="156"/>
        <w:rPr>
          <w:rFonts w:hint="default" w:ascii="Times New Roman" w:hAnsi="Times New Roman" w:cs="Times New Roman"/>
          <w:color w:val="auto"/>
          <w:highlight w:val="none"/>
        </w:rPr>
      </w:pPr>
      <w:bookmarkStart w:id="197" w:name="_Toc10089"/>
      <w:bookmarkStart w:id="198" w:name="_Ref14592"/>
      <w:bookmarkStart w:id="199" w:name="_Ref536349264"/>
      <w:bookmarkStart w:id="200" w:name="_Toc497644261"/>
      <w:r>
        <w:rPr>
          <w:rFonts w:hint="default" w:ascii="Times New Roman" w:hAnsi="Times New Roman" w:cs="Times New Roman"/>
          <w:color w:val="auto"/>
          <w:highlight w:val="none"/>
        </w:rPr>
        <w:t>建设履约</w:t>
      </w:r>
      <w:bookmarkEnd w:id="197"/>
      <w:bookmarkEnd w:id="198"/>
      <w:bookmarkEnd w:id="199"/>
      <w:bookmarkEnd w:id="200"/>
      <w:r>
        <w:rPr>
          <w:rFonts w:hint="eastAsia" w:ascii="Times New Roman" w:hAnsi="Times New Roman" w:cs="Times New Roman"/>
          <w:color w:val="auto"/>
          <w:highlight w:val="none"/>
          <w:lang w:eastAsia="zh-CN"/>
        </w:rPr>
        <w:t>保证金</w:t>
      </w:r>
    </w:p>
    <w:p>
      <w:pPr>
        <w:pStyle w:val="388"/>
        <w:spacing w:after="156"/>
        <w:ind w:firstLine="480"/>
        <w:rPr>
          <w:rFonts w:hint="default" w:ascii="Times New Roman" w:hAnsi="Times New Roman" w:cs="Times New Roman"/>
          <w:color w:val="auto"/>
          <w:szCs w:val="24"/>
          <w:highlight w:val="none"/>
        </w:rPr>
      </w:pPr>
      <w:bookmarkStart w:id="201" w:name="OLE_LINK3"/>
      <w:r>
        <w:rPr>
          <w:rFonts w:hint="default" w:ascii="Times New Roman" w:hAnsi="Times New Roman" w:cs="Times New Roman"/>
          <w:color w:val="auto"/>
          <w:szCs w:val="24"/>
          <w:highlight w:val="none"/>
          <w:lang w:val="en-US" w:eastAsia="zh-CN"/>
        </w:rPr>
        <w:t>甲方</w:t>
      </w:r>
      <w:r>
        <w:rPr>
          <w:rFonts w:hint="default" w:ascii="Times New Roman" w:hAnsi="Times New Roman" w:cs="Times New Roman"/>
          <w:color w:val="auto"/>
          <w:szCs w:val="24"/>
          <w:highlight w:val="none"/>
        </w:rPr>
        <w:t>发出中标通知书【30】天内，项目公司或乙方（或乙方主要成员）应向甲方提供符合下列要求的建设履约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，以</w:t>
      </w:r>
      <w:r>
        <w:rPr>
          <w:rFonts w:hint="default" w:ascii="Times New Roman" w:hAnsi="Times New Roman" w:cs="Times New Roman"/>
          <w:color w:val="auto"/>
          <w:szCs w:val="24"/>
          <w:highlight w:val="none"/>
          <w:lang w:val="en-US" w:eastAsia="zh-CN"/>
        </w:rPr>
        <w:t>担保乙方在本协议项下的责任，以及担保</w:t>
      </w:r>
      <w:r>
        <w:rPr>
          <w:rFonts w:hint="default" w:ascii="Times New Roman" w:hAnsi="Times New Roman" w:cs="Times New Roman"/>
          <w:color w:val="auto"/>
          <w:szCs w:val="24"/>
          <w:highlight w:val="none"/>
        </w:rPr>
        <w:t>项目公司履行特许经营协议及其附件项下项目建设资金到位、开工节点、竣工验收节点、重大工程质量事故或安全责任事故、运营维护</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提交等</w:t>
      </w:r>
      <w:r>
        <w:rPr>
          <w:rFonts w:hint="default" w:ascii="Times New Roman" w:hAnsi="Times New Roman" w:cs="Times New Roman"/>
          <w:color w:val="auto"/>
          <w:szCs w:val="24"/>
          <w:highlight w:val="none"/>
          <w:lang w:val="en-US" w:eastAsia="zh-CN"/>
        </w:rPr>
        <w:t>期间所有工作</w:t>
      </w:r>
      <w:r>
        <w:rPr>
          <w:rFonts w:hint="default" w:ascii="Times New Roman" w:hAnsi="Times New Roman" w:cs="Times New Roman"/>
          <w:color w:val="auto"/>
          <w:szCs w:val="24"/>
          <w:highlight w:val="none"/>
        </w:rPr>
        <w:t>。可分</w:t>
      </w:r>
      <w:r>
        <w:rPr>
          <w:rFonts w:hint="eastAsia" w:cs="Times New Roman"/>
          <w:color w:val="auto"/>
          <w:szCs w:val="24"/>
          <w:highlight w:val="none"/>
          <w:lang w:val="en-US" w:eastAsia="zh-CN"/>
        </w:rPr>
        <w:t>季度</w:t>
      </w:r>
      <w:r>
        <w:rPr>
          <w:rFonts w:hint="default" w:ascii="Times New Roman" w:hAnsi="Times New Roman" w:cs="Times New Roman"/>
          <w:color w:val="auto"/>
          <w:szCs w:val="24"/>
          <w:highlight w:val="none"/>
        </w:rPr>
        <w:t>提交履约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，但应确保各期</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在日期上全面衔接覆盖；第一期</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建议由乙方（或乙方主要成员）向甲方提供。</w:t>
      </w:r>
      <w:bookmarkEnd w:id="201"/>
    </w:p>
    <w:p>
      <w:pPr>
        <w:pStyle w:val="388"/>
        <w:numPr>
          <w:ilvl w:val="0"/>
          <w:numId w:val="7"/>
        </w:numPr>
        <w:spacing w:after="156"/>
        <w:ind w:left="0" w:firstLine="480"/>
        <w:rPr>
          <w:rFonts w:hint="default" w:ascii="Times New Roman" w:hAnsi="Times New Roman" w:cs="Times New Roman"/>
          <w:color w:val="auto"/>
          <w:szCs w:val="24"/>
          <w:highlight w:val="none"/>
        </w:rPr>
      </w:pPr>
      <w:r>
        <w:rPr>
          <w:rFonts w:hint="default" w:ascii="Times New Roman" w:hAnsi="Times New Roman" w:cs="Times New Roman"/>
          <w:color w:val="auto"/>
          <w:kern w:val="0"/>
          <w:szCs w:val="24"/>
          <w:highlight w:val="none"/>
        </w:rPr>
        <w:t>建设履约</w:t>
      </w:r>
      <w:r>
        <w:rPr>
          <w:rFonts w:hint="eastAsia" w:cs="Times New Roman"/>
          <w:color w:val="auto"/>
          <w:kern w:val="0"/>
          <w:szCs w:val="24"/>
          <w:highlight w:val="none"/>
          <w:lang w:eastAsia="zh-CN"/>
        </w:rPr>
        <w:t>保证金</w:t>
      </w:r>
      <w:r>
        <w:rPr>
          <w:rFonts w:hint="default" w:ascii="Times New Roman" w:hAnsi="Times New Roman" w:cs="Times New Roman"/>
          <w:color w:val="auto"/>
          <w:kern w:val="0"/>
          <w:szCs w:val="24"/>
          <w:highlight w:val="none"/>
        </w:rPr>
        <w:t>金额为</w:t>
      </w:r>
      <w:r>
        <w:rPr>
          <w:rFonts w:hint="eastAsia" w:cs="Times New Roman"/>
          <w:color w:val="auto"/>
          <w:kern w:val="0"/>
          <w:szCs w:val="24"/>
          <w:highlight w:val="none"/>
          <w:lang w:val="en-US" w:eastAsia="zh-CN"/>
        </w:rPr>
        <w:t>1500</w:t>
      </w:r>
      <w:r>
        <w:rPr>
          <w:rFonts w:hint="default" w:ascii="Times New Roman" w:hAnsi="Times New Roman" w:cs="Times New Roman"/>
          <w:color w:val="auto"/>
          <w:kern w:val="0"/>
          <w:szCs w:val="24"/>
          <w:highlight w:val="none"/>
        </w:rPr>
        <w:t>万元</w:t>
      </w:r>
      <w:r>
        <w:rPr>
          <w:rFonts w:hint="default" w:ascii="Times New Roman" w:hAnsi="Times New Roman" w:cs="Times New Roman"/>
          <w:color w:val="auto"/>
          <w:szCs w:val="24"/>
          <w:highlight w:val="none"/>
        </w:rPr>
        <w:t>；</w:t>
      </w:r>
      <w:r>
        <w:rPr>
          <w:rFonts w:hint="eastAsia" w:cs="Times New Roman"/>
          <w:color w:val="auto"/>
          <w:szCs w:val="24"/>
          <w:highlight w:val="none"/>
          <w:lang w:val="en-US" w:eastAsia="zh-CN"/>
        </w:rPr>
        <w:t>若乙方组建项目公司后性质为中小企业，</w:t>
      </w:r>
      <w:r>
        <w:rPr>
          <w:rFonts w:hint="default" w:ascii="Times New Roman" w:hAnsi="Times New Roman" w:cs="Times New Roman"/>
          <w:color w:val="auto"/>
          <w:kern w:val="0"/>
          <w:szCs w:val="24"/>
          <w:highlight w:val="none"/>
        </w:rPr>
        <w:t>建设履约</w:t>
      </w:r>
      <w:r>
        <w:rPr>
          <w:rFonts w:hint="eastAsia" w:cs="Times New Roman"/>
          <w:color w:val="auto"/>
          <w:kern w:val="0"/>
          <w:szCs w:val="24"/>
          <w:highlight w:val="none"/>
          <w:lang w:eastAsia="zh-CN"/>
        </w:rPr>
        <w:t>保证金</w:t>
      </w:r>
      <w:r>
        <w:rPr>
          <w:rFonts w:hint="default" w:ascii="Times New Roman" w:hAnsi="Times New Roman" w:cs="Times New Roman"/>
          <w:color w:val="auto"/>
          <w:kern w:val="0"/>
          <w:szCs w:val="24"/>
          <w:highlight w:val="none"/>
        </w:rPr>
        <w:t>金额为</w:t>
      </w:r>
      <w:r>
        <w:rPr>
          <w:rFonts w:hint="eastAsia" w:cs="Times New Roman"/>
          <w:color w:val="auto"/>
          <w:kern w:val="0"/>
          <w:szCs w:val="24"/>
          <w:highlight w:val="none"/>
          <w:lang w:val="en-US" w:eastAsia="zh-CN"/>
        </w:rPr>
        <w:t>600</w:t>
      </w:r>
      <w:r>
        <w:rPr>
          <w:rFonts w:hint="default" w:ascii="Times New Roman" w:hAnsi="Times New Roman" w:cs="Times New Roman"/>
          <w:color w:val="auto"/>
          <w:kern w:val="0"/>
          <w:szCs w:val="24"/>
          <w:highlight w:val="none"/>
        </w:rPr>
        <w:t>万元</w:t>
      </w:r>
      <w:r>
        <w:rPr>
          <w:rFonts w:hint="eastAsia" w:cs="Times New Roman"/>
          <w:color w:val="auto"/>
          <w:kern w:val="0"/>
          <w:szCs w:val="24"/>
          <w:highlight w:val="none"/>
          <w:lang w:eastAsia="zh-CN"/>
        </w:rPr>
        <w:t>；</w:t>
      </w:r>
    </w:p>
    <w:p>
      <w:pPr>
        <w:pStyle w:val="388"/>
        <w:numPr>
          <w:ilvl w:val="0"/>
          <w:numId w:val="7"/>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符合本协议附件规定的格式或甲方同意的其他格式；</w:t>
      </w:r>
    </w:p>
    <w:p>
      <w:pPr>
        <w:pStyle w:val="388"/>
        <w:numPr>
          <w:ilvl w:val="0"/>
          <w:numId w:val="7"/>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以甲方作为受益人；</w:t>
      </w:r>
    </w:p>
    <w:p>
      <w:pPr>
        <w:pStyle w:val="388"/>
        <w:numPr>
          <w:ilvl w:val="0"/>
          <w:numId w:val="7"/>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应由具有相应担保额度的在中国境内注册的国有商业银行开具或符合法律法规、甲方认可的</w:t>
      </w:r>
      <w:r>
        <w:rPr>
          <w:rFonts w:hint="default" w:ascii="Times New Roman" w:hAnsi="Times New Roman" w:cs="Times New Roman"/>
          <w:color w:val="auto"/>
          <w:kern w:val="0"/>
          <w:szCs w:val="24"/>
          <w:highlight w:val="none"/>
          <w:lang w:val="en-US" w:eastAsia="zh-CN"/>
        </w:rPr>
        <w:t>担保机构开具</w:t>
      </w:r>
      <w:r>
        <w:rPr>
          <w:rFonts w:hint="default" w:ascii="Times New Roman" w:hAnsi="Times New Roman" w:cs="Times New Roman"/>
          <w:color w:val="auto"/>
          <w:kern w:val="0"/>
          <w:szCs w:val="24"/>
          <w:highlight w:val="none"/>
          <w:lang w:val="en-GB"/>
        </w:rPr>
        <w:t>。</w:t>
      </w:r>
    </w:p>
    <w:p>
      <w:pPr>
        <w:pStyle w:val="138"/>
        <w:spacing w:after="156"/>
        <w:rPr>
          <w:rFonts w:hint="default" w:ascii="Times New Roman" w:hAnsi="Times New Roman" w:cs="Times New Roman"/>
          <w:color w:val="auto"/>
          <w:highlight w:val="none"/>
        </w:rPr>
      </w:pPr>
      <w:bookmarkStart w:id="202" w:name="_Toc534534928"/>
      <w:bookmarkEnd w:id="202"/>
      <w:bookmarkStart w:id="203" w:name="_Toc534534825"/>
      <w:bookmarkEnd w:id="203"/>
      <w:bookmarkStart w:id="204" w:name="_Toc534534820"/>
      <w:bookmarkEnd w:id="204"/>
      <w:bookmarkStart w:id="205" w:name="_Toc534534823"/>
      <w:bookmarkEnd w:id="205"/>
      <w:bookmarkStart w:id="206" w:name="_Toc534534822"/>
      <w:bookmarkEnd w:id="206"/>
      <w:bookmarkStart w:id="207" w:name="_Toc534534929"/>
      <w:bookmarkEnd w:id="207"/>
      <w:bookmarkStart w:id="208" w:name="_Toc534534824"/>
      <w:bookmarkEnd w:id="208"/>
      <w:bookmarkStart w:id="209" w:name="_Toc534534821"/>
      <w:bookmarkEnd w:id="209"/>
      <w:bookmarkStart w:id="210" w:name="_Toc534534926"/>
      <w:bookmarkEnd w:id="210"/>
      <w:bookmarkStart w:id="211" w:name="_Toc534534924"/>
      <w:bookmarkEnd w:id="211"/>
      <w:bookmarkStart w:id="212" w:name="_Toc534534927"/>
      <w:bookmarkEnd w:id="212"/>
      <w:bookmarkStart w:id="213" w:name="_Toc534534925"/>
      <w:bookmarkEnd w:id="213"/>
      <w:bookmarkStart w:id="214" w:name="_Toc497644263"/>
      <w:bookmarkStart w:id="215" w:name="_Toc13980"/>
      <w:r>
        <w:rPr>
          <w:rFonts w:hint="default" w:ascii="Times New Roman" w:hAnsi="Times New Roman" w:cs="Times New Roman"/>
          <w:color w:val="auto"/>
          <w:highlight w:val="none"/>
        </w:rPr>
        <w:t>运营维护履约</w:t>
      </w:r>
      <w:bookmarkEnd w:id="214"/>
      <w:bookmarkEnd w:id="215"/>
      <w:r>
        <w:rPr>
          <w:rFonts w:hint="eastAsia" w:ascii="Times New Roman" w:hAnsi="Times New Roman" w:cs="Times New Roman"/>
          <w:color w:val="auto"/>
          <w:highlight w:val="none"/>
          <w:lang w:eastAsia="zh-CN"/>
        </w:rPr>
        <w:t>保证金</w:t>
      </w:r>
    </w:p>
    <w:p>
      <w:pPr>
        <w:pStyle w:val="388"/>
        <w:spacing w:after="156"/>
        <w:ind w:firstLine="480"/>
        <w:rPr>
          <w:rFonts w:hint="default" w:ascii="Times New Roman" w:hAnsi="Times New Roman" w:cs="Times New Roman"/>
          <w:color w:val="auto"/>
          <w:szCs w:val="24"/>
          <w:highlight w:val="none"/>
        </w:rPr>
      </w:pPr>
      <w:r>
        <w:rPr>
          <w:rFonts w:hint="eastAsia" w:cs="Times New Roman"/>
          <w:color w:val="auto"/>
          <w:highlight w:val="none"/>
          <w:lang w:val="en-US" w:eastAsia="zh-CN"/>
        </w:rPr>
        <w:t>项目</w:t>
      </w:r>
      <w:r>
        <w:rPr>
          <w:rFonts w:hint="default" w:ascii="Times New Roman" w:hAnsi="Times New Roman" w:cs="Times New Roman"/>
          <w:color w:val="auto"/>
          <w:szCs w:val="24"/>
          <w:highlight w:val="none"/>
        </w:rPr>
        <w:t>进入运营之日起5个工作日内，项目公司或乙方（或乙方主要成员）应向甲方提供符合下列要求的运营维护履约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，以担保</w:t>
      </w:r>
      <w:r>
        <w:rPr>
          <w:rFonts w:hint="default" w:ascii="Times New Roman" w:hAnsi="Times New Roman" w:cs="Times New Roman"/>
          <w:color w:val="auto"/>
          <w:szCs w:val="24"/>
          <w:highlight w:val="none"/>
          <w:lang w:val="en-US" w:eastAsia="zh-CN"/>
        </w:rPr>
        <w:t>乙方在本协议项下的责任，以及担保</w:t>
      </w:r>
      <w:r>
        <w:rPr>
          <w:rFonts w:hint="default" w:ascii="Times New Roman" w:hAnsi="Times New Roman" w:cs="Times New Roman"/>
          <w:color w:val="auto"/>
          <w:szCs w:val="24"/>
          <w:highlight w:val="none"/>
        </w:rPr>
        <w:t>项目公司履行特许经营协议及其附件项下的项目运营绩效、服务质量标准达标情况、安全保障</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移交维护履约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提交等</w:t>
      </w:r>
      <w:r>
        <w:rPr>
          <w:rFonts w:hint="default" w:ascii="Times New Roman" w:hAnsi="Times New Roman" w:cs="Times New Roman"/>
          <w:color w:val="auto"/>
          <w:szCs w:val="24"/>
          <w:highlight w:val="none"/>
          <w:lang w:val="en-US" w:eastAsia="zh-CN"/>
        </w:rPr>
        <w:t>期间所有工作</w:t>
      </w:r>
      <w:r>
        <w:rPr>
          <w:rFonts w:hint="default" w:ascii="Times New Roman" w:hAnsi="Times New Roman" w:cs="Times New Roman"/>
          <w:color w:val="auto"/>
          <w:szCs w:val="24"/>
          <w:highlight w:val="none"/>
          <w:lang w:eastAsia="zh-CN"/>
        </w:rPr>
        <w:t>。</w:t>
      </w:r>
    </w:p>
    <w:p>
      <w:pPr>
        <w:pStyle w:val="388"/>
        <w:numPr>
          <w:ilvl w:val="0"/>
          <w:numId w:val="8"/>
        </w:numPr>
        <w:spacing w:after="156"/>
        <w:ind w:left="0" w:firstLine="480"/>
        <w:rPr>
          <w:rFonts w:hint="default" w:ascii="Times New Roman" w:hAnsi="Times New Roman" w:cs="Times New Roman"/>
          <w:color w:val="auto"/>
          <w:szCs w:val="24"/>
          <w:highlight w:val="none"/>
        </w:rPr>
      </w:pPr>
      <w:r>
        <w:rPr>
          <w:rFonts w:hint="default" w:ascii="Times New Roman" w:hAnsi="Times New Roman" w:cs="Times New Roman"/>
          <w:color w:val="auto"/>
          <w:kern w:val="0"/>
          <w:szCs w:val="24"/>
          <w:highlight w:val="none"/>
          <w:lang w:val="en-GB"/>
        </w:rPr>
        <w:t>本项目运营维护履约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为</w:t>
      </w:r>
      <w:r>
        <w:rPr>
          <w:rFonts w:hint="eastAsia" w:cs="Times New Roman"/>
          <w:color w:val="auto"/>
          <w:kern w:val="0"/>
          <w:szCs w:val="24"/>
          <w:highlight w:val="none"/>
          <w:lang w:val="en-US" w:eastAsia="zh-CN"/>
        </w:rPr>
        <w:t>30</w:t>
      </w:r>
      <w:r>
        <w:rPr>
          <w:rFonts w:hint="default" w:ascii="Times New Roman" w:hAnsi="Times New Roman" w:cs="Times New Roman"/>
          <w:color w:val="auto"/>
          <w:kern w:val="0"/>
          <w:szCs w:val="24"/>
          <w:highlight w:val="none"/>
          <w:lang w:eastAsia="zh-CN"/>
        </w:rPr>
        <w:t>万</w:t>
      </w:r>
      <w:r>
        <w:rPr>
          <w:rFonts w:hint="default" w:ascii="Times New Roman" w:hAnsi="Times New Roman" w:cs="Times New Roman"/>
          <w:color w:val="auto"/>
          <w:kern w:val="0"/>
          <w:szCs w:val="24"/>
          <w:highlight w:val="none"/>
          <w:lang w:val="en-GB"/>
        </w:rPr>
        <w:t>元；</w:t>
      </w:r>
    </w:p>
    <w:p>
      <w:pPr>
        <w:pStyle w:val="388"/>
        <w:numPr>
          <w:ilvl w:val="0"/>
          <w:numId w:val="8"/>
        </w:numPr>
        <w:spacing w:after="156"/>
        <w:ind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0"/>
          <w:szCs w:val="24"/>
          <w:highlight w:val="none"/>
          <w:lang w:val="en-GB"/>
        </w:rPr>
        <w:t>符合本协议附件规定的格式或甲方同意的其他格式；</w:t>
      </w:r>
    </w:p>
    <w:p>
      <w:pPr>
        <w:pStyle w:val="388"/>
        <w:numPr>
          <w:ilvl w:val="0"/>
          <w:numId w:val="8"/>
        </w:numPr>
        <w:spacing w:after="156"/>
        <w:ind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0"/>
          <w:szCs w:val="24"/>
          <w:highlight w:val="none"/>
          <w:lang w:val="en-GB"/>
        </w:rPr>
        <w:t>以甲方作为受益人；</w:t>
      </w:r>
    </w:p>
    <w:p>
      <w:pPr>
        <w:pStyle w:val="388"/>
        <w:numPr>
          <w:ilvl w:val="0"/>
          <w:numId w:val="8"/>
        </w:numPr>
        <w:spacing w:after="156"/>
        <w:ind w:left="0" w:firstLine="480"/>
        <w:rPr>
          <w:rFonts w:hint="default" w:ascii="Times New Roman" w:hAnsi="Times New Roman" w:cs="Times New Roman"/>
          <w:color w:val="auto"/>
          <w:szCs w:val="24"/>
          <w:highlight w:val="none"/>
        </w:rPr>
      </w:pPr>
      <w:r>
        <w:rPr>
          <w:rFonts w:hint="default" w:ascii="Times New Roman" w:hAnsi="Times New Roman" w:cs="Times New Roman"/>
          <w:color w:val="auto"/>
          <w:kern w:val="0"/>
          <w:szCs w:val="24"/>
          <w:highlight w:val="none"/>
          <w:lang w:val="en-GB"/>
        </w:rPr>
        <w:t>应由具有相应担保额度的在中国境内注册的国有商业银行开具或符合法律法规、甲方认可的</w:t>
      </w:r>
      <w:r>
        <w:rPr>
          <w:rFonts w:hint="default" w:ascii="Times New Roman" w:hAnsi="Times New Roman" w:cs="Times New Roman"/>
          <w:color w:val="auto"/>
          <w:kern w:val="0"/>
          <w:szCs w:val="24"/>
          <w:highlight w:val="none"/>
          <w:lang w:val="en-US" w:eastAsia="zh-CN"/>
        </w:rPr>
        <w:t>担保机构开具</w:t>
      </w:r>
      <w:r>
        <w:rPr>
          <w:rFonts w:hint="default" w:ascii="Times New Roman" w:hAnsi="Times New Roman" w:cs="Times New Roman"/>
          <w:color w:val="auto"/>
          <w:kern w:val="0"/>
          <w:szCs w:val="24"/>
          <w:highlight w:val="none"/>
          <w:lang w:val="en-GB"/>
        </w:rPr>
        <w:t>。</w:t>
      </w:r>
    </w:p>
    <w:p>
      <w:pPr>
        <w:pStyle w:val="138"/>
        <w:spacing w:after="156"/>
        <w:rPr>
          <w:rFonts w:hint="default" w:ascii="Times New Roman" w:hAnsi="Times New Roman" w:cs="Times New Roman"/>
          <w:color w:val="auto"/>
          <w:highlight w:val="none"/>
        </w:rPr>
      </w:pPr>
      <w:bookmarkStart w:id="216" w:name="_Ref487362091"/>
      <w:bookmarkStart w:id="217" w:name="_Toc497644264"/>
      <w:bookmarkStart w:id="218" w:name="_Toc7531"/>
      <w:bookmarkStart w:id="219" w:name="_Ref487362044"/>
      <w:r>
        <w:rPr>
          <w:rFonts w:hint="default" w:ascii="Times New Roman" w:hAnsi="Times New Roman" w:cs="Times New Roman"/>
          <w:color w:val="auto"/>
          <w:highlight w:val="none"/>
        </w:rPr>
        <w:t>移交维护履约</w:t>
      </w:r>
      <w:bookmarkEnd w:id="216"/>
      <w:bookmarkEnd w:id="217"/>
      <w:bookmarkEnd w:id="218"/>
      <w:bookmarkEnd w:id="219"/>
      <w:r>
        <w:rPr>
          <w:rFonts w:hint="eastAsia" w:ascii="Times New Roman" w:hAnsi="Times New Roman" w:cs="Times New Roman"/>
          <w:color w:val="auto"/>
          <w:highlight w:val="none"/>
          <w:lang w:eastAsia="zh-CN"/>
        </w:rPr>
        <w:t>保证金</w:t>
      </w:r>
    </w:p>
    <w:p>
      <w:pPr>
        <w:pStyle w:val="388"/>
        <w:spacing w:after="15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项目特许经营期满前12个月，项目公司或乙方（或乙方主要成员）应向甲方提供符合下列要求的移交维护履约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，以担保</w:t>
      </w:r>
      <w:r>
        <w:rPr>
          <w:rFonts w:hint="default" w:ascii="Times New Roman" w:hAnsi="Times New Roman" w:cs="Times New Roman"/>
          <w:color w:val="auto"/>
          <w:szCs w:val="24"/>
          <w:highlight w:val="none"/>
          <w:lang w:val="en-US" w:eastAsia="zh-CN"/>
        </w:rPr>
        <w:t>乙方在本协议项下的责任，以及担保</w:t>
      </w:r>
      <w:r>
        <w:rPr>
          <w:rFonts w:hint="default" w:ascii="Times New Roman" w:hAnsi="Times New Roman" w:cs="Times New Roman"/>
          <w:color w:val="auto"/>
          <w:szCs w:val="24"/>
          <w:highlight w:val="none"/>
        </w:rPr>
        <w:t>项目公司移交、项目设施恢复性大修、项目设施存在隐蔽性缺陷等</w:t>
      </w:r>
      <w:r>
        <w:rPr>
          <w:rFonts w:hint="default" w:ascii="Times New Roman" w:hAnsi="Times New Roman" w:cs="Times New Roman"/>
          <w:color w:val="auto"/>
          <w:szCs w:val="24"/>
          <w:highlight w:val="none"/>
          <w:lang w:val="en-US" w:eastAsia="zh-CN"/>
        </w:rPr>
        <w:t>期间所有工作</w:t>
      </w:r>
      <w:r>
        <w:rPr>
          <w:rFonts w:hint="default" w:ascii="Times New Roman" w:hAnsi="Times New Roman" w:cs="Times New Roman"/>
          <w:color w:val="auto"/>
          <w:szCs w:val="24"/>
          <w:highlight w:val="none"/>
        </w:rPr>
        <w:t>：</w:t>
      </w:r>
    </w:p>
    <w:p>
      <w:pPr>
        <w:pStyle w:val="388"/>
        <w:numPr>
          <w:ilvl w:val="0"/>
          <w:numId w:val="9"/>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移交维护履约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rPr>
        <w:t>为</w:t>
      </w:r>
      <w:r>
        <w:rPr>
          <w:rFonts w:hint="eastAsia" w:cs="Times New Roman"/>
          <w:color w:val="auto"/>
          <w:kern w:val="0"/>
          <w:szCs w:val="24"/>
          <w:highlight w:val="none"/>
          <w:lang w:val="en-US" w:eastAsia="zh-CN"/>
        </w:rPr>
        <w:t>500</w:t>
      </w:r>
      <w:r>
        <w:rPr>
          <w:rFonts w:hint="default" w:ascii="Times New Roman" w:hAnsi="Times New Roman" w:cs="Times New Roman"/>
          <w:color w:val="auto"/>
          <w:kern w:val="0"/>
          <w:szCs w:val="24"/>
          <w:highlight w:val="none"/>
          <w:lang w:val="en-GB"/>
        </w:rPr>
        <w:t>万元；</w:t>
      </w:r>
    </w:p>
    <w:p>
      <w:pPr>
        <w:pStyle w:val="388"/>
        <w:numPr>
          <w:ilvl w:val="0"/>
          <w:numId w:val="9"/>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符合本协议附件规定的格式或甲方同意的其他格式；</w:t>
      </w:r>
    </w:p>
    <w:p>
      <w:pPr>
        <w:pStyle w:val="388"/>
        <w:numPr>
          <w:ilvl w:val="0"/>
          <w:numId w:val="9"/>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以甲方作为受益人；</w:t>
      </w:r>
    </w:p>
    <w:p>
      <w:pPr>
        <w:pStyle w:val="388"/>
        <w:numPr>
          <w:ilvl w:val="0"/>
          <w:numId w:val="9"/>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应由具有相应担保额度的中国境内注册的国有商业银行开具或符合法律法规、甲方认可的</w:t>
      </w:r>
      <w:r>
        <w:rPr>
          <w:rFonts w:hint="default" w:ascii="Times New Roman" w:hAnsi="Times New Roman" w:cs="Times New Roman"/>
          <w:color w:val="auto"/>
          <w:kern w:val="0"/>
          <w:szCs w:val="24"/>
          <w:highlight w:val="none"/>
          <w:lang w:val="en-US" w:eastAsia="zh-CN"/>
        </w:rPr>
        <w:t>担保机构开具</w:t>
      </w:r>
      <w:r>
        <w:rPr>
          <w:rFonts w:hint="default" w:ascii="Times New Roman" w:hAnsi="Times New Roman" w:cs="Times New Roman"/>
          <w:color w:val="auto"/>
          <w:kern w:val="0"/>
          <w:szCs w:val="24"/>
          <w:highlight w:val="none"/>
          <w:lang w:val="en-GB"/>
        </w:rPr>
        <w:t>。</w:t>
      </w:r>
    </w:p>
    <w:p>
      <w:pPr>
        <w:pStyle w:val="388"/>
        <w:numPr>
          <w:ilvl w:val="0"/>
          <w:numId w:val="9"/>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eastAsia="zh"/>
        </w:rPr>
        <w:t>如果在运营维护期间本协议及特许经营协议提前终止，则乙方需在提交维护履约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eastAsia="zh"/>
        </w:rPr>
        <w:t>后，双方签订终止协议。</w:t>
      </w:r>
    </w:p>
    <w:p>
      <w:pPr>
        <w:pStyle w:val="388"/>
        <w:numPr>
          <w:ilvl w:val="-1"/>
          <w:numId w:val="0"/>
        </w:numPr>
        <w:spacing w:after="156"/>
        <w:ind w:left="0" w:firstLine="480"/>
        <w:rPr>
          <w:rFonts w:hint="default" w:ascii="Times New Roman" w:hAnsi="Times New Roman" w:cs="Times New Roman"/>
          <w:color w:val="auto"/>
          <w:kern w:val="2"/>
          <w:szCs w:val="24"/>
          <w:highlight w:val="none"/>
          <w:lang w:val="en-GB"/>
        </w:rPr>
      </w:pPr>
      <w:r>
        <w:rPr>
          <w:rFonts w:hint="default" w:ascii="Times New Roman" w:hAnsi="Times New Roman" w:cs="Times New Roman"/>
          <w:color w:val="auto"/>
          <w:kern w:val="2"/>
          <w:szCs w:val="24"/>
          <w:highlight w:val="none"/>
          <w:lang w:val="en-GB"/>
        </w:rPr>
        <w:t>如果在运营维护期间本协议及特许经营协议提前终止，则乙方需向甲方提交移交维护履约</w:t>
      </w:r>
      <w:r>
        <w:rPr>
          <w:rFonts w:hint="eastAsia" w:cs="Times New Roman"/>
          <w:color w:val="auto"/>
          <w:kern w:val="2"/>
          <w:szCs w:val="24"/>
          <w:highlight w:val="none"/>
          <w:lang w:val="en-GB" w:eastAsia="zh-CN"/>
        </w:rPr>
        <w:t>保证金</w:t>
      </w:r>
      <w:r>
        <w:rPr>
          <w:rFonts w:hint="default" w:ascii="Times New Roman" w:hAnsi="Times New Roman" w:cs="Times New Roman"/>
          <w:color w:val="auto"/>
          <w:kern w:val="2"/>
          <w:szCs w:val="24"/>
          <w:highlight w:val="none"/>
          <w:lang w:val="en-GB"/>
        </w:rPr>
        <w:t>，并在移交日期</w:t>
      </w:r>
      <w:r>
        <w:rPr>
          <w:rFonts w:hint="default" w:ascii="Times New Roman" w:hAnsi="Times New Roman" w:cs="Times New Roman"/>
          <w:color w:val="auto"/>
          <w:kern w:val="2"/>
          <w:szCs w:val="24"/>
          <w:highlight w:val="none"/>
        </w:rPr>
        <w:t>结束</w:t>
      </w:r>
      <w:r>
        <w:rPr>
          <w:rFonts w:hint="default" w:ascii="Times New Roman" w:hAnsi="Times New Roman" w:cs="Times New Roman"/>
          <w:color w:val="auto"/>
          <w:kern w:val="2"/>
          <w:szCs w:val="24"/>
          <w:highlight w:val="none"/>
          <w:lang w:val="en-GB"/>
        </w:rPr>
        <w:t>后十二（12）个月内保持有效。</w:t>
      </w:r>
    </w:p>
    <w:p>
      <w:pPr>
        <w:pStyle w:val="138"/>
        <w:spacing w:after="156"/>
        <w:rPr>
          <w:rFonts w:hint="default" w:ascii="Times New Roman" w:hAnsi="Times New Roman" w:cs="Times New Roman"/>
          <w:color w:val="auto"/>
          <w:highlight w:val="none"/>
        </w:rPr>
      </w:pPr>
      <w:bookmarkStart w:id="220" w:name="_Ref14980"/>
      <w:bookmarkStart w:id="221" w:name="_Ref492024092"/>
      <w:bookmarkStart w:id="222" w:name="_Toc497644265"/>
      <w:bookmarkStart w:id="223" w:name="_Toc29430"/>
      <w:r>
        <w:rPr>
          <w:rFonts w:hint="default" w:ascii="Times New Roman" w:hAnsi="Times New Roman" w:cs="Times New Roman"/>
          <w:color w:val="auto"/>
          <w:highlight w:val="none"/>
        </w:rPr>
        <w:t>履约</w:t>
      </w:r>
      <w:r>
        <w:rPr>
          <w:rFonts w:hint="eastAsia" w:ascii="Times New Roman" w:hAnsi="Times New Roman" w:cs="Times New Roman"/>
          <w:color w:val="auto"/>
          <w:highlight w:val="none"/>
          <w:lang w:eastAsia="zh-CN"/>
        </w:rPr>
        <w:t>保证金</w:t>
      </w:r>
      <w:r>
        <w:rPr>
          <w:rFonts w:hint="default" w:ascii="Times New Roman" w:hAnsi="Times New Roman" w:cs="Times New Roman"/>
          <w:color w:val="auto"/>
          <w:highlight w:val="none"/>
        </w:rPr>
        <w:t>的兑取</w:t>
      </w:r>
      <w:bookmarkEnd w:id="220"/>
      <w:bookmarkEnd w:id="221"/>
      <w:bookmarkEnd w:id="222"/>
      <w:bookmarkEnd w:id="223"/>
    </w:p>
    <w:p>
      <w:pPr>
        <w:pStyle w:val="388"/>
        <w:numPr>
          <w:ilvl w:val="0"/>
          <w:numId w:val="10"/>
        </w:numPr>
        <w:spacing w:after="156"/>
        <w:ind w:left="0" w:firstLine="480"/>
        <w:rPr>
          <w:rFonts w:hint="default" w:ascii="Times New Roman" w:hAnsi="Times New Roman" w:cs="Times New Roman"/>
          <w:color w:val="auto"/>
          <w:kern w:val="0"/>
          <w:szCs w:val="24"/>
          <w:highlight w:val="none"/>
          <w:lang w:val="en-GB"/>
        </w:rPr>
      </w:pPr>
      <w:bookmarkStart w:id="224" w:name="_Ref492024094"/>
      <w:r>
        <w:rPr>
          <w:rFonts w:hint="default" w:ascii="Times New Roman" w:hAnsi="Times New Roman" w:cs="Times New Roman"/>
          <w:color w:val="auto"/>
          <w:kern w:val="0"/>
          <w:szCs w:val="24"/>
          <w:highlight w:val="none"/>
          <w:lang w:val="en-GB"/>
        </w:rPr>
        <w:t>如果发生乙方未全部或部分履行其在本协议项下的义务（如中标履约、</w:t>
      </w:r>
      <w:r>
        <w:rPr>
          <w:rFonts w:hint="default" w:ascii="Times New Roman" w:hAnsi="Times New Roman" w:cs="Times New Roman"/>
          <w:color w:val="auto"/>
          <w:kern w:val="0"/>
          <w:szCs w:val="24"/>
          <w:highlight w:val="none"/>
        </w:rPr>
        <w:t>特许经营协议签订、</w:t>
      </w:r>
      <w:r>
        <w:rPr>
          <w:rFonts w:hint="default" w:ascii="Times New Roman" w:hAnsi="Times New Roman" w:cs="Times New Roman"/>
          <w:color w:val="auto"/>
          <w:kern w:val="0"/>
          <w:szCs w:val="24"/>
          <w:highlight w:val="none"/>
          <w:lang w:val="en-GB"/>
        </w:rPr>
        <w:t>限期内</w:t>
      </w:r>
      <w:r>
        <w:rPr>
          <w:rFonts w:hint="default" w:ascii="Times New Roman" w:hAnsi="Times New Roman" w:cs="Times New Roman"/>
          <w:color w:val="auto"/>
          <w:kern w:val="0"/>
          <w:highlight w:val="none"/>
          <w:lang w:val="en-GB"/>
        </w:rPr>
        <w:t>履行出资义务等）、项目公司未全部或部分履行其在特许经营协议项下的义务</w:t>
      </w:r>
      <w:r>
        <w:rPr>
          <w:rFonts w:hint="default" w:ascii="Times New Roman" w:hAnsi="Times New Roman" w:cs="Times New Roman"/>
          <w:color w:val="auto"/>
          <w:kern w:val="0"/>
          <w:highlight w:val="none"/>
          <w:lang w:val="en-GB" w:eastAsia="zh-CN"/>
        </w:rPr>
        <w:t>（</w:t>
      </w:r>
      <w:r>
        <w:rPr>
          <w:rFonts w:hint="default" w:ascii="Times New Roman" w:hAnsi="Times New Roman" w:cs="Times New Roman"/>
          <w:color w:val="auto"/>
          <w:kern w:val="0"/>
          <w:highlight w:val="none"/>
          <w:lang w:val="en-GB"/>
        </w:rPr>
        <w:t>投融资、建设、运营或项目移交</w:t>
      </w:r>
      <w:r>
        <w:rPr>
          <w:rFonts w:hint="default" w:ascii="Times New Roman" w:hAnsi="Times New Roman" w:cs="Times New Roman"/>
          <w:color w:val="auto"/>
          <w:kern w:val="0"/>
          <w:highlight w:val="none"/>
          <w:lang w:val="en-US" w:eastAsia="zh-CN"/>
        </w:rPr>
        <w:t>等</w:t>
      </w:r>
      <w:r>
        <w:rPr>
          <w:rFonts w:hint="default" w:ascii="Times New Roman" w:hAnsi="Times New Roman" w:cs="Times New Roman"/>
          <w:color w:val="auto"/>
          <w:kern w:val="0"/>
          <w:highlight w:val="none"/>
          <w:lang w:val="en-GB" w:eastAsia="zh-CN"/>
        </w:rPr>
        <w:t>）</w:t>
      </w:r>
      <w:r>
        <w:rPr>
          <w:rFonts w:hint="default" w:ascii="Times New Roman" w:hAnsi="Times New Roman" w:cs="Times New Roman"/>
          <w:color w:val="auto"/>
          <w:kern w:val="0"/>
          <w:highlight w:val="none"/>
          <w:lang w:val="en-GB"/>
        </w:rPr>
        <w:t>，且在甲方要求的期限内未予补正，或未按本协议、特许经营协议的约定承担违约责任，甲方有权兑取相应履约</w:t>
      </w:r>
      <w:r>
        <w:rPr>
          <w:rFonts w:hint="eastAsia" w:cs="Times New Roman"/>
          <w:color w:val="auto"/>
          <w:kern w:val="0"/>
          <w:highlight w:val="none"/>
          <w:lang w:val="en-GB" w:eastAsia="zh-CN"/>
        </w:rPr>
        <w:t>保证金</w:t>
      </w:r>
      <w:r>
        <w:rPr>
          <w:rFonts w:hint="default" w:ascii="Times New Roman" w:hAnsi="Times New Roman" w:cs="Times New Roman"/>
          <w:color w:val="auto"/>
          <w:kern w:val="0"/>
          <w:highlight w:val="none"/>
          <w:lang w:val="en-GB"/>
        </w:rPr>
        <w:t>的全部或部分（甲方</w:t>
      </w:r>
      <w:r>
        <w:rPr>
          <w:rFonts w:hint="default" w:ascii="Times New Roman" w:hAnsi="Times New Roman" w:cs="Times New Roman"/>
          <w:color w:val="auto"/>
          <w:kern w:val="0"/>
          <w:highlight w:val="none"/>
        </w:rPr>
        <w:t>依据本协议、特许经营协议或</w:t>
      </w:r>
      <w:r>
        <w:rPr>
          <w:rFonts w:hint="default" w:ascii="Times New Roman" w:hAnsi="Times New Roman" w:cs="Times New Roman"/>
          <w:color w:val="auto"/>
          <w:kern w:val="0"/>
          <w:highlight w:val="none"/>
          <w:lang w:val="en-GB"/>
        </w:rPr>
        <w:t>有权自行评估确定）金额。</w:t>
      </w:r>
      <w:bookmarkEnd w:id="224"/>
    </w:p>
    <w:p>
      <w:pPr>
        <w:pStyle w:val="388"/>
        <w:numPr>
          <w:ilvl w:val="0"/>
          <w:numId w:val="10"/>
        </w:numPr>
        <w:spacing w:after="156"/>
        <w:ind w:left="0" w:firstLine="480"/>
        <w:rPr>
          <w:rFonts w:hint="default" w:ascii="Times New Roman" w:hAnsi="Times New Roman" w:cs="Times New Roman"/>
          <w:color w:val="auto"/>
          <w:kern w:val="0"/>
          <w:szCs w:val="24"/>
          <w:highlight w:val="none"/>
          <w:lang w:val="en-GB"/>
        </w:rPr>
      </w:pPr>
      <w:bookmarkStart w:id="225" w:name="_Ref5971"/>
      <w:r>
        <w:rPr>
          <w:rFonts w:hint="default" w:ascii="Times New Roman" w:hAnsi="Times New Roman" w:cs="Times New Roman"/>
          <w:color w:val="auto"/>
          <w:kern w:val="0"/>
          <w:szCs w:val="24"/>
          <w:highlight w:val="none"/>
          <w:lang w:val="en-GB"/>
        </w:rPr>
        <w:t>如果</w:t>
      </w:r>
      <w:r>
        <w:rPr>
          <w:rFonts w:hint="default" w:ascii="Times New Roman" w:hAnsi="Times New Roman" w:cs="Times New Roman"/>
          <w:color w:val="auto"/>
          <w:szCs w:val="24"/>
          <w:highlight w:val="none"/>
        </w:rPr>
        <w:t>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kern w:val="0"/>
          <w:szCs w:val="24"/>
          <w:highlight w:val="none"/>
          <w:lang w:val="en-GB"/>
        </w:rPr>
        <w:t>未按照本协议第</w:t>
      </w:r>
      <w:r>
        <w:rPr>
          <w:rFonts w:hint="default" w:ascii="Times New Roman" w:hAnsi="Times New Roman" w:cs="Times New Roman"/>
          <w:color w:val="auto"/>
          <w:kern w:val="0"/>
          <w:szCs w:val="24"/>
          <w:highlight w:val="none"/>
          <w:lang w:val="en-GB"/>
        </w:rPr>
        <w:fldChar w:fldCharType="begin"/>
      </w:r>
      <w:r>
        <w:rPr>
          <w:rFonts w:hint="default" w:ascii="Times New Roman" w:hAnsi="Times New Roman" w:cs="Times New Roman"/>
          <w:color w:val="auto"/>
          <w:kern w:val="0"/>
          <w:szCs w:val="24"/>
          <w:highlight w:val="none"/>
          <w:lang w:val="en-GB"/>
        </w:rPr>
        <w:instrText xml:space="preserve"> REF _Ref487362005 \n \h </w:instrText>
      </w:r>
      <w:r>
        <w:rPr>
          <w:rFonts w:hint="default" w:ascii="Times New Roman" w:hAnsi="Times New Roman" w:cs="Times New Roman"/>
          <w:color w:val="auto"/>
          <w:kern w:val="0"/>
          <w:szCs w:val="24"/>
          <w:highlight w:val="none"/>
          <w:lang w:val="en-GB"/>
        </w:rPr>
        <w:fldChar w:fldCharType="separate"/>
      </w:r>
      <w:r>
        <w:rPr>
          <w:rFonts w:hint="default" w:ascii="Times New Roman" w:hAnsi="Times New Roman" w:cs="Times New Roman"/>
          <w:color w:val="auto"/>
          <w:kern w:val="0"/>
          <w:szCs w:val="24"/>
          <w:highlight w:val="none"/>
          <w:lang w:val="en-GB"/>
        </w:rPr>
        <w:t>8.5</w:t>
      </w:r>
      <w:r>
        <w:rPr>
          <w:rFonts w:hint="default" w:ascii="Times New Roman" w:hAnsi="Times New Roman" w:cs="Times New Roman"/>
          <w:color w:val="auto"/>
          <w:kern w:val="0"/>
          <w:szCs w:val="24"/>
          <w:highlight w:val="none"/>
          <w:lang w:val="en-GB"/>
        </w:rPr>
        <w:fldChar w:fldCharType="end"/>
      </w:r>
      <w:r>
        <w:rPr>
          <w:rFonts w:hint="default" w:ascii="Times New Roman" w:hAnsi="Times New Roman" w:cs="Times New Roman"/>
          <w:color w:val="auto"/>
          <w:kern w:val="0"/>
          <w:szCs w:val="24"/>
          <w:highlight w:val="none"/>
          <w:lang w:val="en-GB"/>
        </w:rPr>
        <w:t>条款的规定按时补充履约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的金额，甲方有权兑取履约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届时所剩余的全部金额。</w:t>
      </w:r>
      <w:bookmarkEnd w:id="225"/>
    </w:p>
    <w:p>
      <w:pPr>
        <w:pStyle w:val="388"/>
        <w:numPr>
          <w:ilvl w:val="0"/>
          <w:numId w:val="10"/>
        </w:numPr>
        <w:spacing w:after="156"/>
        <w:ind w:left="0" w:firstLine="480"/>
        <w:rPr>
          <w:rFonts w:hint="default" w:ascii="Times New Roman" w:hAnsi="Times New Roman" w:cs="Times New Roman"/>
          <w:color w:val="auto"/>
          <w:szCs w:val="24"/>
          <w:highlight w:val="none"/>
        </w:rPr>
      </w:pPr>
      <w:r>
        <w:rPr>
          <w:rFonts w:hint="default" w:ascii="Times New Roman" w:hAnsi="Times New Roman" w:cs="Times New Roman"/>
          <w:color w:val="auto"/>
          <w:kern w:val="0"/>
          <w:szCs w:val="24"/>
          <w:highlight w:val="none"/>
          <w:lang w:val="en-GB"/>
        </w:rPr>
        <w:t>甲方在兑取履约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任何金额之前，应向</w:t>
      </w:r>
      <w:r>
        <w:rPr>
          <w:rFonts w:hint="default" w:ascii="Times New Roman" w:hAnsi="Times New Roman" w:cs="Times New Roman"/>
          <w:color w:val="auto"/>
          <w:szCs w:val="24"/>
          <w:highlight w:val="none"/>
        </w:rPr>
        <w:t>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kern w:val="0"/>
          <w:szCs w:val="24"/>
          <w:highlight w:val="none"/>
          <w:lang w:val="en-GB"/>
        </w:rPr>
        <w:t>发出书面通知并告知甲方兑取的理由和拟兑取的金额。除非</w:t>
      </w:r>
      <w:r>
        <w:rPr>
          <w:rFonts w:hint="default" w:ascii="Times New Roman" w:hAnsi="Times New Roman" w:cs="Times New Roman"/>
          <w:color w:val="auto"/>
          <w:szCs w:val="24"/>
          <w:highlight w:val="none"/>
        </w:rPr>
        <w:t>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kern w:val="0"/>
          <w:szCs w:val="24"/>
          <w:highlight w:val="none"/>
          <w:lang w:val="en-GB"/>
        </w:rPr>
        <w:t>在收到该等通知后七（7）个工作日内向甲方全额支付上述拟兑取的金额，否则，甲方即有权立即兑取履约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的金额。</w:t>
      </w:r>
    </w:p>
    <w:p>
      <w:pPr>
        <w:pStyle w:val="138"/>
        <w:spacing w:after="156"/>
        <w:rPr>
          <w:rFonts w:hint="default" w:ascii="Times New Roman" w:hAnsi="Times New Roman" w:cs="Times New Roman"/>
          <w:color w:val="auto"/>
          <w:highlight w:val="none"/>
        </w:rPr>
      </w:pPr>
      <w:bookmarkStart w:id="226" w:name="_Toc497644266"/>
      <w:bookmarkStart w:id="227" w:name="_Toc16094"/>
      <w:bookmarkStart w:id="228" w:name="_Ref487362070"/>
      <w:bookmarkStart w:id="229" w:name="_Ref487362005"/>
      <w:bookmarkStart w:id="230" w:name="_Ref487362022"/>
      <w:r>
        <w:rPr>
          <w:rFonts w:hint="default" w:ascii="Times New Roman" w:hAnsi="Times New Roman" w:cs="Times New Roman"/>
          <w:color w:val="auto"/>
          <w:highlight w:val="none"/>
        </w:rPr>
        <w:t>恢复履约</w:t>
      </w:r>
      <w:r>
        <w:rPr>
          <w:rFonts w:hint="eastAsia" w:ascii="Times New Roman" w:hAnsi="Times New Roman" w:cs="Times New Roman"/>
          <w:color w:val="auto"/>
          <w:highlight w:val="none"/>
          <w:lang w:eastAsia="zh-CN"/>
        </w:rPr>
        <w:t>保证金</w:t>
      </w:r>
      <w:r>
        <w:rPr>
          <w:rFonts w:hint="default" w:ascii="Times New Roman" w:hAnsi="Times New Roman" w:cs="Times New Roman"/>
          <w:color w:val="auto"/>
          <w:highlight w:val="none"/>
        </w:rPr>
        <w:t>的金额</w:t>
      </w:r>
      <w:bookmarkEnd w:id="226"/>
      <w:bookmarkEnd w:id="227"/>
      <w:bookmarkEnd w:id="228"/>
      <w:bookmarkEnd w:id="229"/>
      <w:bookmarkEnd w:id="230"/>
    </w:p>
    <w:p>
      <w:pPr>
        <w:pStyle w:val="388"/>
        <w:spacing w:after="156"/>
        <w:ind w:firstLine="48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若甲方在合作期内根据本协议或特许经营协议的规定兑取履约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项下的金额，乙方/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szCs w:val="24"/>
          <w:highlight w:val="none"/>
        </w:rPr>
        <w:t>应在履约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被兑取之日起的三十（30）日内将履约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补充至本协议第</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REF _Ref14592 \n \h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8.1</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条款至第</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REF _Ref487362044 \n \h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8.3</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szCs w:val="24"/>
          <w:highlight w:val="none"/>
        </w:rPr>
        <w:t>条款中规定的金额，并向甲方出示其已经恢复履约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金额的证明。</w:t>
      </w:r>
    </w:p>
    <w:p>
      <w:pPr>
        <w:pStyle w:val="138"/>
        <w:spacing w:after="156"/>
        <w:rPr>
          <w:rFonts w:hint="default" w:ascii="Times New Roman" w:hAnsi="Times New Roman" w:cs="Times New Roman"/>
          <w:color w:val="auto"/>
          <w:highlight w:val="none"/>
        </w:rPr>
      </w:pPr>
      <w:bookmarkStart w:id="231" w:name="_Toc497644267"/>
      <w:bookmarkStart w:id="232" w:name="_Ref487362028"/>
      <w:bookmarkStart w:id="233" w:name="_Toc30269"/>
      <w:r>
        <w:rPr>
          <w:rFonts w:hint="default" w:ascii="Times New Roman" w:hAnsi="Times New Roman" w:cs="Times New Roman"/>
          <w:color w:val="auto"/>
          <w:highlight w:val="none"/>
        </w:rPr>
        <w:t>未恢复</w:t>
      </w:r>
      <w:r>
        <w:rPr>
          <w:rFonts w:hint="eastAsia" w:ascii="Times New Roman" w:hAnsi="Times New Roman" w:cs="Times New Roman"/>
          <w:color w:val="auto"/>
          <w:highlight w:val="none"/>
          <w:lang w:eastAsia="zh-CN"/>
        </w:rPr>
        <w:t>保证金</w:t>
      </w:r>
      <w:r>
        <w:rPr>
          <w:rFonts w:hint="default" w:ascii="Times New Roman" w:hAnsi="Times New Roman" w:cs="Times New Roman"/>
          <w:color w:val="auto"/>
          <w:highlight w:val="none"/>
        </w:rPr>
        <w:t>数额</w:t>
      </w:r>
      <w:bookmarkEnd w:id="231"/>
      <w:bookmarkEnd w:id="232"/>
      <w:bookmarkEnd w:id="233"/>
    </w:p>
    <w:p>
      <w:pPr>
        <w:pStyle w:val="388"/>
        <w:spacing w:after="156"/>
        <w:ind w:firstLine="480"/>
        <w:rPr>
          <w:rFonts w:hint="default" w:ascii="Times New Roman" w:hAnsi="Times New Roman" w:cs="Times New Roman"/>
          <w:color w:val="auto"/>
          <w:szCs w:val="24"/>
          <w:highlight w:val="none"/>
        </w:rPr>
      </w:pPr>
      <w:bookmarkStart w:id="234" w:name="_Toc497644268"/>
      <w:r>
        <w:rPr>
          <w:rFonts w:hint="default" w:ascii="Times New Roman" w:hAnsi="Times New Roman" w:cs="Times New Roman"/>
          <w:color w:val="auto"/>
          <w:szCs w:val="24"/>
          <w:highlight w:val="none"/>
        </w:rPr>
        <w:t>如果乙方/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szCs w:val="24"/>
          <w:highlight w:val="none"/>
        </w:rPr>
        <w:t>没有遵守第</w:t>
      </w:r>
      <w:r>
        <w:rPr>
          <w:rFonts w:hint="default" w:ascii="Times New Roman" w:hAnsi="Times New Roman" w:cs="Times New Roman"/>
          <w:color w:val="auto"/>
          <w:kern w:val="0"/>
          <w:szCs w:val="24"/>
          <w:highlight w:val="none"/>
          <w:lang w:val="en-GB"/>
        </w:rPr>
        <w:fldChar w:fldCharType="begin"/>
      </w:r>
      <w:r>
        <w:rPr>
          <w:rFonts w:hint="default" w:ascii="Times New Roman" w:hAnsi="Times New Roman" w:cs="Times New Roman"/>
          <w:color w:val="auto"/>
          <w:kern w:val="0"/>
          <w:szCs w:val="24"/>
          <w:highlight w:val="none"/>
          <w:lang w:val="en-GB"/>
        </w:rPr>
        <w:instrText xml:space="preserve"> REF _Ref487362005 \n \h </w:instrText>
      </w:r>
      <w:r>
        <w:rPr>
          <w:rFonts w:hint="default" w:ascii="Times New Roman" w:hAnsi="Times New Roman" w:cs="Times New Roman"/>
          <w:color w:val="auto"/>
          <w:kern w:val="0"/>
          <w:szCs w:val="24"/>
          <w:highlight w:val="none"/>
          <w:lang w:val="en-GB"/>
        </w:rPr>
        <w:fldChar w:fldCharType="separate"/>
      </w:r>
      <w:r>
        <w:rPr>
          <w:rFonts w:hint="default" w:ascii="Times New Roman" w:hAnsi="Times New Roman" w:cs="Times New Roman"/>
          <w:color w:val="auto"/>
          <w:kern w:val="0"/>
          <w:szCs w:val="24"/>
          <w:highlight w:val="none"/>
          <w:lang w:val="en-GB"/>
        </w:rPr>
        <w:t>8.5</w:t>
      </w:r>
      <w:r>
        <w:rPr>
          <w:rFonts w:hint="default" w:ascii="Times New Roman" w:hAnsi="Times New Roman" w:cs="Times New Roman"/>
          <w:color w:val="auto"/>
          <w:kern w:val="0"/>
          <w:szCs w:val="24"/>
          <w:highlight w:val="none"/>
          <w:lang w:val="en-GB"/>
        </w:rPr>
        <w:fldChar w:fldCharType="end"/>
      </w:r>
      <w:r>
        <w:rPr>
          <w:rFonts w:hint="default" w:ascii="Times New Roman" w:hAnsi="Times New Roman" w:cs="Times New Roman"/>
          <w:color w:val="auto"/>
          <w:szCs w:val="24"/>
          <w:highlight w:val="none"/>
        </w:rPr>
        <w:t>款的规定，并且乙方/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szCs w:val="24"/>
          <w:highlight w:val="none"/>
        </w:rPr>
        <w:t>在收到甲方要求其履行义务的书面通知后七</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7</w:t>
      </w:r>
      <w:r>
        <w:rPr>
          <w:rFonts w:hint="default" w:ascii="Times New Roman" w:hAnsi="Times New Roman" w:cs="Times New Roman"/>
          <w:color w:val="auto"/>
          <w:szCs w:val="24"/>
          <w:highlight w:val="none"/>
          <w:lang w:eastAsia="zh-CN"/>
        </w:rPr>
        <w:t>）</w:t>
      </w:r>
      <w:r>
        <w:rPr>
          <w:rFonts w:hint="default" w:ascii="Times New Roman" w:hAnsi="Times New Roman" w:cs="Times New Roman"/>
          <w:color w:val="auto"/>
          <w:szCs w:val="24"/>
          <w:highlight w:val="none"/>
        </w:rPr>
        <w:t>个工作日内未予以纠正，甲方有权</w:t>
      </w:r>
      <w:bookmarkStart w:id="235" w:name="_Ref486949266"/>
      <w:r>
        <w:rPr>
          <w:rFonts w:hint="default" w:ascii="Times New Roman" w:hAnsi="Times New Roman" w:cs="Times New Roman"/>
          <w:color w:val="auto"/>
          <w:kern w:val="0"/>
          <w:highlight w:val="none"/>
          <w:lang w:val="en-GB"/>
        </w:rPr>
        <w:t>提取届时有效的</w:t>
      </w:r>
      <w:r>
        <w:rPr>
          <w:rFonts w:hint="eastAsia" w:cs="Times New Roman"/>
          <w:color w:val="auto"/>
          <w:kern w:val="0"/>
          <w:highlight w:val="none"/>
          <w:lang w:val="en-GB" w:eastAsia="zh-CN"/>
        </w:rPr>
        <w:t>保证金</w:t>
      </w:r>
      <w:r>
        <w:rPr>
          <w:rFonts w:hint="default" w:ascii="Times New Roman" w:hAnsi="Times New Roman" w:cs="Times New Roman"/>
          <w:color w:val="auto"/>
          <w:kern w:val="0"/>
          <w:highlight w:val="none"/>
          <w:lang w:val="en-GB"/>
        </w:rPr>
        <w:t>下的全部款项</w:t>
      </w:r>
      <w:bookmarkEnd w:id="235"/>
      <w:r>
        <w:rPr>
          <w:rFonts w:hint="default" w:ascii="Times New Roman" w:hAnsi="Times New Roman" w:cs="Times New Roman"/>
          <w:color w:val="auto"/>
          <w:kern w:val="0"/>
          <w:highlight w:val="none"/>
          <w:lang w:val="en-GB"/>
        </w:rPr>
        <w:t>，并</w:t>
      </w:r>
      <w:r>
        <w:rPr>
          <w:rFonts w:hint="default" w:ascii="Times New Roman" w:hAnsi="Times New Roman" w:cs="Times New Roman"/>
          <w:color w:val="auto"/>
          <w:kern w:val="0"/>
          <w:szCs w:val="24"/>
          <w:highlight w:val="none"/>
          <w:lang w:val="en-GB"/>
        </w:rPr>
        <w:t>扣留在特许经营协议中由甲方应支付给</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kern w:val="0"/>
          <w:szCs w:val="24"/>
          <w:highlight w:val="none"/>
          <w:lang w:val="en-GB"/>
        </w:rPr>
        <w:t>的任何款项，直至</w:t>
      </w:r>
      <w:r>
        <w:rPr>
          <w:rFonts w:hint="default" w:ascii="Times New Roman" w:hAnsi="Times New Roman" w:cs="Times New Roman"/>
          <w:color w:val="auto"/>
          <w:szCs w:val="24"/>
          <w:highlight w:val="none"/>
        </w:rPr>
        <w:t>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kern w:val="0"/>
          <w:szCs w:val="24"/>
          <w:highlight w:val="none"/>
          <w:lang w:val="en-GB"/>
        </w:rPr>
        <w:t>完全履行其在第</w:t>
      </w:r>
      <w:r>
        <w:rPr>
          <w:rFonts w:hint="default" w:ascii="Times New Roman" w:hAnsi="Times New Roman" w:cs="Times New Roman"/>
          <w:color w:val="auto"/>
          <w:kern w:val="0"/>
          <w:szCs w:val="24"/>
          <w:highlight w:val="none"/>
          <w:lang w:val="en-GB"/>
        </w:rPr>
        <w:fldChar w:fldCharType="begin"/>
      </w:r>
      <w:r>
        <w:rPr>
          <w:rFonts w:hint="default" w:ascii="Times New Roman" w:hAnsi="Times New Roman" w:cs="Times New Roman"/>
          <w:color w:val="auto"/>
          <w:kern w:val="0"/>
          <w:szCs w:val="24"/>
          <w:highlight w:val="none"/>
          <w:lang w:val="en-GB"/>
        </w:rPr>
        <w:instrText xml:space="preserve"> REF _Ref487362005 \n \h </w:instrText>
      </w:r>
      <w:r>
        <w:rPr>
          <w:rFonts w:hint="default" w:ascii="Times New Roman" w:hAnsi="Times New Roman" w:cs="Times New Roman"/>
          <w:color w:val="auto"/>
          <w:kern w:val="0"/>
          <w:szCs w:val="24"/>
          <w:highlight w:val="none"/>
          <w:lang w:val="en-GB"/>
        </w:rPr>
        <w:fldChar w:fldCharType="separate"/>
      </w:r>
      <w:r>
        <w:rPr>
          <w:rFonts w:hint="default" w:ascii="Times New Roman" w:hAnsi="Times New Roman" w:cs="Times New Roman"/>
          <w:color w:val="auto"/>
          <w:kern w:val="0"/>
          <w:szCs w:val="24"/>
          <w:highlight w:val="none"/>
          <w:lang w:val="en-GB"/>
        </w:rPr>
        <w:t>8.5</w:t>
      </w:r>
      <w:r>
        <w:rPr>
          <w:rFonts w:hint="default" w:ascii="Times New Roman" w:hAnsi="Times New Roman" w:cs="Times New Roman"/>
          <w:color w:val="auto"/>
          <w:kern w:val="0"/>
          <w:szCs w:val="24"/>
          <w:highlight w:val="none"/>
          <w:lang w:val="en-GB"/>
        </w:rPr>
        <w:fldChar w:fldCharType="end"/>
      </w:r>
      <w:r>
        <w:rPr>
          <w:rFonts w:hint="default" w:ascii="Times New Roman" w:hAnsi="Times New Roman" w:cs="Times New Roman"/>
          <w:color w:val="auto"/>
          <w:kern w:val="0"/>
          <w:szCs w:val="24"/>
          <w:highlight w:val="none"/>
          <w:lang w:val="en-GB"/>
        </w:rPr>
        <w:t>款下的义务或直至</w:t>
      </w:r>
      <w:r>
        <w:rPr>
          <w:rFonts w:hint="default" w:ascii="Times New Roman" w:hAnsi="Times New Roman" w:cs="Times New Roman"/>
          <w:color w:val="auto"/>
          <w:kern w:val="0"/>
          <w:szCs w:val="24"/>
          <w:highlight w:val="none"/>
        </w:rPr>
        <w:t>甲方</w:t>
      </w:r>
      <w:r>
        <w:rPr>
          <w:rFonts w:hint="default" w:ascii="Times New Roman" w:hAnsi="Times New Roman" w:cs="Times New Roman"/>
          <w:color w:val="auto"/>
          <w:kern w:val="0"/>
          <w:szCs w:val="24"/>
          <w:highlight w:val="none"/>
          <w:lang w:val="en-GB"/>
        </w:rPr>
        <w:t>所提取的金额和在</w:t>
      </w:r>
      <w:r>
        <w:rPr>
          <w:rFonts w:hint="default" w:ascii="Times New Roman" w:hAnsi="Times New Roman" w:cs="Times New Roman"/>
          <w:color w:val="auto"/>
          <w:kern w:val="0"/>
          <w:szCs w:val="24"/>
          <w:highlight w:val="none"/>
          <w:lang w:val="en-GB"/>
        </w:rPr>
        <w:fldChar w:fldCharType="begin"/>
      </w:r>
      <w:r>
        <w:rPr>
          <w:rFonts w:hint="default" w:ascii="Times New Roman" w:hAnsi="Times New Roman" w:cs="Times New Roman"/>
          <w:color w:val="auto"/>
          <w:kern w:val="0"/>
          <w:szCs w:val="24"/>
          <w:highlight w:val="none"/>
          <w:lang w:val="en-GB"/>
        </w:rPr>
        <w:instrText xml:space="preserve"> REF _Ref14980 \n \h </w:instrText>
      </w:r>
      <w:r>
        <w:rPr>
          <w:rFonts w:hint="default" w:ascii="Times New Roman" w:hAnsi="Times New Roman" w:cs="Times New Roman"/>
          <w:color w:val="auto"/>
          <w:kern w:val="0"/>
          <w:szCs w:val="24"/>
          <w:highlight w:val="none"/>
          <w:lang w:val="en-GB"/>
        </w:rPr>
        <w:fldChar w:fldCharType="separate"/>
      </w:r>
      <w:r>
        <w:rPr>
          <w:rFonts w:hint="default" w:ascii="Times New Roman" w:hAnsi="Times New Roman" w:cs="Times New Roman"/>
          <w:color w:val="auto"/>
          <w:kern w:val="0"/>
          <w:szCs w:val="24"/>
          <w:highlight w:val="none"/>
          <w:lang w:val="en-GB"/>
        </w:rPr>
        <w:t>8.4</w:t>
      </w:r>
      <w:r>
        <w:rPr>
          <w:rFonts w:hint="default" w:ascii="Times New Roman" w:hAnsi="Times New Roman" w:cs="Times New Roman"/>
          <w:color w:val="auto"/>
          <w:kern w:val="0"/>
          <w:szCs w:val="24"/>
          <w:highlight w:val="none"/>
          <w:lang w:val="en-GB"/>
        </w:rPr>
        <w:fldChar w:fldCharType="end"/>
      </w:r>
      <w:r>
        <w:rPr>
          <w:rFonts w:hint="default" w:ascii="Times New Roman" w:hAnsi="Times New Roman" w:cs="Times New Roman"/>
          <w:color w:val="auto"/>
          <w:kern w:val="0"/>
          <w:szCs w:val="24"/>
          <w:highlight w:val="none"/>
          <w:lang w:val="en-GB"/>
        </w:rPr>
        <w:fldChar w:fldCharType="begin"/>
      </w:r>
      <w:r>
        <w:rPr>
          <w:rFonts w:hint="default" w:ascii="Times New Roman" w:hAnsi="Times New Roman" w:cs="Times New Roman"/>
          <w:color w:val="auto"/>
          <w:kern w:val="0"/>
          <w:szCs w:val="24"/>
          <w:highlight w:val="none"/>
          <w:lang w:val="en-GB"/>
        </w:rPr>
        <w:instrText xml:space="preserve"> REF _Ref5971 \n \h </w:instrText>
      </w:r>
      <w:r>
        <w:rPr>
          <w:rFonts w:hint="default" w:ascii="Times New Roman" w:hAnsi="Times New Roman" w:cs="Times New Roman"/>
          <w:color w:val="auto"/>
          <w:kern w:val="0"/>
          <w:szCs w:val="24"/>
          <w:highlight w:val="none"/>
          <w:lang w:val="en-GB"/>
        </w:rPr>
        <w:fldChar w:fldCharType="separate"/>
      </w:r>
      <w:r>
        <w:rPr>
          <w:rFonts w:hint="default" w:ascii="Times New Roman" w:hAnsi="Times New Roman" w:cs="Times New Roman"/>
          <w:color w:val="auto"/>
          <w:kern w:val="0"/>
          <w:szCs w:val="24"/>
          <w:highlight w:val="none"/>
          <w:lang w:val="en-GB"/>
        </w:rPr>
        <w:t>(2)</w:t>
      </w:r>
      <w:r>
        <w:rPr>
          <w:rFonts w:hint="default" w:ascii="Times New Roman" w:hAnsi="Times New Roman" w:cs="Times New Roman"/>
          <w:color w:val="auto"/>
          <w:kern w:val="0"/>
          <w:szCs w:val="24"/>
          <w:highlight w:val="none"/>
          <w:lang w:val="en-GB"/>
        </w:rPr>
        <w:fldChar w:fldCharType="end"/>
      </w:r>
      <w:r>
        <w:rPr>
          <w:rFonts w:hint="default" w:ascii="Times New Roman" w:hAnsi="Times New Roman" w:cs="Times New Roman"/>
          <w:color w:val="auto"/>
          <w:kern w:val="0"/>
          <w:szCs w:val="24"/>
          <w:highlight w:val="none"/>
          <w:lang w:val="en-GB"/>
        </w:rPr>
        <w:t>项下提取的数额总共达到第</w:t>
      </w:r>
      <w:r>
        <w:rPr>
          <w:rFonts w:hint="default" w:ascii="Times New Roman" w:hAnsi="Times New Roman" w:cs="Times New Roman"/>
          <w:color w:val="auto"/>
          <w:szCs w:val="24"/>
          <w:highlight w:val="none"/>
        </w:rPr>
        <w:fldChar w:fldCharType="begin"/>
      </w:r>
      <w:r>
        <w:rPr>
          <w:rFonts w:hint="default" w:ascii="Times New Roman" w:hAnsi="Times New Roman" w:cs="Times New Roman"/>
          <w:color w:val="auto"/>
          <w:szCs w:val="24"/>
          <w:highlight w:val="none"/>
        </w:rPr>
        <w:instrText xml:space="preserve"> REF _Ref14592 \n \h </w:instrText>
      </w:r>
      <w:r>
        <w:rPr>
          <w:rFonts w:hint="default" w:ascii="Times New Roman" w:hAnsi="Times New Roman" w:cs="Times New Roman"/>
          <w:color w:val="auto"/>
          <w:szCs w:val="24"/>
          <w:highlight w:val="none"/>
        </w:rPr>
        <w:fldChar w:fldCharType="separate"/>
      </w:r>
      <w:r>
        <w:rPr>
          <w:rFonts w:hint="default" w:ascii="Times New Roman" w:hAnsi="Times New Roman" w:cs="Times New Roman"/>
          <w:color w:val="auto"/>
          <w:szCs w:val="24"/>
          <w:highlight w:val="none"/>
        </w:rPr>
        <w:t>8.1</w:t>
      </w:r>
      <w:r>
        <w:rPr>
          <w:rFonts w:hint="default" w:ascii="Times New Roman" w:hAnsi="Times New Roman" w:cs="Times New Roman"/>
          <w:color w:val="auto"/>
          <w:szCs w:val="24"/>
          <w:highlight w:val="none"/>
        </w:rPr>
        <w:fldChar w:fldCharType="end"/>
      </w:r>
      <w:r>
        <w:rPr>
          <w:rFonts w:hint="default" w:ascii="Times New Roman" w:hAnsi="Times New Roman" w:cs="Times New Roman"/>
          <w:color w:val="auto"/>
          <w:kern w:val="0"/>
          <w:szCs w:val="24"/>
          <w:highlight w:val="none"/>
          <w:lang w:val="en-GB"/>
        </w:rPr>
        <w:t>~</w:t>
      </w:r>
      <w:r>
        <w:rPr>
          <w:rFonts w:hint="default" w:ascii="Times New Roman" w:hAnsi="Times New Roman" w:cs="Times New Roman"/>
          <w:color w:val="auto"/>
          <w:kern w:val="0"/>
          <w:szCs w:val="24"/>
          <w:highlight w:val="none"/>
          <w:lang w:val="en-GB"/>
        </w:rPr>
        <w:fldChar w:fldCharType="begin"/>
      </w:r>
      <w:r>
        <w:rPr>
          <w:rFonts w:hint="default" w:ascii="Times New Roman" w:hAnsi="Times New Roman" w:cs="Times New Roman"/>
          <w:color w:val="auto"/>
          <w:kern w:val="0"/>
          <w:szCs w:val="24"/>
          <w:highlight w:val="none"/>
          <w:lang w:val="en-GB"/>
        </w:rPr>
        <w:instrText xml:space="preserve"> REF _Ref487362044 \n \h </w:instrText>
      </w:r>
      <w:r>
        <w:rPr>
          <w:rFonts w:hint="default" w:ascii="Times New Roman" w:hAnsi="Times New Roman" w:cs="Times New Roman"/>
          <w:color w:val="auto"/>
          <w:kern w:val="0"/>
          <w:szCs w:val="24"/>
          <w:highlight w:val="none"/>
          <w:lang w:val="en-GB"/>
        </w:rPr>
        <w:fldChar w:fldCharType="separate"/>
      </w:r>
      <w:r>
        <w:rPr>
          <w:rFonts w:hint="default" w:ascii="Times New Roman" w:hAnsi="Times New Roman" w:cs="Times New Roman"/>
          <w:color w:val="auto"/>
          <w:kern w:val="0"/>
          <w:szCs w:val="24"/>
          <w:highlight w:val="none"/>
          <w:lang w:val="en-GB"/>
        </w:rPr>
        <w:t>8.3</w:t>
      </w:r>
      <w:r>
        <w:rPr>
          <w:rFonts w:hint="default" w:ascii="Times New Roman" w:hAnsi="Times New Roman" w:cs="Times New Roman"/>
          <w:color w:val="auto"/>
          <w:kern w:val="0"/>
          <w:szCs w:val="24"/>
          <w:highlight w:val="none"/>
          <w:lang w:val="en-GB"/>
        </w:rPr>
        <w:fldChar w:fldCharType="end"/>
      </w:r>
      <w:r>
        <w:rPr>
          <w:rFonts w:hint="default" w:ascii="Times New Roman" w:hAnsi="Times New Roman" w:cs="Times New Roman"/>
          <w:color w:val="auto"/>
          <w:kern w:val="0"/>
          <w:szCs w:val="24"/>
          <w:highlight w:val="none"/>
          <w:lang w:val="en-GB"/>
        </w:rPr>
        <w:t>款规定的</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最高额为止。</w:t>
      </w:r>
    </w:p>
    <w:p>
      <w:pPr>
        <w:pStyle w:val="138"/>
        <w:spacing w:after="156"/>
        <w:rPr>
          <w:rFonts w:hint="default" w:ascii="Times New Roman" w:hAnsi="Times New Roman" w:cs="Times New Roman"/>
          <w:color w:val="auto"/>
          <w:highlight w:val="none"/>
        </w:rPr>
      </w:pPr>
      <w:bookmarkStart w:id="236" w:name="_Toc15564"/>
      <w:r>
        <w:rPr>
          <w:rFonts w:hint="default" w:ascii="Times New Roman" w:hAnsi="Times New Roman" w:cs="Times New Roman"/>
          <w:color w:val="auto"/>
          <w:highlight w:val="none"/>
        </w:rPr>
        <w:t>履约</w:t>
      </w:r>
      <w:r>
        <w:rPr>
          <w:rFonts w:hint="eastAsia" w:ascii="Times New Roman" w:hAnsi="Times New Roman" w:cs="Times New Roman"/>
          <w:color w:val="auto"/>
          <w:highlight w:val="none"/>
          <w:lang w:eastAsia="zh-CN"/>
        </w:rPr>
        <w:t>保证金</w:t>
      </w:r>
      <w:r>
        <w:rPr>
          <w:rFonts w:hint="default" w:ascii="Times New Roman" w:hAnsi="Times New Roman" w:cs="Times New Roman"/>
          <w:color w:val="auto"/>
          <w:highlight w:val="none"/>
        </w:rPr>
        <w:t>的解除</w:t>
      </w:r>
      <w:bookmarkEnd w:id="234"/>
      <w:bookmarkEnd w:id="236"/>
    </w:p>
    <w:p>
      <w:pPr>
        <w:pStyle w:val="388"/>
        <w:numPr>
          <w:ilvl w:val="0"/>
          <w:numId w:val="11"/>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建设履约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的解除：</w:t>
      </w:r>
      <w:r>
        <w:rPr>
          <w:rFonts w:hint="default" w:ascii="Times New Roman" w:hAnsi="Times New Roman" w:cs="Times New Roman"/>
          <w:color w:val="auto"/>
          <w:szCs w:val="24"/>
          <w:highlight w:val="none"/>
        </w:rPr>
        <w:t>进入运营之日</w:t>
      </w:r>
      <w:r>
        <w:rPr>
          <w:rFonts w:hint="default" w:ascii="Times New Roman" w:hAnsi="Times New Roman" w:cs="Times New Roman"/>
          <w:color w:val="auto"/>
          <w:kern w:val="0"/>
          <w:szCs w:val="24"/>
          <w:highlight w:val="none"/>
        </w:rPr>
        <w:t>，且</w:t>
      </w:r>
      <w:r>
        <w:rPr>
          <w:rFonts w:hint="default" w:ascii="Times New Roman" w:hAnsi="Times New Roman" w:cs="Times New Roman"/>
          <w:color w:val="auto"/>
          <w:kern w:val="0"/>
          <w:szCs w:val="24"/>
          <w:highlight w:val="none"/>
          <w:lang w:val="en-GB"/>
        </w:rPr>
        <w:t>甲方在收到</w:t>
      </w:r>
      <w:r>
        <w:rPr>
          <w:rFonts w:hint="default" w:ascii="Times New Roman" w:hAnsi="Times New Roman" w:cs="Times New Roman"/>
          <w:color w:val="auto"/>
          <w:szCs w:val="24"/>
          <w:highlight w:val="none"/>
        </w:rPr>
        <w:t>乙方/</w:t>
      </w:r>
      <w:r>
        <w:rPr>
          <w:rFonts w:hint="default" w:ascii="Times New Roman" w:hAnsi="Times New Roman" w:cs="Times New Roman"/>
          <w:color w:val="auto"/>
          <w:kern w:val="0"/>
          <w:szCs w:val="24"/>
          <w:highlight w:val="none"/>
        </w:rPr>
        <w:t>项目公司</w:t>
      </w:r>
      <w:r>
        <w:rPr>
          <w:rFonts w:hint="default" w:ascii="Times New Roman" w:hAnsi="Times New Roman" w:cs="Times New Roman"/>
          <w:color w:val="auto"/>
          <w:kern w:val="0"/>
          <w:szCs w:val="24"/>
          <w:highlight w:val="none"/>
          <w:lang w:val="en-GB"/>
        </w:rPr>
        <w:t>提交的运营维护履约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后五（5）个工作日内，甲方解除届时未兑取的建设履约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的余额。如果在解除建设履约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前，本协议及特许经营协议提前终止，则建设履约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应在特许经营协议约定的移交日期后十二（12）个月内保持有效。</w:t>
      </w:r>
    </w:p>
    <w:p>
      <w:pPr>
        <w:pStyle w:val="388"/>
        <w:numPr>
          <w:ilvl w:val="0"/>
          <w:numId w:val="11"/>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运营维护履约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的解除：甲方在收到乙方提交的移交维护履约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后五（5）个工作日内，甲方解除届时未兑取的运营履约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的余额。如果在解除</w:t>
      </w:r>
      <w:r>
        <w:rPr>
          <w:rFonts w:hint="default" w:ascii="Times New Roman" w:hAnsi="Times New Roman" w:cs="Times New Roman"/>
          <w:color w:val="auto"/>
          <w:kern w:val="0"/>
          <w:szCs w:val="24"/>
          <w:highlight w:val="none"/>
        </w:rPr>
        <w:t>运营维护</w:t>
      </w:r>
      <w:r>
        <w:rPr>
          <w:rFonts w:hint="default" w:ascii="Times New Roman" w:hAnsi="Times New Roman" w:cs="Times New Roman"/>
          <w:color w:val="auto"/>
          <w:kern w:val="0"/>
          <w:szCs w:val="24"/>
          <w:highlight w:val="none"/>
          <w:lang w:val="en-GB"/>
        </w:rPr>
        <w:t>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前，本协议及特许经营协议提前终止，则</w:t>
      </w:r>
      <w:r>
        <w:rPr>
          <w:rFonts w:hint="default" w:ascii="Times New Roman" w:hAnsi="Times New Roman" w:cs="Times New Roman"/>
          <w:color w:val="auto"/>
          <w:kern w:val="0"/>
          <w:szCs w:val="24"/>
          <w:highlight w:val="none"/>
        </w:rPr>
        <w:t>运营维护</w:t>
      </w:r>
      <w:r>
        <w:rPr>
          <w:rFonts w:hint="default" w:ascii="Times New Roman" w:hAnsi="Times New Roman" w:cs="Times New Roman"/>
          <w:color w:val="auto"/>
          <w:kern w:val="0"/>
          <w:szCs w:val="24"/>
          <w:highlight w:val="none"/>
          <w:lang w:val="en-GB"/>
        </w:rPr>
        <w:t>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应在</w:t>
      </w:r>
      <w:r>
        <w:rPr>
          <w:rFonts w:hint="default" w:ascii="Times New Roman" w:hAnsi="Times New Roman" w:cs="Times New Roman"/>
          <w:color w:val="auto"/>
          <w:kern w:val="0"/>
          <w:szCs w:val="24"/>
          <w:highlight w:val="none"/>
        </w:rPr>
        <w:t>特许经营协议约定的</w:t>
      </w:r>
      <w:r>
        <w:rPr>
          <w:rFonts w:hint="default" w:ascii="Times New Roman" w:hAnsi="Times New Roman" w:cs="Times New Roman"/>
          <w:color w:val="auto"/>
          <w:kern w:val="0"/>
          <w:szCs w:val="24"/>
          <w:highlight w:val="none"/>
          <w:lang w:val="en-GB"/>
        </w:rPr>
        <w:t>移交日期后十二（12）个月内保持有效。</w:t>
      </w:r>
    </w:p>
    <w:p>
      <w:pPr>
        <w:pStyle w:val="388"/>
        <w:numPr>
          <w:ilvl w:val="0"/>
          <w:numId w:val="11"/>
        </w:numPr>
        <w:spacing w:after="156"/>
        <w:ind w:left="0" w:firstLine="480"/>
        <w:rPr>
          <w:rFonts w:hint="default" w:ascii="Times New Roman" w:hAnsi="Times New Roman" w:cs="Times New Roman"/>
          <w:color w:val="auto"/>
          <w:kern w:val="0"/>
          <w:szCs w:val="24"/>
          <w:highlight w:val="none"/>
          <w:lang w:val="en-GB"/>
        </w:rPr>
      </w:pPr>
      <w:r>
        <w:rPr>
          <w:rFonts w:hint="default" w:ascii="Times New Roman" w:hAnsi="Times New Roman" w:cs="Times New Roman"/>
          <w:color w:val="auto"/>
          <w:kern w:val="0"/>
          <w:szCs w:val="24"/>
          <w:highlight w:val="none"/>
          <w:lang w:val="en-GB"/>
        </w:rPr>
        <w:t>移交维护履约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的解除：</w:t>
      </w:r>
      <w:r>
        <w:rPr>
          <w:rFonts w:hint="default" w:ascii="Times New Roman" w:hAnsi="Times New Roman" w:cs="Times New Roman"/>
          <w:color w:val="auto"/>
          <w:highlight w:val="none"/>
        </w:rPr>
        <w:t>缺陷责任期</w:t>
      </w:r>
      <w:r>
        <w:rPr>
          <w:rFonts w:hint="eastAsia" w:cs="Times New Roman"/>
          <w:color w:val="auto"/>
          <w:highlight w:val="none"/>
          <w:lang w:val="en-US" w:eastAsia="zh-CN"/>
        </w:rPr>
        <w:t>为项目移交后1年，缺陷责任期</w:t>
      </w:r>
      <w:r>
        <w:rPr>
          <w:rFonts w:hint="default" w:ascii="Times New Roman" w:hAnsi="Times New Roman" w:cs="Times New Roman"/>
          <w:color w:val="auto"/>
          <w:highlight w:val="none"/>
        </w:rPr>
        <w:t>内</w:t>
      </w:r>
      <w:r>
        <w:rPr>
          <w:rFonts w:hint="default" w:ascii="Times New Roman" w:hAnsi="Times New Roman" w:cs="Times New Roman"/>
          <w:color w:val="auto"/>
          <w:highlight w:val="none"/>
          <w:lang w:val="en-US" w:eastAsia="zh-CN"/>
        </w:rPr>
        <w:t>项目公司已完成所有缺陷修复等工作，则</w:t>
      </w:r>
      <w:r>
        <w:rPr>
          <w:rFonts w:hint="default" w:ascii="Times New Roman" w:hAnsi="Times New Roman" w:cs="Times New Roman"/>
          <w:color w:val="auto"/>
          <w:kern w:val="0"/>
          <w:szCs w:val="24"/>
          <w:highlight w:val="none"/>
          <w:lang w:val="en-GB"/>
        </w:rPr>
        <w:t>甲方在项目合作期满终止日起十二（12）个月后的五（5）个工作日内，甲方解除届时未兑取的移交维护履约</w:t>
      </w:r>
      <w:r>
        <w:rPr>
          <w:rFonts w:hint="eastAsia" w:cs="Times New Roman"/>
          <w:color w:val="auto"/>
          <w:kern w:val="0"/>
          <w:szCs w:val="24"/>
          <w:highlight w:val="none"/>
          <w:lang w:val="en-GB" w:eastAsia="zh-CN"/>
        </w:rPr>
        <w:t>保证金</w:t>
      </w:r>
      <w:r>
        <w:rPr>
          <w:rFonts w:hint="default" w:ascii="Times New Roman" w:hAnsi="Times New Roman" w:cs="Times New Roman"/>
          <w:color w:val="auto"/>
          <w:kern w:val="0"/>
          <w:szCs w:val="24"/>
          <w:highlight w:val="none"/>
          <w:lang w:val="en-GB"/>
        </w:rPr>
        <w:t>的余额。</w:t>
      </w:r>
    </w:p>
    <w:p>
      <w:pPr>
        <w:pStyle w:val="138"/>
        <w:spacing w:after="156"/>
        <w:rPr>
          <w:rFonts w:hint="default" w:ascii="Times New Roman" w:hAnsi="Times New Roman" w:cs="Times New Roman"/>
          <w:color w:val="auto"/>
          <w:highlight w:val="none"/>
        </w:rPr>
      </w:pPr>
      <w:bookmarkStart w:id="237" w:name="_Toc10570"/>
      <w:bookmarkStart w:id="238" w:name="_Toc497644269"/>
      <w:r>
        <w:rPr>
          <w:rFonts w:hint="default" w:ascii="Times New Roman" w:hAnsi="Times New Roman" w:cs="Times New Roman"/>
          <w:color w:val="auto"/>
          <w:highlight w:val="none"/>
        </w:rPr>
        <w:t>其它</w:t>
      </w:r>
      <w:bookmarkEnd w:id="237"/>
      <w:bookmarkEnd w:id="238"/>
    </w:p>
    <w:p>
      <w:pPr>
        <w:pStyle w:val="388"/>
        <w:spacing w:after="156"/>
        <w:ind w:firstLine="480"/>
        <w:rPr>
          <w:rFonts w:hint="default" w:ascii="Times New Roman" w:hAnsi="Times New Roman" w:cs="Times New Roman"/>
          <w:color w:val="auto"/>
          <w:szCs w:val="24"/>
          <w:highlight w:val="none"/>
        </w:rPr>
      </w:pPr>
      <w:bookmarkStart w:id="239" w:name="OLE_LINK4"/>
      <w:r>
        <w:rPr>
          <w:rFonts w:hint="default" w:ascii="Times New Roman" w:hAnsi="Times New Roman" w:cs="Times New Roman"/>
          <w:color w:val="auto"/>
          <w:szCs w:val="24"/>
          <w:highlight w:val="none"/>
        </w:rPr>
        <w:t>甲方行使兑取履约</w:t>
      </w:r>
      <w:r>
        <w:rPr>
          <w:rFonts w:hint="eastAsia" w:cs="Times New Roman"/>
          <w:color w:val="auto"/>
          <w:szCs w:val="24"/>
          <w:highlight w:val="none"/>
          <w:lang w:eastAsia="zh-CN"/>
        </w:rPr>
        <w:t>保证金</w:t>
      </w:r>
      <w:r>
        <w:rPr>
          <w:rFonts w:hint="default" w:ascii="Times New Roman" w:hAnsi="Times New Roman" w:cs="Times New Roman"/>
          <w:color w:val="auto"/>
          <w:szCs w:val="24"/>
          <w:highlight w:val="none"/>
        </w:rPr>
        <w:t>的权利不</w:t>
      </w:r>
      <w:r>
        <w:rPr>
          <w:rFonts w:hint="eastAsia" w:cs="Times New Roman"/>
          <w:color w:val="auto"/>
          <w:szCs w:val="24"/>
          <w:highlight w:val="none"/>
          <w:lang w:val="en-US" w:eastAsia="zh-CN"/>
        </w:rPr>
        <w:t>影响</w:t>
      </w:r>
      <w:r>
        <w:rPr>
          <w:rFonts w:hint="default" w:ascii="Times New Roman" w:hAnsi="Times New Roman" w:cs="Times New Roman"/>
          <w:color w:val="auto"/>
          <w:szCs w:val="24"/>
          <w:highlight w:val="none"/>
        </w:rPr>
        <w:t>甲方在本协议及特许经营协议项下的其他权利，</w:t>
      </w:r>
      <w:r>
        <w:rPr>
          <w:rFonts w:hint="eastAsia" w:cs="Times New Roman"/>
          <w:color w:val="auto"/>
          <w:szCs w:val="24"/>
          <w:highlight w:val="none"/>
          <w:lang w:val="en-US" w:eastAsia="zh-CN"/>
        </w:rPr>
        <w:t>亦</w:t>
      </w:r>
      <w:r>
        <w:rPr>
          <w:rFonts w:hint="default" w:ascii="Times New Roman" w:hAnsi="Times New Roman" w:cs="Times New Roman"/>
          <w:color w:val="auto"/>
          <w:szCs w:val="24"/>
          <w:highlight w:val="none"/>
        </w:rPr>
        <w:t>不</w:t>
      </w:r>
      <w:r>
        <w:rPr>
          <w:rFonts w:hint="eastAsia" w:cs="Times New Roman"/>
          <w:color w:val="auto"/>
          <w:szCs w:val="24"/>
          <w:highlight w:val="none"/>
          <w:lang w:val="en-US" w:eastAsia="zh-CN"/>
        </w:rPr>
        <w:t>构成对</w:t>
      </w:r>
      <w:r>
        <w:rPr>
          <w:rFonts w:hint="default" w:ascii="Times New Roman" w:hAnsi="Times New Roman" w:cs="Times New Roman"/>
          <w:color w:val="auto"/>
          <w:szCs w:val="24"/>
          <w:highlight w:val="none"/>
        </w:rPr>
        <w:t>乙方履行本协议、项目公司履行特许经营协议项下的义务</w:t>
      </w:r>
      <w:r>
        <w:rPr>
          <w:rFonts w:hint="eastAsia" w:cs="Times New Roman"/>
          <w:color w:val="auto"/>
          <w:szCs w:val="24"/>
          <w:highlight w:val="none"/>
          <w:lang w:val="en-US" w:eastAsia="zh-CN"/>
        </w:rPr>
        <w:t>的豁免或解除</w:t>
      </w:r>
      <w:r>
        <w:rPr>
          <w:rFonts w:hint="default" w:ascii="Times New Roman" w:hAnsi="Times New Roman" w:cs="Times New Roman"/>
          <w:color w:val="auto"/>
          <w:szCs w:val="24"/>
          <w:highlight w:val="none"/>
        </w:rPr>
        <w:t>。</w:t>
      </w:r>
      <w:bookmarkEnd w:id="239"/>
    </w:p>
    <w:p>
      <w:pPr>
        <w:pStyle w:val="137"/>
        <w:shd w:val="clear"/>
        <w:spacing w:before="312" w:after="156"/>
        <w:rPr>
          <w:rFonts w:hint="default" w:ascii="Times New Roman" w:hAnsi="Times New Roman" w:cs="Times New Roman"/>
          <w:color w:val="auto"/>
          <w:highlight w:val="none"/>
        </w:rPr>
      </w:pPr>
      <w:bookmarkStart w:id="240" w:name="_Toc21115"/>
      <w:bookmarkStart w:id="241" w:name="_Toc5499"/>
      <w:bookmarkStart w:id="242" w:name="_Toc22796"/>
      <w:bookmarkStart w:id="243" w:name="_Toc27533"/>
      <w:bookmarkStart w:id="244" w:name="_Toc1810520466"/>
      <w:bookmarkStart w:id="245" w:name="_Toc190613437"/>
      <w:bookmarkStart w:id="246" w:name="_Toc20667"/>
      <w:bookmarkStart w:id="247" w:name="_Toc66"/>
      <w:bookmarkStart w:id="248" w:name="_Toc12096"/>
      <w:bookmarkStart w:id="249" w:name="_Toc1809140699"/>
      <w:bookmarkStart w:id="250" w:name="_Toc2418"/>
      <w:bookmarkStart w:id="251" w:name="_Toc6552"/>
      <w:r>
        <w:rPr>
          <w:rFonts w:hint="default" w:ascii="Times New Roman" w:hAnsi="Times New Roman" w:cs="Times New Roman"/>
          <w:color w:val="auto"/>
          <w:highlight w:val="none"/>
        </w:rPr>
        <w:t>中标价格、投入与回报</w:t>
      </w:r>
      <w:bookmarkEnd w:id="240"/>
      <w:bookmarkEnd w:id="241"/>
      <w:bookmarkEnd w:id="242"/>
      <w:bookmarkEnd w:id="243"/>
      <w:bookmarkEnd w:id="244"/>
      <w:bookmarkEnd w:id="245"/>
      <w:bookmarkEnd w:id="246"/>
      <w:bookmarkEnd w:id="247"/>
      <w:bookmarkEnd w:id="248"/>
      <w:bookmarkEnd w:id="249"/>
      <w:bookmarkEnd w:id="250"/>
      <w:bookmarkEnd w:id="251"/>
    </w:p>
    <w:p>
      <w:pPr>
        <w:pStyle w:val="138"/>
        <w:spacing w:after="156"/>
        <w:rPr>
          <w:rFonts w:hint="default" w:ascii="Times New Roman" w:hAnsi="Times New Roman" w:cs="Times New Roman"/>
          <w:color w:val="auto"/>
          <w:highlight w:val="none"/>
        </w:rPr>
      </w:pPr>
      <w:bookmarkStart w:id="252" w:name="_Toc497644438"/>
      <w:bookmarkStart w:id="253" w:name="_Toc492110877"/>
      <w:bookmarkStart w:id="254" w:name="_Toc497644271"/>
      <w:bookmarkStart w:id="255" w:name="_Toc535584835"/>
      <w:bookmarkStart w:id="256" w:name="_Toc492306154"/>
      <w:bookmarkStart w:id="257" w:name="_Toc497646395"/>
      <w:bookmarkStart w:id="258" w:name="_Toc535150354"/>
      <w:bookmarkStart w:id="259" w:name="_Toc19291"/>
      <w:bookmarkStart w:id="260" w:name="_Toc487067518"/>
      <w:bookmarkStart w:id="261" w:name="_Toc496963364"/>
      <w:bookmarkStart w:id="262" w:name="_Toc534474014"/>
      <w:r>
        <w:rPr>
          <w:rFonts w:hint="default" w:ascii="Times New Roman" w:hAnsi="Times New Roman" w:cs="Times New Roman"/>
          <w:color w:val="auto"/>
          <w:highlight w:val="none"/>
        </w:rPr>
        <w:t>本项目乙方的中标价如下：</w:t>
      </w:r>
      <w:bookmarkEnd w:id="252"/>
      <w:bookmarkEnd w:id="253"/>
      <w:bookmarkEnd w:id="254"/>
      <w:bookmarkEnd w:id="255"/>
      <w:bookmarkEnd w:id="256"/>
      <w:bookmarkEnd w:id="257"/>
      <w:bookmarkEnd w:id="258"/>
      <w:bookmarkEnd w:id="259"/>
      <w:bookmarkEnd w:id="260"/>
      <w:bookmarkEnd w:id="261"/>
      <w:bookmarkEnd w:id="262"/>
    </w:p>
    <w:p>
      <w:pPr>
        <w:pStyle w:val="388"/>
        <w:numPr>
          <w:ilvl w:val="-1"/>
          <w:numId w:val="0"/>
        </w:numPr>
        <w:spacing w:after="156"/>
        <w:ind w:left="480" w:firstLine="0" w:firstLineChars="0"/>
        <w:rPr>
          <w:rFonts w:hint="eastAsia" w:cs="Times New Roman"/>
          <w:color w:val="auto"/>
          <w:kern w:val="0"/>
          <w:highlight w:val="none"/>
          <w:lang w:val="en-US" w:eastAsia="zh-CN"/>
        </w:rPr>
      </w:pPr>
      <w:r>
        <w:rPr>
          <w:rFonts w:hint="eastAsia" w:cs="Times New Roman"/>
          <w:color w:val="auto"/>
          <w:kern w:val="0"/>
          <w:highlight w:val="none"/>
          <w:lang w:val="en-US" w:eastAsia="zh-CN"/>
        </w:rPr>
        <w:t>特许经营期限：</w:t>
      </w:r>
    </w:p>
    <w:p>
      <w:pPr>
        <w:pStyle w:val="388"/>
        <w:numPr>
          <w:ilvl w:val="-1"/>
          <w:numId w:val="0"/>
        </w:numPr>
        <w:spacing w:after="156"/>
        <w:ind w:left="480" w:firstLine="0" w:firstLineChars="0"/>
        <w:rPr>
          <w:rFonts w:hint="default" w:cs="Times New Roman"/>
          <w:color w:val="auto"/>
          <w:kern w:val="0"/>
          <w:highlight w:val="none"/>
          <w:lang w:val="en-US" w:eastAsia="zh-CN"/>
        </w:rPr>
      </w:pPr>
      <w:r>
        <w:rPr>
          <w:rFonts w:hint="eastAsia" w:cs="Times New Roman"/>
          <w:color w:val="auto"/>
          <w:kern w:val="0"/>
          <w:highlight w:val="none"/>
          <w:lang w:val="en-US" w:eastAsia="zh-CN"/>
        </w:rPr>
        <w:t>（1）前期及建设期：12个月（固定）</w:t>
      </w:r>
    </w:p>
    <w:p>
      <w:pPr>
        <w:pStyle w:val="388"/>
        <w:numPr>
          <w:ilvl w:val="-1"/>
          <w:numId w:val="0"/>
        </w:numPr>
        <w:spacing w:after="156"/>
        <w:ind w:left="480" w:firstLine="0" w:firstLineChars="0"/>
        <w:rPr>
          <w:rFonts w:hint="default" w:ascii="Times New Roman" w:hAnsi="Times New Roman" w:cs="Times New Roman"/>
          <w:color w:val="auto"/>
          <w:kern w:val="0"/>
          <w:highlight w:val="none"/>
        </w:rPr>
      </w:pPr>
      <w:r>
        <w:rPr>
          <w:rFonts w:hint="eastAsia" w:cs="Times New Roman"/>
          <w:color w:val="auto"/>
          <w:kern w:val="0"/>
          <w:highlight w:val="none"/>
          <w:lang w:val="en-US" w:eastAsia="zh-CN"/>
        </w:rPr>
        <w:t>（2）运营期（收费期）：【】个月（报价后）</w:t>
      </w:r>
    </w:p>
    <w:p>
      <w:pPr>
        <w:pStyle w:val="137"/>
        <w:shd w:val="clear"/>
        <w:spacing w:before="312" w:after="156"/>
        <w:rPr>
          <w:rFonts w:hint="default" w:ascii="Times New Roman" w:hAnsi="Times New Roman" w:cs="Times New Roman"/>
          <w:color w:val="auto"/>
          <w:highlight w:val="none"/>
        </w:rPr>
      </w:pPr>
      <w:bookmarkStart w:id="263" w:name="_Toc32663"/>
      <w:bookmarkStart w:id="264" w:name="_Toc19947"/>
      <w:bookmarkStart w:id="265" w:name="_Toc5056"/>
      <w:bookmarkStart w:id="266" w:name="_Toc9083"/>
      <w:bookmarkStart w:id="267" w:name="_Toc24385"/>
      <w:bookmarkStart w:id="268" w:name="_Toc1721677719"/>
      <w:bookmarkStart w:id="269" w:name="_Toc16335"/>
      <w:bookmarkStart w:id="270" w:name="_Toc12160"/>
      <w:bookmarkStart w:id="271" w:name="_Toc6770220"/>
      <w:bookmarkStart w:id="272" w:name="_Toc497644280"/>
      <w:bookmarkStart w:id="273" w:name="_Toc1856"/>
      <w:bookmarkStart w:id="274" w:name="_Toc190613438"/>
      <w:bookmarkStart w:id="275" w:name="_Toc535150363"/>
      <w:bookmarkStart w:id="276" w:name="_Toc8596"/>
      <w:r>
        <w:rPr>
          <w:rFonts w:hint="default" w:ascii="Times New Roman" w:hAnsi="Times New Roman" w:cs="Times New Roman"/>
          <w:color w:val="auto"/>
          <w:highlight w:val="none"/>
        </w:rPr>
        <w:t>违约责任</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pPr>
        <w:pStyle w:val="138"/>
        <w:spacing w:after="156"/>
        <w:rPr>
          <w:rFonts w:hint="default" w:ascii="Times New Roman" w:hAnsi="Times New Roman" w:cs="Times New Roman"/>
          <w:color w:val="auto"/>
          <w:highlight w:val="none"/>
        </w:rPr>
      </w:pPr>
      <w:bookmarkStart w:id="277" w:name="_Toc534474024"/>
      <w:bookmarkStart w:id="278" w:name="_Toc497644281"/>
      <w:bookmarkStart w:id="279" w:name="_Ref11218"/>
      <w:bookmarkStart w:id="280" w:name="_Toc497646336"/>
      <w:bookmarkStart w:id="281" w:name="_Toc497646405"/>
      <w:bookmarkStart w:id="282" w:name="_Ref23628"/>
      <w:bookmarkStart w:id="283" w:name="_Toc496963374"/>
      <w:bookmarkStart w:id="284" w:name="_Ref11875"/>
      <w:bookmarkStart w:id="285" w:name="_Toc534534948"/>
      <w:bookmarkStart w:id="286" w:name="_Toc535584847"/>
      <w:bookmarkStart w:id="287" w:name="_Ref18589"/>
      <w:bookmarkStart w:id="288" w:name="_Toc16839"/>
      <w:bookmarkStart w:id="289" w:name="_Ref23602"/>
      <w:bookmarkStart w:id="290" w:name="_Ref23710"/>
      <w:bookmarkStart w:id="291" w:name="_Toc487067526"/>
      <w:bookmarkStart w:id="292" w:name="_Toc497644448"/>
      <w:bookmarkStart w:id="293" w:name="_Toc492306164"/>
      <w:bookmarkStart w:id="294" w:name="_Toc535150364"/>
      <w:bookmarkStart w:id="295" w:name="_Toc492110886"/>
      <w:r>
        <w:rPr>
          <w:rFonts w:hint="default" w:ascii="Times New Roman" w:hAnsi="Times New Roman" w:cs="Times New Roman"/>
          <w:color w:val="auto"/>
          <w:highlight w:val="none"/>
        </w:rPr>
        <w:t>项目公司每延期1天注册，乙方应向甲方支付10万元违约金；本协议签订后60天，因乙方原因</w:t>
      </w:r>
      <w:r>
        <w:rPr>
          <w:rFonts w:hint="default" w:ascii="Times New Roman" w:hAnsi="Times New Roman" w:cs="Times New Roman"/>
          <w:color w:val="auto"/>
          <w:highlight w:val="none"/>
          <w:lang w:val="en-US" w:eastAsia="zh-CN"/>
        </w:rPr>
        <w:t>导致</w:t>
      </w:r>
      <w:r>
        <w:rPr>
          <w:rFonts w:hint="default" w:ascii="Times New Roman" w:hAnsi="Times New Roman" w:cs="Times New Roman"/>
          <w:color w:val="auto"/>
          <w:highlight w:val="none"/>
        </w:rPr>
        <w:t>项目公司仍未进行注册，则甲方有权解除本协议。上述时间由于政府有关部门行政审批时间超过其承诺的审批完成期限除外。</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pPr>
        <w:pStyle w:val="138"/>
        <w:spacing w:after="156"/>
        <w:rPr>
          <w:rFonts w:hint="default" w:ascii="Times New Roman" w:hAnsi="Times New Roman" w:cs="Times New Roman"/>
          <w:color w:val="auto"/>
          <w:highlight w:val="none"/>
        </w:rPr>
      </w:pPr>
      <w:bookmarkStart w:id="296" w:name="_Toc22792"/>
      <w:bookmarkStart w:id="297" w:name="_Ref23719"/>
      <w:bookmarkStart w:id="298" w:name="_Ref11692"/>
      <w:bookmarkStart w:id="299" w:name="_Ref23635"/>
      <w:r>
        <w:rPr>
          <w:rFonts w:hint="default" w:ascii="Times New Roman" w:hAnsi="Times New Roman" w:cs="Times New Roman"/>
          <w:color w:val="auto"/>
          <w:highlight w:val="none"/>
          <w:lang w:val="en-US"/>
        </w:rPr>
        <w:t>特许经营协议每延期1天签订，乙方应向甲方支付10万元违约金；本协议签订后80天，因乙方原因</w:t>
      </w:r>
      <w:r>
        <w:rPr>
          <w:rFonts w:hint="default" w:ascii="Times New Roman" w:hAnsi="Times New Roman" w:cs="Times New Roman"/>
          <w:color w:val="auto"/>
          <w:highlight w:val="none"/>
          <w:lang w:val="en-US" w:eastAsia="zh-CN"/>
        </w:rPr>
        <w:t>导致</w:t>
      </w:r>
      <w:r>
        <w:rPr>
          <w:rFonts w:hint="default" w:ascii="Times New Roman" w:hAnsi="Times New Roman" w:cs="Times New Roman"/>
          <w:color w:val="auto"/>
          <w:highlight w:val="none"/>
          <w:lang w:val="en-US"/>
        </w:rPr>
        <w:t>特许经营协议仍未签订的，则甲方有权解除本协议。上述时间由于政府有关部门行政审批时间超过其承诺的审批完成期限除外。</w:t>
      </w:r>
      <w:bookmarkEnd w:id="296"/>
      <w:bookmarkEnd w:id="297"/>
      <w:bookmarkEnd w:id="298"/>
      <w:bookmarkEnd w:id="299"/>
    </w:p>
    <w:p>
      <w:pPr>
        <w:pStyle w:val="138"/>
        <w:spacing w:after="156"/>
        <w:rPr>
          <w:rFonts w:hint="default" w:ascii="Times New Roman" w:hAnsi="Times New Roman" w:cs="Times New Roman"/>
          <w:color w:val="auto"/>
          <w:highlight w:val="none"/>
        </w:rPr>
      </w:pPr>
      <w:bookmarkStart w:id="300" w:name="_Toc497646406"/>
      <w:bookmarkStart w:id="301" w:name="_Toc534474025"/>
      <w:bookmarkStart w:id="302" w:name="_Toc497646337"/>
      <w:bookmarkStart w:id="303" w:name="_Toc19053"/>
      <w:bookmarkStart w:id="304" w:name="_Ref18621"/>
      <w:bookmarkStart w:id="305" w:name="_Toc487067527"/>
      <w:bookmarkStart w:id="306" w:name="_Toc496963375"/>
      <w:bookmarkStart w:id="307" w:name="_Toc492110887"/>
      <w:bookmarkStart w:id="308" w:name="_Toc497644449"/>
      <w:bookmarkStart w:id="309" w:name="_Toc492306165"/>
      <w:bookmarkStart w:id="310" w:name="_Toc534534949"/>
      <w:bookmarkStart w:id="311" w:name="_Toc535584848"/>
      <w:bookmarkStart w:id="312" w:name="_Toc535150365"/>
      <w:bookmarkStart w:id="313" w:name="_Toc497644282"/>
      <w:r>
        <w:rPr>
          <w:rFonts w:hint="default" w:ascii="Times New Roman" w:hAnsi="Times New Roman" w:cs="Times New Roman"/>
          <w:color w:val="auto"/>
          <w:highlight w:val="none"/>
        </w:rPr>
        <w:t>乙方或项目公司未按本协议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_Ref27145 \n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第8条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约定缴纳各种履约担保，每延期1天，乙方应向甲方支付10万元违约金，直至提交当日止。</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r>
        <w:rPr>
          <w:rFonts w:hint="eastAsia"/>
          <w:lang w:val="en-US" w:eastAsia="zh-CN"/>
        </w:rPr>
        <w:t>延期超过60日，</w:t>
      </w:r>
      <w:r>
        <w:rPr>
          <w:rFonts w:hint="eastAsia" w:ascii="Times New Roman" w:hAnsi="Times New Roman" w:cs="Times New Roman"/>
          <w:color w:val="auto"/>
          <w:highlight w:val="none"/>
          <w:lang w:eastAsia="zh-CN"/>
        </w:rPr>
        <w:t>则甲方有权解除本协议。</w:t>
      </w:r>
    </w:p>
    <w:p>
      <w:pPr>
        <w:pStyle w:val="138"/>
        <w:spacing w:after="156"/>
        <w:rPr>
          <w:rFonts w:hint="default" w:ascii="Times New Roman" w:hAnsi="Times New Roman" w:cs="Times New Roman"/>
          <w:color w:val="auto"/>
          <w:highlight w:val="none"/>
        </w:rPr>
      </w:pPr>
      <w:bookmarkStart w:id="314" w:name="_Toc497646407"/>
      <w:bookmarkStart w:id="315" w:name="_Toc534534950"/>
      <w:bookmarkStart w:id="316" w:name="_Toc13491"/>
      <w:bookmarkStart w:id="317" w:name="_Toc497644283"/>
      <w:bookmarkStart w:id="318" w:name="_Toc492110888"/>
      <w:bookmarkStart w:id="319" w:name="_Toc535150366"/>
      <w:bookmarkStart w:id="320" w:name="_Toc496963376"/>
      <w:bookmarkStart w:id="321" w:name="_Toc487067528"/>
      <w:bookmarkStart w:id="322" w:name="_Toc497646338"/>
      <w:bookmarkStart w:id="323" w:name="_Toc534474026"/>
      <w:bookmarkStart w:id="324" w:name="_Toc497644450"/>
      <w:bookmarkStart w:id="325" w:name="_Toc535584849"/>
      <w:bookmarkStart w:id="326" w:name="_Toc492306166"/>
      <w:r>
        <w:rPr>
          <w:rFonts w:hint="default" w:ascii="Times New Roman" w:hAnsi="Times New Roman" w:cs="Times New Roman"/>
          <w:color w:val="auto"/>
          <w:highlight w:val="none"/>
        </w:rPr>
        <w:t>如甲方按上述</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_Ref18589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10.1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及</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_Ref18621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10.3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条</w:t>
      </w:r>
      <w:r>
        <w:rPr>
          <w:rFonts w:hint="default" w:ascii="Times New Roman" w:hAnsi="Times New Roman" w:cs="Times New Roman"/>
          <w:color w:val="auto"/>
          <w:highlight w:val="none"/>
        </w:rPr>
        <w:t>解除本协议的，则乙方除了须按上述</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_Ref18589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10.1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及</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_Ref18621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10.3</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条</w:t>
      </w:r>
      <w:r>
        <w:rPr>
          <w:rFonts w:hint="default" w:ascii="Times New Roman" w:hAnsi="Times New Roman" w:cs="Times New Roman"/>
          <w:color w:val="auto"/>
          <w:highlight w:val="none"/>
        </w:rPr>
        <w:t>规定支付逾期完成违约金之外，还须另行按本项目</w:t>
      </w:r>
      <w:r>
        <w:rPr>
          <w:rFonts w:hint="default" w:ascii="Times New Roman" w:hAnsi="Times New Roman" w:cs="Times New Roman"/>
          <w:color w:val="auto"/>
          <w:highlight w:val="none"/>
          <w:lang w:val="en-US"/>
        </w:rPr>
        <w:t>总投资</w:t>
      </w:r>
      <w:r>
        <w:rPr>
          <w:rFonts w:hint="default" w:ascii="Times New Roman" w:hAnsi="Times New Roman" w:cs="Times New Roman"/>
          <w:color w:val="auto"/>
          <w:highlight w:val="none"/>
          <w:lang w:val="en-US" w:eastAsia="zh-CN"/>
        </w:rPr>
        <w:t>（</w:t>
      </w:r>
      <w:r>
        <w:rPr>
          <w:rFonts w:hint="eastAsia" w:ascii="Times New Roman" w:hAnsi="Times New Roman" w:cs="Times New Roman"/>
          <w:color w:val="auto"/>
          <w:highlight w:val="none"/>
          <w:lang w:val="en-US" w:eastAsia="zh-CN"/>
        </w:rPr>
        <w:t>特许经营方案批复为准</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的10%向甲方支付违约金。</w:t>
      </w:r>
      <w:bookmarkEnd w:id="314"/>
      <w:bookmarkEnd w:id="315"/>
      <w:bookmarkEnd w:id="316"/>
      <w:bookmarkEnd w:id="317"/>
      <w:bookmarkEnd w:id="318"/>
      <w:bookmarkEnd w:id="319"/>
      <w:bookmarkEnd w:id="320"/>
      <w:bookmarkEnd w:id="321"/>
      <w:bookmarkEnd w:id="322"/>
      <w:bookmarkEnd w:id="323"/>
      <w:bookmarkEnd w:id="324"/>
      <w:bookmarkEnd w:id="325"/>
      <w:bookmarkEnd w:id="326"/>
    </w:p>
    <w:p>
      <w:pPr>
        <w:pStyle w:val="138"/>
        <w:spacing w:after="156"/>
        <w:rPr>
          <w:rFonts w:hint="default" w:ascii="Times New Roman" w:hAnsi="Times New Roman" w:cs="Times New Roman"/>
          <w:color w:val="auto"/>
          <w:highlight w:val="none"/>
        </w:rPr>
      </w:pPr>
      <w:bookmarkStart w:id="327" w:name="_Toc497646408"/>
      <w:bookmarkStart w:id="328" w:name="_Toc20139"/>
      <w:bookmarkStart w:id="329" w:name="_Toc497644451"/>
      <w:bookmarkStart w:id="330" w:name="_Toc534534951"/>
      <w:bookmarkStart w:id="331" w:name="_Toc534474027"/>
      <w:bookmarkStart w:id="332" w:name="_Toc535150367"/>
      <w:bookmarkStart w:id="333" w:name="_Toc497644284"/>
      <w:bookmarkStart w:id="334" w:name="_Toc496963377"/>
      <w:bookmarkStart w:id="335" w:name="_Toc492110889"/>
      <w:bookmarkStart w:id="336" w:name="_Toc497646339"/>
      <w:bookmarkStart w:id="337" w:name="_Toc492306167"/>
      <w:bookmarkStart w:id="338" w:name="_Toc535584850"/>
      <w:r>
        <w:rPr>
          <w:rFonts w:hint="default" w:ascii="Times New Roman" w:hAnsi="Times New Roman" w:cs="Times New Roman"/>
          <w:color w:val="auto"/>
          <w:highlight w:val="none"/>
        </w:rPr>
        <w:t>甲方违约责任按特许经营协议的约定执行。</w:t>
      </w:r>
      <w:bookmarkEnd w:id="327"/>
      <w:bookmarkEnd w:id="328"/>
      <w:bookmarkEnd w:id="329"/>
      <w:bookmarkEnd w:id="330"/>
      <w:bookmarkEnd w:id="331"/>
      <w:bookmarkEnd w:id="332"/>
      <w:bookmarkEnd w:id="333"/>
      <w:bookmarkEnd w:id="334"/>
      <w:bookmarkEnd w:id="335"/>
      <w:bookmarkEnd w:id="336"/>
      <w:bookmarkEnd w:id="337"/>
      <w:bookmarkEnd w:id="338"/>
    </w:p>
    <w:p>
      <w:pPr>
        <w:pStyle w:val="137"/>
        <w:shd w:val="clear"/>
        <w:spacing w:before="312" w:after="156"/>
        <w:rPr>
          <w:rFonts w:hint="default" w:ascii="Times New Roman" w:hAnsi="Times New Roman" w:cs="Times New Roman"/>
          <w:color w:val="auto"/>
          <w:highlight w:val="none"/>
        </w:rPr>
      </w:pPr>
      <w:bookmarkStart w:id="339" w:name="_Toc27731"/>
      <w:bookmarkStart w:id="340" w:name="_Toc24618"/>
      <w:bookmarkStart w:id="341" w:name="_Toc27018"/>
      <w:bookmarkStart w:id="342" w:name="_Toc31189"/>
      <w:bookmarkStart w:id="343" w:name="_Toc5199"/>
      <w:bookmarkStart w:id="344" w:name="_Toc497644285"/>
      <w:bookmarkStart w:id="345" w:name="_Toc9355"/>
      <w:bookmarkStart w:id="346" w:name="_Toc20353"/>
      <w:bookmarkStart w:id="347" w:name="_Ref13737"/>
      <w:bookmarkStart w:id="348" w:name="_Toc1042763555"/>
      <w:bookmarkStart w:id="349" w:name="_Toc2117937896"/>
      <w:bookmarkStart w:id="350" w:name="_Toc190613439"/>
      <w:bookmarkStart w:id="351" w:name="_Toc534474028"/>
      <w:bookmarkStart w:id="352" w:name="_Ref491430829"/>
      <w:bookmarkStart w:id="353" w:name="_Toc15753"/>
      <w:bookmarkStart w:id="354" w:name="_Toc32398"/>
      <w:r>
        <w:rPr>
          <w:rFonts w:hint="default" w:ascii="Times New Roman" w:hAnsi="Times New Roman" w:cs="Times New Roman"/>
          <w:color w:val="auto"/>
          <w:highlight w:val="none"/>
        </w:rPr>
        <w:t>争议的解决</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Style w:val="138"/>
        <w:spacing w:after="156"/>
        <w:rPr>
          <w:rFonts w:hint="default" w:ascii="Times New Roman" w:hAnsi="Times New Roman" w:cs="Times New Roman"/>
          <w:color w:val="auto"/>
          <w:highlight w:val="none"/>
        </w:rPr>
      </w:pPr>
      <w:bookmarkStart w:id="355" w:name="_Toc496963379"/>
      <w:bookmarkStart w:id="356" w:name="_Toc497644286"/>
      <w:bookmarkStart w:id="357" w:name="_Toc535150369"/>
      <w:bookmarkStart w:id="358" w:name="_Toc497644453"/>
      <w:bookmarkStart w:id="359" w:name="_Toc535584852"/>
      <w:bookmarkStart w:id="360" w:name="_Toc534534953"/>
      <w:bookmarkStart w:id="361" w:name="_Toc492110891"/>
      <w:bookmarkStart w:id="362" w:name="_Toc497646410"/>
      <w:bookmarkStart w:id="363" w:name="_Toc492306169"/>
      <w:bookmarkStart w:id="364" w:name="_Toc487067530"/>
      <w:bookmarkStart w:id="365" w:name="_Toc17106"/>
      <w:bookmarkStart w:id="366" w:name="_Toc534474029"/>
      <w:r>
        <w:rPr>
          <w:rFonts w:hint="default" w:ascii="Times New Roman" w:hAnsi="Times New Roman" w:cs="Times New Roman"/>
          <w:color w:val="auto"/>
          <w:highlight w:val="none"/>
        </w:rPr>
        <w:t>若双方对于由于本协议发生争议，则应尽力通过协商友好解决该争议、分歧或索赔。协议双方</w:t>
      </w:r>
      <w:r>
        <w:rPr>
          <w:rFonts w:hint="default" w:ascii="Times New Roman" w:hAnsi="Times New Roman" w:cs="Times New Roman"/>
          <w:color w:val="auto"/>
          <w:highlight w:val="none"/>
          <w:lang w:eastAsia="zh-CN"/>
        </w:rPr>
        <w:t>在</w:t>
      </w:r>
      <w:r>
        <w:rPr>
          <w:rFonts w:hint="default" w:ascii="Times New Roman" w:hAnsi="Times New Roman" w:cs="Times New Roman"/>
          <w:color w:val="auto"/>
          <w:highlight w:val="none"/>
        </w:rPr>
        <w:t>无法通过协商解决争议的情况下，向项目所在地具有管辖权的法院提起诉讼。</w:t>
      </w:r>
      <w:bookmarkEnd w:id="355"/>
      <w:bookmarkEnd w:id="356"/>
      <w:bookmarkEnd w:id="357"/>
      <w:bookmarkEnd w:id="358"/>
      <w:bookmarkEnd w:id="359"/>
      <w:bookmarkEnd w:id="360"/>
      <w:bookmarkEnd w:id="361"/>
      <w:bookmarkEnd w:id="362"/>
      <w:bookmarkEnd w:id="363"/>
      <w:bookmarkEnd w:id="364"/>
      <w:bookmarkEnd w:id="365"/>
      <w:bookmarkEnd w:id="366"/>
    </w:p>
    <w:p>
      <w:pPr>
        <w:pStyle w:val="138"/>
        <w:spacing w:after="156"/>
        <w:rPr>
          <w:rFonts w:hint="default" w:ascii="Times New Roman" w:hAnsi="Times New Roman" w:cs="Times New Roman"/>
          <w:color w:val="auto"/>
          <w:highlight w:val="none"/>
        </w:rPr>
      </w:pPr>
      <w:bookmarkStart w:id="367" w:name="_Toc497644287"/>
      <w:bookmarkStart w:id="368" w:name="_Toc487067531"/>
      <w:bookmarkStart w:id="369" w:name="_Toc534474030"/>
      <w:bookmarkStart w:id="370" w:name="_Toc10075"/>
      <w:bookmarkStart w:id="371" w:name="_Toc534534954"/>
      <w:bookmarkStart w:id="372" w:name="_Toc496963380"/>
      <w:bookmarkStart w:id="373" w:name="_Toc497644454"/>
      <w:bookmarkStart w:id="374" w:name="_Toc497646411"/>
      <w:bookmarkStart w:id="375" w:name="_Toc535150370"/>
      <w:bookmarkStart w:id="376" w:name="_Toc492110892"/>
      <w:bookmarkStart w:id="377" w:name="_Toc492306170"/>
      <w:bookmarkStart w:id="378" w:name="_Toc535584853"/>
      <w:r>
        <w:rPr>
          <w:rFonts w:hint="default" w:ascii="Times New Roman" w:hAnsi="Times New Roman" w:cs="Times New Roman"/>
          <w:color w:val="auto"/>
          <w:highlight w:val="none"/>
        </w:rPr>
        <w:t>因诉讼发生的相关费用（包括不限于案件受理费、差旅费、合理的律师费等）均由败诉方承担。</w:t>
      </w:r>
      <w:bookmarkEnd w:id="367"/>
      <w:bookmarkEnd w:id="368"/>
      <w:bookmarkEnd w:id="369"/>
      <w:bookmarkEnd w:id="370"/>
      <w:bookmarkEnd w:id="371"/>
      <w:bookmarkEnd w:id="372"/>
      <w:bookmarkEnd w:id="373"/>
      <w:bookmarkEnd w:id="374"/>
      <w:bookmarkEnd w:id="375"/>
      <w:bookmarkEnd w:id="376"/>
      <w:bookmarkEnd w:id="377"/>
      <w:bookmarkEnd w:id="378"/>
    </w:p>
    <w:p>
      <w:pPr>
        <w:pStyle w:val="138"/>
        <w:spacing w:after="156"/>
        <w:rPr>
          <w:rFonts w:hint="default" w:ascii="Times New Roman" w:hAnsi="Times New Roman" w:cs="Times New Roman"/>
          <w:color w:val="auto"/>
          <w:highlight w:val="none"/>
        </w:rPr>
      </w:pPr>
      <w:bookmarkStart w:id="379" w:name="_Toc497644455"/>
      <w:bookmarkStart w:id="380" w:name="_Toc497646412"/>
      <w:bookmarkStart w:id="381" w:name="_Toc534474031"/>
      <w:bookmarkStart w:id="382" w:name="_Toc535150371"/>
      <w:bookmarkStart w:id="383" w:name="_Toc534534955"/>
      <w:bookmarkStart w:id="384" w:name="_Toc497644288"/>
      <w:bookmarkStart w:id="385" w:name="_Toc492110893"/>
      <w:bookmarkStart w:id="386" w:name="_Toc535584854"/>
      <w:bookmarkStart w:id="387" w:name="_Toc487067532"/>
      <w:bookmarkStart w:id="388" w:name="_Toc7796"/>
      <w:bookmarkStart w:id="389" w:name="_Toc492306171"/>
      <w:bookmarkStart w:id="390" w:name="_Toc496963381"/>
      <w:r>
        <w:rPr>
          <w:rFonts w:hint="default" w:ascii="Times New Roman" w:hAnsi="Times New Roman" w:cs="Times New Roman"/>
          <w:color w:val="auto"/>
          <w:highlight w:val="none"/>
        </w:rPr>
        <w:t>在诉讼期间，本协议不涉及争议部分的条款仍须履行。</w:t>
      </w:r>
      <w:bookmarkEnd w:id="379"/>
      <w:bookmarkEnd w:id="380"/>
      <w:bookmarkEnd w:id="381"/>
      <w:bookmarkEnd w:id="382"/>
      <w:bookmarkEnd w:id="383"/>
      <w:bookmarkEnd w:id="384"/>
      <w:bookmarkEnd w:id="385"/>
      <w:bookmarkEnd w:id="386"/>
      <w:bookmarkEnd w:id="387"/>
      <w:bookmarkEnd w:id="388"/>
      <w:bookmarkEnd w:id="389"/>
      <w:bookmarkEnd w:id="390"/>
    </w:p>
    <w:p>
      <w:pPr>
        <w:pStyle w:val="137"/>
        <w:shd w:val="clear"/>
        <w:spacing w:before="312" w:after="156"/>
        <w:rPr>
          <w:rFonts w:hint="default" w:ascii="Times New Roman" w:hAnsi="Times New Roman" w:cs="Times New Roman"/>
          <w:color w:val="auto"/>
          <w:highlight w:val="none"/>
        </w:rPr>
      </w:pPr>
      <w:bookmarkStart w:id="391" w:name="_Toc1640769047"/>
      <w:bookmarkStart w:id="392" w:name="_Toc20022"/>
      <w:bookmarkStart w:id="393" w:name="_Toc113025718"/>
      <w:bookmarkStart w:id="394" w:name="_Toc18334"/>
      <w:bookmarkStart w:id="395" w:name="_Toc28571"/>
      <w:bookmarkStart w:id="396" w:name="_Toc24959"/>
      <w:bookmarkStart w:id="397" w:name="_Toc190613440"/>
      <w:bookmarkStart w:id="398" w:name="_Toc497644289"/>
      <w:bookmarkStart w:id="399" w:name="_Toc535150372"/>
      <w:bookmarkStart w:id="400" w:name="_Toc2176"/>
      <w:bookmarkStart w:id="401" w:name="_Toc4741"/>
      <w:bookmarkStart w:id="402" w:name="_Toc13439"/>
      <w:bookmarkStart w:id="403" w:name="_Toc1691"/>
      <w:bookmarkStart w:id="404" w:name="_Toc5082"/>
      <w:r>
        <w:rPr>
          <w:rFonts w:hint="eastAsia" w:cs="Times New Roman"/>
          <w:color w:val="auto"/>
          <w:highlight w:val="none"/>
          <w:lang w:eastAsia="zh-CN"/>
        </w:rPr>
        <w:t>其他约定</w:t>
      </w:r>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pPr>
        <w:pStyle w:val="138"/>
        <w:spacing w:after="156"/>
        <w:rPr>
          <w:rFonts w:hint="default" w:ascii="Times New Roman" w:hAnsi="Times New Roman" w:cs="Times New Roman"/>
          <w:color w:val="auto"/>
          <w:highlight w:val="none"/>
        </w:rPr>
      </w:pPr>
      <w:bookmarkStart w:id="405" w:name="_Toc534474033"/>
      <w:bookmarkStart w:id="406" w:name="_Toc497646414"/>
      <w:bookmarkStart w:id="407" w:name="_Toc497644457"/>
      <w:bookmarkStart w:id="408" w:name="_Ref18856"/>
      <w:bookmarkStart w:id="409" w:name="_Toc492110895"/>
      <w:bookmarkStart w:id="410" w:name="_Toc492306173"/>
      <w:bookmarkStart w:id="411" w:name="_Toc7176"/>
      <w:bookmarkStart w:id="412" w:name="_Toc497644290"/>
      <w:bookmarkStart w:id="413" w:name="_Ref13776"/>
      <w:bookmarkStart w:id="414" w:name="_Toc487067534"/>
      <w:bookmarkStart w:id="415" w:name="_Toc496963383"/>
      <w:bookmarkStart w:id="416" w:name="_Toc534534957"/>
      <w:bookmarkStart w:id="417" w:name="_Toc535584856"/>
      <w:bookmarkStart w:id="418" w:name="_Toc535150373"/>
      <w:r>
        <w:rPr>
          <w:rFonts w:hint="default" w:ascii="Times New Roman" w:hAnsi="Times New Roman" w:cs="Times New Roman"/>
          <w:color w:val="auto"/>
          <w:highlight w:val="none"/>
        </w:rPr>
        <w:t>下列文件应视为构成并作为阅读和理解本协议的组成部分，除非合同各方另有约定，组成本合同的文件及优先解释顺序依次如下：</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US" w:eastAsia="zh-CN"/>
        </w:rPr>
        <w:t>协议</w:t>
      </w:r>
      <w:r>
        <w:rPr>
          <w:rFonts w:hint="default" w:ascii="Times New Roman" w:hAnsi="Times New Roman" w:cs="Times New Roman"/>
          <w:color w:val="auto"/>
          <w:kern w:val="28"/>
          <w:szCs w:val="24"/>
          <w:highlight w:val="none"/>
          <w:lang w:val="en-GB"/>
        </w:rPr>
        <w:t>执行过程中双方签订的补充协议（如有）；</w:t>
      </w:r>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eastAsia="en-US"/>
        </w:rPr>
        <w:t>本协议；</w:t>
      </w:r>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本项目的《</w:t>
      </w:r>
      <w:r>
        <w:rPr>
          <w:rFonts w:hint="default" w:ascii="Times New Roman" w:hAnsi="Times New Roman" w:cs="Times New Roman"/>
          <w:color w:val="auto"/>
          <w:szCs w:val="24"/>
          <w:highlight w:val="none"/>
        </w:rPr>
        <w:t>特许经营协议</w:t>
      </w:r>
      <w:r>
        <w:rPr>
          <w:rFonts w:hint="default" w:ascii="Times New Roman" w:hAnsi="Times New Roman" w:cs="Times New Roman"/>
          <w:color w:val="auto"/>
          <w:kern w:val="28"/>
          <w:szCs w:val="24"/>
          <w:highlight w:val="none"/>
          <w:lang w:val="en-GB"/>
        </w:rPr>
        <w:t>》及合同附件；</w:t>
      </w:r>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中标后双方确认的谈判备忘录；</w:t>
      </w:r>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招标文件（含招标过程中发出的补遗、澄清文件）；</w:t>
      </w:r>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投标文件（含评标期间经确认的澄清文件）；</w:t>
      </w:r>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经批准的设计文件、技术标准、规范等；</w:t>
      </w:r>
    </w:p>
    <w:p>
      <w:pPr>
        <w:pStyle w:val="388"/>
        <w:numPr>
          <w:ilvl w:val="0"/>
          <w:numId w:val="12"/>
        </w:numPr>
        <w:spacing w:after="156"/>
        <w:ind w:left="0"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构成本协议组成部分的其他文件。</w:t>
      </w:r>
    </w:p>
    <w:p>
      <w:pPr>
        <w:pStyle w:val="388"/>
        <w:spacing w:after="156"/>
        <w:ind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在合同履行过程中签署的与本协议有关的文件均构成本协议文件组成部分，与本协议具有同等法律效力。</w:t>
      </w:r>
    </w:p>
    <w:p>
      <w:pPr>
        <w:pStyle w:val="138"/>
        <w:spacing w:after="156"/>
        <w:rPr>
          <w:rFonts w:hint="default" w:ascii="Times New Roman" w:hAnsi="Times New Roman" w:cs="Times New Roman"/>
          <w:color w:val="auto"/>
          <w:highlight w:val="none"/>
        </w:rPr>
      </w:pPr>
      <w:bookmarkStart w:id="419" w:name="_Toc535584857"/>
      <w:bookmarkStart w:id="420" w:name="_Toc11105"/>
      <w:bookmarkStart w:id="421" w:name="_Toc535150374"/>
      <w:bookmarkStart w:id="422" w:name="_Toc487067535"/>
      <w:bookmarkStart w:id="423" w:name="_Toc534474034"/>
      <w:bookmarkStart w:id="424" w:name="_Toc492306174"/>
      <w:bookmarkStart w:id="425" w:name="_Toc534534958"/>
      <w:bookmarkStart w:id="426" w:name="_Toc496963384"/>
      <w:bookmarkStart w:id="427" w:name="_Toc492110896"/>
      <w:bookmarkStart w:id="428" w:name="_Toc497646415"/>
      <w:bookmarkStart w:id="429" w:name="_Toc497644458"/>
      <w:bookmarkStart w:id="430" w:name="_Toc497644291"/>
      <w:r>
        <w:rPr>
          <w:rFonts w:hint="default" w:ascii="Times New Roman" w:hAnsi="Times New Roman" w:cs="Times New Roman"/>
          <w:color w:val="auto"/>
          <w:highlight w:val="none"/>
        </w:rPr>
        <w:t>上述文件按</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_Ref18856 \r \h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第12条12.1</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lang w:val="en-US" w:eastAsia="zh-CN"/>
        </w:rPr>
        <w:t>款</w:t>
      </w:r>
      <w:r>
        <w:rPr>
          <w:rFonts w:hint="default" w:ascii="Times New Roman" w:hAnsi="Times New Roman" w:cs="Times New Roman"/>
          <w:color w:val="auto"/>
          <w:highlight w:val="none"/>
        </w:rPr>
        <w:t>解释顺序仍不能得出结论的，以最新签署时间或法律认可的解释方法为准，最终无法达成一致的，按本协议</w:t>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REF _Ref491430829 \r \h  \* MERGEFORMAT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lang w:val="en-GB"/>
        </w:rPr>
        <w:t>第11条</w:t>
      </w:r>
      <w:r>
        <w:rPr>
          <w:rFonts w:hint="default" w:ascii="Times New Roman" w:hAnsi="Times New Roman" w:cs="Times New Roman"/>
          <w:color w:val="auto"/>
          <w:highlight w:val="none"/>
        </w:rPr>
        <w:fldChar w:fldCharType="end"/>
      </w:r>
      <w:r>
        <w:rPr>
          <w:rFonts w:hint="default" w:ascii="Times New Roman" w:hAnsi="Times New Roman" w:cs="Times New Roman"/>
          <w:color w:val="auto"/>
          <w:highlight w:val="none"/>
        </w:rPr>
        <w:t>解决。</w:t>
      </w:r>
      <w:bookmarkEnd w:id="419"/>
      <w:bookmarkEnd w:id="420"/>
      <w:bookmarkEnd w:id="421"/>
    </w:p>
    <w:bookmarkEnd w:id="422"/>
    <w:bookmarkEnd w:id="423"/>
    <w:bookmarkEnd w:id="424"/>
    <w:bookmarkEnd w:id="425"/>
    <w:bookmarkEnd w:id="426"/>
    <w:bookmarkEnd w:id="427"/>
    <w:bookmarkEnd w:id="428"/>
    <w:bookmarkEnd w:id="429"/>
    <w:bookmarkEnd w:id="430"/>
    <w:p>
      <w:pPr>
        <w:pStyle w:val="138"/>
        <w:spacing w:after="156"/>
        <w:rPr>
          <w:rFonts w:hint="default" w:ascii="Times New Roman" w:hAnsi="Times New Roman" w:cs="Times New Roman"/>
          <w:color w:val="auto"/>
          <w:highlight w:val="none"/>
        </w:rPr>
      </w:pPr>
      <w:bookmarkStart w:id="431" w:name="_Toc534534959"/>
      <w:bookmarkStart w:id="432" w:name="_Toc497646416"/>
      <w:bookmarkStart w:id="433" w:name="_Toc497644459"/>
      <w:bookmarkStart w:id="434" w:name="_Toc535150375"/>
      <w:bookmarkStart w:id="435" w:name="_Toc496963385"/>
      <w:bookmarkStart w:id="436" w:name="_Toc497644292"/>
      <w:bookmarkStart w:id="437" w:name="_Toc492306175"/>
      <w:bookmarkStart w:id="438" w:name="_Toc487067536"/>
      <w:bookmarkStart w:id="439" w:name="_Toc8878"/>
      <w:bookmarkStart w:id="440" w:name="_Toc535584858"/>
      <w:bookmarkStart w:id="441" w:name="_Toc492110897"/>
      <w:bookmarkStart w:id="442" w:name="_Toc534474035"/>
      <w:r>
        <w:rPr>
          <w:rFonts w:hint="default" w:ascii="Times New Roman" w:hAnsi="Times New Roman" w:cs="Times New Roman"/>
          <w:color w:val="auto"/>
          <w:highlight w:val="none"/>
        </w:rPr>
        <w:t>本协议经由双方法定代表人或其授权的代理人签署、加盖单</w:t>
      </w:r>
      <w:r>
        <w:rPr>
          <w:rFonts w:hint="default" w:ascii="Times New Roman" w:hAnsi="Times New Roman" w:cs="Times New Roman"/>
          <w:color w:val="auto"/>
          <w:highlight w:val="none"/>
          <w:lang w:eastAsia="zh-CN"/>
        </w:rPr>
        <w:t>位公</w:t>
      </w:r>
      <w:r>
        <w:rPr>
          <w:rFonts w:hint="default" w:ascii="Times New Roman" w:hAnsi="Times New Roman" w:cs="Times New Roman"/>
          <w:color w:val="auto"/>
          <w:highlight w:val="none"/>
        </w:rPr>
        <w:t>章后生效。</w:t>
      </w:r>
      <w:bookmarkEnd w:id="431"/>
      <w:bookmarkEnd w:id="432"/>
      <w:bookmarkEnd w:id="433"/>
      <w:bookmarkEnd w:id="434"/>
      <w:bookmarkEnd w:id="435"/>
      <w:bookmarkEnd w:id="436"/>
      <w:bookmarkEnd w:id="437"/>
      <w:bookmarkEnd w:id="438"/>
      <w:bookmarkEnd w:id="439"/>
      <w:bookmarkEnd w:id="440"/>
      <w:bookmarkEnd w:id="441"/>
      <w:bookmarkEnd w:id="442"/>
    </w:p>
    <w:p>
      <w:pPr>
        <w:pStyle w:val="138"/>
        <w:spacing w:after="156"/>
        <w:rPr>
          <w:rFonts w:hint="default" w:ascii="Times New Roman" w:hAnsi="Times New Roman" w:cs="Times New Roman"/>
          <w:color w:val="auto"/>
          <w:highlight w:val="none"/>
        </w:rPr>
      </w:pPr>
      <w:bookmarkStart w:id="443" w:name="_Toc487067537"/>
      <w:bookmarkStart w:id="444" w:name="_Toc534474036"/>
      <w:bookmarkStart w:id="445" w:name="_Toc496963386"/>
      <w:bookmarkStart w:id="446" w:name="_Toc497644460"/>
      <w:bookmarkStart w:id="447" w:name="_Toc535584859"/>
      <w:bookmarkStart w:id="448" w:name="_Toc535150376"/>
      <w:bookmarkStart w:id="449" w:name="_Toc534534960"/>
      <w:bookmarkStart w:id="450" w:name="_Toc492306176"/>
      <w:bookmarkStart w:id="451" w:name="_Toc26160"/>
      <w:bookmarkStart w:id="452" w:name="_Toc497644293"/>
      <w:bookmarkStart w:id="453" w:name="_Toc497646417"/>
      <w:bookmarkStart w:id="454" w:name="_Toc492110898"/>
      <w:r>
        <w:rPr>
          <w:rFonts w:hint="default" w:ascii="Times New Roman" w:hAnsi="Times New Roman" w:cs="Times New Roman"/>
          <w:color w:val="auto"/>
          <w:highlight w:val="none"/>
        </w:rPr>
        <w:t>本协议正本一式【】份、副本一式【】份，甲方执正本【】份、副本【】份，乙方执正本【】份、副本【】份，正副本具有同等法律效力。</w:t>
      </w:r>
      <w:bookmarkEnd w:id="443"/>
      <w:bookmarkEnd w:id="444"/>
      <w:bookmarkEnd w:id="445"/>
      <w:bookmarkEnd w:id="446"/>
      <w:bookmarkEnd w:id="447"/>
      <w:bookmarkEnd w:id="448"/>
      <w:bookmarkEnd w:id="449"/>
      <w:bookmarkEnd w:id="450"/>
      <w:bookmarkEnd w:id="451"/>
      <w:bookmarkEnd w:id="452"/>
      <w:bookmarkEnd w:id="453"/>
      <w:bookmarkEnd w:id="454"/>
    </w:p>
    <w:p>
      <w:pPr>
        <w:pStyle w:val="138"/>
        <w:spacing w:after="156"/>
        <w:rPr>
          <w:rFonts w:hint="default" w:ascii="Times New Roman" w:hAnsi="Times New Roman" w:cs="Times New Roman"/>
          <w:color w:val="auto"/>
          <w:highlight w:val="none"/>
        </w:rPr>
      </w:pPr>
      <w:bookmarkStart w:id="455" w:name="_Toc492110899"/>
      <w:bookmarkStart w:id="456" w:name="_Toc534534961"/>
      <w:bookmarkStart w:id="457" w:name="_Toc492306177"/>
      <w:bookmarkStart w:id="458" w:name="_Toc497644294"/>
      <w:bookmarkStart w:id="459" w:name="_Toc497646418"/>
      <w:bookmarkStart w:id="460" w:name="_Toc535150377"/>
      <w:bookmarkStart w:id="461" w:name="_Toc487067538"/>
      <w:bookmarkStart w:id="462" w:name="_Toc534474037"/>
      <w:bookmarkStart w:id="463" w:name="_Toc535584860"/>
      <w:bookmarkStart w:id="464" w:name="_Toc497644461"/>
      <w:bookmarkStart w:id="465" w:name="_Toc4894"/>
      <w:bookmarkStart w:id="466" w:name="_Toc496963387"/>
      <w:r>
        <w:rPr>
          <w:rFonts w:hint="default" w:ascii="Times New Roman" w:hAnsi="Times New Roman" w:cs="Times New Roman"/>
          <w:color w:val="auto"/>
          <w:highlight w:val="none"/>
          <w:lang w:val="en-US"/>
        </w:rPr>
        <w:t>协议</w:t>
      </w:r>
      <w:r>
        <w:rPr>
          <w:rFonts w:hint="default" w:ascii="Times New Roman" w:hAnsi="Times New Roman" w:cs="Times New Roman"/>
          <w:color w:val="auto"/>
          <w:highlight w:val="none"/>
        </w:rPr>
        <w:t>订立日期：</w:t>
      </w:r>
      <w:r>
        <w:rPr>
          <w:rFonts w:hint="default" w:ascii="Times New Roman" w:hAnsi="Times New Roman" w:cs="Times New Roman"/>
          <w:color w:val="auto"/>
          <w:highlight w:val="none"/>
          <w:lang w:val="en-US"/>
        </w:rPr>
        <w:t>双方一致约定为</w:t>
      </w:r>
      <w:r>
        <w:rPr>
          <w:rFonts w:hint="default" w:ascii="Times New Roman" w:hAnsi="Times New Roman" w:cs="Times New Roman"/>
          <w:color w:val="auto"/>
          <w:highlight w:val="none"/>
        </w:rPr>
        <w:t>20</w:t>
      </w:r>
      <w:r>
        <w:rPr>
          <w:rFonts w:hint="default" w:ascii="Times New Roman" w:hAnsi="Times New Roman" w:cs="Times New Roman"/>
          <w:color w:val="auto"/>
          <w:highlight w:val="none"/>
          <w:lang w:val="en-US"/>
        </w:rPr>
        <w:t>25</w:t>
      </w:r>
      <w:r>
        <w:rPr>
          <w:rFonts w:hint="default" w:ascii="Times New Roman" w:hAnsi="Times New Roman" w:cs="Times New Roman"/>
          <w:color w:val="auto"/>
          <w:highlight w:val="none"/>
        </w:rPr>
        <w:t>年【】月【】日，</w:t>
      </w:r>
      <w:r>
        <w:rPr>
          <w:rFonts w:hint="default" w:ascii="Times New Roman" w:hAnsi="Times New Roman" w:cs="Times New Roman"/>
          <w:color w:val="auto"/>
          <w:highlight w:val="none"/>
          <w:lang w:val="en-US"/>
        </w:rPr>
        <w:t>协议订立日期为生效日</w:t>
      </w:r>
      <w:r>
        <w:rPr>
          <w:rFonts w:hint="default" w:ascii="Times New Roman" w:hAnsi="Times New Roman" w:cs="Times New Roman"/>
          <w:color w:val="auto"/>
          <w:highlight w:val="none"/>
        </w:rPr>
        <w:t>；合同订立地点：广东省广州市</w:t>
      </w:r>
      <w:r>
        <w:rPr>
          <w:rFonts w:hint="eastAsia" w:ascii="Times New Roman" w:hAnsi="Times New Roman" w:cs="Times New Roman"/>
          <w:color w:val="auto"/>
          <w:highlight w:val="none"/>
          <w:lang w:eastAsia="zh-CN"/>
        </w:rPr>
        <w:t>花都区</w:t>
      </w:r>
      <w:r>
        <w:rPr>
          <w:rFonts w:hint="default" w:ascii="Times New Roman" w:hAnsi="Times New Roman" w:cs="Times New Roman"/>
          <w:color w:val="auto"/>
          <w:highlight w:val="none"/>
        </w:rPr>
        <w:t>。</w:t>
      </w:r>
      <w:bookmarkEnd w:id="455"/>
      <w:bookmarkEnd w:id="456"/>
      <w:bookmarkEnd w:id="457"/>
      <w:bookmarkEnd w:id="458"/>
      <w:bookmarkEnd w:id="459"/>
      <w:bookmarkEnd w:id="460"/>
      <w:bookmarkEnd w:id="461"/>
      <w:bookmarkEnd w:id="462"/>
      <w:bookmarkEnd w:id="463"/>
      <w:bookmarkEnd w:id="464"/>
      <w:bookmarkEnd w:id="465"/>
      <w:bookmarkEnd w:id="466"/>
    </w:p>
    <w:p>
      <w:pPr>
        <w:pStyle w:val="388"/>
        <w:spacing w:after="156"/>
        <w:ind w:firstLine="480" w:firstLineChars="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【后页无正文】</w:t>
      </w:r>
    </w:p>
    <w:p>
      <w:pPr>
        <w:pStyle w:val="388"/>
        <w:spacing w:after="156"/>
        <w:ind w:firstLine="480" w:firstLineChars="0"/>
        <w:rPr>
          <w:rFonts w:hint="default" w:ascii="Times New Roman" w:hAnsi="Times New Roman" w:cs="Times New Roman"/>
          <w:color w:val="auto"/>
          <w:szCs w:val="24"/>
          <w:highlight w:val="none"/>
        </w:rPr>
        <w:sectPr>
          <w:headerReference r:id="rId13" w:type="default"/>
          <w:footerReference r:id="rId14" w:type="default"/>
          <w:pgSz w:w="11906" w:h="16838"/>
          <w:pgMar w:top="1440" w:right="1800" w:bottom="1440" w:left="1800" w:header="720" w:footer="720" w:gutter="0"/>
          <w:pgNumType w:fmt="numberInDash" w:start="1"/>
          <w:cols w:space="720" w:num="1"/>
          <w:docGrid w:type="lines" w:linePitch="312" w:charSpace="0"/>
        </w:sectPr>
      </w:pPr>
    </w:p>
    <w:bookmarkEnd w:id="32"/>
    <w:p>
      <w:pPr>
        <w:pStyle w:val="388"/>
        <w:spacing w:after="156"/>
        <w:ind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【本页为签署页】</w:t>
      </w:r>
    </w:p>
    <w:tbl>
      <w:tblPr>
        <w:tblStyle w:val="42"/>
        <w:tblW w:w="8931" w:type="dxa"/>
        <w:tblInd w:w="-426" w:type="dxa"/>
        <w:tblLayout w:type="fixed"/>
        <w:tblCellMar>
          <w:top w:w="0" w:type="dxa"/>
          <w:left w:w="108" w:type="dxa"/>
          <w:bottom w:w="0" w:type="dxa"/>
          <w:right w:w="108" w:type="dxa"/>
        </w:tblCellMar>
      </w:tblPr>
      <w:tblGrid>
        <w:gridCol w:w="3828"/>
        <w:gridCol w:w="426"/>
        <w:gridCol w:w="4677"/>
      </w:tblGrid>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bCs/>
                <w:color w:val="auto"/>
                <w:kern w:val="28"/>
                <w:szCs w:val="24"/>
                <w:highlight w:val="none"/>
                <w:u w:val="single"/>
                <w:lang w:val="en-GB"/>
              </w:rPr>
            </w:pPr>
            <w:r>
              <w:rPr>
                <w:rFonts w:hint="default" w:ascii="Times New Roman" w:hAnsi="Times New Roman" w:eastAsia="黑体" w:cs="Times New Roman"/>
                <w:color w:val="auto"/>
                <w:kern w:val="28"/>
                <w:szCs w:val="24"/>
                <w:highlight w:val="none"/>
                <w:lang w:val="en-GB"/>
              </w:rPr>
              <w:t>甲方：</w:t>
            </w:r>
            <w:r>
              <w:rPr>
                <w:rFonts w:hint="eastAsia" w:eastAsia="黑体" w:cs="Times New Roman"/>
                <w:color w:val="auto"/>
                <w:kern w:val="28"/>
                <w:szCs w:val="24"/>
                <w:highlight w:val="none"/>
                <w:lang w:eastAsia="zh-CN"/>
              </w:rPr>
              <w:t>广州市花都区人民政府新华街道办事处</w:t>
            </w:r>
            <w:r>
              <w:rPr>
                <w:rFonts w:hint="default" w:ascii="Times New Roman" w:hAnsi="Times New Roman" w:eastAsia="黑体" w:cs="Times New Roman"/>
                <w:color w:val="auto"/>
                <w:kern w:val="28"/>
                <w:szCs w:val="24"/>
                <w:highlight w:val="none"/>
              </w:rPr>
              <w:t xml:space="preserve">  </w:t>
            </w:r>
            <w:r>
              <w:rPr>
                <w:rFonts w:hint="default" w:ascii="Times New Roman" w:hAnsi="Times New Roman" w:eastAsia="黑体" w:cs="Times New Roman"/>
                <w:color w:val="auto"/>
                <w:kern w:val="28"/>
                <w:szCs w:val="24"/>
                <w:highlight w:val="none"/>
                <w:lang w:eastAsia="zh-CN"/>
              </w:rPr>
              <w:t>（</w:t>
            </w:r>
            <w:r>
              <w:rPr>
                <w:rFonts w:hint="default" w:ascii="Times New Roman" w:hAnsi="Times New Roman" w:cs="Times New Roman"/>
                <w:color w:val="auto"/>
                <w:kern w:val="28"/>
                <w:szCs w:val="24"/>
                <w:highlight w:val="none"/>
                <w:lang w:val="en-GB"/>
              </w:rPr>
              <w:t>公章</w:t>
            </w:r>
            <w:r>
              <w:rPr>
                <w:rFonts w:hint="default" w:ascii="Times New Roman" w:hAnsi="Times New Roman" w:cs="Times New Roman"/>
                <w:color w:val="auto"/>
                <w:kern w:val="28"/>
                <w:szCs w:val="24"/>
                <w:highlight w:val="none"/>
                <w:lang w:val="en-GB" w:eastAsia="zh-CN"/>
              </w:rPr>
              <w:t>）</w:t>
            </w:r>
          </w:p>
        </w:tc>
        <w:tc>
          <w:tcPr>
            <w:tcW w:w="426" w:type="dxa"/>
            <w:vMerge w:val="restart"/>
          </w:tcPr>
          <w:p>
            <w:pPr>
              <w:pStyle w:val="388"/>
              <w:spacing w:before="120" w:afterLines="0" w:line="240" w:lineRule="auto"/>
              <w:ind w:firstLine="0" w:firstLineChars="0"/>
              <w:rPr>
                <w:rFonts w:hint="default" w:ascii="Times New Roman" w:hAnsi="Times New Roman" w:cs="Times New Roman"/>
                <w:color w:val="auto"/>
                <w:szCs w:val="24"/>
                <w:highlight w:val="none"/>
              </w:rPr>
            </w:pPr>
          </w:p>
        </w:tc>
        <w:tc>
          <w:tcPr>
            <w:tcW w:w="4677" w:type="dxa"/>
          </w:tcPr>
          <w:p>
            <w:pPr>
              <w:pStyle w:val="388"/>
              <w:spacing w:before="120" w:afterLines="0" w:line="240" w:lineRule="auto"/>
              <w:ind w:left="960" w:hanging="960" w:firstLineChars="0"/>
              <w:rPr>
                <w:rFonts w:hint="default" w:ascii="Times New Roman" w:hAnsi="Times New Roman" w:cs="Times New Roman"/>
                <w:color w:val="auto"/>
                <w:szCs w:val="24"/>
                <w:highlight w:val="none"/>
              </w:rPr>
            </w:pPr>
            <w:r>
              <w:rPr>
                <w:rFonts w:hint="default" w:ascii="Times New Roman" w:hAnsi="Times New Roman" w:eastAsia="黑体" w:cs="Times New Roman"/>
                <w:color w:val="auto"/>
                <w:kern w:val="28"/>
                <w:szCs w:val="24"/>
                <w:highlight w:val="none"/>
                <w:lang w:val="en-GB"/>
              </w:rPr>
              <w:t>乙方</w:t>
            </w:r>
            <w:r>
              <w:rPr>
                <w:rFonts w:hint="default" w:ascii="Times New Roman" w:hAnsi="Times New Roman" w:cs="Times New Roman"/>
                <w:color w:val="auto"/>
                <w:kern w:val="28"/>
                <w:szCs w:val="24"/>
                <w:highlight w:val="none"/>
                <w:lang w:val="en-GB"/>
              </w:rPr>
              <w:t>：</w:t>
            </w:r>
            <w:r>
              <w:rPr>
                <w:rFonts w:hint="default" w:ascii="Times New Roman" w:hAnsi="Times New Roman" w:cs="Times New Roman"/>
                <w:color w:val="auto"/>
                <w:kern w:val="28"/>
                <w:szCs w:val="24"/>
                <w:highlight w:val="none"/>
                <w:u w:val="single"/>
                <w:lang w:val="en-GB"/>
              </w:rPr>
              <w:t>【】</w:t>
            </w:r>
            <w:r>
              <w:rPr>
                <w:rFonts w:hint="default" w:ascii="Times New Roman" w:hAnsi="Times New Roman" w:cs="Times New Roman"/>
                <w:color w:val="auto"/>
                <w:kern w:val="28"/>
                <w:szCs w:val="24"/>
                <w:highlight w:val="none"/>
                <w:lang w:val="en-GB"/>
              </w:rPr>
              <w:t>（牵头方）</w:t>
            </w:r>
            <w:r>
              <w:rPr>
                <w:rFonts w:hint="default" w:ascii="Times New Roman" w:hAnsi="Times New Roman" w:cs="Times New Roman"/>
                <w:color w:val="auto"/>
                <w:kern w:val="28"/>
                <w:szCs w:val="24"/>
                <w:highlight w:val="none"/>
              </w:rPr>
              <w:t xml:space="preserve">           </w:t>
            </w:r>
            <w:r>
              <w:rPr>
                <w:rFonts w:hint="default" w:ascii="Times New Roman" w:hAnsi="Times New Roman" w:cs="Times New Roman"/>
                <w:color w:val="auto"/>
                <w:kern w:val="28"/>
                <w:szCs w:val="24"/>
                <w:highlight w:val="none"/>
                <w:lang w:eastAsia="zh-CN"/>
              </w:rPr>
              <w:t>（</w:t>
            </w:r>
            <w:r>
              <w:rPr>
                <w:rFonts w:hint="default" w:ascii="Times New Roman" w:hAnsi="Times New Roman" w:cs="Times New Roman"/>
                <w:color w:val="auto"/>
                <w:kern w:val="28"/>
                <w:szCs w:val="24"/>
                <w:highlight w:val="none"/>
                <w:lang w:val="en-GB"/>
              </w:rPr>
              <w:t>公章</w:t>
            </w:r>
            <w:r>
              <w:rPr>
                <w:rFonts w:hint="default" w:ascii="Times New Roman" w:hAnsi="Times New Roman" w:cs="Times New Roman"/>
                <w:color w:val="auto"/>
                <w:kern w:val="28"/>
                <w:szCs w:val="24"/>
                <w:highlight w:val="none"/>
                <w:lang w:val="en-GB" w:eastAsia="zh-CN"/>
              </w:rPr>
              <w:t>）</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法定代表人（签字）：</w:t>
            </w: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szCs w:val="24"/>
                <w:highlight w:val="none"/>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法定代表人（签字）：</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或委托代理人（签字）：</w:t>
            </w: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szCs w:val="24"/>
                <w:highlight w:val="none"/>
              </w:rPr>
            </w:pPr>
          </w:p>
        </w:tc>
        <w:tc>
          <w:tcPr>
            <w:tcW w:w="4677" w:type="dxa"/>
          </w:tcPr>
          <w:p>
            <w:pPr>
              <w:pStyle w:val="388"/>
              <w:spacing w:before="120" w:afterLines="0" w:line="240" w:lineRule="auto"/>
              <w:ind w:firstLine="240" w:firstLineChars="10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或委托代理人（签字）：</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联系电话：</w:t>
            </w: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szCs w:val="24"/>
                <w:highlight w:val="none"/>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联系电话：</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jc w:val="left"/>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住所：</w:t>
            </w: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szCs w:val="24"/>
                <w:highlight w:val="none"/>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住所：</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szCs w:val="24"/>
                <w:highlight w:val="none"/>
              </w:rPr>
            </w:pPr>
            <w:r>
              <w:rPr>
                <w:rFonts w:hint="default" w:ascii="Times New Roman" w:hAnsi="Times New Roman" w:cs="Times New Roman"/>
                <w:color w:val="auto"/>
                <w:kern w:val="28"/>
                <w:szCs w:val="24"/>
                <w:highlight w:val="none"/>
                <w:lang w:val="en-GB"/>
              </w:rPr>
              <w:t>邮政编码：</w:t>
            </w: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szCs w:val="24"/>
                <w:highlight w:val="none"/>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邮政编码：</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highlight w:val="none"/>
                <w:lang w:val="en-GB"/>
              </w:rPr>
              <w:t>日期：</w:t>
            </w: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日期：</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eastAsia="黑体" w:cs="Times New Roman"/>
                <w:color w:val="auto"/>
                <w:kern w:val="28"/>
                <w:szCs w:val="24"/>
                <w:highlight w:val="none"/>
                <w:lang w:val="en-GB"/>
              </w:rPr>
              <w:t>乙方：</w:t>
            </w:r>
            <w:r>
              <w:rPr>
                <w:rFonts w:hint="default" w:ascii="Times New Roman" w:hAnsi="Times New Roman" w:cs="Times New Roman"/>
                <w:color w:val="auto"/>
                <w:kern w:val="28"/>
                <w:szCs w:val="24"/>
                <w:highlight w:val="none"/>
                <w:u w:val="single"/>
                <w:lang w:val="en-GB"/>
              </w:rPr>
              <w:t>【】</w:t>
            </w:r>
            <w:r>
              <w:rPr>
                <w:rFonts w:hint="default" w:ascii="Times New Roman" w:hAnsi="Times New Roman" w:cs="Times New Roman"/>
                <w:color w:val="auto"/>
                <w:kern w:val="28"/>
                <w:szCs w:val="24"/>
                <w:highlight w:val="none"/>
                <w:lang w:val="en-GB"/>
              </w:rPr>
              <w:t>（成员方</w:t>
            </w:r>
            <w:r>
              <w:rPr>
                <w:rFonts w:hint="eastAsia" w:cs="Times New Roman"/>
                <w:color w:val="auto"/>
                <w:kern w:val="28"/>
                <w:szCs w:val="24"/>
                <w:highlight w:val="none"/>
                <w:lang w:val="en-US" w:eastAsia="zh-CN"/>
              </w:rPr>
              <w:t>1</w:t>
            </w:r>
            <w:r>
              <w:rPr>
                <w:rFonts w:hint="default" w:ascii="Times New Roman" w:hAnsi="Times New Roman" w:cs="Times New Roman"/>
                <w:color w:val="auto"/>
                <w:kern w:val="28"/>
                <w:szCs w:val="24"/>
                <w:highlight w:val="none"/>
                <w:lang w:val="en-GB"/>
              </w:rPr>
              <w:t>）</w:t>
            </w:r>
            <w:r>
              <w:rPr>
                <w:rFonts w:hint="default" w:ascii="Times New Roman" w:hAnsi="Times New Roman" w:cs="Times New Roman"/>
                <w:color w:val="auto"/>
                <w:kern w:val="28"/>
                <w:szCs w:val="24"/>
                <w:highlight w:val="none"/>
              </w:rPr>
              <w:t xml:space="preserve">          </w:t>
            </w:r>
            <w:r>
              <w:rPr>
                <w:rFonts w:hint="default" w:ascii="Times New Roman" w:hAnsi="Times New Roman" w:cs="Times New Roman"/>
                <w:color w:val="auto"/>
                <w:kern w:val="28"/>
                <w:szCs w:val="24"/>
                <w:highlight w:val="none"/>
                <w:lang w:eastAsia="zh-CN"/>
              </w:rPr>
              <w:t>（</w:t>
            </w:r>
            <w:r>
              <w:rPr>
                <w:rFonts w:hint="default" w:ascii="Times New Roman" w:hAnsi="Times New Roman" w:cs="Times New Roman"/>
                <w:color w:val="auto"/>
                <w:kern w:val="28"/>
                <w:szCs w:val="24"/>
                <w:highlight w:val="none"/>
                <w:lang w:val="en-GB"/>
              </w:rPr>
              <w:t>公章</w:t>
            </w:r>
            <w:r>
              <w:rPr>
                <w:rFonts w:hint="default" w:ascii="Times New Roman" w:hAnsi="Times New Roman" w:cs="Times New Roman"/>
                <w:color w:val="auto"/>
                <w:kern w:val="28"/>
                <w:szCs w:val="24"/>
                <w:highlight w:val="none"/>
                <w:lang w:val="en-GB" w:eastAsia="zh-CN"/>
              </w:rPr>
              <w:t>）</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法定代表人（签字）：</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240" w:firstLineChars="10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或委托代理人（签字）：</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联系电话：</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住所：</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邮政编码：</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日期：</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left="960" w:hanging="960" w:firstLineChars="0"/>
              <w:rPr>
                <w:rFonts w:hint="default" w:ascii="Times New Roman" w:hAnsi="Times New Roman" w:cs="Times New Roman"/>
                <w:color w:val="auto"/>
                <w:kern w:val="28"/>
                <w:szCs w:val="24"/>
                <w:highlight w:val="none"/>
                <w:lang w:val="en-GB"/>
              </w:rPr>
            </w:pPr>
            <w:r>
              <w:rPr>
                <w:rFonts w:hint="default" w:ascii="Times New Roman" w:hAnsi="Times New Roman" w:eastAsia="黑体" w:cs="Times New Roman"/>
                <w:color w:val="auto"/>
                <w:kern w:val="28"/>
                <w:szCs w:val="24"/>
                <w:highlight w:val="none"/>
                <w:lang w:val="en-GB"/>
              </w:rPr>
              <w:t>乙方：【】</w:t>
            </w:r>
            <w:r>
              <w:rPr>
                <w:rFonts w:hint="default" w:ascii="Times New Roman" w:hAnsi="Times New Roman" w:cs="Times New Roman"/>
                <w:color w:val="auto"/>
                <w:kern w:val="28"/>
                <w:szCs w:val="24"/>
                <w:highlight w:val="none"/>
                <w:lang w:val="en-GB"/>
              </w:rPr>
              <w:t>（成员方</w:t>
            </w:r>
            <w:r>
              <w:rPr>
                <w:rFonts w:hint="eastAsia" w:cs="Times New Roman"/>
                <w:color w:val="auto"/>
                <w:kern w:val="28"/>
                <w:szCs w:val="24"/>
                <w:highlight w:val="none"/>
                <w:lang w:val="en-US" w:eastAsia="zh-CN"/>
              </w:rPr>
              <w:t>2</w:t>
            </w:r>
            <w:r>
              <w:rPr>
                <w:rFonts w:hint="default" w:ascii="Times New Roman" w:hAnsi="Times New Roman" w:cs="Times New Roman"/>
                <w:color w:val="auto"/>
                <w:kern w:val="28"/>
                <w:szCs w:val="24"/>
                <w:highlight w:val="none"/>
                <w:lang w:val="en-GB"/>
              </w:rPr>
              <w:t>）</w:t>
            </w:r>
            <w:r>
              <w:rPr>
                <w:rFonts w:hint="default" w:ascii="Times New Roman" w:hAnsi="Times New Roman" w:cs="Times New Roman"/>
                <w:color w:val="auto"/>
                <w:kern w:val="28"/>
                <w:szCs w:val="24"/>
                <w:highlight w:val="none"/>
              </w:rPr>
              <w:t xml:space="preserve">         </w:t>
            </w:r>
            <w:r>
              <w:rPr>
                <w:rFonts w:hint="default" w:ascii="Times New Roman" w:hAnsi="Times New Roman" w:cs="Times New Roman"/>
                <w:color w:val="auto"/>
                <w:kern w:val="28"/>
                <w:szCs w:val="24"/>
                <w:highlight w:val="none"/>
                <w:lang w:eastAsia="zh-CN"/>
              </w:rPr>
              <w:t>（</w:t>
            </w:r>
            <w:r>
              <w:rPr>
                <w:rFonts w:hint="default" w:ascii="Times New Roman" w:hAnsi="Times New Roman" w:cs="Times New Roman"/>
                <w:color w:val="auto"/>
                <w:kern w:val="28"/>
                <w:szCs w:val="24"/>
                <w:highlight w:val="none"/>
                <w:lang w:val="en-GB"/>
              </w:rPr>
              <w:t>公章</w:t>
            </w:r>
            <w:r>
              <w:rPr>
                <w:rFonts w:hint="default" w:ascii="Times New Roman" w:hAnsi="Times New Roman" w:cs="Times New Roman"/>
                <w:color w:val="auto"/>
                <w:kern w:val="28"/>
                <w:szCs w:val="24"/>
                <w:highlight w:val="none"/>
                <w:lang w:val="en-GB" w:eastAsia="zh-CN"/>
              </w:rPr>
              <w:t>）</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法定代表人（签字）：</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240" w:firstLineChars="10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或委托代理人（签字）：</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联系电话：</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住所：</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vMerge w:val="continue"/>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邮政编码：</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r>
              <w:rPr>
                <w:rFonts w:hint="default" w:ascii="Times New Roman" w:hAnsi="Times New Roman" w:cs="Times New Roman"/>
                <w:color w:val="auto"/>
                <w:kern w:val="28"/>
                <w:szCs w:val="24"/>
                <w:highlight w:val="none"/>
                <w:lang w:val="en-GB"/>
              </w:rPr>
              <w:t>日期：</w:t>
            </w:r>
          </w:p>
        </w:tc>
      </w:tr>
      <w:tr>
        <w:tblPrEx>
          <w:tblCellMar>
            <w:top w:w="0" w:type="dxa"/>
            <w:left w:w="108" w:type="dxa"/>
            <w:bottom w:w="0" w:type="dxa"/>
            <w:right w:w="108" w:type="dxa"/>
          </w:tblCellMar>
        </w:tblPrEx>
        <w:tc>
          <w:tcPr>
            <w:tcW w:w="3828"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26"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c>
          <w:tcPr>
            <w:tcW w:w="4677" w:type="dxa"/>
          </w:tcPr>
          <w:p>
            <w:pPr>
              <w:pStyle w:val="388"/>
              <w:spacing w:before="120" w:afterLines="0" w:line="240" w:lineRule="auto"/>
              <w:ind w:firstLine="0" w:firstLineChars="0"/>
              <w:rPr>
                <w:rFonts w:hint="default" w:ascii="Times New Roman" w:hAnsi="Times New Roman" w:cs="Times New Roman"/>
                <w:color w:val="auto"/>
                <w:kern w:val="28"/>
                <w:szCs w:val="24"/>
                <w:highlight w:val="none"/>
                <w:lang w:val="en-GB"/>
              </w:rPr>
            </w:pPr>
          </w:p>
        </w:tc>
      </w:tr>
    </w:tbl>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
        <w:pageBreakBefore/>
        <w:spacing w:before="0" w:afterLines="0" w:line="360" w:lineRule="auto"/>
        <w:ind w:firstLine="0" w:firstLineChars="0"/>
        <w:rPr>
          <w:rFonts w:hint="default" w:ascii="Times New Roman" w:hAnsi="Times New Roman" w:eastAsia="黑体" w:cs="Times New Roman"/>
          <w:b w:val="0"/>
          <w:bCs w:val="0"/>
          <w:color w:val="auto"/>
          <w:sz w:val="30"/>
          <w:szCs w:val="30"/>
          <w:highlight w:val="none"/>
        </w:rPr>
      </w:pPr>
      <w:bookmarkStart w:id="467" w:name="_Toc10535"/>
      <w:bookmarkStart w:id="468" w:name="_Toc17389"/>
      <w:bookmarkStart w:id="469" w:name="_Toc18389"/>
      <w:bookmarkStart w:id="470" w:name="_Toc2789"/>
      <w:bookmarkStart w:id="471" w:name="_Toc25678"/>
      <w:bookmarkStart w:id="472" w:name="_Toc10083"/>
      <w:bookmarkStart w:id="473" w:name="_Toc1247698478"/>
      <w:bookmarkStart w:id="474" w:name="_Toc2947"/>
      <w:bookmarkStart w:id="475" w:name="_Toc18134"/>
      <w:bookmarkStart w:id="476" w:name="_Toc567861802"/>
      <w:bookmarkStart w:id="477" w:name="_Toc190613441"/>
      <w:bookmarkStart w:id="478" w:name="_Toc15636"/>
      <w:r>
        <w:rPr>
          <w:rFonts w:hint="default" w:ascii="Times New Roman" w:hAnsi="Times New Roman" w:eastAsia="黑体" w:cs="Times New Roman"/>
          <w:b w:val="0"/>
          <w:bCs w:val="0"/>
          <w:color w:val="auto"/>
          <w:sz w:val="30"/>
          <w:szCs w:val="30"/>
          <w:highlight w:val="none"/>
        </w:rPr>
        <w:t>特许经营协议</w:t>
      </w:r>
      <w:bookmarkEnd w:id="467"/>
      <w:bookmarkEnd w:id="468"/>
      <w:bookmarkEnd w:id="469"/>
      <w:bookmarkEnd w:id="470"/>
      <w:bookmarkEnd w:id="471"/>
      <w:bookmarkEnd w:id="472"/>
      <w:bookmarkEnd w:id="473"/>
      <w:bookmarkEnd w:id="474"/>
      <w:bookmarkEnd w:id="475"/>
      <w:bookmarkEnd w:id="476"/>
      <w:bookmarkEnd w:id="477"/>
      <w:bookmarkEnd w:id="478"/>
    </w:p>
    <w:p>
      <w:pPr>
        <w:spacing w:afterLines="0"/>
        <w:ind w:firstLine="0" w:firstLineChars="0"/>
        <w:rPr>
          <w:rFonts w:hint="default" w:ascii="Times New Roman" w:hAnsi="Times New Roman" w:cs="Times New Roman"/>
          <w:color w:val="auto"/>
          <w:kern w:val="0"/>
          <w:sz w:val="28"/>
          <w:szCs w:val="28"/>
          <w:highlight w:val="none"/>
        </w:rPr>
      </w:pPr>
      <w:r>
        <w:rPr>
          <w:rFonts w:hint="default" w:ascii="Times New Roman" w:hAnsi="Times New Roman" w:cs="Times New Roman"/>
          <w:color w:val="auto"/>
          <w:kern w:val="0"/>
          <w:sz w:val="28"/>
          <w:szCs w:val="28"/>
          <w:highlight w:val="none"/>
        </w:rPr>
        <w:t>《</w:t>
      </w:r>
      <w:r>
        <w:rPr>
          <w:rFonts w:hint="eastAsia" w:cs="Times New Roman"/>
          <w:color w:val="auto"/>
          <w:kern w:val="0"/>
          <w:sz w:val="28"/>
          <w:szCs w:val="28"/>
          <w:highlight w:val="none"/>
          <w:lang w:eastAsia="zh-CN"/>
        </w:rPr>
        <w:t>花都区新华街云山运动场改造（停车场）项目</w:t>
      </w:r>
      <w:r>
        <w:rPr>
          <w:rFonts w:hint="default" w:ascii="Times New Roman" w:hAnsi="Times New Roman" w:cs="Times New Roman"/>
          <w:color w:val="auto"/>
          <w:kern w:val="0"/>
          <w:sz w:val="28"/>
          <w:szCs w:val="28"/>
          <w:highlight w:val="none"/>
        </w:rPr>
        <w:t>项目特许经营协议》详见另册。</w:t>
      </w: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480"/>
        <w:rPr>
          <w:rFonts w:hint="default" w:ascii="Times New Roman" w:hAnsi="Times New Roman" w:cs="Times New Roman"/>
          <w:color w:val="auto"/>
          <w:highlight w:val="none"/>
        </w:rPr>
        <w:sectPr>
          <w:pgSz w:w="11906" w:h="16838"/>
          <w:pgMar w:top="1440" w:right="1800" w:bottom="1440" w:left="1800" w:header="720" w:footer="720" w:gutter="0"/>
          <w:pgNumType w:fmt="numberInDash"/>
          <w:cols w:space="720" w:num="1"/>
          <w:docGrid w:type="lines" w:linePitch="312" w:charSpace="0"/>
        </w:sectPr>
      </w:pPr>
    </w:p>
    <w:p>
      <w:pPr>
        <w:pStyle w:val="3"/>
        <w:spacing w:after="156" w:line="360" w:lineRule="auto"/>
        <w:ind w:firstLine="0" w:firstLineChars="0"/>
        <w:rPr>
          <w:rFonts w:hint="default" w:ascii="Times New Roman" w:hAnsi="Times New Roman" w:eastAsia="黑体" w:cs="Times New Roman"/>
          <w:b w:val="0"/>
          <w:color w:val="auto"/>
          <w:sz w:val="32"/>
          <w:szCs w:val="32"/>
          <w:highlight w:val="none"/>
        </w:rPr>
      </w:pPr>
      <w:bookmarkStart w:id="479" w:name="_Toc18750"/>
      <w:bookmarkStart w:id="480" w:name="_Toc32640"/>
      <w:bookmarkStart w:id="481" w:name="_Toc635978946"/>
      <w:bookmarkStart w:id="482" w:name="_Toc24137"/>
      <w:bookmarkStart w:id="483" w:name="_Toc24791"/>
      <w:bookmarkStart w:id="484" w:name="_Toc31101"/>
      <w:bookmarkStart w:id="485" w:name="_Toc18296"/>
      <w:bookmarkStart w:id="486" w:name="_Toc16989"/>
      <w:bookmarkStart w:id="487" w:name="_Toc190613442"/>
      <w:bookmarkStart w:id="488" w:name="_Toc11314"/>
      <w:bookmarkStart w:id="489" w:name="_Toc14601"/>
      <w:bookmarkStart w:id="490" w:name="_Toc2037990438"/>
      <w:r>
        <w:rPr>
          <w:rFonts w:hint="default" w:ascii="Times New Roman" w:hAnsi="Times New Roman" w:eastAsia="黑体" w:cs="Times New Roman"/>
          <w:b w:val="0"/>
          <w:color w:val="auto"/>
          <w:sz w:val="32"/>
          <w:szCs w:val="32"/>
          <w:highlight w:val="none"/>
        </w:rPr>
        <w:t>履约保函格式</w:t>
      </w:r>
      <w:bookmarkEnd w:id="479"/>
      <w:bookmarkEnd w:id="480"/>
      <w:bookmarkEnd w:id="481"/>
      <w:bookmarkEnd w:id="482"/>
      <w:bookmarkEnd w:id="483"/>
      <w:bookmarkEnd w:id="484"/>
      <w:bookmarkEnd w:id="485"/>
      <w:bookmarkEnd w:id="486"/>
      <w:bookmarkEnd w:id="487"/>
      <w:bookmarkEnd w:id="488"/>
      <w:bookmarkEnd w:id="489"/>
      <w:bookmarkEnd w:id="490"/>
    </w:p>
    <w:p>
      <w:pPr>
        <w:spacing w:after="156" w:line="288" w:lineRule="auto"/>
        <w:ind w:firstLine="0" w:firstLineChars="0"/>
        <w:rPr>
          <w:rFonts w:hint="default" w:ascii="Times New Roman" w:hAnsi="Times New Roman" w:cs="Times New Roman"/>
          <w:color w:val="auto"/>
          <w:sz w:val="21"/>
          <w:highlight w:val="none"/>
        </w:rPr>
      </w:pPr>
      <w:r>
        <w:rPr>
          <w:rFonts w:hint="default" w:ascii="Times New Roman" w:hAnsi="Times New Roman" w:cs="Times New Roman"/>
          <w:color w:val="auto"/>
          <w:highlight w:val="none"/>
        </w:rPr>
        <w:t>（以</w:t>
      </w:r>
      <w:r>
        <w:rPr>
          <w:rFonts w:hint="eastAsia" w:cs="Times New Roman"/>
          <w:color w:val="auto"/>
          <w:highlight w:val="none"/>
          <w:lang w:eastAsia="zh-CN"/>
        </w:rPr>
        <w:t>甲方</w:t>
      </w:r>
      <w:r>
        <w:rPr>
          <w:rFonts w:hint="default" w:ascii="Times New Roman" w:hAnsi="Times New Roman" w:cs="Times New Roman"/>
          <w:color w:val="auto"/>
          <w:highlight w:val="none"/>
        </w:rPr>
        <w:t>认可的为准，建设履约保函、运营维护履约保函、移交维护履约保函均可参考此格式；最终乙方提交保函时，保函内容需征得甲方认可同意）</w:t>
      </w:r>
    </w:p>
    <w:p>
      <w:pPr>
        <w:spacing w:after="156" w:line="288" w:lineRule="auto"/>
        <w:ind w:firstLine="0" w:firstLineChars="0"/>
        <w:rPr>
          <w:rFonts w:hint="default" w:ascii="Times New Roman" w:hAnsi="Times New Roman" w:cs="Times New Roman"/>
          <w:color w:val="auto"/>
          <w:highlight w:val="none"/>
        </w:rPr>
      </w:pPr>
    </w:p>
    <w:p>
      <w:pPr>
        <w:spacing w:after="156" w:line="288" w:lineRule="auto"/>
        <w:ind w:firstLine="0" w:firstLineChars="0"/>
        <w:rPr>
          <w:rFonts w:hint="default" w:ascii="Times New Roman" w:hAnsi="Times New Roman" w:cs="Times New Roman"/>
          <w:color w:val="auto"/>
          <w:highlight w:val="none"/>
        </w:rPr>
      </w:pPr>
    </w:p>
    <w:p>
      <w:pPr>
        <w:spacing w:after="156" w:line="288" w:lineRule="auto"/>
        <w:ind w:firstLine="0" w:firstLineChars="0"/>
        <w:rPr>
          <w:rFonts w:hint="default" w:ascii="Times New Roman" w:hAnsi="Times New Roman" w:cs="Times New Roman"/>
          <w:color w:val="auto"/>
          <w:highlight w:val="none"/>
        </w:rPr>
        <w:sectPr>
          <w:pgSz w:w="11906" w:h="16838"/>
          <w:pgMar w:top="1440" w:right="1800" w:bottom="1440" w:left="1800" w:header="720" w:footer="720" w:gutter="0"/>
          <w:pgNumType w:fmt="numberInDash"/>
          <w:cols w:space="720" w:num="1"/>
          <w:docGrid w:type="lines" w:linePitch="312" w:charSpace="0"/>
        </w:sectPr>
      </w:pPr>
    </w:p>
    <w:p>
      <w:pPr>
        <w:spacing w:after="156"/>
        <w:ind w:firstLine="0" w:firstLineChars="0"/>
        <w:jc w:val="center"/>
        <w:outlineLvl w:val="1"/>
        <w:rPr>
          <w:rFonts w:hint="default" w:ascii="Times New Roman" w:hAnsi="Times New Roman" w:cs="Times New Roman"/>
          <w:color w:val="auto"/>
          <w:highlight w:val="none"/>
        </w:rPr>
      </w:pPr>
      <w:bookmarkStart w:id="491" w:name="_Toc31397"/>
      <w:bookmarkStart w:id="492" w:name="_Toc12878"/>
      <w:bookmarkStart w:id="493" w:name="_Toc534474044"/>
      <w:bookmarkStart w:id="494" w:name="_Toc497644300"/>
      <w:r>
        <w:rPr>
          <w:rFonts w:hint="default" w:ascii="Times New Roman" w:hAnsi="Times New Roman" w:eastAsia="黑体" w:cs="Times New Roman"/>
          <w:color w:val="auto"/>
          <w:sz w:val="32"/>
          <w:highlight w:val="none"/>
        </w:rPr>
        <w:t>建设履约保函</w:t>
      </w:r>
      <w:bookmarkEnd w:id="491"/>
      <w:bookmarkEnd w:id="492"/>
      <w:bookmarkEnd w:id="493"/>
      <w:bookmarkEnd w:id="494"/>
    </w:p>
    <w:p>
      <w:pPr>
        <w:spacing w:after="156"/>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不可撤销的保函编号：【】</w:t>
      </w:r>
    </w:p>
    <w:p>
      <w:pPr>
        <w:spacing w:after="156"/>
        <w:ind w:firstLine="0" w:firstLineChars="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日期：【】年【】月【】日</w:t>
      </w:r>
    </w:p>
    <w:p>
      <w:pPr>
        <w:spacing w:after="156" w:line="288" w:lineRule="auto"/>
        <w:rPr>
          <w:rFonts w:hint="default" w:ascii="Times New Roman" w:hAnsi="Times New Roman" w:cs="Times New Roman"/>
          <w:iCs/>
          <w:color w:val="auto"/>
          <w:highlight w:val="none"/>
        </w:rPr>
      </w:pPr>
      <w:r>
        <w:rPr>
          <w:rFonts w:hint="default" w:ascii="Times New Roman" w:hAnsi="Times New Roman" w:cs="Times New Roman"/>
          <w:color w:val="auto"/>
          <w:highlight w:val="none"/>
        </w:rPr>
        <w:t>受益人：</w:t>
      </w:r>
      <w:r>
        <w:rPr>
          <w:rFonts w:hint="eastAsia" w:cs="Times New Roman"/>
          <w:iCs/>
          <w:color w:val="auto"/>
          <w:highlight w:val="none"/>
          <w:u w:val="single"/>
          <w:lang w:eastAsia="zh-CN"/>
        </w:rPr>
        <w:t>广州市花都区人民政府新华街道办事处</w:t>
      </w:r>
      <w:r>
        <w:rPr>
          <w:rFonts w:hint="default" w:ascii="Times New Roman" w:hAnsi="Times New Roman" w:cs="Times New Roman"/>
          <w:color w:val="auto"/>
          <w:highlight w:val="none"/>
        </w:rPr>
        <w:t>（以下简称“甲方”）</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申请人：</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（以下简称“乙方”）</w:t>
      </w:r>
    </w:p>
    <w:p>
      <w:pPr>
        <w:pStyle w:val="37"/>
        <w:spacing w:after="156"/>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pPr>
        <w:pStyle w:val="37"/>
        <w:spacing w:after="156"/>
        <w:rPr>
          <w:rFonts w:hint="default" w:ascii="Times New Roman" w:hAnsi="Times New Roman" w:cs="Times New Roman"/>
          <w:color w:val="auto"/>
          <w:highlight w:val="none"/>
        </w:rPr>
      </w:pPr>
    </w:p>
    <w:p>
      <w:pPr>
        <w:pStyle w:val="92"/>
        <w:tabs>
          <w:tab w:val="left" w:pos="900"/>
        </w:tabs>
        <w:spacing w:after="156" w:line="288" w:lineRule="auto"/>
        <w:ind w:firstLine="0" w:firstLineChars="0"/>
        <w:jc w:val="both"/>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致：</w:t>
      </w:r>
      <w:r>
        <w:rPr>
          <w:rFonts w:hint="eastAsia" w:ascii="Times New Roman" w:cs="Times New Roman"/>
          <w:color w:val="auto"/>
          <w:highlight w:val="none"/>
          <w:u w:val="single"/>
          <w:lang w:eastAsia="zh-CN"/>
        </w:rPr>
        <w:t>广州市花都区人民政府新华街道办事处</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鉴于：“【】、【】组成联合体”（以下称“特许经营者”）与甲方于【】年【】月【】日签订了《</w:t>
      </w:r>
      <w:r>
        <w:rPr>
          <w:rFonts w:hint="eastAsia" w:ascii="Times New Roman" w:cs="Times New Roman"/>
          <w:color w:val="auto"/>
          <w:highlight w:val="none"/>
          <w:lang w:eastAsia="zh-CN"/>
        </w:rPr>
        <w:t>花都区新华街云山运动场改造（停车场）项目</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》（以下称“</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”）；并根据特许经营初步协议之规定，组建项目公司（以下称“项目公司”）；项目公司成立后，项目公司与甲方于2</w:t>
      </w:r>
      <w:r>
        <w:rPr>
          <w:rFonts w:hint="default" w:ascii="Times New Roman" w:hAnsi="Times New Roman" w:cs="Times New Roman"/>
          <w:color w:val="auto"/>
          <w:highlight w:val="none"/>
          <w:lang w:val="en-US" w:eastAsia="zh-CN"/>
        </w:rPr>
        <w:t>025</w:t>
      </w:r>
      <w:r>
        <w:rPr>
          <w:rFonts w:hint="default" w:ascii="Times New Roman" w:hAnsi="Times New Roman" w:cs="Times New Roman"/>
          <w:color w:val="auto"/>
          <w:highlight w:val="none"/>
        </w:rPr>
        <w:t>年【】月【】日正式签署了《</w:t>
      </w:r>
      <w:r>
        <w:rPr>
          <w:rFonts w:hint="eastAsia" w:ascii="Times New Roman" w:cs="Times New Roman"/>
          <w:color w:val="auto"/>
          <w:highlight w:val="none"/>
          <w:lang w:eastAsia="zh-CN"/>
        </w:rPr>
        <w:t>花都区新华街云山运动场改造（停车场）项目</w:t>
      </w:r>
      <w:r>
        <w:rPr>
          <w:rFonts w:hint="default" w:ascii="Times New Roman" w:hAnsi="Times New Roman" w:cs="Times New Roman"/>
          <w:color w:val="auto"/>
          <w:highlight w:val="none"/>
        </w:rPr>
        <w:t>特许经营协议》（以</w:t>
      </w:r>
      <w:r>
        <w:rPr>
          <w:rFonts w:hint="default" w:ascii="Times New Roman" w:hAnsi="Times New Roman" w:cs="Times New Roman"/>
          <w:color w:val="auto"/>
          <w:highlight w:val="none"/>
          <w:lang w:eastAsia="zh-CN"/>
        </w:rPr>
        <w:t>下简</w:t>
      </w:r>
      <w:r>
        <w:rPr>
          <w:rFonts w:hint="default" w:ascii="Times New Roman" w:hAnsi="Times New Roman" w:cs="Times New Roman"/>
          <w:color w:val="auto"/>
          <w:highlight w:val="none"/>
        </w:rPr>
        <w:t>称“特许经营协议”）</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lang w:val="en-US" w:eastAsia="zh-CN"/>
        </w:rPr>
        <w:t>首次开具保函时，可暂不填写项目公司有关情况</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。签订特许经营协议后，在进入正式运营维护期前，项目公司需开展如下工作：</w:t>
      </w:r>
      <w:r>
        <w:rPr>
          <w:rFonts w:hint="default" w:ascii="Times New Roman" w:hAnsi="Times New Roman" w:cs="Times New Roman"/>
          <w:color w:val="auto"/>
          <w:highlight w:val="none"/>
          <w:u w:val="single"/>
        </w:rPr>
        <w:t>根据特许经营初步协议、特许经营协议等文件规定，在建设期内</w:t>
      </w:r>
      <w:r>
        <w:rPr>
          <w:rFonts w:hint="default" w:ascii="Times New Roman" w:hAnsi="Times New Roman" w:cs="Times New Roman"/>
          <w:color w:val="auto"/>
          <w:highlight w:val="none"/>
          <w:lang w:val="en-US" w:eastAsia="zh-CN"/>
        </w:rPr>
        <w:t>开展项目</w:t>
      </w:r>
      <w:r>
        <w:rPr>
          <w:rFonts w:hint="default" w:ascii="Times New Roman" w:hAnsi="Times New Roman" w:cs="Times New Roman"/>
          <w:color w:val="auto"/>
          <w:highlight w:val="none"/>
          <w:u w:val="single"/>
        </w:rPr>
        <w:t>的投融资、设计、建设等工作；云山运动场改造（停车场）项目进入正式运营维护期起五（5）个工作日内，乙方应向甲方提供符合要求的运营维护履约保函。</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按照特许经营初步协议要求，乙方作为建设履约保</w:t>
      </w:r>
      <w:r>
        <w:rPr>
          <w:rFonts w:hint="default" w:ascii="Times New Roman" w:hAnsi="Times New Roman" w:cs="Times New Roman"/>
          <w:color w:val="auto"/>
          <w:highlight w:val="none"/>
          <w:lang w:eastAsia="zh-CN"/>
        </w:rPr>
        <w:t>函的</w:t>
      </w:r>
      <w:r>
        <w:rPr>
          <w:rFonts w:hint="default" w:ascii="Times New Roman" w:hAnsi="Times New Roman" w:cs="Times New Roman"/>
          <w:color w:val="auto"/>
          <w:highlight w:val="none"/>
        </w:rPr>
        <w:t>申请人向甲方提供由甲方认可的保函，以担保项目公司或特许经营者</w:t>
      </w:r>
      <w:r>
        <w:rPr>
          <w:rFonts w:hint="default" w:ascii="Times New Roman" w:hAnsi="Times New Roman" w:cs="Times New Roman"/>
          <w:color w:val="auto"/>
          <w:highlight w:val="none"/>
          <w:u w:val="single"/>
        </w:rPr>
        <w:t>在建设期内全面、正确地履行项目投资和建设等义务，履行特许经营初步协议</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rPr>
        <w:t>特许经营协议及其附件项下有关融资、建设的义务，及特许经营者的项目资金到位、</w:t>
      </w:r>
      <w:r>
        <w:rPr>
          <w:rFonts w:hint="default" w:ascii="Times New Roman" w:hAnsi="Times New Roman" w:cs="Times New Roman"/>
          <w:color w:val="auto"/>
          <w:highlight w:val="none"/>
          <w:u w:val="single"/>
          <w:lang w:val="en-US" w:eastAsia="zh-CN"/>
        </w:rPr>
        <w:t>约定完工、试运行、</w:t>
      </w:r>
      <w:r>
        <w:rPr>
          <w:rFonts w:hint="default" w:ascii="Times New Roman" w:hAnsi="Times New Roman" w:cs="Times New Roman"/>
          <w:color w:val="auto"/>
          <w:highlight w:val="none"/>
          <w:u w:val="single"/>
        </w:rPr>
        <w:t>重大工程质量事故或安全责任事故、运营维护履约保函提交等</w:t>
      </w:r>
      <w:r>
        <w:rPr>
          <w:rFonts w:hint="default" w:ascii="Times New Roman" w:hAnsi="Times New Roman" w:cs="Times New Roman"/>
          <w:color w:val="auto"/>
          <w:highlight w:val="none"/>
          <w:u w:val="single"/>
          <w:lang w:val="en-US" w:eastAsia="zh-CN"/>
        </w:rPr>
        <w:t>各类事项</w:t>
      </w:r>
      <w:r>
        <w:rPr>
          <w:rFonts w:hint="default" w:ascii="Times New Roman" w:hAnsi="Times New Roman" w:cs="Times New Roman"/>
          <w:color w:val="auto"/>
          <w:highlight w:val="none"/>
        </w:rPr>
        <w:t>。</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我们【银行/金融机构名称】同意为乙方出具上述履约担保函，并特此确认：若因项目公司或特许经营者违反</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、特许经营协议及其相关文件所确定的义务，我们作为担保人并代表项目公司或特许经营者向甲方负责，担保金额为人民币</w:t>
      </w:r>
      <w:r>
        <w:rPr>
          <w:rFonts w:hint="eastAsia" w:ascii="Times New Roman" w:cs="Times New Roman"/>
          <w:color w:val="auto"/>
          <w:highlight w:val="none"/>
          <w:u w:val="single"/>
          <w:lang w:val="en-US" w:eastAsia="zh-CN"/>
        </w:rPr>
        <w:t>壹仟</w:t>
      </w:r>
      <w:r>
        <w:rPr>
          <w:rFonts w:hint="default" w:ascii="Times New Roman" w:hAnsi="Times New Roman" w:cs="Times New Roman"/>
          <w:color w:val="auto"/>
          <w:highlight w:val="none"/>
          <w:u w:val="single"/>
        </w:rPr>
        <w:t>万元整（RMB</w:t>
      </w:r>
      <w:r>
        <w:rPr>
          <w:rFonts w:hint="eastAsia" w:ascii="Times New Roman" w:cs="Times New Roman"/>
          <w:color w:val="auto"/>
          <w:highlight w:val="none"/>
          <w:u w:val="single"/>
          <w:lang w:val="en-US" w:eastAsia="zh-CN"/>
        </w:rPr>
        <w:t>10</w:t>
      </w:r>
      <w:r>
        <w:rPr>
          <w:rFonts w:hint="default" w:ascii="Times New Roman" w:hAnsi="Times New Roman" w:cs="Times New Roman"/>
          <w:color w:val="auto"/>
          <w:highlight w:val="none"/>
          <w:u w:val="single"/>
        </w:rPr>
        <w:t>,000,000.00元）</w:t>
      </w:r>
      <w:r>
        <w:rPr>
          <w:rFonts w:hint="default" w:ascii="Times New Roman" w:hAnsi="Times New Roman" w:cs="Times New Roman"/>
          <w:color w:val="auto"/>
          <w:highlight w:val="none"/>
        </w:rPr>
        <w:t>。我们无条件地、不可撤销地承诺，在收到甲方首次书面要求即付的五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个营业日内，我们将无条件地代项目公司或特许经营者向甲方支付上述金额限度内的任何一笔或数笔款项，并且甲方无须出具证明或陈述要求支付款项的原因或理由。</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我们放弃要求甲方在向我方提出付款要求之前首先向乙方或项目公司或特许经营者提出付款等所有事项的抗辩权利。</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承诺并保证，甲方与特许经营者或项目公司之间可能对特许经营初步协议、特许经营协议及其附件或任何其它文件的条款所作的任何更改或补充，都不免除我方在本担保项下应承担的担保责任。我们在此放弃对此类更改、补充或修改要求给予通知的权利。</w:t>
      </w:r>
    </w:p>
    <w:p>
      <w:pPr>
        <w:pStyle w:val="92"/>
        <w:tabs>
          <w:tab w:val="left" w:pos="900"/>
        </w:tabs>
        <w:spacing w:after="156" w:line="288" w:lineRule="auto"/>
        <w:jc w:val="both"/>
        <w:rPr>
          <w:rFonts w:hint="default" w:ascii="Times New Roman" w:hAnsi="Times New Roman" w:eastAsia="宋体" w:cs="Times New Roman"/>
          <w:color w:val="auto"/>
          <w:highlight w:val="none"/>
          <w:lang w:eastAsia="zh"/>
        </w:rPr>
      </w:pPr>
      <w:r>
        <w:rPr>
          <w:rFonts w:hint="default" w:ascii="Times New Roman" w:hAnsi="Times New Roman" w:cs="Times New Roman"/>
          <w:color w:val="auto"/>
          <w:highlight w:val="none"/>
        </w:rPr>
        <w:t>本履约担保函自签署之日【】年【】月【】日起至【】年【】月【】日止始终有效。</w:t>
      </w:r>
      <w:r>
        <w:rPr>
          <w:rFonts w:hint="default" w:ascii="Times New Roman" w:hAnsi="Times New Roman" w:cs="Times New Roman"/>
          <w:color w:val="auto"/>
          <w:highlight w:val="none"/>
          <w:lang w:eastAsia="zh"/>
        </w:rPr>
        <w:t>如果在解除建设履约保函前，本协议及特许经营协议提前终止，则建设履约保函应在特许经营协议约定的移交日期后十二（12）个月内保持有效。</w:t>
      </w: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本履约担保函中使用的所有术语具有特许经营初步协议中规定的含义（我们确认已收到特许经营初步协议及相关附件的一份复印件）。</w:t>
      </w:r>
    </w:p>
    <w:p>
      <w:pPr>
        <w:pStyle w:val="37"/>
        <w:spacing w:after="156"/>
        <w:rPr>
          <w:rFonts w:hint="default" w:ascii="Times New Roman" w:hAnsi="Times New Roman" w:cs="Times New Roman"/>
          <w:color w:val="auto"/>
          <w:highlight w:val="none"/>
        </w:rPr>
      </w:pPr>
    </w:p>
    <w:p>
      <w:pPr>
        <w:pStyle w:val="92"/>
        <w:tabs>
          <w:tab w:val="left" w:pos="900"/>
        </w:tabs>
        <w:spacing w:before="156" w:beforeLines="50"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担保人特此声明：</w:t>
      </w:r>
    </w:p>
    <w:p>
      <w:pPr>
        <w:pStyle w:val="92"/>
        <w:numPr>
          <w:ilvl w:val="0"/>
          <w:numId w:val="13"/>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我们承诺为出具本履约担保函而须办理的有关法律手续已经齐备，我们放弃以其他任何理由主张该履约担保函无效的抗辩权利。</w:t>
      </w:r>
    </w:p>
    <w:p>
      <w:pPr>
        <w:pStyle w:val="92"/>
        <w:numPr>
          <w:ilvl w:val="0"/>
          <w:numId w:val="13"/>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本履约担保函对担保人的受让人和承继人均有约束力。</w:t>
      </w:r>
    </w:p>
    <w:p>
      <w:pPr>
        <w:pStyle w:val="92"/>
        <w:numPr>
          <w:ilvl w:val="0"/>
          <w:numId w:val="13"/>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与本履约担保函有关的各项通知和/或信函，包括但不限于索偿通知等经传真或信件等形式发往担保人的如下地址，即应视为担保人已经收到该等通知和/或信函。</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收件人：</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传真：</w:t>
      </w: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pPr>
        <w:pStyle w:val="92"/>
        <w:numPr>
          <w:ilvl w:val="0"/>
          <w:numId w:val="13"/>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本履约担保函一经担保人法定代表人或负责人或授权代表签字并加盖担保人公章即行生效。</w:t>
      </w:r>
    </w:p>
    <w:p>
      <w:pPr>
        <w:pStyle w:val="92"/>
        <w:numPr>
          <w:ilvl w:val="0"/>
          <w:numId w:val="13"/>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担保人在本履约担保函项下的义务是独立的。</w:t>
      </w:r>
    </w:p>
    <w:p>
      <w:pPr>
        <w:pStyle w:val="37"/>
        <w:spacing w:after="156"/>
        <w:ind w:left="480" w:leftChars="20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(6) 本保函有效期内，甲方主体因政策的原因发生变更的，承接主体继续享 有受益权利，担保人承诺配合承接主体完善相关手续。</w:t>
      </w:r>
    </w:p>
    <w:p>
      <w:pPr>
        <w:pStyle w:val="37"/>
        <w:spacing w:after="156"/>
        <w:rPr>
          <w:rFonts w:hint="default" w:ascii="Times New Roman" w:hAnsi="Times New Roman" w:cs="Times New Roman"/>
          <w:color w:val="auto"/>
          <w:highlight w:val="none"/>
        </w:rPr>
      </w:pP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本履约担保函应适用中国法律并根据中国法律解释。</w:t>
      </w:r>
    </w:p>
    <w:p>
      <w:pPr>
        <w:pStyle w:val="92"/>
        <w:tabs>
          <w:tab w:val="left" w:pos="900"/>
        </w:tabs>
        <w:spacing w:after="156" w:line="288" w:lineRule="auto"/>
        <w:jc w:val="both"/>
        <w:rPr>
          <w:rFonts w:hint="default" w:ascii="Times New Roman" w:hAnsi="Times New Roman" w:cs="Times New Roman"/>
          <w:color w:val="auto"/>
          <w:highlight w:val="none"/>
        </w:rPr>
      </w:pPr>
    </w:p>
    <w:p>
      <w:pPr>
        <w:pStyle w:val="37"/>
        <w:spacing w:after="156"/>
        <w:rPr>
          <w:rFonts w:hint="default" w:ascii="Times New Roman" w:hAnsi="Times New Roman" w:cs="Times New Roman"/>
          <w:color w:val="auto"/>
          <w:highlight w:val="none"/>
        </w:rPr>
      </w:pP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银行/金融机构名称：_________________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银行/金融机构盖章：__________________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银行/金融机构法定代表人或负责人签字：_________________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日期：_________________</w:t>
      </w:r>
    </w:p>
    <w:p>
      <w:pPr>
        <w:pStyle w:val="92"/>
        <w:tabs>
          <w:tab w:val="left" w:pos="900"/>
        </w:tabs>
        <w:spacing w:after="156" w:line="288" w:lineRule="auto"/>
        <w:rPr>
          <w:rFonts w:hint="default" w:ascii="Times New Roman" w:hAnsi="Times New Roman" w:cs="Times New Roman"/>
          <w:color w:val="auto"/>
          <w:highlight w:val="none"/>
        </w:rPr>
      </w:pPr>
    </w:p>
    <w:p>
      <w:pPr>
        <w:pStyle w:val="37"/>
        <w:spacing w:after="156"/>
        <w:rPr>
          <w:rFonts w:hint="default" w:ascii="Times New Roman" w:hAnsi="Times New Roman" w:cs="Times New Roman"/>
          <w:color w:val="auto"/>
          <w:highlight w:val="none"/>
        </w:rPr>
        <w:sectPr>
          <w:pgSz w:w="11906" w:h="16838"/>
          <w:pgMar w:top="1440" w:right="1800" w:bottom="1440" w:left="1800" w:header="720" w:footer="720" w:gutter="0"/>
          <w:pgNumType w:fmt="numberInDash"/>
          <w:cols w:space="720" w:num="1"/>
          <w:docGrid w:type="lines" w:linePitch="312" w:charSpace="0"/>
        </w:sectPr>
      </w:pPr>
    </w:p>
    <w:p>
      <w:pPr>
        <w:spacing w:after="156"/>
        <w:ind w:firstLine="0" w:firstLineChars="0"/>
        <w:jc w:val="center"/>
        <w:outlineLvl w:val="1"/>
        <w:rPr>
          <w:rFonts w:hint="default" w:ascii="Times New Roman" w:hAnsi="Times New Roman" w:cs="Times New Roman"/>
          <w:color w:val="auto"/>
          <w:highlight w:val="none"/>
        </w:rPr>
      </w:pPr>
      <w:bookmarkStart w:id="495" w:name="_Toc27756"/>
      <w:bookmarkStart w:id="496" w:name="_Toc26715"/>
      <w:bookmarkStart w:id="497" w:name="_Toc497644302"/>
      <w:bookmarkStart w:id="498" w:name="_Toc534474046"/>
      <w:r>
        <w:rPr>
          <w:rFonts w:hint="default" w:ascii="Times New Roman" w:hAnsi="Times New Roman" w:eastAsia="黑体" w:cs="Times New Roman"/>
          <w:color w:val="auto"/>
          <w:sz w:val="32"/>
          <w:highlight w:val="none"/>
        </w:rPr>
        <w:t>运营维护履约保函</w:t>
      </w:r>
      <w:bookmarkEnd w:id="495"/>
      <w:bookmarkEnd w:id="496"/>
      <w:bookmarkEnd w:id="497"/>
      <w:bookmarkEnd w:id="498"/>
    </w:p>
    <w:p>
      <w:pPr>
        <w:spacing w:after="156"/>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不可撤销的保函编号：【】</w:t>
      </w:r>
    </w:p>
    <w:p>
      <w:pPr>
        <w:spacing w:after="156"/>
        <w:ind w:firstLine="0" w:firstLineChars="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日期：【】年【】月【】日</w:t>
      </w:r>
    </w:p>
    <w:p>
      <w:pPr>
        <w:spacing w:after="156" w:line="288" w:lineRule="auto"/>
        <w:rPr>
          <w:rFonts w:hint="default" w:ascii="Times New Roman" w:hAnsi="Times New Roman" w:cs="Times New Roman"/>
          <w:iCs/>
          <w:color w:val="auto"/>
          <w:highlight w:val="none"/>
        </w:rPr>
      </w:pPr>
      <w:r>
        <w:rPr>
          <w:rFonts w:hint="default" w:ascii="Times New Roman" w:hAnsi="Times New Roman" w:cs="Times New Roman"/>
          <w:color w:val="auto"/>
          <w:highlight w:val="none"/>
        </w:rPr>
        <w:t>受益人：</w:t>
      </w:r>
      <w:r>
        <w:rPr>
          <w:rFonts w:hint="eastAsia" w:cs="Times New Roman"/>
          <w:iCs/>
          <w:color w:val="auto"/>
          <w:highlight w:val="none"/>
          <w:u w:val="single"/>
          <w:lang w:eastAsia="zh-CN"/>
        </w:rPr>
        <w:t>广州市花都区人民政府新华街道办事处</w:t>
      </w:r>
      <w:r>
        <w:rPr>
          <w:rFonts w:hint="default" w:ascii="Times New Roman" w:hAnsi="Times New Roman" w:cs="Times New Roman"/>
          <w:color w:val="auto"/>
          <w:highlight w:val="none"/>
        </w:rPr>
        <w:t>（以下简称“甲方”）</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申请人：【】（以下简称“乙方”）</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pPr>
        <w:pStyle w:val="37"/>
        <w:spacing w:after="156"/>
        <w:rPr>
          <w:rFonts w:hint="default" w:ascii="Times New Roman" w:hAnsi="Times New Roman" w:cs="Times New Roman"/>
          <w:color w:val="auto"/>
          <w:highlight w:val="none"/>
        </w:rPr>
      </w:pPr>
    </w:p>
    <w:p>
      <w:pPr>
        <w:pStyle w:val="92"/>
        <w:tabs>
          <w:tab w:val="left" w:pos="900"/>
        </w:tabs>
        <w:spacing w:after="156" w:line="288" w:lineRule="auto"/>
        <w:ind w:firstLine="0" w:firstLineChars="0"/>
        <w:jc w:val="both"/>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致：</w:t>
      </w:r>
      <w:r>
        <w:rPr>
          <w:rFonts w:hint="eastAsia" w:ascii="Times New Roman" w:cs="Times New Roman"/>
          <w:color w:val="auto"/>
          <w:highlight w:val="none"/>
          <w:u w:val="single"/>
          <w:lang w:eastAsia="zh-CN"/>
        </w:rPr>
        <w:t>广州市花都区人民政府新华街道办事处</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鉴于：“【】、【】组成联合体”（以下称“特许经营者”）与甲方于【】年【】月【】日签订了《</w:t>
      </w:r>
      <w:r>
        <w:rPr>
          <w:rFonts w:hint="eastAsia" w:ascii="Times New Roman" w:cs="Times New Roman"/>
          <w:color w:val="auto"/>
          <w:highlight w:val="none"/>
          <w:lang w:eastAsia="zh-CN"/>
        </w:rPr>
        <w:t>花都区新华街云山运动场改造（停车场）项目</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》（以下称“</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”）；并根据特许经营初步协议之规定，组建了项目公司（以下称“项目公司”）；项目公司成立后，项目公司与甲方于【】年【】月【】日正式签署了《</w:t>
      </w:r>
      <w:r>
        <w:rPr>
          <w:rFonts w:hint="eastAsia" w:ascii="Times New Roman" w:cs="Times New Roman"/>
          <w:color w:val="auto"/>
          <w:highlight w:val="none"/>
          <w:lang w:eastAsia="zh-CN"/>
        </w:rPr>
        <w:t>花都区新华街云山运动场改造（停车场）项目</w:t>
      </w:r>
      <w:r>
        <w:rPr>
          <w:rFonts w:hint="default" w:ascii="Times New Roman" w:hAnsi="Times New Roman" w:cs="Times New Roman"/>
          <w:color w:val="auto"/>
          <w:highlight w:val="none"/>
        </w:rPr>
        <w:t>特许经营协议》（以</w:t>
      </w:r>
      <w:r>
        <w:rPr>
          <w:rFonts w:hint="default" w:ascii="Times New Roman" w:hAnsi="Times New Roman" w:cs="Times New Roman"/>
          <w:color w:val="auto"/>
          <w:highlight w:val="none"/>
          <w:lang w:eastAsia="zh-CN"/>
        </w:rPr>
        <w:t>下简</w:t>
      </w:r>
      <w:r>
        <w:rPr>
          <w:rFonts w:hint="default" w:ascii="Times New Roman" w:hAnsi="Times New Roman" w:cs="Times New Roman"/>
          <w:color w:val="auto"/>
          <w:highlight w:val="none"/>
        </w:rPr>
        <w:t>称“特许经营协议”），并由项目公司进行投融资、建设</w:t>
      </w:r>
      <w:r>
        <w:rPr>
          <w:rFonts w:hint="default" w:ascii="Times New Roman" w:hAnsi="Times New Roman" w:cs="Times New Roman"/>
          <w:color w:val="auto"/>
          <w:highlight w:val="none"/>
          <w:lang w:val="en-US" w:eastAsia="zh-CN"/>
        </w:rPr>
        <w:t>、运营和移交</w:t>
      </w:r>
      <w:r>
        <w:rPr>
          <w:rFonts w:hint="default" w:ascii="Times New Roman" w:hAnsi="Times New Roman" w:cs="Times New Roman"/>
          <w:color w:val="auto"/>
          <w:highlight w:val="none"/>
        </w:rPr>
        <w:t>等义务。现项目已进入正式运营维护期，根据特许经营初步协议、特许经营协议约定，</w:t>
      </w:r>
      <w:r>
        <w:rPr>
          <w:rFonts w:hint="default" w:ascii="Times New Roman" w:hAnsi="Times New Roman" w:cs="Times New Roman"/>
          <w:color w:val="auto"/>
          <w:highlight w:val="none"/>
          <w:u w:val="single"/>
        </w:rPr>
        <w:t>应由项目公司进行运营维护工作，并由特许经营者</w:t>
      </w:r>
      <w:r>
        <w:rPr>
          <w:rFonts w:hint="default" w:ascii="Times New Roman" w:hAnsi="Times New Roman" w:cs="Times New Roman"/>
          <w:color w:val="auto"/>
          <w:highlight w:val="none"/>
          <w:u w:val="single"/>
          <w:lang w:val="en-US" w:eastAsia="zh-CN"/>
        </w:rPr>
        <w:t>或</w:t>
      </w:r>
      <w:r>
        <w:rPr>
          <w:rFonts w:hint="default" w:ascii="Times New Roman" w:hAnsi="Times New Roman" w:cs="Times New Roman"/>
          <w:color w:val="auto"/>
          <w:highlight w:val="none"/>
          <w:u w:val="single"/>
        </w:rPr>
        <w:t>项目公司向甲方提供符合特许经营初步协议要求的运营维护履约保函；且项目期满十二（12）个月前，乙方应向甲方提供符合要求的移交维护履约保函。</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按照特许经营初步协议要求，乙方作为运营维护履约保</w:t>
      </w:r>
      <w:r>
        <w:rPr>
          <w:rFonts w:hint="default" w:ascii="Times New Roman" w:hAnsi="Times New Roman" w:cs="Times New Roman"/>
          <w:color w:val="auto"/>
          <w:highlight w:val="none"/>
          <w:lang w:eastAsia="zh-CN"/>
        </w:rPr>
        <w:t>函的</w:t>
      </w:r>
      <w:r>
        <w:rPr>
          <w:rFonts w:hint="default" w:ascii="Times New Roman" w:hAnsi="Times New Roman" w:cs="Times New Roman"/>
          <w:color w:val="auto"/>
          <w:highlight w:val="none"/>
        </w:rPr>
        <w:t>申请人向甲方提供由甲方认可的保函，以</w:t>
      </w:r>
      <w:r>
        <w:rPr>
          <w:rFonts w:hint="default" w:ascii="Times New Roman" w:hAnsi="Times New Roman" w:cs="Times New Roman"/>
          <w:color w:val="auto"/>
          <w:highlight w:val="none"/>
          <w:u w:val="single"/>
        </w:rPr>
        <w:t>担保项目公司或特许经营者在运营维</w:t>
      </w:r>
      <w:r>
        <w:rPr>
          <w:rFonts w:hint="default" w:ascii="Times New Roman" w:hAnsi="Times New Roman" w:cs="Times New Roman"/>
          <w:color w:val="auto"/>
          <w:highlight w:val="none"/>
          <w:u w:val="single"/>
          <w:lang w:eastAsia="zh-CN"/>
        </w:rPr>
        <w:t>护期</w:t>
      </w:r>
      <w:r>
        <w:rPr>
          <w:rFonts w:hint="default" w:ascii="Times New Roman" w:hAnsi="Times New Roman" w:cs="Times New Roman"/>
          <w:color w:val="auto"/>
          <w:highlight w:val="none"/>
          <w:u w:val="single"/>
        </w:rPr>
        <w:t>内履行特许经营协议项下的项目</w:t>
      </w:r>
      <w:r>
        <w:rPr>
          <w:rFonts w:hint="default" w:ascii="Times New Roman" w:hAnsi="Times New Roman" w:cs="Times New Roman"/>
          <w:color w:val="auto"/>
          <w:highlight w:val="none"/>
          <w:u w:val="single"/>
          <w:lang w:val="en-US" w:eastAsia="zh-CN"/>
        </w:rPr>
        <w:t>运营维护、</w:t>
      </w:r>
      <w:r>
        <w:rPr>
          <w:rFonts w:hint="default" w:ascii="Times New Roman" w:hAnsi="Times New Roman" w:cs="Times New Roman"/>
          <w:color w:val="auto"/>
          <w:highlight w:val="none"/>
          <w:u w:val="single"/>
        </w:rPr>
        <w:t>运营绩效、服务质量标准达标情况、安全保障</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u w:val="single"/>
          <w:lang w:val="en-US" w:eastAsia="zh-CN"/>
        </w:rPr>
        <w:t>二期扩建</w:t>
      </w:r>
      <w:r>
        <w:rPr>
          <w:rFonts w:hint="default" w:ascii="Times New Roman" w:hAnsi="Times New Roman" w:cs="Times New Roman"/>
          <w:color w:val="auto"/>
          <w:highlight w:val="none"/>
          <w:u w:val="single"/>
        </w:rPr>
        <w:t>、移交维护履约保函的提交等义务。</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我们【银行/金融机构名称】同意为乙方出具上述履约担保函，并特此确认：若因项目公司或特许经营者违反</w:t>
      </w:r>
      <w:r>
        <w:rPr>
          <w:rFonts w:hint="default" w:ascii="Times New Roman" w:hAnsi="Times New Roman" w:cs="Times New Roman"/>
          <w:bCs/>
          <w:color w:val="auto"/>
          <w:highlight w:val="none"/>
        </w:rPr>
        <w:t>特许经营初步</w:t>
      </w:r>
      <w:r>
        <w:rPr>
          <w:rFonts w:hint="default" w:ascii="Times New Roman" w:hAnsi="Times New Roman" w:cs="Times New Roman"/>
          <w:bCs/>
          <w:color w:val="auto"/>
          <w:highlight w:val="none"/>
          <w:lang w:eastAsia="zh-CN"/>
        </w:rPr>
        <w:t>协议</w:t>
      </w:r>
      <w:r>
        <w:rPr>
          <w:rFonts w:hint="default" w:ascii="Times New Roman" w:hAnsi="Times New Roman" w:cs="Times New Roman"/>
          <w:color w:val="auto"/>
          <w:highlight w:val="none"/>
        </w:rPr>
        <w:t>、特许经营协议及其相关文件所确定的义务，我们作为担保人并代表项目公司或特许经营者向甲方负责，担保金额为人民币</w:t>
      </w:r>
      <w:r>
        <w:rPr>
          <w:rFonts w:hint="eastAsia" w:ascii="Times New Roman" w:cs="Times New Roman"/>
          <w:color w:val="auto"/>
          <w:highlight w:val="none"/>
          <w:u w:val="single"/>
          <w:lang w:val="en-US" w:eastAsia="zh-CN"/>
        </w:rPr>
        <w:t>叁拾</w:t>
      </w:r>
      <w:r>
        <w:rPr>
          <w:rFonts w:hint="default" w:ascii="Times New Roman" w:hAnsi="Times New Roman" w:cs="Times New Roman"/>
          <w:color w:val="auto"/>
          <w:highlight w:val="none"/>
          <w:u w:val="single"/>
        </w:rPr>
        <w:t>万元整（RMB</w:t>
      </w:r>
      <w:r>
        <w:rPr>
          <w:rFonts w:hint="eastAsia" w:ascii="Times New Roman" w:cs="Times New Roman"/>
          <w:color w:val="auto"/>
          <w:highlight w:val="none"/>
          <w:u w:val="single"/>
          <w:lang w:val="en-US" w:eastAsia="zh-CN"/>
        </w:rPr>
        <w:t>30</w:t>
      </w:r>
      <w:r>
        <w:rPr>
          <w:rFonts w:hint="default" w:ascii="Times New Roman" w:hAnsi="Times New Roman" w:cs="Times New Roman"/>
          <w:color w:val="auto"/>
          <w:highlight w:val="none"/>
          <w:u w:val="single"/>
        </w:rPr>
        <w:t>0,000.00元）</w:t>
      </w:r>
      <w:r>
        <w:rPr>
          <w:rFonts w:hint="default" w:ascii="Times New Roman" w:hAnsi="Times New Roman" w:cs="Times New Roman"/>
          <w:color w:val="auto"/>
          <w:highlight w:val="none"/>
        </w:rPr>
        <w:t>。我们无条件地、不可撤销地承诺，在收到甲方首次书面要求即付的五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个营业日内，我们将无条件地代项目公司或特许经营者向甲方支付上述金额限度内的任何一笔或数笔款项，并且甲方无须出具证明或陈述要求支付款项的原因或理由。</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我们放弃要求甲方在向我方提出付款要求之前首先向乙方或项目公司或特许经营者提出付款等所有事项的抗辩权利。</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承诺并保证，甲方与特许经营者、项目公司之间可能对特许经营初步协议、特许经营协议及其附件或任何其它文件的条款所作的任何更改或补充，都不免除我方在本担保项下应承担的担保责任。我们在此放弃对此类更改、补充或修改要求给予通知的权利。</w:t>
      </w:r>
    </w:p>
    <w:p>
      <w:pPr>
        <w:pStyle w:val="92"/>
        <w:tabs>
          <w:tab w:val="left" w:pos="900"/>
        </w:tabs>
        <w:spacing w:after="156" w:line="288" w:lineRule="auto"/>
        <w:jc w:val="both"/>
        <w:rPr>
          <w:rFonts w:hint="default" w:ascii="Times New Roman" w:hAnsi="Times New Roman" w:eastAsia="宋体" w:cs="Times New Roman"/>
          <w:color w:val="auto"/>
          <w:highlight w:val="none"/>
          <w:lang w:eastAsia="zh"/>
        </w:rPr>
      </w:pPr>
      <w:r>
        <w:rPr>
          <w:rFonts w:hint="default" w:ascii="Times New Roman" w:hAnsi="Times New Roman" w:cs="Times New Roman"/>
          <w:color w:val="auto"/>
          <w:highlight w:val="none"/>
        </w:rPr>
        <w:t>本履约担保函自签署之日【】年【】月【】日起至【】年【】月【】日止始终有效。如果</w:t>
      </w:r>
      <w:r>
        <w:rPr>
          <w:rFonts w:hint="default" w:ascii="Times New Roman" w:hAnsi="Times New Roman" w:cs="Times New Roman"/>
          <w:color w:val="auto"/>
          <w:highlight w:val="none"/>
          <w:lang w:eastAsia="zh"/>
        </w:rPr>
        <w:t>本协议及特许经营协议提前终止，则运营维护履约保函应在特许经营协议约定的移交日期后十二（12）个月内保持有效。</w:t>
      </w:r>
    </w:p>
    <w:p>
      <w:pPr>
        <w:pStyle w:val="92"/>
        <w:tabs>
          <w:tab w:val="left" w:pos="900"/>
        </w:tabs>
        <w:spacing w:after="156" w:line="288" w:lineRule="auto"/>
        <w:jc w:val="both"/>
        <w:rPr>
          <w:rFonts w:hint="default" w:ascii="Times New Roman" w:hAnsi="Times New Roman" w:cs="Times New Roman"/>
          <w:color w:val="auto"/>
          <w:highlight w:val="none"/>
        </w:rPr>
      </w:pP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本履约担保函中使用的所有术语具有特许经营初步协议中规定的含义（我们确认已收到特许经营初步协议及相关附件的一份复印件）。</w:t>
      </w:r>
    </w:p>
    <w:p>
      <w:pPr>
        <w:pStyle w:val="92"/>
        <w:tabs>
          <w:tab w:val="left" w:pos="900"/>
        </w:tabs>
        <w:spacing w:before="156" w:beforeLines="50"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担保人特此声明：</w:t>
      </w:r>
    </w:p>
    <w:p>
      <w:pPr>
        <w:pStyle w:val="92"/>
        <w:numPr>
          <w:ilvl w:val="0"/>
          <w:numId w:val="14"/>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我们承诺为出具本履约担保函而须办理的有关法律手续已经齐备，我们放弃以其他任何理由主张该履约担保函无效的抗辩权利。</w:t>
      </w:r>
    </w:p>
    <w:p>
      <w:pPr>
        <w:pStyle w:val="92"/>
        <w:numPr>
          <w:ilvl w:val="0"/>
          <w:numId w:val="14"/>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本履约担保函对担保人的受让人和承继人均有约束力。</w:t>
      </w:r>
    </w:p>
    <w:p>
      <w:pPr>
        <w:pStyle w:val="92"/>
        <w:numPr>
          <w:ilvl w:val="0"/>
          <w:numId w:val="14"/>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与本履约担保函有关的各项通知和/或信函，包括但不限于索偿通知等经传真或信件等形式发往担保人的如下地址，即应视为担保人已经收到该等通知和/或信函。</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收件人：</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传真：</w:t>
      </w: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pPr>
        <w:pStyle w:val="92"/>
        <w:numPr>
          <w:ilvl w:val="0"/>
          <w:numId w:val="14"/>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本履约担保函一经担保人法定代表人或负责人或授权代表签字并加盖担保人公章即行生效。</w:t>
      </w:r>
    </w:p>
    <w:p>
      <w:pPr>
        <w:pStyle w:val="92"/>
        <w:numPr>
          <w:ilvl w:val="0"/>
          <w:numId w:val="14"/>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担保人在本履约担保函项下的义务是独立的。</w:t>
      </w:r>
    </w:p>
    <w:p>
      <w:pPr>
        <w:pStyle w:val="37"/>
        <w:spacing w:after="156"/>
        <w:ind w:left="480" w:leftChars="20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(6) 本保函有效期内，甲方主体因政策的原因发生变更的，承接主体继续享 有受益权利，担保人承诺配合承接主体完善相关手续。</w:t>
      </w:r>
    </w:p>
    <w:p>
      <w:pPr>
        <w:pStyle w:val="37"/>
        <w:spacing w:after="156"/>
        <w:rPr>
          <w:rFonts w:hint="default" w:ascii="Times New Roman" w:hAnsi="Times New Roman" w:cs="Times New Roman"/>
          <w:color w:val="auto"/>
          <w:highlight w:val="none"/>
        </w:rPr>
      </w:pP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本履约担保函应适用中国法律并根据中国法律解释。</w:t>
      </w:r>
    </w:p>
    <w:p>
      <w:pPr>
        <w:pStyle w:val="37"/>
        <w:spacing w:after="156"/>
        <w:rPr>
          <w:rFonts w:hint="default" w:ascii="Times New Roman" w:hAnsi="Times New Roman" w:cs="Times New Roman"/>
          <w:color w:val="auto"/>
          <w:highlight w:val="none"/>
        </w:rPr>
      </w:pPr>
    </w:p>
    <w:p>
      <w:pPr>
        <w:pStyle w:val="37"/>
        <w:spacing w:after="156"/>
        <w:rPr>
          <w:rFonts w:hint="default" w:ascii="Times New Roman" w:hAnsi="Times New Roman" w:cs="Times New Roman"/>
          <w:color w:val="auto"/>
          <w:highlight w:val="none"/>
        </w:rPr>
      </w:pP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银行/金融机构名称：_________________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银行/金融机构盖章：__________________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银行/金融机构法定代表人或负责人签字：_________________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日期：_________________</w:t>
      </w: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sectPr>
          <w:pgSz w:w="11906" w:h="16838"/>
          <w:pgMar w:top="1440" w:right="1800" w:bottom="1440" w:left="1800" w:header="720" w:footer="720" w:gutter="0"/>
          <w:pgNumType w:fmt="numberInDash"/>
          <w:cols w:space="720" w:num="1"/>
          <w:docGrid w:type="lines" w:linePitch="312" w:charSpace="0"/>
        </w:sectPr>
      </w:pPr>
    </w:p>
    <w:p>
      <w:pPr>
        <w:spacing w:after="156"/>
        <w:ind w:firstLine="0" w:firstLineChars="0"/>
        <w:jc w:val="center"/>
        <w:outlineLvl w:val="1"/>
        <w:rPr>
          <w:rFonts w:hint="default" w:ascii="Times New Roman" w:hAnsi="Times New Roman" w:cs="Times New Roman"/>
          <w:color w:val="auto"/>
          <w:highlight w:val="none"/>
        </w:rPr>
      </w:pPr>
      <w:bookmarkStart w:id="499" w:name="_Toc534474047"/>
      <w:bookmarkStart w:id="500" w:name="_Toc497644303"/>
      <w:bookmarkStart w:id="501" w:name="_Toc25322"/>
      <w:bookmarkStart w:id="502" w:name="_Toc25397"/>
      <w:r>
        <w:rPr>
          <w:rFonts w:hint="default" w:ascii="Times New Roman" w:hAnsi="Times New Roman" w:eastAsia="黑体" w:cs="Times New Roman"/>
          <w:color w:val="auto"/>
          <w:sz w:val="32"/>
          <w:highlight w:val="none"/>
        </w:rPr>
        <w:t>移交维护履约保函</w:t>
      </w:r>
      <w:bookmarkEnd w:id="499"/>
      <w:bookmarkEnd w:id="500"/>
      <w:bookmarkEnd w:id="501"/>
      <w:bookmarkEnd w:id="502"/>
    </w:p>
    <w:p>
      <w:pPr>
        <w:spacing w:after="156"/>
        <w:ind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不可撤销的保函编号：【】</w:t>
      </w:r>
    </w:p>
    <w:p>
      <w:pPr>
        <w:spacing w:after="156"/>
        <w:ind w:firstLine="0" w:firstLineChars="0"/>
        <w:jc w:val="right"/>
        <w:rPr>
          <w:rFonts w:hint="default" w:ascii="Times New Roman" w:hAnsi="Times New Roman" w:cs="Times New Roman"/>
          <w:color w:val="auto"/>
          <w:highlight w:val="none"/>
        </w:rPr>
      </w:pPr>
      <w:r>
        <w:rPr>
          <w:rFonts w:hint="default" w:ascii="Times New Roman" w:hAnsi="Times New Roman" w:cs="Times New Roman"/>
          <w:color w:val="auto"/>
          <w:highlight w:val="none"/>
        </w:rPr>
        <w:t>日期：【】年【】月【】日</w:t>
      </w:r>
    </w:p>
    <w:p>
      <w:pPr>
        <w:spacing w:after="156" w:line="288" w:lineRule="auto"/>
        <w:rPr>
          <w:rFonts w:hint="default" w:ascii="Times New Roman" w:hAnsi="Times New Roman" w:cs="Times New Roman"/>
          <w:iCs/>
          <w:color w:val="auto"/>
          <w:highlight w:val="none"/>
        </w:rPr>
      </w:pPr>
      <w:r>
        <w:rPr>
          <w:rFonts w:hint="default" w:ascii="Times New Roman" w:hAnsi="Times New Roman" w:cs="Times New Roman"/>
          <w:color w:val="auto"/>
          <w:highlight w:val="none"/>
        </w:rPr>
        <w:t>受益人：</w:t>
      </w:r>
      <w:r>
        <w:rPr>
          <w:rFonts w:hint="eastAsia" w:cs="Times New Roman"/>
          <w:iCs/>
          <w:color w:val="auto"/>
          <w:highlight w:val="none"/>
          <w:u w:val="single"/>
          <w:lang w:eastAsia="zh-CN"/>
        </w:rPr>
        <w:t>广州市花都区人民政府新华街道办事处</w:t>
      </w:r>
      <w:r>
        <w:rPr>
          <w:rFonts w:hint="default" w:ascii="Times New Roman" w:hAnsi="Times New Roman" w:cs="Times New Roman"/>
          <w:color w:val="auto"/>
          <w:highlight w:val="none"/>
        </w:rPr>
        <w:t>（以下简称“甲方”）</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申请人：</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（以下简称“乙方”）</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r>
        <w:rPr>
          <w:rFonts w:hint="default" w:ascii="Times New Roman" w:hAnsi="Times New Roman" w:cs="Times New Roman"/>
          <w:color w:val="auto"/>
          <w:kern w:val="28"/>
          <w:highlight w:val="none"/>
          <w:lang w:val="en-GB"/>
        </w:rPr>
        <w:t>【】</w:t>
      </w:r>
    </w:p>
    <w:p>
      <w:pPr>
        <w:pStyle w:val="92"/>
        <w:tabs>
          <w:tab w:val="left" w:pos="900"/>
        </w:tabs>
        <w:spacing w:after="156" w:line="288"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邮政编码：</w:t>
      </w:r>
    </w:p>
    <w:p>
      <w:pPr>
        <w:pStyle w:val="37"/>
        <w:spacing w:after="156"/>
        <w:rPr>
          <w:rFonts w:hint="default" w:ascii="Times New Roman" w:hAnsi="Times New Roman" w:cs="Times New Roman"/>
          <w:color w:val="auto"/>
          <w:highlight w:val="none"/>
        </w:rPr>
      </w:pPr>
    </w:p>
    <w:p>
      <w:pPr>
        <w:pStyle w:val="92"/>
        <w:tabs>
          <w:tab w:val="left" w:pos="900"/>
        </w:tabs>
        <w:spacing w:after="156" w:line="288" w:lineRule="auto"/>
        <w:ind w:firstLine="0" w:firstLineChars="0"/>
        <w:jc w:val="both"/>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致：</w:t>
      </w:r>
      <w:r>
        <w:rPr>
          <w:rFonts w:hint="eastAsia" w:ascii="Times New Roman" w:cs="Times New Roman"/>
          <w:color w:val="auto"/>
          <w:highlight w:val="none"/>
          <w:u w:val="single"/>
          <w:lang w:eastAsia="zh-CN"/>
        </w:rPr>
        <w:t>广州市花都区人民政府新华街道办事处</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鉴于：“【】、【】组成联合体”（以下称“特许经营者”）与甲方于【】年【】月【】日签订了《</w:t>
      </w:r>
      <w:r>
        <w:rPr>
          <w:rFonts w:hint="eastAsia" w:ascii="Times New Roman" w:cs="Times New Roman"/>
          <w:color w:val="auto"/>
          <w:highlight w:val="none"/>
          <w:lang w:eastAsia="zh-CN"/>
        </w:rPr>
        <w:t>花都区新华街云山运动场改造（停车场）项目</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》（以下称“</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”）；并根据特许经营初步协议之规定，组建了项目公司（以下称“项目公司”）；项目公司成立后，项目公司与甲方于【】年【】月【】日正式签署了《</w:t>
      </w:r>
      <w:r>
        <w:rPr>
          <w:rFonts w:hint="eastAsia" w:ascii="Times New Roman" w:cs="Times New Roman"/>
          <w:color w:val="auto"/>
          <w:highlight w:val="none"/>
          <w:lang w:eastAsia="zh-CN"/>
        </w:rPr>
        <w:t>花都区新华街云山运动场改造（停车场）项目</w:t>
      </w:r>
      <w:r>
        <w:rPr>
          <w:rFonts w:hint="default" w:ascii="Times New Roman" w:hAnsi="Times New Roman" w:cs="Times New Roman"/>
          <w:color w:val="auto"/>
          <w:highlight w:val="none"/>
        </w:rPr>
        <w:t>特许经营协议》（以</w:t>
      </w:r>
      <w:r>
        <w:rPr>
          <w:rFonts w:hint="default" w:ascii="Times New Roman" w:hAnsi="Times New Roman" w:cs="Times New Roman"/>
          <w:color w:val="auto"/>
          <w:highlight w:val="none"/>
          <w:lang w:eastAsia="zh-CN"/>
        </w:rPr>
        <w:t>下简</w:t>
      </w:r>
      <w:r>
        <w:rPr>
          <w:rFonts w:hint="default" w:ascii="Times New Roman" w:hAnsi="Times New Roman" w:cs="Times New Roman"/>
          <w:color w:val="auto"/>
          <w:highlight w:val="none"/>
        </w:rPr>
        <w:t>称“特许经营协议”），并由项目公司</w:t>
      </w:r>
      <w:r>
        <w:rPr>
          <w:rFonts w:hint="default" w:ascii="Times New Roman" w:hAnsi="Times New Roman" w:cs="Times New Roman"/>
          <w:color w:val="auto"/>
          <w:highlight w:val="none"/>
          <w:lang w:val="en-US" w:eastAsia="zh-CN"/>
        </w:rPr>
        <w:t>投融资、建设、运营和移交工作</w:t>
      </w:r>
      <w:r>
        <w:rPr>
          <w:rFonts w:hint="default" w:ascii="Times New Roman" w:hAnsi="Times New Roman" w:cs="Times New Roman"/>
          <w:color w:val="auto"/>
          <w:highlight w:val="none"/>
        </w:rPr>
        <w:t>。现项目即将期满移交，根据特许经营初步协议规定，</w:t>
      </w:r>
      <w:r>
        <w:rPr>
          <w:rFonts w:hint="default" w:ascii="Times New Roman" w:hAnsi="Times New Roman" w:cs="Times New Roman"/>
          <w:color w:val="auto"/>
          <w:highlight w:val="none"/>
          <w:u w:val="single"/>
        </w:rPr>
        <w:t>乙方应向甲方提供符合要求的移交维护履约保函。</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按照特许经营初步协议要求，乙方作为移交维护履约保函申请人向甲方提供由甲方认可的保函，</w:t>
      </w:r>
      <w:r>
        <w:rPr>
          <w:rFonts w:hint="default" w:ascii="Times New Roman" w:hAnsi="Times New Roman" w:cs="Times New Roman"/>
          <w:color w:val="auto"/>
          <w:highlight w:val="none"/>
          <w:u w:val="single"/>
        </w:rPr>
        <w:t>以担保项目公司或特许经营者的项目移交、项目设施恢复性大修、项目设施存在隐蔽性缺陷</w:t>
      </w:r>
      <w:r>
        <w:rPr>
          <w:rFonts w:hint="default" w:ascii="Times New Roman" w:hAnsi="Times New Roman" w:cs="Times New Roman"/>
          <w:color w:val="auto"/>
          <w:highlight w:val="none"/>
          <w:u w:val="single"/>
          <w:lang w:val="en-US" w:eastAsia="zh-CN"/>
        </w:rPr>
        <w:t>责任修复</w:t>
      </w:r>
      <w:r>
        <w:rPr>
          <w:rFonts w:hint="default" w:ascii="Times New Roman" w:hAnsi="Times New Roman" w:cs="Times New Roman"/>
          <w:color w:val="auto"/>
          <w:highlight w:val="none"/>
          <w:u w:val="single"/>
        </w:rPr>
        <w:t>等。</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我们【银行/金融机构名称】同意为乙方出具上述履约担保函，并特此确认：若因项目公司或特许经营者违反</w:t>
      </w:r>
      <w:r>
        <w:rPr>
          <w:rFonts w:hint="default" w:ascii="Times New Roman" w:hAnsi="Times New Roman" w:cs="Times New Roman"/>
          <w:bCs/>
          <w:color w:val="auto"/>
          <w:highlight w:val="none"/>
        </w:rPr>
        <w:t>特许经营初步协议</w:t>
      </w:r>
      <w:r>
        <w:rPr>
          <w:rFonts w:hint="default" w:ascii="Times New Roman" w:hAnsi="Times New Roman" w:cs="Times New Roman"/>
          <w:color w:val="auto"/>
          <w:highlight w:val="none"/>
        </w:rPr>
        <w:t>、特许经营协议及其相关文件所确定的义务，我们作为担保人并代表项目公司或特许经营者向甲方负责，担保金额为</w:t>
      </w:r>
      <w:r>
        <w:rPr>
          <w:rFonts w:hint="eastAsia" w:ascii="Times New Roman" w:cs="Times New Roman"/>
          <w:color w:val="auto"/>
          <w:highlight w:val="none"/>
          <w:u w:val="single"/>
          <w:lang w:val="en-US" w:eastAsia="zh-CN"/>
        </w:rPr>
        <w:t>伍佰万元</w:t>
      </w:r>
      <w:r>
        <w:rPr>
          <w:rFonts w:hint="default" w:ascii="Times New Roman" w:hAnsi="Times New Roman" w:cs="Times New Roman"/>
          <w:color w:val="auto"/>
          <w:highlight w:val="none"/>
          <w:u w:val="single"/>
        </w:rPr>
        <w:t>整（RMB</w:t>
      </w:r>
      <w:r>
        <w:rPr>
          <w:rFonts w:hint="eastAsia" w:ascii="Times New Roman" w:cs="Times New Roman"/>
          <w:color w:val="auto"/>
          <w:highlight w:val="none"/>
          <w:u w:val="single"/>
          <w:lang w:val="en-US" w:eastAsia="zh-CN"/>
        </w:rPr>
        <w:t>5</w:t>
      </w:r>
      <w:r>
        <w:rPr>
          <w:rFonts w:hint="default" w:ascii="Times New Roman" w:hAnsi="Times New Roman" w:cs="Times New Roman"/>
          <w:color w:val="auto"/>
          <w:highlight w:val="none"/>
          <w:u w:val="single"/>
        </w:rPr>
        <w:t>,000,000.00元）</w:t>
      </w:r>
      <w:r>
        <w:rPr>
          <w:rFonts w:hint="default" w:ascii="Times New Roman" w:hAnsi="Times New Roman" w:cs="Times New Roman"/>
          <w:color w:val="auto"/>
          <w:highlight w:val="none"/>
          <w:u w:val="single"/>
          <w:lang w:eastAsia="zh-CN"/>
        </w:rPr>
        <w:t>。</w:t>
      </w:r>
      <w:r>
        <w:rPr>
          <w:rFonts w:hint="default" w:ascii="Times New Roman" w:hAnsi="Times New Roman" w:cs="Times New Roman"/>
          <w:color w:val="auto"/>
          <w:highlight w:val="none"/>
        </w:rPr>
        <w:t>我们无条件地、不可撤销地承诺，在收到甲方首次书面要求即付的五</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5</w:t>
      </w:r>
      <w:r>
        <w:rPr>
          <w:rFonts w:hint="default" w:ascii="Times New Roman" w:hAnsi="Times New Roman" w:cs="Times New Roman"/>
          <w:color w:val="auto"/>
          <w:highlight w:val="none"/>
          <w:lang w:eastAsia="zh-CN"/>
        </w:rPr>
        <w:t>）</w:t>
      </w:r>
      <w:r>
        <w:rPr>
          <w:rFonts w:hint="default" w:ascii="Times New Roman" w:hAnsi="Times New Roman" w:cs="Times New Roman"/>
          <w:color w:val="auto"/>
          <w:highlight w:val="none"/>
        </w:rPr>
        <w:t>个营业日内，我们将无条件地代项目公司或特许经营者向甲方支付上述金额限度内的任何一笔或数笔款项，并且甲方无须出具证明或陈述要求支付款项的原因或理由。</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我们放弃要求甲方在向我方提出付款要求之前首先向乙方或项目公司或特许经营者提出付款等所有事项的抗辩权利。</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承诺并保证，甲方与特许经营者、项目公司之间可能对特许经营初步协议、特许经营协议及其附件或任何其它文件的条款所作的任何更改或补充，都不免除我方在本担保项下应承担的担保责任。我们在此放弃对此类更改、补充或修改要求给予通知的权利。</w:t>
      </w:r>
    </w:p>
    <w:p>
      <w:pPr>
        <w:pStyle w:val="92"/>
        <w:tabs>
          <w:tab w:val="left" w:pos="900"/>
        </w:tabs>
        <w:spacing w:after="156" w:line="288" w:lineRule="auto"/>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本履约担保函自签署之日【】年【】月【】日起至【】年【】月【】日止始终有效。如果特许经营初步协议或特许经营协议提前终止，移交维护履约保函应在终止日后十二（12）个月内保持有效。</w:t>
      </w:r>
    </w:p>
    <w:p>
      <w:pPr>
        <w:pStyle w:val="92"/>
        <w:tabs>
          <w:tab w:val="left" w:pos="900"/>
        </w:tabs>
        <w:spacing w:after="156" w:line="288" w:lineRule="auto"/>
        <w:jc w:val="both"/>
        <w:rPr>
          <w:rFonts w:hint="default" w:ascii="Times New Roman" w:hAnsi="Times New Roman" w:cs="Times New Roman"/>
          <w:color w:val="auto"/>
          <w:highlight w:val="none"/>
        </w:rPr>
      </w:pP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本履约担保函中使用的所有术语具有特许经营初步协议中规定的含义（我们确认已收到特许经营初步协议及相关附件的一份复印件）。</w:t>
      </w:r>
    </w:p>
    <w:p>
      <w:pPr>
        <w:pStyle w:val="92"/>
        <w:tabs>
          <w:tab w:val="left" w:pos="900"/>
        </w:tabs>
        <w:spacing w:before="156" w:beforeLines="50"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担保人特此声明：</w:t>
      </w:r>
    </w:p>
    <w:p>
      <w:pPr>
        <w:pStyle w:val="92"/>
        <w:numPr>
          <w:ilvl w:val="0"/>
          <w:numId w:val="15"/>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我们承诺为出具本履约担保函而须办理的有关法律手续已经齐备，我们放弃以其他任何理由主张该履约担保函无效的抗辩权利。</w:t>
      </w:r>
    </w:p>
    <w:p>
      <w:pPr>
        <w:pStyle w:val="92"/>
        <w:numPr>
          <w:ilvl w:val="0"/>
          <w:numId w:val="15"/>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本履约担保函对担保人的受让人和承继人均有约束力。</w:t>
      </w:r>
    </w:p>
    <w:p>
      <w:pPr>
        <w:pStyle w:val="92"/>
        <w:numPr>
          <w:ilvl w:val="0"/>
          <w:numId w:val="15"/>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与本履约担保函有关的各项通知和/或信函，包括但不限于索偿通知等经传真或信件等形式发往担保人的如下地址，即应视为担保人已经收到该等通知和/或信函。</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收件人：</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地址：</w:t>
      </w:r>
    </w:p>
    <w:p>
      <w:pPr>
        <w:pStyle w:val="92"/>
        <w:tabs>
          <w:tab w:val="left" w:pos="900"/>
        </w:tabs>
        <w:spacing w:after="156" w:line="288" w:lineRule="auto"/>
        <w:ind w:firstLine="600" w:firstLineChars="250"/>
        <w:rPr>
          <w:rFonts w:hint="default" w:ascii="Times New Roman" w:hAnsi="Times New Roman" w:cs="Times New Roman"/>
          <w:color w:val="auto"/>
          <w:highlight w:val="none"/>
        </w:rPr>
      </w:pPr>
      <w:r>
        <w:rPr>
          <w:rFonts w:hint="default" w:ascii="Times New Roman" w:hAnsi="Times New Roman" w:cs="Times New Roman"/>
          <w:color w:val="auto"/>
          <w:highlight w:val="none"/>
        </w:rPr>
        <w:t>传真：</w:t>
      </w: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电话：</w:t>
      </w:r>
    </w:p>
    <w:p>
      <w:pPr>
        <w:pStyle w:val="92"/>
        <w:numPr>
          <w:ilvl w:val="0"/>
          <w:numId w:val="15"/>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本履约担保函一经担保人法定代表人或负责人或授权代表签字并加盖担保人公章即行生效。</w:t>
      </w:r>
    </w:p>
    <w:p>
      <w:pPr>
        <w:pStyle w:val="92"/>
        <w:numPr>
          <w:ilvl w:val="0"/>
          <w:numId w:val="15"/>
        </w:numPr>
        <w:tabs>
          <w:tab w:val="left" w:pos="900"/>
        </w:tabs>
        <w:spacing w:after="156" w:line="288" w:lineRule="auto"/>
        <w:ind w:left="960" w:leftChars="200" w:hanging="480" w:hangingChars="20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担保人在本履约担保函项下的义务是独立的。</w:t>
      </w:r>
    </w:p>
    <w:p>
      <w:pPr>
        <w:pStyle w:val="37"/>
        <w:spacing w:after="156"/>
        <w:ind w:left="480" w:leftChars="200" w:firstLine="0" w:firstLineChars="0"/>
        <w:rPr>
          <w:rFonts w:hint="default" w:ascii="Times New Roman" w:hAnsi="Times New Roman" w:cs="Times New Roman"/>
          <w:color w:val="auto"/>
          <w:highlight w:val="none"/>
        </w:rPr>
      </w:pPr>
      <w:r>
        <w:rPr>
          <w:rFonts w:hint="default" w:ascii="Times New Roman" w:hAnsi="Times New Roman" w:cs="Times New Roman"/>
          <w:color w:val="auto"/>
          <w:highlight w:val="none"/>
        </w:rPr>
        <w:t>(6) 本保函有效期内，甲方主体因政策的原因发生变更的，承接主体继续享 有受益权利，担保人承诺配合承接主体完善相关手续。</w:t>
      </w:r>
    </w:p>
    <w:p>
      <w:pPr>
        <w:pStyle w:val="37"/>
        <w:spacing w:after="156"/>
        <w:rPr>
          <w:rFonts w:hint="default" w:ascii="Times New Roman" w:hAnsi="Times New Roman" w:cs="Times New Roman"/>
          <w:color w:val="auto"/>
          <w:highlight w:val="none"/>
        </w:rPr>
      </w:pPr>
    </w:p>
    <w:p>
      <w:pPr>
        <w:pStyle w:val="92"/>
        <w:tabs>
          <w:tab w:val="left" w:pos="900"/>
        </w:tabs>
        <w:spacing w:after="156" w:line="288" w:lineRule="auto"/>
        <w:ind w:firstLine="600" w:firstLineChars="250"/>
        <w:jc w:val="both"/>
        <w:rPr>
          <w:rFonts w:hint="default" w:ascii="Times New Roman" w:hAnsi="Times New Roman" w:cs="Times New Roman"/>
          <w:color w:val="auto"/>
          <w:highlight w:val="none"/>
        </w:rPr>
      </w:pPr>
      <w:r>
        <w:rPr>
          <w:rFonts w:hint="default" w:ascii="Times New Roman" w:hAnsi="Times New Roman" w:cs="Times New Roman"/>
          <w:color w:val="auto"/>
          <w:highlight w:val="none"/>
        </w:rPr>
        <w:t>本履约担保函应适用中国法律并根据中国法律解释。</w:t>
      </w:r>
    </w:p>
    <w:p>
      <w:pPr>
        <w:pStyle w:val="37"/>
        <w:spacing w:after="156"/>
        <w:rPr>
          <w:rFonts w:hint="default" w:ascii="Times New Roman" w:hAnsi="Times New Roman" w:cs="Times New Roman"/>
          <w:color w:val="auto"/>
          <w:highlight w:val="none"/>
        </w:rPr>
      </w:pP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w:t>
      </w:r>
      <w:r>
        <w:rPr>
          <w:rFonts w:hint="eastAsia" w:ascii="Times New Roman" w:cs="Times New Roman"/>
          <w:color w:val="auto"/>
          <w:highlight w:val="none"/>
          <w:lang w:val="en-US" w:eastAsia="zh-CN"/>
        </w:rPr>
        <w:t>/有资质的担保公司</w:t>
      </w:r>
      <w:r>
        <w:rPr>
          <w:rFonts w:hint="default" w:ascii="Times New Roman" w:hAnsi="Times New Roman" w:cs="Times New Roman"/>
          <w:color w:val="auto"/>
          <w:highlight w:val="none"/>
        </w:rPr>
        <w:t>名称：_________________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w:t>
      </w:r>
      <w:r>
        <w:rPr>
          <w:rFonts w:hint="eastAsia" w:ascii="Times New Roman" w:cs="Times New Roman"/>
          <w:color w:val="auto"/>
          <w:highlight w:val="none"/>
          <w:lang w:val="en-US" w:eastAsia="zh-CN"/>
        </w:rPr>
        <w:t>/有资质的担保公司</w:t>
      </w:r>
      <w:r>
        <w:rPr>
          <w:rFonts w:hint="default" w:ascii="Times New Roman" w:hAnsi="Times New Roman" w:cs="Times New Roman"/>
          <w:color w:val="auto"/>
          <w:highlight w:val="none"/>
        </w:rPr>
        <w:t>盖章：__________________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银行/金融机构</w:t>
      </w:r>
      <w:r>
        <w:rPr>
          <w:rFonts w:hint="eastAsia" w:ascii="Times New Roman" w:cs="Times New Roman"/>
          <w:color w:val="auto"/>
          <w:highlight w:val="none"/>
          <w:lang w:val="en-US" w:eastAsia="zh-CN"/>
        </w:rPr>
        <w:t>/有资质的担保公司</w:t>
      </w:r>
      <w:r>
        <w:rPr>
          <w:rFonts w:hint="default" w:ascii="Times New Roman" w:hAnsi="Times New Roman" w:cs="Times New Roman"/>
          <w:color w:val="auto"/>
          <w:highlight w:val="none"/>
        </w:rPr>
        <w:t>法定代表人或负责人签字：_________________</w:t>
      </w:r>
    </w:p>
    <w:p>
      <w:pPr>
        <w:pStyle w:val="92"/>
        <w:tabs>
          <w:tab w:val="left" w:pos="900"/>
        </w:tabs>
        <w:spacing w:after="156"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日期：_________________</w:t>
      </w:r>
    </w:p>
    <w:p>
      <w:pPr>
        <w:pStyle w:val="388"/>
        <w:spacing w:after="156"/>
        <w:ind w:firstLine="0" w:firstLineChars="0"/>
        <w:rPr>
          <w:rFonts w:hint="default" w:ascii="Times New Roman" w:hAnsi="Times New Roman" w:cs="Times New Roman"/>
          <w:color w:val="auto"/>
          <w:highlight w:val="none"/>
        </w:rPr>
        <w:sectPr>
          <w:pgSz w:w="11906" w:h="16838"/>
          <w:pgMar w:top="1440" w:right="1800" w:bottom="1440" w:left="1800" w:header="720" w:footer="720" w:gutter="0"/>
          <w:pgNumType w:fmt="numberInDash"/>
          <w:cols w:space="720" w:num="1"/>
          <w:docGrid w:type="lines" w:linePitch="312" w:charSpace="0"/>
        </w:sectPr>
      </w:pPr>
    </w:p>
    <w:p>
      <w:pPr>
        <w:pStyle w:val="3"/>
        <w:spacing w:after="156" w:line="360" w:lineRule="auto"/>
        <w:ind w:firstLine="0" w:firstLineChars="0"/>
        <w:rPr>
          <w:rFonts w:hint="default" w:ascii="Times New Roman" w:hAnsi="Times New Roman" w:eastAsia="黑体" w:cs="Times New Roman"/>
          <w:b w:val="0"/>
          <w:color w:val="auto"/>
          <w:sz w:val="32"/>
          <w:szCs w:val="32"/>
          <w:highlight w:val="none"/>
        </w:rPr>
      </w:pPr>
      <w:bookmarkStart w:id="503" w:name="_Toc4413"/>
      <w:bookmarkStart w:id="504" w:name="_Toc190613443"/>
      <w:bookmarkStart w:id="505" w:name="_Toc15393"/>
      <w:bookmarkStart w:id="506" w:name="_Toc10943"/>
      <w:bookmarkStart w:id="507" w:name="_Toc572"/>
      <w:bookmarkStart w:id="508" w:name="_Toc2734"/>
      <w:bookmarkStart w:id="509" w:name="_Toc19364"/>
      <w:bookmarkStart w:id="510" w:name="_Toc872034303"/>
      <w:bookmarkStart w:id="511" w:name="_Toc31767"/>
      <w:bookmarkStart w:id="512" w:name="_Toc23354"/>
      <w:bookmarkStart w:id="513" w:name="_Toc29142"/>
      <w:bookmarkStart w:id="514" w:name="_Toc141121816"/>
      <w:r>
        <w:rPr>
          <w:rFonts w:hint="default" w:ascii="Times New Roman" w:hAnsi="Times New Roman" w:eastAsia="黑体" w:cs="Times New Roman"/>
          <w:b w:val="0"/>
          <w:color w:val="auto"/>
          <w:sz w:val="32"/>
          <w:szCs w:val="32"/>
          <w:highlight w:val="none"/>
        </w:rPr>
        <w:t>中标通知书</w:t>
      </w:r>
      <w:bookmarkEnd w:id="503"/>
      <w:bookmarkEnd w:id="504"/>
      <w:bookmarkEnd w:id="505"/>
      <w:bookmarkEnd w:id="506"/>
      <w:bookmarkEnd w:id="507"/>
      <w:bookmarkEnd w:id="508"/>
      <w:bookmarkEnd w:id="509"/>
      <w:bookmarkEnd w:id="510"/>
      <w:bookmarkEnd w:id="511"/>
      <w:bookmarkEnd w:id="512"/>
      <w:bookmarkEnd w:id="513"/>
      <w:bookmarkEnd w:id="514"/>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sectPr>
          <w:pgSz w:w="11906" w:h="16838"/>
          <w:pgMar w:top="1440" w:right="1800" w:bottom="1440" w:left="1800" w:header="720" w:footer="720" w:gutter="0"/>
          <w:pgNumType w:fmt="numberInDash"/>
          <w:cols w:space="720" w:num="1"/>
          <w:docGrid w:type="lines" w:linePitch="312" w:charSpace="0"/>
        </w:sectPr>
      </w:pPr>
    </w:p>
    <w:p>
      <w:pPr>
        <w:pStyle w:val="3"/>
        <w:spacing w:after="156" w:line="360" w:lineRule="auto"/>
        <w:ind w:firstLine="0" w:firstLineChars="0"/>
        <w:rPr>
          <w:rFonts w:hint="default" w:ascii="Times New Roman" w:hAnsi="Times New Roman" w:eastAsia="黑体" w:cs="Times New Roman"/>
          <w:b w:val="0"/>
          <w:color w:val="auto"/>
          <w:sz w:val="32"/>
          <w:szCs w:val="32"/>
          <w:highlight w:val="none"/>
        </w:rPr>
      </w:pPr>
      <w:bookmarkStart w:id="515" w:name="_Toc1852123393"/>
      <w:bookmarkStart w:id="516" w:name="_Toc25129"/>
      <w:bookmarkStart w:id="517" w:name="_Toc190613444"/>
      <w:bookmarkStart w:id="518" w:name="_Toc12419"/>
      <w:bookmarkStart w:id="519" w:name="_Toc1012415224"/>
      <w:bookmarkStart w:id="520" w:name="_Toc30157"/>
      <w:bookmarkStart w:id="521" w:name="_Toc9046"/>
      <w:bookmarkStart w:id="522" w:name="_Toc7052"/>
      <w:bookmarkStart w:id="523" w:name="_Toc20073"/>
      <w:bookmarkStart w:id="524" w:name="_Toc1152"/>
      <w:bookmarkStart w:id="525" w:name="_Toc18359"/>
      <w:bookmarkStart w:id="526" w:name="_Toc24628"/>
      <w:r>
        <w:rPr>
          <w:rFonts w:hint="default" w:ascii="Times New Roman" w:hAnsi="Times New Roman" w:eastAsia="黑体" w:cs="Times New Roman"/>
          <w:b w:val="0"/>
          <w:color w:val="auto"/>
          <w:sz w:val="32"/>
          <w:szCs w:val="32"/>
          <w:highlight w:val="none"/>
        </w:rPr>
        <w:t>投标文件主要资料复印件</w:t>
      </w:r>
      <w:bookmarkEnd w:id="515"/>
      <w:bookmarkEnd w:id="516"/>
      <w:bookmarkEnd w:id="517"/>
      <w:bookmarkEnd w:id="518"/>
      <w:bookmarkEnd w:id="519"/>
      <w:bookmarkEnd w:id="520"/>
      <w:bookmarkEnd w:id="521"/>
      <w:bookmarkEnd w:id="522"/>
      <w:bookmarkEnd w:id="523"/>
      <w:bookmarkEnd w:id="524"/>
      <w:bookmarkEnd w:id="525"/>
      <w:bookmarkEnd w:id="526"/>
    </w:p>
    <w:p>
      <w:pPr>
        <w:pStyle w:val="138"/>
        <w:numPr>
          <w:ilvl w:val="0"/>
          <w:numId w:val="0"/>
        </w:numPr>
        <w:spacing w:after="156"/>
        <w:rPr>
          <w:rFonts w:hint="default" w:ascii="Times New Roman" w:hAnsi="Times New Roman" w:cs="Times New Roman"/>
          <w:color w:val="auto"/>
          <w:highlight w:val="none"/>
        </w:rPr>
      </w:pPr>
      <w:bookmarkStart w:id="527" w:name="_Toc534474051"/>
      <w:bookmarkStart w:id="528" w:name="_Toc28033"/>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1</w:t>
      </w:r>
      <w:r>
        <w:rPr>
          <w:rFonts w:hint="default" w:ascii="Times New Roman" w:hAnsi="Times New Roman" w:cs="Times New Roman"/>
          <w:color w:val="auto"/>
          <w:highlight w:val="none"/>
        </w:rPr>
        <w:t>）投标函</w:t>
      </w:r>
      <w:bookmarkEnd w:id="527"/>
      <w:bookmarkEnd w:id="528"/>
    </w:p>
    <w:p>
      <w:pPr>
        <w:spacing w:after="156"/>
        <w:ind w:firstLine="0" w:firstLineChars="0"/>
        <w:rPr>
          <w:rFonts w:hint="default" w:ascii="Times New Roman" w:hAnsi="Times New Roman" w:cs="Times New Roman"/>
          <w:color w:val="auto"/>
          <w:sz w:val="30"/>
          <w:szCs w:val="30"/>
          <w:highlight w:val="none"/>
        </w:rPr>
      </w:pPr>
    </w:p>
    <w:p>
      <w:pPr>
        <w:pStyle w:val="138"/>
        <w:numPr>
          <w:ilvl w:val="0"/>
          <w:numId w:val="0"/>
        </w:numPr>
        <w:spacing w:after="156"/>
        <w:rPr>
          <w:rFonts w:hint="default" w:ascii="Times New Roman" w:hAnsi="Times New Roman" w:cs="Times New Roman"/>
          <w:color w:val="auto"/>
          <w:highlight w:val="none"/>
        </w:rPr>
      </w:pPr>
      <w:bookmarkStart w:id="529" w:name="_Toc534474053"/>
      <w:bookmarkStart w:id="530" w:name="_Toc1775"/>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2</w:t>
      </w:r>
      <w:r>
        <w:rPr>
          <w:rFonts w:hint="default" w:ascii="Times New Roman" w:hAnsi="Times New Roman" w:cs="Times New Roman"/>
          <w:color w:val="auto"/>
          <w:highlight w:val="none"/>
        </w:rPr>
        <w:t>）联合体协议</w:t>
      </w:r>
      <w:bookmarkEnd w:id="529"/>
      <w:bookmarkEnd w:id="530"/>
    </w:p>
    <w:p>
      <w:pPr>
        <w:spacing w:after="156"/>
        <w:ind w:firstLine="0" w:firstLineChars="0"/>
        <w:rPr>
          <w:rFonts w:hint="default" w:ascii="Times New Roman" w:hAnsi="Times New Roman" w:cs="Times New Roman"/>
          <w:color w:val="auto"/>
          <w:sz w:val="30"/>
          <w:szCs w:val="30"/>
          <w:highlight w:val="none"/>
        </w:rPr>
      </w:pPr>
    </w:p>
    <w:p>
      <w:pPr>
        <w:pStyle w:val="138"/>
        <w:numPr>
          <w:ilvl w:val="0"/>
          <w:numId w:val="0"/>
        </w:numPr>
        <w:spacing w:after="156"/>
        <w:rPr>
          <w:rFonts w:hint="default" w:ascii="Times New Roman" w:hAnsi="Times New Roman" w:cs="Times New Roman"/>
          <w:color w:val="auto"/>
          <w:highlight w:val="none"/>
        </w:rPr>
      </w:pPr>
      <w:bookmarkStart w:id="531" w:name="_Toc534474054"/>
      <w:bookmarkStart w:id="532" w:name="_Toc30163"/>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3</w:t>
      </w:r>
      <w:r>
        <w:rPr>
          <w:rFonts w:hint="default" w:ascii="Times New Roman" w:hAnsi="Times New Roman" w:cs="Times New Roman"/>
          <w:color w:val="auto"/>
          <w:highlight w:val="none"/>
        </w:rPr>
        <w:t>）商务及合同条款偏离表</w:t>
      </w:r>
      <w:bookmarkEnd w:id="531"/>
      <w:bookmarkEnd w:id="532"/>
    </w:p>
    <w:p>
      <w:pPr>
        <w:spacing w:after="156"/>
        <w:ind w:firstLine="0" w:firstLineChars="0"/>
        <w:rPr>
          <w:rFonts w:hint="default" w:ascii="Times New Roman" w:hAnsi="Times New Roman" w:cs="Times New Roman"/>
          <w:color w:val="auto"/>
          <w:sz w:val="30"/>
          <w:szCs w:val="30"/>
          <w:highlight w:val="none"/>
        </w:rPr>
      </w:pPr>
    </w:p>
    <w:p>
      <w:pPr>
        <w:pStyle w:val="138"/>
        <w:numPr>
          <w:ilvl w:val="0"/>
          <w:numId w:val="0"/>
        </w:numPr>
        <w:spacing w:after="156"/>
        <w:rPr>
          <w:rFonts w:hint="default" w:ascii="Times New Roman" w:hAnsi="Times New Roman" w:cs="Times New Roman"/>
          <w:color w:val="auto"/>
          <w:highlight w:val="none"/>
        </w:rPr>
      </w:pPr>
      <w:bookmarkStart w:id="533" w:name="_Toc14861"/>
      <w:bookmarkStart w:id="534" w:name="_Toc534474055"/>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rPr>
        <w:t>4</w:t>
      </w:r>
      <w:r>
        <w:rPr>
          <w:rFonts w:hint="default" w:ascii="Times New Roman" w:hAnsi="Times New Roman" w:cs="Times New Roman"/>
          <w:color w:val="auto"/>
          <w:highlight w:val="none"/>
        </w:rPr>
        <w:t>）安全总责承诺书</w:t>
      </w:r>
      <w:bookmarkEnd w:id="533"/>
      <w:bookmarkEnd w:id="534"/>
    </w:p>
    <w:p>
      <w:pPr>
        <w:spacing w:after="156"/>
        <w:ind w:firstLine="0" w:firstLineChars="0"/>
        <w:rPr>
          <w:rFonts w:hint="default" w:ascii="Times New Roman" w:hAnsi="Times New Roman" w:cs="Times New Roman"/>
          <w:color w:val="auto"/>
          <w:highlight w:val="none"/>
          <w:lang w:val="en-GB"/>
        </w:rPr>
      </w:pPr>
    </w:p>
    <w:p>
      <w:pPr>
        <w:pStyle w:val="138"/>
        <w:numPr>
          <w:ilvl w:val="0"/>
          <w:numId w:val="0"/>
        </w:numPr>
        <w:spacing w:after="156"/>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w:t>
      </w:r>
      <w:r>
        <w:rPr>
          <w:rFonts w:hint="default" w:ascii="Times New Roman" w:hAnsi="Times New Roman" w:cs="Times New Roman"/>
          <w:color w:val="auto"/>
          <w:highlight w:val="none"/>
          <w:lang w:val="en-US" w:eastAsia="zh-CN"/>
        </w:rPr>
        <w:t>5</w:t>
      </w:r>
      <w:r>
        <w:rPr>
          <w:rFonts w:hint="default" w:ascii="Times New Roman" w:hAnsi="Times New Roman" w:cs="Times New Roman"/>
          <w:color w:val="auto"/>
          <w:highlight w:val="none"/>
        </w:rPr>
        <w:t>）</w:t>
      </w:r>
      <w:r>
        <w:rPr>
          <w:rFonts w:hint="default" w:ascii="Times New Roman" w:hAnsi="Times New Roman" w:cs="Times New Roman"/>
          <w:color w:val="auto"/>
          <w:highlight w:val="none"/>
          <w:lang w:eastAsia="zh-CN"/>
        </w:rPr>
        <w:t>其他</w:t>
      </w:r>
      <w:r>
        <w:rPr>
          <w:rFonts w:hint="default" w:ascii="Times New Roman" w:hAnsi="Times New Roman" w:cs="Times New Roman"/>
          <w:color w:val="auto"/>
          <w:highlight w:val="none"/>
          <w:lang w:val="en-US" w:eastAsia="zh-CN"/>
        </w:rPr>
        <w:t>投标文件重要内容</w:t>
      </w: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p>
      <w:pPr>
        <w:pStyle w:val="388"/>
        <w:spacing w:after="156"/>
        <w:ind w:firstLine="0" w:firstLineChars="0"/>
        <w:rPr>
          <w:rFonts w:hint="default" w:ascii="Times New Roman" w:hAnsi="Times New Roman" w:cs="Times New Roman"/>
          <w:color w:val="auto"/>
          <w:highlight w:val="none"/>
        </w:rPr>
      </w:pPr>
    </w:p>
    <w:sectPr>
      <w:pgSz w:w="11906" w:h="16838"/>
      <w:pgMar w:top="1440" w:right="1800" w:bottom="1440" w:left="1800" w:header="720" w:footer="720"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Georgia">
    <w:panose1 w:val="02040502050405020303"/>
    <w:charset w:val="00"/>
    <w:family w:val="auto"/>
    <w:pitch w:val="default"/>
    <w:sig w:usb0="00000287" w:usb1="00000000" w:usb2="00000000" w:usb3="00000000" w:csb0="2000009F" w:csb1="00000000"/>
  </w:font>
  <w:font w:name="等线 Light">
    <w:panose1 w:val="02010600030101010101"/>
    <w:charset w:val="86"/>
    <w:family w:val="auto"/>
    <w:pitch w:val="default"/>
    <w:sig w:usb0="A00002BF" w:usb1="38CF7CFA" w:usb2="00000016" w:usb3="00000000" w:csb0="0004000F" w:csb1="00000000"/>
  </w:font>
  <w:font w:name="Book Antiqua">
    <w:altName w:val="Segoe Print"/>
    <w:panose1 w:val="02040602050305030304"/>
    <w:charset w:val="00"/>
    <w:family w:val="roman"/>
    <w:pitch w:val="default"/>
    <w:sig w:usb0="00000000" w:usb1="00000000" w:usb2="00000000" w:usb3="00000000" w:csb0="2000009F" w:csb1="DFD70000"/>
  </w:font>
  <w:font w:name="Impact">
    <w:panose1 w:val="020B0806030902050204"/>
    <w:charset w:val="00"/>
    <w:family w:val="swiss"/>
    <w:pitch w:val="default"/>
    <w:sig w:usb0="00000287" w:usb1="00000000" w:usb2="00000000" w:usb3="00000000" w:csb0="2000009F" w:csb1="DFD7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ind w:firstLine="360"/>
      <w:rPr>
        <w:rStyle w:val="48"/>
      </w:rPr>
    </w:pPr>
    <w:r>
      <w:rPr>
        <w:rStyle w:val="48"/>
      </w:rPr>
      <w:fldChar w:fldCharType="begin"/>
    </w:r>
    <w:r>
      <w:rPr>
        <w:rStyle w:val="48"/>
      </w:rPr>
      <w:instrText xml:space="preserve">PAGE  </w:instrText>
    </w:r>
    <w:r>
      <w:rPr>
        <w:rStyle w:val="48"/>
      </w:rPr>
      <w:fldChar w:fldCharType="separate"/>
    </w:r>
    <w:r>
      <w:rPr>
        <w:rStyle w:val="48"/>
      </w:rPr>
      <w:t>2</w:t>
    </w:r>
    <w:r>
      <w:rPr>
        <w:rStyle w:val="48"/>
      </w:rPr>
      <w:fldChar w:fldCharType="end"/>
    </w:r>
  </w:p>
  <w:p>
    <w:pPr>
      <w:pStyle w:val="26"/>
      <w:spacing w:after="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ind w:firstLine="360"/>
      <w:rPr>
        <w:rStyle w:val="48"/>
      </w:rPr>
    </w:pPr>
    <w:r>
      <w:rPr>
        <w:rStyle w:val="48"/>
      </w:rPr>
      <w:fldChar w:fldCharType="begin"/>
    </w:r>
    <w:r>
      <w:rPr>
        <w:rStyle w:val="48"/>
      </w:rPr>
      <w:instrText xml:space="preserve">PAGE  </w:instrText>
    </w:r>
    <w:r>
      <w:rPr>
        <w:rStyle w:val="48"/>
      </w:rPr>
      <w:fldChar w:fldCharType="end"/>
    </w:r>
  </w:p>
  <w:p>
    <w:pPr>
      <w:pStyle w:val="26"/>
      <w:spacing w:after="1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line="240" w:lineRule="auto"/>
      <w:ind w:firstLine="0" w:firstLineChars="0"/>
      <w:jc w:val="center"/>
    </w:pPr>
    <w:r>
      <w:rPr>
        <w:rStyle w:val="48"/>
      </w:rPr>
      <w:t>-</w:t>
    </w:r>
    <w:r>
      <w:rPr>
        <w:rStyle w:val="48"/>
      </w:rPr>
      <w:fldChar w:fldCharType="begin"/>
    </w:r>
    <w:r>
      <w:rPr>
        <w:rStyle w:val="48"/>
      </w:rPr>
      <w:instrText xml:space="preserve">PAGE  </w:instrText>
    </w:r>
    <w:r>
      <w:rPr>
        <w:rStyle w:val="48"/>
      </w:rPr>
      <w:fldChar w:fldCharType="separate"/>
    </w:r>
    <w:r>
      <w:rPr>
        <w:rStyle w:val="48"/>
      </w:rPr>
      <w:t>II</w:t>
    </w:r>
    <w:r>
      <w:rPr>
        <w:rStyle w:val="48"/>
      </w:rPr>
      <w:fldChar w:fldCharType="end"/>
    </w:r>
    <w:r>
      <w:rPr>
        <w:rStyle w:val="48"/>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spacing w:after="120" w:line="240" w:lineRule="auto"/>
      <w:ind w:firstLine="0" w:firstLineChars="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6"/>
                            <w:spacing w:after="120" w:line="240" w:lineRule="auto"/>
                            <w:ind w:firstLine="0" w:firstLineChars="0"/>
                            <w:jc w:val="center"/>
                          </w:pPr>
                          <w:r>
                            <w:rPr>
                              <w:rStyle w:val="48"/>
                            </w:rPr>
                            <w:fldChar w:fldCharType="begin"/>
                          </w:r>
                          <w:r>
                            <w:rPr>
                              <w:rStyle w:val="48"/>
                            </w:rPr>
                            <w:instrText xml:space="preserve">PAGE  </w:instrText>
                          </w:r>
                          <w:r>
                            <w:rPr>
                              <w:rStyle w:val="48"/>
                            </w:rPr>
                            <w:fldChar w:fldCharType="separate"/>
                          </w:r>
                          <w:r>
                            <w:rPr>
                              <w:rStyle w:val="48"/>
                            </w:rPr>
                            <w:t>- 10 -</w:t>
                          </w:r>
                          <w:r>
                            <w:rPr>
                              <w:rStyle w:val="4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6"/>
                      <w:spacing w:after="120" w:line="240" w:lineRule="auto"/>
                      <w:ind w:firstLine="0" w:firstLineChars="0"/>
                      <w:jc w:val="center"/>
                    </w:pPr>
                    <w:r>
                      <w:rPr>
                        <w:rStyle w:val="48"/>
                      </w:rPr>
                      <w:fldChar w:fldCharType="begin"/>
                    </w:r>
                    <w:r>
                      <w:rPr>
                        <w:rStyle w:val="48"/>
                      </w:rPr>
                      <w:instrText xml:space="preserve">PAGE  </w:instrText>
                    </w:r>
                    <w:r>
                      <w:rPr>
                        <w:rStyle w:val="48"/>
                      </w:rPr>
                      <w:fldChar w:fldCharType="separate"/>
                    </w:r>
                    <w:r>
                      <w:rPr>
                        <w:rStyle w:val="48"/>
                      </w:rPr>
                      <w:t>- 10 -</w:t>
                    </w:r>
                    <w:r>
                      <w:rPr>
                        <w:rStyle w:val="4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firstLine="480"/>
      </w:pPr>
      <w:r>
        <w:separator/>
      </w:r>
    </w:p>
  </w:footnote>
  <w:footnote w:type="continuationSeparator" w:id="1">
    <w:p>
      <w:pPr>
        <w:spacing w:before="0" w:after="0"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after="1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ind w:left="480" w:firstLine="0" w:firstLineChars="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after="120" w:line="240" w:lineRule="auto"/>
      <w:ind w:firstLine="0" w:firstLineChars="0"/>
      <w:jc w:val="center"/>
    </w:pPr>
    <w:r>
      <w:rPr>
        <w:rFonts w:hint="eastAsia"/>
      </w:rPr>
      <w:t>花都区新华街云山运动场改造（停车场）项目特许经营初步协议</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spacing w:afterLines="0" w:line="240" w:lineRule="auto"/>
      <w:ind w:firstLine="0" w:firstLineChars="0"/>
    </w:pPr>
    <w:r>
      <w:rPr>
        <w:rFonts w:hint="eastAsia"/>
      </w:rPr>
      <w:t>花都区新华街云山运动场改造（停车场）项目特许经营初步协议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5BEA5F"/>
    <w:multiLevelType w:val="singleLevel"/>
    <w:tmpl w:val="A15BEA5F"/>
    <w:lvl w:ilvl="0" w:tentative="0">
      <w:start w:val="1"/>
      <w:numFmt w:val="decimal"/>
      <w:lvlText w:val="%1."/>
      <w:lvlJc w:val="left"/>
      <w:pPr>
        <w:tabs>
          <w:tab w:val="left" w:pos="312"/>
        </w:tabs>
      </w:pPr>
    </w:lvl>
  </w:abstractNum>
  <w:abstractNum w:abstractNumId="1">
    <w:nsid w:val="AEFD3D6D"/>
    <w:multiLevelType w:val="multilevel"/>
    <w:tmpl w:val="AEFD3D6D"/>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2">
    <w:nsid w:val="C0762033"/>
    <w:multiLevelType w:val="multilevel"/>
    <w:tmpl w:val="C0762033"/>
    <w:lvl w:ilvl="0" w:tentative="0">
      <w:start w:val="1"/>
      <w:numFmt w:val="decimal"/>
      <w:pStyle w:val="137"/>
      <w:suff w:val="nothing"/>
      <w:lvlText w:val="第%1条 "/>
      <w:lvlJc w:val="left"/>
      <w:pPr>
        <w:ind w:left="0" w:firstLine="0"/>
      </w:pPr>
      <w:rPr>
        <w:rFonts w:hint="default" w:ascii="Times New Roman" w:hAnsi="Times New Roman" w:cs="Times New Roman"/>
      </w:rPr>
    </w:lvl>
    <w:lvl w:ilvl="1" w:tentative="0">
      <w:start w:val="1"/>
      <w:numFmt w:val="decimal"/>
      <w:pStyle w:val="138"/>
      <w:suff w:val="nothing"/>
      <w:lvlText w:val="%1.%2 "/>
      <w:lvlJc w:val="left"/>
      <w:pPr>
        <w:ind w:left="0" w:firstLine="0"/>
      </w:pPr>
      <w:rPr>
        <w:rFonts w:hint="default" w:ascii="Times New Roman" w:hAnsi="Times New Roman" w:cs="Times New Roman"/>
        <w:b w:val="0"/>
        <w:bCs w:val="0"/>
        <w:i w:val="0"/>
        <w:iCs w:val="0"/>
        <w:caps w:val="0"/>
        <w:smallCaps w:val="0"/>
        <w:vanish w:val="0"/>
        <w:spacing w:val="0"/>
        <w:position w:val="0"/>
        <w:u w:val="none"/>
        <w:vertAlign w:val="baseline"/>
      </w:rPr>
    </w:lvl>
    <w:lvl w:ilvl="2" w:tentative="0">
      <w:start w:val="1"/>
      <w:numFmt w:val="decimal"/>
      <w:pStyle w:val="139"/>
      <w:suff w:val="space"/>
      <w:lvlText w:val="%1.%2.%3 "/>
      <w:lvlJc w:val="left"/>
      <w:pPr>
        <w:ind w:left="0" w:firstLine="0"/>
      </w:pPr>
      <w:rPr>
        <w:rFonts w:hint="default" w:ascii="Times New Roman" w:hAnsi="Times New Roman" w:cs="Times New Roman"/>
        <w:b w:val="0"/>
        <w:bCs w:val="0"/>
        <w:i w:val="0"/>
        <w:iCs w:val="0"/>
        <w:caps w:val="0"/>
        <w:smallCaps w:val="0"/>
        <w:vanish w:val="0"/>
        <w:spacing w:val="0"/>
        <w:position w:val="0"/>
        <w:u w:val="none"/>
        <w:vertAlign w:val="baseline"/>
      </w:rPr>
    </w:lvl>
    <w:lvl w:ilvl="3" w:tentative="0">
      <w:start w:val="1"/>
      <w:numFmt w:val="decimal"/>
      <w:lvlText w:val="%1.%2.%3.%4"/>
      <w:lvlJc w:val="left"/>
      <w:pPr>
        <w:ind w:left="0" w:firstLine="0"/>
      </w:pPr>
      <w:rPr>
        <w:rFonts w:hint="eastAsia" w:cs="Times New Roman"/>
      </w:rPr>
    </w:lvl>
    <w:lvl w:ilvl="4" w:tentative="0">
      <w:start w:val="1"/>
      <w:numFmt w:val="decimal"/>
      <w:lvlText w:val="%1.%2.%3.%4.%5"/>
      <w:lvlJc w:val="left"/>
      <w:pPr>
        <w:ind w:left="0" w:firstLine="0"/>
      </w:pPr>
      <w:rPr>
        <w:rFonts w:hint="eastAsia" w:cs="Times New Roman"/>
      </w:rPr>
    </w:lvl>
    <w:lvl w:ilvl="5" w:tentative="0">
      <w:start w:val="1"/>
      <w:numFmt w:val="decimal"/>
      <w:lvlText w:val="%1.%2.%3.%4.%5.%6"/>
      <w:lvlJc w:val="left"/>
      <w:pPr>
        <w:ind w:left="0" w:firstLine="0"/>
      </w:pPr>
      <w:rPr>
        <w:rFonts w:hint="eastAsia" w:cs="Times New Roman"/>
      </w:rPr>
    </w:lvl>
    <w:lvl w:ilvl="6" w:tentative="0">
      <w:start w:val="1"/>
      <w:numFmt w:val="decimal"/>
      <w:lvlText w:val="%1.%2.%3.%4.%5.%6.%7"/>
      <w:lvlJc w:val="left"/>
      <w:pPr>
        <w:ind w:left="0" w:firstLine="0"/>
      </w:pPr>
      <w:rPr>
        <w:rFonts w:hint="eastAsia" w:cs="Times New Roman"/>
      </w:rPr>
    </w:lvl>
    <w:lvl w:ilvl="7" w:tentative="0">
      <w:start w:val="1"/>
      <w:numFmt w:val="decimal"/>
      <w:lvlText w:val="%1.%2.%3.%4.%5.%6.%7.%8"/>
      <w:lvlJc w:val="left"/>
      <w:pPr>
        <w:ind w:left="0" w:firstLine="0"/>
      </w:pPr>
      <w:rPr>
        <w:rFonts w:hint="eastAsia" w:cs="Times New Roman"/>
      </w:rPr>
    </w:lvl>
    <w:lvl w:ilvl="8" w:tentative="0">
      <w:start w:val="1"/>
      <w:numFmt w:val="decimal"/>
      <w:lvlText w:val="%1.%2.%3.%4.%5.%6.%7.%8.%9"/>
      <w:lvlJc w:val="left"/>
      <w:pPr>
        <w:ind w:left="0" w:firstLine="0"/>
      </w:pPr>
      <w:rPr>
        <w:rFonts w:hint="eastAsia" w:cs="Times New Roman"/>
      </w:rPr>
    </w:lvl>
  </w:abstractNum>
  <w:abstractNum w:abstractNumId="3">
    <w:nsid w:val="C438692E"/>
    <w:multiLevelType w:val="multilevel"/>
    <w:tmpl w:val="C438692E"/>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4">
    <w:nsid w:val="00000003"/>
    <w:multiLevelType w:val="multilevel"/>
    <w:tmpl w:val="00000003"/>
    <w:lvl w:ilvl="0" w:tentative="0">
      <w:start w:val="1"/>
      <w:numFmt w:val="decimal"/>
      <w:suff w:val="space"/>
      <w:lvlText w:val="(%1)"/>
      <w:lvlJc w:val="left"/>
      <w:pPr>
        <w:ind w:left="900" w:hanging="420"/>
      </w:pPr>
      <w:rPr>
        <w:rFonts w:hint="default" w:ascii="Times New Roman" w:hAnsi="Times New Roman" w:cs="Times New Roman"/>
      </w:rPr>
    </w:lvl>
    <w:lvl w:ilvl="1" w:tentative="0">
      <w:start w:val="1"/>
      <w:numFmt w:val="decimal"/>
      <w:lvlText w:val="（%2）"/>
      <w:lvlJc w:val="left"/>
      <w:pPr>
        <w:ind w:left="1680" w:hanging="78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5">
    <w:nsid w:val="00000005"/>
    <w:multiLevelType w:val="multilevel"/>
    <w:tmpl w:val="00000005"/>
    <w:lvl w:ilvl="0" w:tentative="0">
      <w:start w:val="1"/>
      <w:numFmt w:val="decimal"/>
      <w:suff w:val="space"/>
      <w:lvlText w:val="(%1)"/>
      <w:lvlJc w:val="left"/>
      <w:pPr>
        <w:ind w:left="900" w:hanging="420"/>
      </w:pPr>
      <w:rPr>
        <w:rFonts w:hint="default" w:ascii="Times New Roman" w:hAnsi="Times New Roman" w:cs="Times New Roman"/>
      </w:rPr>
    </w:lvl>
    <w:lvl w:ilvl="1" w:tentative="0">
      <w:start w:val="1"/>
      <w:numFmt w:val="decimal"/>
      <w:lvlText w:val="（%2）"/>
      <w:lvlJc w:val="left"/>
      <w:pPr>
        <w:ind w:left="1680" w:hanging="78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6">
    <w:nsid w:val="00000006"/>
    <w:multiLevelType w:val="multilevel"/>
    <w:tmpl w:val="00000006"/>
    <w:lvl w:ilvl="0" w:tentative="0">
      <w:start w:val="1"/>
      <w:numFmt w:val="decimal"/>
      <w:suff w:val="space"/>
      <w:lvlText w:val="(%1)"/>
      <w:lvlJc w:val="left"/>
      <w:pPr>
        <w:ind w:left="900" w:hanging="420"/>
      </w:pPr>
      <w:rPr>
        <w:rFonts w:hint="default" w:ascii="Times New Roman" w:hAnsi="Times New Roman" w:cs="Times New Roman"/>
      </w:rPr>
    </w:lvl>
    <w:lvl w:ilvl="1" w:tentative="0">
      <w:start w:val="1"/>
      <w:numFmt w:val="decimal"/>
      <w:lvlText w:val="（%2）"/>
      <w:lvlJc w:val="left"/>
      <w:pPr>
        <w:ind w:left="1680" w:hanging="78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7">
    <w:nsid w:val="0000000A"/>
    <w:multiLevelType w:val="multilevel"/>
    <w:tmpl w:val="0000000A"/>
    <w:lvl w:ilvl="0" w:tentative="0">
      <w:start w:val="1"/>
      <w:numFmt w:val="decimal"/>
      <w:suff w:val="space"/>
      <w:lvlText w:val="(%1)"/>
      <w:lvlJc w:val="left"/>
      <w:pPr>
        <w:ind w:left="2973" w:hanging="420"/>
      </w:pPr>
      <w:rPr>
        <w:rFonts w:hint="default" w:ascii="Times New Roman" w:hAnsi="Times New Roman" w:cs="Times New Roman"/>
      </w:rPr>
    </w:lvl>
    <w:lvl w:ilvl="1" w:tentative="0">
      <w:start w:val="1"/>
      <w:numFmt w:val="decimal"/>
      <w:lvlText w:val="（%2）"/>
      <w:lvlJc w:val="left"/>
      <w:pPr>
        <w:ind w:left="3753" w:hanging="780"/>
      </w:pPr>
      <w:rPr>
        <w:rFonts w:cs="Times New Roman"/>
      </w:rPr>
    </w:lvl>
    <w:lvl w:ilvl="2" w:tentative="0">
      <w:start w:val="1"/>
      <w:numFmt w:val="lowerRoman"/>
      <w:lvlText w:val="%3."/>
      <w:lvlJc w:val="right"/>
      <w:pPr>
        <w:ind w:left="3813" w:hanging="420"/>
      </w:pPr>
      <w:rPr>
        <w:rFonts w:cs="Times New Roman"/>
      </w:rPr>
    </w:lvl>
    <w:lvl w:ilvl="3" w:tentative="0">
      <w:start w:val="1"/>
      <w:numFmt w:val="decimal"/>
      <w:lvlText w:val="%4."/>
      <w:lvlJc w:val="left"/>
      <w:pPr>
        <w:ind w:left="4233" w:hanging="420"/>
      </w:pPr>
      <w:rPr>
        <w:rFonts w:cs="Times New Roman"/>
      </w:rPr>
    </w:lvl>
    <w:lvl w:ilvl="4" w:tentative="0">
      <w:start w:val="1"/>
      <w:numFmt w:val="lowerLetter"/>
      <w:lvlText w:val="%5)"/>
      <w:lvlJc w:val="left"/>
      <w:pPr>
        <w:ind w:left="4653" w:hanging="420"/>
      </w:pPr>
      <w:rPr>
        <w:rFonts w:cs="Times New Roman"/>
      </w:rPr>
    </w:lvl>
    <w:lvl w:ilvl="5" w:tentative="0">
      <w:start w:val="1"/>
      <w:numFmt w:val="lowerRoman"/>
      <w:lvlText w:val="%6."/>
      <w:lvlJc w:val="right"/>
      <w:pPr>
        <w:ind w:left="5073" w:hanging="420"/>
      </w:pPr>
      <w:rPr>
        <w:rFonts w:cs="Times New Roman"/>
      </w:rPr>
    </w:lvl>
    <w:lvl w:ilvl="6" w:tentative="0">
      <w:start w:val="1"/>
      <w:numFmt w:val="decimal"/>
      <w:lvlText w:val="%7."/>
      <w:lvlJc w:val="left"/>
      <w:pPr>
        <w:ind w:left="5493" w:hanging="420"/>
      </w:pPr>
      <w:rPr>
        <w:rFonts w:cs="Times New Roman"/>
      </w:rPr>
    </w:lvl>
    <w:lvl w:ilvl="7" w:tentative="0">
      <w:start w:val="1"/>
      <w:numFmt w:val="lowerLetter"/>
      <w:lvlText w:val="%8)"/>
      <w:lvlJc w:val="left"/>
      <w:pPr>
        <w:ind w:left="5913" w:hanging="420"/>
      </w:pPr>
      <w:rPr>
        <w:rFonts w:cs="Times New Roman"/>
      </w:rPr>
    </w:lvl>
    <w:lvl w:ilvl="8" w:tentative="0">
      <w:start w:val="1"/>
      <w:numFmt w:val="lowerRoman"/>
      <w:lvlText w:val="%9."/>
      <w:lvlJc w:val="right"/>
      <w:pPr>
        <w:ind w:left="6333" w:hanging="420"/>
      </w:pPr>
      <w:rPr>
        <w:rFonts w:cs="Times New Roman"/>
      </w:rPr>
    </w:lvl>
  </w:abstractNum>
  <w:abstractNum w:abstractNumId="8">
    <w:nsid w:val="0000000B"/>
    <w:multiLevelType w:val="multilevel"/>
    <w:tmpl w:val="0000000B"/>
    <w:lvl w:ilvl="0" w:tentative="0">
      <w:start w:val="1"/>
      <w:numFmt w:val="decimal"/>
      <w:suff w:val="space"/>
      <w:lvlText w:val="(%1)"/>
      <w:lvlJc w:val="left"/>
      <w:pPr>
        <w:ind w:left="900" w:hanging="420"/>
      </w:pPr>
      <w:rPr>
        <w:rFonts w:hint="default" w:ascii="Times New Roman" w:hAnsi="Times New Roman" w:cs="Times New Roman"/>
      </w:rPr>
    </w:lvl>
    <w:lvl w:ilvl="1" w:tentative="0">
      <w:start w:val="1"/>
      <w:numFmt w:val="decimal"/>
      <w:lvlText w:val="（%2）"/>
      <w:lvlJc w:val="left"/>
      <w:pPr>
        <w:ind w:left="1680" w:hanging="78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9">
    <w:nsid w:val="0B4207A7"/>
    <w:multiLevelType w:val="multilevel"/>
    <w:tmpl w:val="0B4207A7"/>
    <w:lvl w:ilvl="0" w:tentative="0">
      <w:start w:val="1"/>
      <w:numFmt w:val="decimal"/>
      <w:suff w:val="space"/>
      <w:lvlText w:val="(%1)"/>
      <w:lvlJc w:val="left"/>
      <w:pPr>
        <w:ind w:left="1260" w:hanging="420"/>
      </w:pPr>
      <w:rPr>
        <w:rFonts w:hint="default" w:ascii="Times New Roman" w:hAnsi="Times New Roman"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17E0BE49"/>
    <w:multiLevelType w:val="multilevel"/>
    <w:tmpl w:val="17E0BE49"/>
    <w:lvl w:ilvl="0" w:tentative="0">
      <w:start w:val="1"/>
      <w:numFmt w:val="decimal"/>
      <w:suff w:val="nothing"/>
      <w:lvlText w:val="（%1）"/>
      <w:lvlJc w:val="left"/>
      <w:pPr>
        <w:ind w:left="1" w:firstLine="567"/>
      </w:pPr>
      <w:rPr>
        <w:rFonts w:hint="eastAsia"/>
        <w:lang w:val="en-US"/>
      </w:r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abstractNum w:abstractNumId="11">
    <w:nsid w:val="6CF542D9"/>
    <w:multiLevelType w:val="multilevel"/>
    <w:tmpl w:val="6CF542D9"/>
    <w:lvl w:ilvl="0" w:tentative="0">
      <w:start w:val="1"/>
      <w:numFmt w:val="decimal"/>
      <w:suff w:val="space"/>
      <w:lvlText w:val="(%1)"/>
      <w:lvlJc w:val="left"/>
      <w:pPr>
        <w:ind w:left="1260" w:hanging="420"/>
      </w:pPr>
      <w:rPr>
        <w:rFonts w:hint="default" w:ascii="Times New Roman" w:hAnsi="Times New Roman"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707461FE"/>
    <w:multiLevelType w:val="multilevel"/>
    <w:tmpl w:val="707461FE"/>
    <w:lvl w:ilvl="0" w:tentative="0">
      <w:start w:val="1"/>
      <w:numFmt w:val="decimal"/>
      <w:suff w:val="space"/>
      <w:lvlText w:val="(%1)"/>
      <w:lvlJc w:val="left"/>
      <w:pPr>
        <w:ind w:left="1260" w:hanging="420"/>
      </w:pPr>
      <w:rPr>
        <w:rFonts w:hint="default" w:ascii="Times New Roman" w:hAnsi="Times New Roman"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3">
    <w:nsid w:val="713F1733"/>
    <w:multiLevelType w:val="multilevel"/>
    <w:tmpl w:val="713F1733"/>
    <w:lvl w:ilvl="0" w:tentative="0">
      <w:start w:val="1"/>
      <w:numFmt w:val="decimal"/>
      <w:suff w:val="space"/>
      <w:lvlText w:val="(%1)"/>
      <w:lvlJc w:val="left"/>
      <w:pPr>
        <w:ind w:left="900" w:hanging="420"/>
      </w:pPr>
      <w:rPr>
        <w:rFonts w:hint="default" w:ascii="Times New Roman" w:hAnsi="Times New Roman" w:cs="Times New Roman"/>
      </w:rPr>
    </w:lvl>
    <w:lvl w:ilvl="1" w:tentative="0">
      <w:start w:val="1"/>
      <w:numFmt w:val="decimal"/>
      <w:lvlText w:val="（%2）"/>
      <w:lvlJc w:val="left"/>
      <w:pPr>
        <w:ind w:left="1680" w:hanging="78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4">
    <w:nsid w:val="793242F6"/>
    <w:multiLevelType w:val="multilevel"/>
    <w:tmpl w:val="793242F6"/>
    <w:lvl w:ilvl="0" w:tentative="0">
      <w:start w:val="1"/>
      <w:numFmt w:val="decimal"/>
      <w:pStyle w:val="401"/>
      <w:suff w:val="space"/>
      <w:lvlText w:val="（%1）"/>
      <w:lvlJc w:val="left"/>
      <w:pPr>
        <w:ind w:left="0" w:firstLine="561"/>
      </w:pPr>
      <w:rPr>
        <w:rFonts w:hint="eastAsia"/>
        <w:lang w:val="en-US"/>
      </w:rPr>
    </w:lvl>
    <w:lvl w:ilvl="1" w:tentative="0">
      <w:start w:val="1"/>
      <w:numFmt w:val="lowerLetter"/>
      <w:lvlText w:val="%2)"/>
      <w:lvlJc w:val="left"/>
      <w:pPr>
        <w:ind w:left="1400" w:hanging="420"/>
      </w:pPr>
      <w:rPr>
        <w:rFonts w:hint="eastAsia"/>
      </w:rPr>
    </w:lvl>
    <w:lvl w:ilvl="2" w:tentative="0">
      <w:start w:val="1"/>
      <w:numFmt w:val="lowerRoman"/>
      <w:lvlText w:val="%3."/>
      <w:lvlJc w:val="right"/>
      <w:pPr>
        <w:ind w:left="1820" w:hanging="420"/>
      </w:pPr>
      <w:rPr>
        <w:rFonts w:hint="eastAsia"/>
      </w:rPr>
    </w:lvl>
    <w:lvl w:ilvl="3" w:tentative="0">
      <w:start w:val="1"/>
      <w:numFmt w:val="decimal"/>
      <w:lvlText w:val="%4."/>
      <w:lvlJc w:val="left"/>
      <w:pPr>
        <w:ind w:left="2240" w:hanging="420"/>
      </w:pPr>
      <w:rPr>
        <w:rFonts w:hint="eastAsia"/>
      </w:rPr>
    </w:lvl>
    <w:lvl w:ilvl="4" w:tentative="0">
      <w:start w:val="1"/>
      <w:numFmt w:val="lowerLetter"/>
      <w:lvlText w:val="%5)"/>
      <w:lvlJc w:val="left"/>
      <w:pPr>
        <w:ind w:left="2660" w:hanging="420"/>
      </w:pPr>
      <w:rPr>
        <w:rFonts w:hint="eastAsia"/>
      </w:rPr>
    </w:lvl>
    <w:lvl w:ilvl="5" w:tentative="0">
      <w:start w:val="1"/>
      <w:numFmt w:val="lowerRoman"/>
      <w:lvlText w:val="%6."/>
      <w:lvlJc w:val="right"/>
      <w:pPr>
        <w:ind w:left="3080" w:hanging="420"/>
      </w:pPr>
      <w:rPr>
        <w:rFonts w:hint="eastAsia"/>
      </w:rPr>
    </w:lvl>
    <w:lvl w:ilvl="6" w:tentative="0">
      <w:start w:val="1"/>
      <w:numFmt w:val="decimal"/>
      <w:lvlText w:val="%7."/>
      <w:lvlJc w:val="left"/>
      <w:pPr>
        <w:ind w:left="3500" w:hanging="420"/>
      </w:pPr>
      <w:rPr>
        <w:rFonts w:hint="eastAsia"/>
      </w:rPr>
    </w:lvl>
    <w:lvl w:ilvl="7" w:tentative="0">
      <w:start w:val="1"/>
      <w:numFmt w:val="lowerLetter"/>
      <w:lvlText w:val="%8)"/>
      <w:lvlJc w:val="left"/>
      <w:pPr>
        <w:ind w:left="3920" w:hanging="420"/>
      </w:pPr>
      <w:rPr>
        <w:rFonts w:hint="eastAsia"/>
      </w:rPr>
    </w:lvl>
    <w:lvl w:ilvl="8" w:tentative="0">
      <w:start w:val="1"/>
      <w:numFmt w:val="lowerRoman"/>
      <w:lvlText w:val="%9."/>
      <w:lvlJc w:val="right"/>
      <w:pPr>
        <w:ind w:left="4340" w:hanging="420"/>
      </w:pPr>
      <w:rPr>
        <w:rFonts w:hint="eastAsia"/>
      </w:rPr>
    </w:lvl>
  </w:abstractNum>
  <w:num w:numId="1">
    <w:abstractNumId w:val="2"/>
  </w:num>
  <w:num w:numId="2">
    <w:abstractNumId w:val="14"/>
  </w:num>
  <w:num w:numId="3">
    <w:abstractNumId w:val="0"/>
  </w:num>
  <w:num w:numId="4">
    <w:abstractNumId w:val="10"/>
  </w:num>
  <w:num w:numId="5">
    <w:abstractNumId w:val="1"/>
  </w:num>
  <w:num w:numId="6">
    <w:abstractNumId w:val="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20"/>
  <w:drawingGridVerticalSpacing w:val="381"/>
  <w:displayHorizontalDrawingGridEvery w:val="1"/>
  <w:displayVerticalDrawingGridEvery w:val="1"/>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2OTk5NzQ3OThhODdlY2IwMDA4NGE0ZjU1M2I0NDgifQ=="/>
  </w:docVars>
  <w:rsids>
    <w:rsidRoot w:val="00E66619"/>
    <w:rsid w:val="000006F4"/>
    <w:rsid w:val="00001C54"/>
    <w:rsid w:val="00007290"/>
    <w:rsid w:val="0000733B"/>
    <w:rsid w:val="00007A38"/>
    <w:rsid w:val="00007D7F"/>
    <w:rsid w:val="00011FC6"/>
    <w:rsid w:val="0001378F"/>
    <w:rsid w:val="00015C20"/>
    <w:rsid w:val="00015E03"/>
    <w:rsid w:val="00015FFD"/>
    <w:rsid w:val="00016AE2"/>
    <w:rsid w:val="00017C18"/>
    <w:rsid w:val="000203A7"/>
    <w:rsid w:val="00021157"/>
    <w:rsid w:val="000213C3"/>
    <w:rsid w:val="0002545F"/>
    <w:rsid w:val="00027624"/>
    <w:rsid w:val="000308E6"/>
    <w:rsid w:val="0003376F"/>
    <w:rsid w:val="0003548F"/>
    <w:rsid w:val="000360C0"/>
    <w:rsid w:val="00036C46"/>
    <w:rsid w:val="00036D6B"/>
    <w:rsid w:val="0004153C"/>
    <w:rsid w:val="0004234A"/>
    <w:rsid w:val="000447F6"/>
    <w:rsid w:val="00046722"/>
    <w:rsid w:val="00047927"/>
    <w:rsid w:val="00052C17"/>
    <w:rsid w:val="0005464A"/>
    <w:rsid w:val="00057770"/>
    <w:rsid w:val="00061317"/>
    <w:rsid w:val="000621AE"/>
    <w:rsid w:val="0006239B"/>
    <w:rsid w:val="00062D5C"/>
    <w:rsid w:val="000647C3"/>
    <w:rsid w:val="0007047F"/>
    <w:rsid w:val="000709FB"/>
    <w:rsid w:val="00072266"/>
    <w:rsid w:val="000734CA"/>
    <w:rsid w:val="00076F91"/>
    <w:rsid w:val="00082AC0"/>
    <w:rsid w:val="0008333D"/>
    <w:rsid w:val="00083E1B"/>
    <w:rsid w:val="000849D1"/>
    <w:rsid w:val="00085835"/>
    <w:rsid w:val="000913CC"/>
    <w:rsid w:val="00091D44"/>
    <w:rsid w:val="00094A8E"/>
    <w:rsid w:val="00095527"/>
    <w:rsid w:val="00095A69"/>
    <w:rsid w:val="00096047"/>
    <w:rsid w:val="000A3720"/>
    <w:rsid w:val="000A720B"/>
    <w:rsid w:val="000A7CD0"/>
    <w:rsid w:val="000B0FF9"/>
    <w:rsid w:val="000B176F"/>
    <w:rsid w:val="000B17C3"/>
    <w:rsid w:val="000B1869"/>
    <w:rsid w:val="000B2362"/>
    <w:rsid w:val="000B25A3"/>
    <w:rsid w:val="000B5E11"/>
    <w:rsid w:val="000B697D"/>
    <w:rsid w:val="000B7029"/>
    <w:rsid w:val="000B7E80"/>
    <w:rsid w:val="000C2D1B"/>
    <w:rsid w:val="000C305D"/>
    <w:rsid w:val="000C3F5C"/>
    <w:rsid w:val="000C49B5"/>
    <w:rsid w:val="000C5913"/>
    <w:rsid w:val="000C591A"/>
    <w:rsid w:val="000C7ED7"/>
    <w:rsid w:val="000D14E1"/>
    <w:rsid w:val="000D2BB6"/>
    <w:rsid w:val="000D40FA"/>
    <w:rsid w:val="000D58B0"/>
    <w:rsid w:val="000D59BE"/>
    <w:rsid w:val="000D5B6D"/>
    <w:rsid w:val="000D5DF8"/>
    <w:rsid w:val="000D63D8"/>
    <w:rsid w:val="000E36E9"/>
    <w:rsid w:val="000E3C03"/>
    <w:rsid w:val="000E58C7"/>
    <w:rsid w:val="000E62CE"/>
    <w:rsid w:val="000E7271"/>
    <w:rsid w:val="000E7346"/>
    <w:rsid w:val="000F0C51"/>
    <w:rsid w:val="000F30CE"/>
    <w:rsid w:val="000F5CA1"/>
    <w:rsid w:val="000F6F85"/>
    <w:rsid w:val="0010218C"/>
    <w:rsid w:val="0010226F"/>
    <w:rsid w:val="00103B45"/>
    <w:rsid w:val="001057E8"/>
    <w:rsid w:val="001079E9"/>
    <w:rsid w:val="001122A3"/>
    <w:rsid w:val="00112649"/>
    <w:rsid w:val="001138C5"/>
    <w:rsid w:val="00113BD2"/>
    <w:rsid w:val="00114F65"/>
    <w:rsid w:val="001162E1"/>
    <w:rsid w:val="00116565"/>
    <w:rsid w:val="00116C17"/>
    <w:rsid w:val="001178AF"/>
    <w:rsid w:val="0012207D"/>
    <w:rsid w:val="001244E6"/>
    <w:rsid w:val="001251FA"/>
    <w:rsid w:val="00125B9F"/>
    <w:rsid w:val="00125D4B"/>
    <w:rsid w:val="00125FCA"/>
    <w:rsid w:val="001276ED"/>
    <w:rsid w:val="001304CA"/>
    <w:rsid w:val="001308F3"/>
    <w:rsid w:val="001311AC"/>
    <w:rsid w:val="00133A1A"/>
    <w:rsid w:val="00134102"/>
    <w:rsid w:val="00135502"/>
    <w:rsid w:val="001362C2"/>
    <w:rsid w:val="001365D7"/>
    <w:rsid w:val="001368B7"/>
    <w:rsid w:val="0014063E"/>
    <w:rsid w:val="0014155E"/>
    <w:rsid w:val="00142BEC"/>
    <w:rsid w:val="0014342F"/>
    <w:rsid w:val="00146B18"/>
    <w:rsid w:val="001516DC"/>
    <w:rsid w:val="001546EC"/>
    <w:rsid w:val="001569C8"/>
    <w:rsid w:val="00156CDD"/>
    <w:rsid w:val="0015755E"/>
    <w:rsid w:val="00157880"/>
    <w:rsid w:val="00162381"/>
    <w:rsid w:val="001642CC"/>
    <w:rsid w:val="00164406"/>
    <w:rsid w:val="0016543A"/>
    <w:rsid w:val="00166353"/>
    <w:rsid w:val="001669F7"/>
    <w:rsid w:val="00167643"/>
    <w:rsid w:val="00172F70"/>
    <w:rsid w:val="00174246"/>
    <w:rsid w:val="00174745"/>
    <w:rsid w:val="001753BA"/>
    <w:rsid w:val="001765F0"/>
    <w:rsid w:val="0017781F"/>
    <w:rsid w:val="001808F0"/>
    <w:rsid w:val="00181032"/>
    <w:rsid w:val="00181140"/>
    <w:rsid w:val="001811EA"/>
    <w:rsid w:val="00182662"/>
    <w:rsid w:val="001835E1"/>
    <w:rsid w:val="00183DFE"/>
    <w:rsid w:val="00185BE0"/>
    <w:rsid w:val="00186E51"/>
    <w:rsid w:val="00192155"/>
    <w:rsid w:val="0019275C"/>
    <w:rsid w:val="00193A98"/>
    <w:rsid w:val="001949DA"/>
    <w:rsid w:val="00196EF4"/>
    <w:rsid w:val="00197E0C"/>
    <w:rsid w:val="001A39CA"/>
    <w:rsid w:val="001A58C5"/>
    <w:rsid w:val="001A72F8"/>
    <w:rsid w:val="001B1384"/>
    <w:rsid w:val="001B173B"/>
    <w:rsid w:val="001B1848"/>
    <w:rsid w:val="001C01D2"/>
    <w:rsid w:val="001C1A99"/>
    <w:rsid w:val="001C3B2D"/>
    <w:rsid w:val="001C46B0"/>
    <w:rsid w:val="001C53E8"/>
    <w:rsid w:val="001C5458"/>
    <w:rsid w:val="001C5619"/>
    <w:rsid w:val="001C731A"/>
    <w:rsid w:val="001C7D74"/>
    <w:rsid w:val="001D2287"/>
    <w:rsid w:val="001D23C1"/>
    <w:rsid w:val="001D6B5A"/>
    <w:rsid w:val="001E05ED"/>
    <w:rsid w:val="001E2768"/>
    <w:rsid w:val="001E4FF7"/>
    <w:rsid w:val="001E539F"/>
    <w:rsid w:val="001F1368"/>
    <w:rsid w:val="001F4352"/>
    <w:rsid w:val="001F763C"/>
    <w:rsid w:val="00202319"/>
    <w:rsid w:val="002053B8"/>
    <w:rsid w:val="002068E7"/>
    <w:rsid w:val="0020714A"/>
    <w:rsid w:val="002075A9"/>
    <w:rsid w:val="002077FB"/>
    <w:rsid w:val="00212FE7"/>
    <w:rsid w:val="0021396C"/>
    <w:rsid w:val="002176DE"/>
    <w:rsid w:val="002211CA"/>
    <w:rsid w:val="0022389E"/>
    <w:rsid w:val="00226E6B"/>
    <w:rsid w:val="00227DDA"/>
    <w:rsid w:val="00227E3C"/>
    <w:rsid w:val="00230582"/>
    <w:rsid w:val="002319FF"/>
    <w:rsid w:val="002332DE"/>
    <w:rsid w:val="00234388"/>
    <w:rsid w:val="002344E5"/>
    <w:rsid w:val="0023607B"/>
    <w:rsid w:val="00237ACE"/>
    <w:rsid w:val="00242219"/>
    <w:rsid w:val="002430B9"/>
    <w:rsid w:val="00254F47"/>
    <w:rsid w:val="0025505E"/>
    <w:rsid w:val="0025547E"/>
    <w:rsid w:val="00261B52"/>
    <w:rsid w:val="0026435A"/>
    <w:rsid w:val="002658A7"/>
    <w:rsid w:val="00266E0C"/>
    <w:rsid w:val="00271155"/>
    <w:rsid w:val="00274D9D"/>
    <w:rsid w:val="00275AD2"/>
    <w:rsid w:val="002810D4"/>
    <w:rsid w:val="002823B4"/>
    <w:rsid w:val="0028388C"/>
    <w:rsid w:val="002914B6"/>
    <w:rsid w:val="00296264"/>
    <w:rsid w:val="002A0B2C"/>
    <w:rsid w:val="002A1C25"/>
    <w:rsid w:val="002A1C80"/>
    <w:rsid w:val="002A38F9"/>
    <w:rsid w:val="002A3F22"/>
    <w:rsid w:val="002B0826"/>
    <w:rsid w:val="002B2F95"/>
    <w:rsid w:val="002B5E9E"/>
    <w:rsid w:val="002B77CE"/>
    <w:rsid w:val="002C1263"/>
    <w:rsid w:val="002C4283"/>
    <w:rsid w:val="002C49F2"/>
    <w:rsid w:val="002C6FDC"/>
    <w:rsid w:val="002C7B83"/>
    <w:rsid w:val="002D02BF"/>
    <w:rsid w:val="002D0C82"/>
    <w:rsid w:val="002D157F"/>
    <w:rsid w:val="002D43C7"/>
    <w:rsid w:val="002D51DA"/>
    <w:rsid w:val="002D56AE"/>
    <w:rsid w:val="002D7953"/>
    <w:rsid w:val="002E1D4B"/>
    <w:rsid w:val="002E2CEA"/>
    <w:rsid w:val="002E384A"/>
    <w:rsid w:val="002E507A"/>
    <w:rsid w:val="002F05C6"/>
    <w:rsid w:val="002F1137"/>
    <w:rsid w:val="002F3083"/>
    <w:rsid w:val="002F475C"/>
    <w:rsid w:val="002F7F7F"/>
    <w:rsid w:val="00301AF6"/>
    <w:rsid w:val="00301BF1"/>
    <w:rsid w:val="00302F5E"/>
    <w:rsid w:val="003069AB"/>
    <w:rsid w:val="00310795"/>
    <w:rsid w:val="00310A00"/>
    <w:rsid w:val="003112C4"/>
    <w:rsid w:val="003137DC"/>
    <w:rsid w:val="003141B3"/>
    <w:rsid w:val="00314B87"/>
    <w:rsid w:val="003150F2"/>
    <w:rsid w:val="00315BA2"/>
    <w:rsid w:val="00315F87"/>
    <w:rsid w:val="00317F64"/>
    <w:rsid w:val="0032257C"/>
    <w:rsid w:val="00326D0F"/>
    <w:rsid w:val="003272FF"/>
    <w:rsid w:val="00330269"/>
    <w:rsid w:val="003315E7"/>
    <w:rsid w:val="003328A6"/>
    <w:rsid w:val="0033399B"/>
    <w:rsid w:val="00334C22"/>
    <w:rsid w:val="003378F7"/>
    <w:rsid w:val="00341036"/>
    <w:rsid w:val="00341545"/>
    <w:rsid w:val="00342DDC"/>
    <w:rsid w:val="00344144"/>
    <w:rsid w:val="00345753"/>
    <w:rsid w:val="003461BF"/>
    <w:rsid w:val="00350593"/>
    <w:rsid w:val="00351D08"/>
    <w:rsid w:val="00353C85"/>
    <w:rsid w:val="003565DC"/>
    <w:rsid w:val="0036035A"/>
    <w:rsid w:val="003641C6"/>
    <w:rsid w:val="00364F62"/>
    <w:rsid w:val="003666A1"/>
    <w:rsid w:val="00371293"/>
    <w:rsid w:val="003719FF"/>
    <w:rsid w:val="00372FE1"/>
    <w:rsid w:val="00373125"/>
    <w:rsid w:val="003760A9"/>
    <w:rsid w:val="0037689B"/>
    <w:rsid w:val="003777E5"/>
    <w:rsid w:val="00380F80"/>
    <w:rsid w:val="00381269"/>
    <w:rsid w:val="00384B9C"/>
    <w:rsid w:val="00385BA3"/>
    <w:rsid w:val="00386EAF"/>
    <w:rsid w:val="0038708C"/>
    <w:rsid w:val="00391013"/>
    <w:rsid w:val="00393B8E"/>
    <w:rsid w:val="00397991"/>
    <w:rsid w:val="003A157F"/>
    <w:rsid w:val="003A299E"/>
    <w:rsid w:val="003A2AD3"/>
    <w:rsid w:val="003A36EC"/>
    <w:rsid w:val="003A42E0"/>
    <w:rsid w:val="003A442A"/>
    <w:rsid w:val="003A51AA"/>
    <w:rsid w:val="003A5E2E"/>
    <w:rsid w:val="003A7C72"/>
    <w:rsid w:val="003B2055"/>
    <w:rsid w:val="003B34C3"/>
    <w:rsid w:val="003B46A0"/>
    <w:rsid w:val="003B79A8"/>
    <w:rsid w:val="003C0AED"/>
    <w:rsid w:val="003C0F72"/>
    <w:rsid w:val="003C2B8B"/>
    <w:rsid w:val="003D1782"/>
    <w:rsid w:val="003D19FB"/>
    <w:rsid w:val="003D28E7"/>
    <w:rsid w:val="003D2DFA"/>
    <w:rsid w:val="003D5CF4"/>
    <w:rsid w:val="003E13B6"/>
    <w:rsid w:val="003E1D6F"/>
    <w:rsid w:val="003E4E90"/>
    <w:rsid w:val="003E6165"/>
    <w:rsid w:val="003F2FA1"/>
    <w:rsid w:val="003F4BA9"/>
    <w:rsid w:val="004022A9"/>
    <w:rsid w:val="00404F1D"/>
    <w:rsid w:val="00405CCB"/>
    <w:rsid w:val="00406658"/>
    <w:rsid w:val="00406E69"/>
    <w:rsid w:val="004106D7"/>
    <w:rsid w:val="00411123"/>
    <w:rsid w:val="00411551"/>
    <w:rsid w:val="00411911"/>
    <w:rsid w:val="00411AEE"/>
    <w:rsid w:val="00411B6E"/>
    <w:rsid w:val="00412364"/>
    <w:rsid w:val="00414411"/>
    <w:rsid w:val="0041482B"/>
    <w:rsid w:val="004151C1"/>
    <w:rsid w:val="004152C9"/>
    <w:rsid w:val="004157DE"/>
    <w:rsid w:val="0041680B"/>
    <w:rsid w:val="00417DEB"/>
    <w:rsid w:val="0042157D"/>
    <w:rsid w:val="00424F65"/>
    <w:rsid w:val="00425D3E"/>
    <w:rsid w:val="004272D3"/>
    <w:rsid w:val="00427761"/>
    <w:rsid w:val="00430D27"/>
    <w:rsid w:val="00430D86"/>
    <w:rsid w:val="0043146B"/>
    <w:rsid w:val="00431540"/>
    <w:rsid w:val="00431C04"/>
    <w:rsid w:val="00433BBD"/>
    <w:rsid w:val="00435EAF"/>
    <w:rsid w:val="00436633"/>
    <w:rsid w:val="00441EB3"/>
    <w:rsid w:val="00444714"/>
    <w:rsid w:val="004449AC"/>
    <w:rsid w:val="00445BEE"/>
    <w:rsid w:val="0045062E"/>
    <w:rsid w:val="00451ED1"/>
    <w:rsid w:val="004525DB"/>
    <w:rsid w:val="004532C0"/>
    <w:rsid w:val="004537CF"/>
    <w:rsid w:val="00455E7E"/>
    <w:rsid w:val="004611DC"/>
    <w:rsid w:val="004618E4"/>
    <w:rsid w:val="00467710"/>
    <w:rsid w:val="004705C8"/>
    <w:rsid w:val="004715B5"/>
    <w:rsid w:val="00473CB5"/>
    <w:rsid w:val="004757E7"/>
    <w:rsid w:val="00482A89"/>
    <w:rsid w:val="004830C9"/>
    <w:rsid w:val="0048330E"/>
    <w:rsid w:val="00483F76"/>
    <w:rsid w:val="00485DE9"/>
    <w:rsid w:val="00486038"/>
    <w:rsid w:val="00487F58"/>
    <w:rsid w:val="0049210B"/>
    <w:rsid w:val="00494D8A"/>
    <w:rsid w:val="00496A27"/>
    <w:rsid w:val="004A243D"/>
    <w:rsid w:val="004A24F7"/>
    <w:rsid w:val="004A2511"/>
    <w:rsid w:val="004A7048"/>
    <w:rsid w:val="004B04E1"/>
    <w:rsid w:val="004B27B2"/>
    <w:rsid w:val="004B3D81"/>
    <w:rsid w:val="004B4022"/>
    <w:rsid w:val="004B61AA"/>
    <w:rsid w:val="004B69DF"/>
    <w:rsid w:val="004C0946"/>
    <w:rsid w:val="004C0A18"/>
    <w:rsid w:val="004C398B"/>
    <w:rsid w:val="004C4CD5"/>
    <w:rsid w:val="004C59BB"/>
    <w:rsid w:val="004C7CBA"/>
    <w:rsid w:val="004C7E21"/>
    <w:rsid w:val="004D3A48"/>
    <w:rsid w:val="004D3CF6"/>
    <w:rsid w:val="004D3F3F"/>
    <w:rsid w:val="004D411A"/>
    <w:rsid w:val="004D672C"/>
    <w:rsid w:val="004D7440"/>
    <w:rsid w:val="004E1023"/>
    <w:rsid w:val="004E39F3"/>
    <w:rsid w:val="004E777A"/>
    <w:rsid w:val="004E7D36"/>
    <w:rsid w:val="004E7EF1"/>
    <w:rsid w:val="004F1D51"/>
    <w:rsid w:val="004F2541"/>
    <w:rsid w:val="004F5D63"/>
    <w:rsid w:val="004F67E9"/>
    <w:rsid w:val="00500142"/>
    <w:rsid w:val="00500AD0"/>
    <w:rsid w:val="005011FA"/>
    <w:rsid w:val="00503CF3"/>
    <w:rsid w:val="00504257"/>
    <w:rsid w:val="00507A19"/>
    <w:rsid w:val="00507E4B"/>
    <w:rsid w:val="0051038A"/>
    <w:rsid w:val="00513826"/>
    <w:rsid w:val="0051567D"/>
    <w:rsid w:val="00516B12"/>
    <w:rsid w:val="00516F15"/>
    <w:rsid w:val="005211CD"/>
    <w:rsid w:val="00523084"/>
    <w:rsid w:val="00524E6D"/>
    <w:rsid w:val="00525463"/>
    <w:rsid w:val="00525FE0"/>
    <w:rsid w:val="00526D8E"/>
    <w:rsid w:val="005271BA"/>
    <w:rsid w:val="00533DE8"/>
    <w:rsid w:val="005344FB"/>
    <w:rsid w:val="005350AA"/>
    <w:rsid w:val="00537376"/>
    <w:rsid w:val="00542F8E"/>
    <w:rsid w:val="005448E5"/>
    <w:rsid w:val="005528C0"/>
    <w:rsid w:val="00552C98"/>
    <w:rsid w:val="00553FB0"/>
    <w:rsid w:val="00556311"/>
    <w:rsid w:val="005579F0"/>
    <w:rsid w:val="0056030C"/>
    <w:rsid w:val="00563196"/>
    <w:rsid w:val="005656A3"/>
    <w:rsid w:val="0056752F"/>
    <w:rsid w:val="00570B85"/>
    <w:rsid w:val="0057569A"/>
    <w:rsid w:val="0057794B"/>
    <w:rsid w:val="00577CC6"/>
    <w:rsid w:val="00581642"/>
    <w:rsid w:val="00581BC6"/>
    <w:rsid w:val="00581BF3"/>
    <w:rsid w:val="005820EC"/>
    <w:rsid w:val="005829B5"/>
    <w:rsid w:val="00583F1D"/>
    <w:rsid w:val="005860AA"/>
    <w:rsid w:val="005918B1"/>
    <w:rsid w:val="00592971"/>
    <w:rsid w:val="005944CE"/>
    <w:rsid w:val="00595768"/>
    <w:rsid w:val="005958A7"/>
    <w:rsid w:val="0059625B"/>
    <w:rsid w:val="005A04D9"/>
    <w:rsid w:val="005A1464"/>
    <w:rsid w:val="005A30D5"/>
    <w:rsid w:val="005B037C"/>
    <w:rsid w:val="005B05DB"/>
    <w:rsid w:val="005B07A2"/>
    <w:rsid w:val="005B156B"/>
    <w:rsid w:val="005B4BED"/>
    <w:rsid w:val="005B545B"/>
    <w:rsid w:val="005B54F2"/>
    <w:rsid w:val="005B6D81"/>
    <w:rsid w:val="005B6D8D"/>
    <w:rsid w:val="005B7469"/>
    <w:rsid w:val="005C00C7"/>
    <w:rsid w:val="005C053D"/>
    <w:rsid w:val="005C06D2"/>
    <w:rsid w:val="005C0D58"/>
    <w:rsid w:val="005C0E01"/>
    <w:rsid w:val="005C26D5"/>
    <w:rsid w:val="005C2DD8"/>
    <w:rsid w:val="005C4E4D"/>
    <w:rsid w:val="005D1C4F"/>
    <w:rsid w:val="005D2BAE"/>
    <w:rsid w:val="005D3F4C"/>
    <w:rsid w:val="005D4311"/>
    <w:rsid w:val="005D55A5"/>
    <w:rsid w:val="005D6B3E"/>
    <w:rsid w:val="005D71F7"/>
    <w:rsid w:val="005E00F9"/>
    <w:rsid w:val="005E03A7"/>
    <w:rsid w:val="005E09D2"/>
    <w:rsid w:val="005E0C99"/>
    <w:rsid w:val="005E12EB"/>
    <w:rsid w:val="005E3591"/>
    <w:rsid w:val="005E36F4"/>
    <w:rsid w:val="005E57D5"/>
    <w:rsid w:val="005E6913"/>
    <w:rsid w:val="005F0E18"/>
    <w:rsid w:val="005F1FD3"/>
    <w:rsid w:val="005F2650"/>
    <w:rsid w:val="005F5741"/>
    <w:rsid w:val="006003EF"/>
    <w:rsid w:val="00601806"/>
    <w:rsid w:val="00601C91"/>
    <w:rsid w:val="00601E1F"/>
    <w:rsid w:val="00601E87"/>
    <w:rsid w:val="00602297"/>
    <w:rsid w:val="006029E5"/>
    <w:rsid w:val="00603869"/>
    <w:rsid w:val="00604970"/>
    <w:rsid w:val="00606B6F"/>
    <w:rsid w:val="006133A0"/>
    <w:rsid w:val="00614235"/>
    <w:rsid w:val="00616AD0"/>
    <w:rsid w:val="006171CA"/>
    <w:rsid w:val="00621B86"/>
    <w:rsid w:val="00622974"/>
    <w:rsid w:val="00622EBF"/>
    <w:rsid w:val="00624359"/>
    <w:rsid w:val="00624DE1"/>
    <w:rsid w:val="006256A5"/>
    <w:rsid w:val="00625E5C"/>
    <w:rsid w:val="0063353D"/>
    <w:rsid w:val="00634DBE"/>
    <w:rsid w:val="006379AD"/>
    <w:rsid w:val="00640501"/>
    <w:rsid w:val="00640F78"/>
    <w:rsid w:val="0065095C"/>
    <w:rsid w:val="00653BCC"/>
    <w:rsid w:val="00654B8C"/>
    <w:rsid w:val="006560B3"/>
    <w:rsid w:val="006638A3"/>
    <w:rsid w:val="0066432C"/>
    <w:rsid w:val="00665A37"/>
    <w:rsid w:val="00670276"/>
    <w:rsid w:val="00671900"/>
    <w:rsid w:val="00672AED"/>
    <w:rsid w:val="00672FEC"/>
    <w:rsid w:val="006749DD"/>
    <w:rsid w:val="006752A8"/>
    <w:rsid w:val="006756ED"/>
    <w:rsid w:val="00676ECE"/>
    <w:rsid w:val="006776A7"/>
    <w:rsid w:val="00681CEA"/>
    <w:rsid w:val="006834DD"/>
    <w:rsid w:val="00684176"/>
    <w:rsid w:val="00684A4E"/>
    <w:rsid w:val="00684BD3"/>
    <w:rsid w:val="006862E6"/>
    <w:rsid w:val="00686C24"/>
    <w:rsid w:val="0069024C"/>
    <w:rsid w:val="00690734"/>
    <w:rsid w:val="00690E37"/>
    <w:rsid w:val="006963B8"/>
    <w:rsid w:val="006A0F70"/>
    <w:rsid w:val="006A3580"/>
    <w:rsid w:val="006A3871"/>
    <w:rsid w:val="006A3ADD"/>
    <w:rsid w:val="006A4CE1"/>
    <w:rsid w:val="006A7261"/>
    <w:rsid w:val="006A7B1D"/>
    <w:rsid w:val="006B01A9"/>
    <w:rsid w:val="006B0642"/>
    <w:rsid w:val="006B1683"/>
    <w:rsid w:val="006B289D"/>
    <w:rsid w:val="006B60CB"/>
    <w:rsid w:val="006C2898"/>
    <w:rsid w:val="006C3AA9"/>
    <w:rsid w:val="006C56C6"/>
    <w:rsid w:val="006C6760"/>
    <w:rsid w:val="006C7248"/>
    <w:rsid w:val="006C7A40"/>
    <w:rsid w:val="006D092B"/>
    <w:rsid w:val="006D3DA1"/>
    <w:rsid w:val="006E0A8B"/>
    <w:rsid w:val="006E0C28"/>
    <w:rsid w:val="006E24D5"/>
    <w:rsid w:val="006E28D5"/>
    <w:rsid w:val="006E36B0"/>
    <w:rsid w:val="006E4346"/>
    <w:rsid w:val="006E4A62"/>
    <w:rsid w:val="006E5919"/>
    <w:rsid w:val="006F0D80"/>
    <w:rsid w:val="006F1536"/>
    <w:rsid w:val="006F1916"/>
    <w:rsid w:val="006F1A9D"/>
    <w:rsid w:val="006F7ED2"/>
    <w:rsid w:val="006F7F63"/>
    <w:rsid w:val="00701EBD"/>
    <w:rsid w:val="0070231C"/>
    <w:rsid w:val="007035B6"/>
    <w:rsid w:val="0070561A"/>
    <w:rsid w:val="0070669D"/>
    <w:rsid w:val="00706D59"/>
    <w:rsid w:val="0070727F"/>
    <w:rsid w:val="0071286B"/>
    <w:rsid w:val="007139AE"/>
    <w:rsid w:val="00715A89"/>
    <w:rsid w:val="00720D3E"/>
    <w:rsid w:val="00721AEC"/>
    <w:rsid w:val="00722631"/>
    <w:rsid w:val="00722FBA"/>
    <w:rsid w:val="0072632E"/>
    <w:rsid w:val="00726C2B"/>
    <w:rsid w:val="00731F0C"/>
    <w:rsid w:val="00732A06"/>
    <w:rsid w:val="007340ED"/>
    <w:rsid w:val="007402D8"/>
    <w:rsid w:val="0074100F"/>
    <w:rsid w:val="007424EE"/>
    <w:rsid w:val="007447C7"/>
    <w:rsid w:val="007455AA"/>
    <w:rsid w:val="00746F35"/>
    <w:rsid w:val="00747181"/>
    <w:rsid w:val="0074774C"/>
    <w:rsid w:val="0075048D"/>
    <w:rsid w:val="00750842"/>
    <w:rsid w:val="007511E8"/>
    <w:rsid w:val="00752BCD"/>
    <w:rsid w:val="00752BFF"/>
    <w:rsid w:val="00752D3B"/>
    <w:rsid w:val="00753032"/>
    <w:rsid w:val="00757A6E"/>
    <w:rsid w:val="00760F7D"/>
    <w:rsid w:val="00761B2E"/>
    <w:rsid w:val="00763A27"/>
    <w:rsid w:val="0076496D"/>
    <w:rsid w:val="00764C47"/>
    <w:rsid w:val="00766F91"/>
    <w:rsid w:val="00770237"/>
    <w:rsid w:val="007708A5"/>
    <w:rsid w:val="00770998"/>
    <w:rsid w:val="00771FF4"/>
    <w:rsid w:val="00773947"/>
    <w:rsid w:val="007745B5"/>
    <w:rsid w:val="00775D02"/>
    <w:rsid w:val="007761F2"/>
    <w:rsid w:val="0077620E"/>
    <w:rsid w:val="00776595"/>
    <w:rsid w:val="007860EF"/>
    <w:rsid w:val="0078701F"/>
    <w:rsid w:val="00787A49"/>
    <w:rsid w:val="00791BD0"/>
    <w:rsid w:val="00792F93"/>
    <w:rsid w:val="00793543"/>
    <w:rsid w:val="007A12B3"/>
    <w:rsid w:val="007A1F43"/>
    <w:rsid w:val="007A2470"/>
    <w:rsid w:val="007A25C1"/>
    <w:rsid w:val="007A4570"/>
    <w:rsid w:val="007A5091"/>
    <w:rsid w:val="007A64B6"/>
    <w:rsid w:val="007A783D"/>
    <w:rsid w:val="007B0EC2"/>
    <w:rsid w:val="007B2ABD"/>
    <w:rsid w:val="007B511A"/>
    <w:rsid w:val="007B7014"/>
    <w:rsid w:val="007B71DC"/>
    <w:rsid w:val="007C0E6A"/>
    <w:rsid w:val="007C37DD"/>
    <w:rsid w:val="007C4095"/>
    <w:rsid w:val="007C5FB2"/>
    <w:rsid w:val="007C762F"/>
    <w:rsid w:val="007D4B94"/>
    <w:rsid w:val="007D6AC4"/>
    <w:rsid w:val="007D6B99"/>
    <w:rsid w:val="007D73A8"/>
    <w:rsid w:val="007D7AF9"/>
    <w:rsid w:val="007D7B6A"/>
    <w:rsid w:val="007E2D47"/>
    <w:rsid w:val="007E5DC1"/>
    <w:rsid w:val="007E6D57"/>
    <w:rsid w:val="007E797B"/>
    <w:rsid w:val="007F06C3"/>
    <w:rsid w:val="007F1F01"/>
    <w:rsid w:val="007F2CBD"/>
    <w:rsid w:val="007F3FFE"/>
    <w:rsid w:val="007F4509"/>
    <w:rsid w:val="007F7CCD"/>
    <w:rsid w:val="008001F5"/>
    <w:rsid w:val="00802E2C"/>
    <w:rsid w:val="008044EB"/>
    <w:rsid w:val="00804C0C"/>
    <w:rsid w:val="0080515A"/>
    <w:rsid w:val="008070FD"/>
    <w:rsid w:val="00807A9B"/>
    <w:rsid w:val="00811FD8"/>
    <w:rsid w:val="00814A39"/>
    <w:rsid w:val="0082278D"/>
    <w:rsid w:val="0082278F"/>
    <w:rsid w:val="00822C4F"/>
    <w:rsid w:val="00824C86"/>
    <w:rsid w:val="008256EA"/>
    <w:rsid w:val="00831429"/>
    <w:rsid w:val="00831CEF"/>
    <w:rsid w:val="0083200B"/>
    <w:rsid w:val="00832788"/>
    <w:rsid w:val="00832B6B"/>
    <w:rsid w:val="00832F08"/>
    <w:rsid w:val="00834F10"/>
    <w:rsid w:val="00836E68"/>
    <w:rsid w:val="00836F85"/>
    <w:rsid w:val="008423BC"/>
    <w:rsid w:val="00842B3A"/>
    <w:rsid w:val="00844A17"/>
    <w:rsid w:val="00846C92"/>
    <w:rsid w:val="008507A8"/>
    <w:rsid w:val="0085760F"/>
    <w:rsid w:val="00860B3D"/>
    <w:rsid w:val="00866232"/>
    <w:rsid w:val="00866B6B"/>
    <w:rsid w:val="0087021A"/>
    <w:rsid w:val="00872E39"/>
    <w:rsid w:val="00873639"/>
    <w:rsid w:val="00873C11"/>
    <w:rsid w:val="008802CA"/>
    <w:rsid w:val="00880A42"/>
    <w:rsid w:val="00880F29"/>
    <w:rsid w:val="0088339D"/>
    <w:rsid w:val="00885990"/>
    <w:rsid w:val="00886E94"/>
    <w:rsid w:val="00891DB7"/>
    <w:rsid w:val="00892962"/>
    <w:rsid w:val="00894075"/>
    <w:rsid w:val="00895E6F"/>
    <w:rsid w:val="008971DA"/>
    <w:rsid w:val="008A0F8A"/>
    <w:rsid w:val="008A26D3"/>
    <w:rsid w:val="008A2904"/>
    <w:rsid w:val="008A2EA9"/>
    <w:rsid w:val="008A3AB6"/>
    <w:rsid w:val="008A3E4E"/>
    <w:rsid w:val="008A7729"/>
    <w:rsid w:val="008B14E8"/>
    <w:rsid w:val="008B277F"/>
    <w:rsid w:val="008B385F"/>
    <w:rsid w:val="008B7CB4"/>
    <w:rsid w:val="008C05B1"/>
    <w:rsid w:val="008C13E4"/>
    <w:rsid w:val="008C2FF1"/>
    <w:rsid w:val="008C3125"/>
    <w:rsid w:val="008C36F5"/>
    <w:rsid w:val="008C3C53"/>
    <w:rsid w:val="008C4667"/>
    <w:rsid w:val="008C7AAA"/>
    <w:rsid w:val="008D2E82"/>
    <w:rsid w:val="008D388E"/>
    <w:rsid w:val="008D4472"/>
    <w:rsid w:val="008D5DB5"/>
    <w:rsid w:val="008E2821"/>
    <w:rsid w:val="008E3BB5"/>
    <w:rsid w:val="008E4E6F"/>
    <w:rsid w:val="008E5448"/>
    <w:rsid w:val="008E60FC"/>
    <w:rsid w:val="008E6CBA"/>
    <w:rsid w:val="008F0EF9"/>
    <w:rsid w:val="008F2B65"/>
    <w:rsid w:val="008F38FB"/>
    <w:rsid w:val="009007A9"/>
    <w:rsid w:val="00902587"/>
    <w:rsid w:val="00902AFC"/>
    <w:rsid w:val="009030DB"/>
    <w:rsid w:val="0090441A"/>
    <w:rsid w:val="00904D57"/>
    <w:rsid w:val="00911092"/>
    <w:rsid w:val="00911C21"/>
    <w:rsid w:val="00912CF7"/>
    <w:rsid w:val="009162E7"/>
    <w:rsid w:val="00920D31"/>
    <w:rsid w:val="00921DE1"/>
    <w:rsid w:val="0092544F"/>
    <w:rsid w:val="00927398"/>
    <w:rsid w:val="00927417"/>
    <w:rsid w:val="00927E1D"/>
    <w:rsid w:val="00927FEB"/>
    <w:rsid w:val="0093346F"/>
    <w:rsid w:val="00933C5B"/>
    <w:rsid w:val="00934832"/>
    <w:rsid w:val="00934904"/>
    <w:rsid w:val="00934972"/>
    <w:rsid w:val="00936452"/>
    <w:rsid w:val="00936788"/>
    <w:rsid w:val="00936B39"/>
    <w:rsid w:val="009401D9"/>
    <w:rsid w:val="00940D48"/>
    <w:rsid w:val="00941B5F"/>
    <w:rsid w:val="0094481B"/>
    <w:rsid w:val="009452AF"/>
    <w:rsid w:val="00946032"/>
    <w:rsid w:val="009468AA"/>
    <w:rsid w:val="009477FC"/>
    <w:rsid w:val="00950030"/>
    <w:rsid w:val="00952947"/>
    <w:rsid w:val="009542EC"/>
    <w:rsid w:val="0095725A"/>
    <w:rsid w:val="009574BD"/>
    <w:rsid w:val="009579B9"/>
    <w:rsid w:val="00961EFD"/>
    <w:rsid w:val="00962261"/>
    <w:rsid w:val="00963A19"/>
    <w:rsid w:val="009655F8"/>
    <w:rsid w:val="0096566F"/>
    <w:rsid w:val="00965848"/>
    <w:rsid w:val="00972277"/>
    <w:rsid w:val="00972699"/>
    <w:rsid w:val="00973E66"/>
    <w:rsid w:val="00974265"/>
    <w:rsid w:val="00974FAB"/>
    <w:rsid w:val="009753A7"/>
    <w:rsid w:val="00980474"/>
    <w:rsid w:val="00980EAD"/>
    <w:rsid w:val="009821E8"/>
    <w:rsid w:val="0099060A"/>
    <w:rsid w:val="009919E7"/>
    <w:rsid w:val="00994845"/>
    <w:rsid w:val="0099549E"/>
    <w:rsid w:val="009976A7"/>
    <w:rsid w:val="009A05D0"/>
    <w:rsid w:val="009A2559"/>
    <w:rsid w:val="009A2A59"/>
    <w:rsid w:val="009A3318"/>
    <w:rsid w:val="009A576F"/>
    <w:rsid w:val="009B0E47"/>
    <w:rsid w:val="009B2BC8"/>
    <w:rsid w:val="009B2D06"/>
    <w:rsid w:val="009B3BC0"/>
    <w:rsid w:val="009B47B7"/>
    <w:rsid w:val="009B76CF"/>
    <w:rsid w:val="009C0912"/>
    <w:rsid w:val="009C2A0A"/>
    <w:rsid w:val="009C2A90"/>
    <w:rsid w:val="009C4525"/>
    <w:rsid w:val="009C4723"/>
    <w:rsid w:val="009C4B5B"/>
    <w:rsid w:val="009C4FA0"/>
    <w:rsid w:val="009D12A4"/>
    <w:rsid w:val="009D2441"/>
    <w:rsid w:val="009D55EA"/>
    <w:rsid w:val="009E120D"/>
    <w:rsid w:val="009E23D2"/>
    <w:rsid w:val="009E34D3"/>
    <w:rsid w:val="009E4A6C"/>
    <w:rsid w:val="009E5932"/>
    <w:rsid w:val="009E5E86"/>
    <w:rsid w:val="009E622F"/>
    <w:rsid w:val="009E64E4"/>
    <w:rsid w:val="009E662F"/>
    <w:rsid w:val="009E7B17"/>
    <w:rsid w:val="009E7C5B"/>
    <w:rsid w:val="009F009C"/>
    <w:rsid w:val="009F07F8"/>
    <w:rsid w:val="009F1C0C"/>
    <w:rsid w:val="009F5906"/>
    <w:rsid w:val="009F60B0"/>
    <w:rsid w:val="009F6F1B"/>
    <w:rsid w:val="009F7EB1"/>
    <w:rsid w:val="00A024B9"/>
    <w:rsid w:val="00A02840"/>
    <w:rsid w:val="00A0436B"/>
    <w:rsid w:val="00A04953"/>
    <w:rsid w:val="00A111AD"/>
    <w:rsid w:val="00A118AB"/>
    <w:rsid w:val="00A13326"/>
    <w:rsid w:val="00A13F5B"/>
    <w:rsid w:val="00A142D6"/>
    <w:rsid w:val="00A1602B"/>
    <w:rsid w:val="00A17098"/>
    <w:rsid w:val="00A17586"/>
    <w:rsid w:val="00A17A5D"/>
    <w:rsid w:val="00A20BE0"/>
    <w:rsid w:val="00A22F0A"/>
    <w:rsid w:val="00A30AE2"/>
    <w:rsid w:val="00A30CF5"/>
    <w:rsid w:val="00A32B2C"/>
    <w:rsid w:val="00A32EDF"/>
    <w:rsid w:val="00A353F9"/>
    <w:rsid w:val="00A37E79"/>
    <w:rsid w:val="00A421B6"/>
    <w:rsid w:val="00A42E56"/>
    <w:rsid w:val="00A43162"/>
    <w:rsid w:val="00A43814"/>
    <w:rsid w:val="00A4463E"/>
    <w:rsid w:val="00A44702"/>
    <w:rsid w:val="00A4489B"/>
    <w:rsid w:val="00A479C7"/>
    <w:rsid w:val="00A52AFB"/>
    <w:rsid w:val="00A53E7C"/>
    <w:rsid w:val="00A568DA"/>
    <w:rsid w:val="00A56D6C"/>
    <w:rsid w:val="00A611FC"/>
    <w:rsid w:val="00A6148C"/>
    <w:rsid w:val="00A65A81"/>
    <w:rsid w:val="00A675D3"/>
    <w:rsid w:val="00A72006"/>
    <w:rsid w:val="00A73E5E"/>
    <w:rsid w:val="00A77054"/>
    <w:rsid w:val="00A801F7"/>
    <w:rsid w:val="00A813A3"/>
    <w:rsid w:val="00A83DBA"/>
    <w:rsid w:val="00A85834"/>
    <w:rsid w:val="00A86060"/>
    <w:rsid w:val="00A87FAF"/>
    <w:rsid w:val="00A90887"/>
    <w:rsid w:val="00A93643"/>
    <w:rsid w:val="00A94930"/>
    <w:rsid w:val="00A95AEA"/>
    <w:rsid w:val="00A96453"/>
    <w:rsid w:val="00A96A3F"/>
    <w:rsid w:val="00AA0595"/>
    <w:rsid w:val="00AA35E4"/>
    <w:rsid w:val="00AA4E6F"/>
    <w:rsid w:val="00AA6494"/>
    <w:rsid w:val="00AB74B8"/>
    <w:rsid w:val="00AC15B2"/>
    <w:rsid w:val="00AC22A9"/>
    <w:rsid w:val="00AC2869"/>
    <w:rsid w:val="00AC615B"/>
    <w:rsid w:val="00AC7D4B"/>
    <w:rsid w:val="00AD121E"/>
    <w:rsid w:val="00AD1A10"/>
    <w:rsid w:val="00AD23F1"/>
    <w:rsid w:val="00AD3B7E"/>
    <w:rsid w:val="00AD3FD3"/>
    <w:rsid w:val="00AD545D"/>
    <w:rsid w:val="00AE1473"/>
    <w:rsid w:val="00AE1B20"/>
    <w:rsid w:val="00AE25A1"/>
    <w:rsid w:val="00AE28A1"/>
    <w:rsid w:val="00AE4066"/>
    <w:rsid w:val="00AE5F87"/>
    <w:rsid w:val="00AF1DD2"/>
    <w:rsid w:val="00AF5102"/>
    <w:rsid w:val="00AF5283"/>
    <w:rsid w:val="00AF52D2"/>
    <w:rsid w:val="00AF5355"/>
    <w:rsid w:val="00AF53C2"/>
    <w:rsid w:val="00AF56FC"/>
    <w:rsid w:val="00AF79E3"/>
    <w:rsid w:val="00B01F38"/>
    <w:rsid w:val="00B02290"/>
    <w:rsid w:val="00B033D1"/>
    <w:rsid w:val="00B034EC"/>
    <w:rsid w:val="00B03BAF"/>
    <w:rsid w:val="00B03E23"/>
    <w:rsid w:val="00B050B3"/>
    <w:rsid w:val="00B066B6"/>
    <w:rsid w:val="00B074CB"/>
    <w:rsid w:val="00B14B5D"/>
    <w:rsid w:val="00B14C22"/>
    <w:rsid w:val="00B14C49"/>
    <w:rsid w:val="00B16300"/>
    <w:rsid w:val="00B17911"/>
    <w:rsid w:val="00B17F7B"/>
    <w:rsid w:val="00B22AF5"/>
    <w:rsid w:val="00B23B66"/>
    <w:rsid w:val="00B23FA0"/>
    <w:rsid w:val="00B26913"/>
    <w:rsid w:val="00B316B8"/>
    <w:rsid w:val="00B31C79"/>
    <w:rsid w:val="00B332DB"/>
    <w:rsid w:val="00B33A91"/>
    <w:rsid w:val="00B36AF6"/>
    <w:rsid w:val="00B371BD"/>
    <w:rsid w:val="00B40776"/>
    <w:rsid w:val="00B4185E"/>
    <w:rsid w:val="00B41BA0"/>
    <w:rsid w:val="00B4322F"/>
    <w:rsid w:val="00B44BC9"/>
    <w:rsid w:val="00B467C4"/>
    <w:rsid w:val="00B4734E"/>
    <w:rsid w:val="00B503CF"/>
    <w:rsid w:val="00B5122C"/>
    <w:rsid w:val="00B52CED"/>
    <w:rsid w:val="00B52F7C"/>
    <w:rsid w:val="00B54287"/>
    <w:rsid w:val="00B57313"/>
    <w:rsid w:val="00B62FA1"/>
    <w:rsid w:val="00B644CF"/>
    <w:rsid w:val="00B64570"/>
    <w:rsid w:val="00B675E6"/>
    <w:rsid w:val="00B67D9C"/>
    <w:rsid w:val="00B70882"/>
    <w:rsid w:val="00B70CA2"/>
    <w:rsid w:val="00B72F77"/>
    <w:rsid w:val="00B749C4"/>
    <w:rsid w:val="00B74E48"/>
    <w:rsid w:val="00B76248"/>
    <w:rsid w:val="00B80043"/>
    <w:rsid w:val="00B83CDC"/>
    <w:rsid w:val="00B90A5A"/>
    <w:rsid w:val="00B90D8F"/>
    <w:rsid w:val="00B920A7"/>
    <w:rsid w:val="00B922AE"/>
    <w:rsid w:val="00B922E8"/>
    <w:rsid w:val="00B9268E"/>
    <w:rsid w:val="00B95E13"/>
    <w:rsid w:val="00B95E58"/>
    <w:rsid w:val="00B961DF"/>
    <w:rsid w:val="00BA3135"/>
    <w:rsid w:val="00BA5176"/>
    <w:rsid w:val="00BA7D7C"/>
    <w:rsid w:val="00BB0815"/>
    <w:rsid w:val="00BB0B02"/>
    <w:rsid w:val="00BB16DE"/>
    <w:rsid w:val="00BB1EB1"/>
    <w:rsid w:val="00BB40F8"/>
    <w:rsid w:val="00BC0DE5"/>
    <w:rsid w:val="00BC16E7"/>
    <w:rsid w:val="00BC1B32"/>
    <w:rsid w:val="00BC2A11"/>
    <w:rsid w:val="00BC304A"/>
    <w:rsid w:val="00BC7608"/>
    <w:rsid w:val="00BC7A53"/>
    <w:rsid w:val="00BD0D81"/>
    <w:rsid w:val="00BD2DAA"/>
    <w:rsid w:val="00BD4BBE"/>
    <w:rsid w:val="00BD6AF6"/>
    <w:rsid w:val="00BE12C5"/>
    <w:rsid w:val="00BE1D18"/>
    <w:rsid w:val="00BE2548"/>
    <w:rsid w:val="00BE282D"/>
    <w:rsid w:val="00BE3953"/>
    <w:rsid w:val="00BE3A9F"/>
    <w:rsid w:val="00BE3B8A"/>
    <w:rsid w:val="00BE6FB1"/>
    <w:rsid w:val="00BE7030"/>
    <w:rsid w:val="00BF10A8"/>
    <w:rsid w:val="00BF27EA"/>
    <w:rsid w:val="00BF2F3F"/>
    <w:rsid w:val="00BF4A89"/>
    <w:rsid w:val="00BF4EDB"/>
    <w:rsid w:val="00BF6A45"/>
    <w:rsid w:val="00C00016"/>
    <w:rsid w:val="00C00D67"/>
    <w:rsid w:val="00C016F2"/>
    <w:rsid w:val="00C01C32"/>
    <w:rsid w:val="00C03B1C"/>
    <w:rsid w:val="00C03D0C"/>
    <w:rsid w:val="00C04258"/>
    <w:rsid w:val="00C05959"/>
    <w:rsid w:val="00C05C70"/>
    <w:rsid w:val="00C076E3"/>
    <w:rsid w:val="00C118AE"/>
    <w:rsid w:val="00C123A0"/>
    <w:rsid w:val="00C13D25"/>
    <w:rsid w:val="00C14D72"/>
    <w:rsid w:val="00C164C7"/>
    <w:rsid w:val="00C2163C"/>
    <w:rsid w:val="00C21B34"/>
    <w:rsid w:val="00C24432"/>
    <w:rsid w:val="00C27EAF"/>
    <w:rsid w:val="00C30F03"/>
    <w:rsid w:val="00C358CA"/>
    <w:rsid w:val="00C35E6B"/>
    <w:rsid w:val="00C4248F"/>
    <w:rsid w:val="00C44C0C"/>
    <w:rsid w:val="00C45226"/>
    <w:rsid w:val="00C45678"/>
    <w:rsid w:val="00C45E4B"/>
    <w:rsid w:val="00C46DF2"/>
    <w:rsid w:val="00C501BB"/>
    <w:rsid w:val="00C51C8F"/>
    <w:rsid w:val="00C53F7E"/>
    <w:rsid w:val="00C54C71"/>
    <w:rsid w:val="00C55239"/>
    <w:rsid w:val="00C63F17"/>
    <w:rsid w:val="00C647D2"/>
    <w:rsid w:val="00C6771B"/>
    <w:rsid w:val="00C702A1"/>
    <w:rsid w:val="00C70388"/>
    <w:rsid w:val="00C7280A"/>
    <w:rsid w:val="00C74A62"/>
    <w:rsid w:val="00C757F7"/>
    <w:rsid w:val="00C76063"/>
    <w:rsid w:val="00C77983"/>
    <w:rsid w:val="00C818D3"/>
    <w:rsid w:val="00C826E7"/>
    <w:rsid w:val="00C83001"/>
    <w:rsid w:val="00C83C44"/>
    <w:rsid w:val="00C845C9"/>
    <w:rsid w:val="00C85A3C"/>
    <w:rsid w:val="00C872A6"/>
    <w:rsid w:val="00C9090E"/>
    <w:rsid w:val="00C957D9"/>
    <w:rsid w:val="00C967AC"/>
    <w:rsid w:val="00C97AC5"/>
    <w:rsid w:val="00CA219A"/>
    <w:rsid w:val="00CA243F"/>
    <w:rsid w:val="00CA7045"/>
    <w:rsid w:val="00CB30DF"/>
    <w:rsid w:val="00CB44C9"/>
    <w:rsid w:val="00CB6130"/>
    <w:rsid w:val="00CB63F5"/>
    <w:rsid w:val="00CC0043"/>
    <w:rsid w:val="00CC2DBD"/>
    <w:rsid w:val="00CC36AF"/>
    <w:rsid w:val="00CC45DB"/>
    <w:rsid w:val="00CC7516"/>
    <w:rsid w:val="00CC7987"/>
    <w:rsid w:val="00CD1A3B"/>
    <w:rsid w:val="00CD48D4"/>
    <w:rsid w:val="00CD4D69"/>
    <w:rsid w:val="00CD68E5"/>
    <w:rsid w:val="00CE3091"/>
    <w:rsid w:val="00CE5F8C"/>
    <w:rsid w:val="00CE68C9"/>
    <w:rsid w:val="00CE74E6"/>
    <w:rsid w:val="00CF0034"/>
    <w:rsid w:val="00CF271D"/>
    <w:rsid w:val="00CF3256"/>
    <w:rsid w:val="00CF4327"/>
    <w:rsid w:val="00CF459B"/>
    <w:rsid w:val="00CF536E"/>
    <w:rsid w:val="00CF7A79"/>
    <w:rsid w:val="00D00CEF"/>
    <w:rsid w:val="00D02C6C"/>
    <w:rsid w:val="00D048FD"/>
    <w:rsid w:val="00D055D2"/>
    <w:rsid w:val="00D10899"/>
    <w:rsid w:val="00D118EB"/>
    <w:rsid w:val="00D13959"/>
    <w:rsid w:val="00D15E11"/>
    <w:rsid w:val="00D2154C"/>
    <w:rsid w:val="00D21C4B"/>
    <w:rsid w:val="00D23505"/>
    <w:rsid w:val="00D269F2"/>
    <w:rsid w:val="00D3038D"/>
    <w:rsid w:val="00D306AA"/>
    <w:rsid w:val="00D30A64"/>
    <w:rsid w:val="00D3184A"/>
    <w:rsid w:val="00D31FBE"/>
    <w:rsid w:val="00D322AB"/>
    <w:rsid w:val="00D33DE4"/>
    <w:rsid w:val="00D3573D"/>
    <w:rsid w:val="00D408A8"/>
    <w:rsid w:val="00D4109D"/>
    <w:rsid w:val="00D41422"/>
    <w:rsid w:val="00D41665"/>
    <w:rsid w:val="00D418B0"/>
    <w:rsid w:val="00D42155"/>
    <w:rsid w:val="00D42383"/>
    <w:rsid w:val="00D50F22"/>
    <w:rsid w:val="00D5656D"/>
    <w:rsid w:val="00D60092"/>
    <w:rsid w:val="00D61352"/>
    <w:rsid w:val="00D61C27"/>
    <w:rsid w:val="00D623A0"/>
    <w:rsid w:val="00D64C14"/>
    <w:rsid w:val="00D728AA"/>
    <w:rsid w:val="00D7671E"/>
    <w:rsid w:val="00D77C2E"/>
    <w:rsid w:val="00D804AA"/>
    <w:rsid w:val="00D80F0F"/>
    <w:rsid w:val="00D82C68"/>
    <w:rsid w:val="00D8544C"/>
    <w:rsid w:val="00D8589D"/>
    <w:rsid w:val="00D873B1"/>
    <w:rsid w:val="00D87588"/>
    <w:rsid w:val="00D876DC"/>
    <w:rsid w:val="00D95B7D"/>
    <w:rsid w:val="00D9602E"/>
    <w:rsid w:val="00D9708B"/>
    <w:rsid w:val="00DA1F13"/>
    <w:rsid w:val="00DA4817"/>
    <w:rsid w:val="00DA4B0B"/>
    <w:rsid w:val="00DA66F0"/>
    <w:rsid w:val="00DB162B"/>
    <w:rsid w:val="00DB1849"/>
    <w:rsid w:val="00DB19E3"/>
    <w:rsid w:val="00DB2DCA"/>
    <w:rsid w:val="00DB5634"/>
    <w:rsid w:val="00DB5BD5"/>
    <w:rsid w:val="00DB73E1"/>
    <w:rsid w:val="00DC11CC"/>
    <w:rsid w:val="00DC33BB"/>
    <w:rsid w:val="00DC4128"/>
    <w:rsid w:val="00DC7B0F"/>
    <w:rsid w:val="00DD010F"/>
    <w:rsid w:val="00DD2D7E"/>
    <w:rsid w:val="00DD3C86"/>
    <w:rsid w:val="00DD67DC"/>
    <w:rsid w:val="00DD6A3E"/>
    <w:rsid w:val="00DE0AA9"/>
    <w:rsid w:val="00DE2427"/>
    <w:rsid w:val="00DE2C4C"/>
    <w:rsid w:val="00DE338C"/>
    <w:rsid w:val="00DE3FDE"/>
    <w:rsid w:val="00DE5A0D"/>
    <w:rsid w:val="00DF01D2"/>
    <w:rsid w:val="00DF1D8A"/>
    <w:rsid w:val="00DF2946"/>
    <w:rsid w:val="00DF29D9"/>
    <w:rsid w:val="00DF3473"/>
    <w:rsid w:val="00DF4B00"/>
    <w:rsid w:val="00DF5433"/>
    <w:rsid w:val="00DF6A7B"/>
    <w:rsid w:val="00E0155D"/>
    <w:rsid w:val="00E03BDB"/>
    <w:rsid w:val="00E05F3E"/>
    <w:rsid w:val="00E10651"/>
    <w:rsid w:val="00E10A8B"/>
    <w:rsid w:val="00E10F58"/>
    <w:rsid w:val="00E13F8E"/>
    <w:rsid w:val="00E142AE"/>
    <w:rsid w:val="00E156BD"/>
    <w:rsid w:val="00E15CF5"/>
    <w:rsid w:val="00E1600E"/>
    <w:rsid w:val="00E17417"/>
    <w:rsid w:val="00E179FD"/>
    <w:rsid w:val="00E2066D"/>
    <w:rsid w:val="00E20800"/>
    <w:rsid w:val="00E239A3"/>
    <w:rsid w:val="00E23DED"/>
    <w:rsid w:val="00E24195"/>
    <w:rsid w:val="00E26AFB"/>
    <w:rsid w:val="00E271BF"/>
    <w:rsid w:val="00E304CE"/>
    <w:rsid w:val="00E30BDD"/>
    <w:rsid w:val="00E3210F"/>
    <w:rsid w:val="00E347B5"/>
    <w:rsid w:val="00E34C6B"/>
    <w:rsid w:val="00E34FE7"/>
    <w:rsid w:val="00E35471"/>
    <w:rsid w:val="00E361EC"/>
    <w:rsid w:val="00E37BC2"/>
    <w:rsid w:val="00E423C7"/>
    <w:rsid w:val="00E4303F"/>
    <w:rsid w:val="00E47783"/>
    <w:rsid w:val="00E521EA"/>
    <w:rsid w:val="00E55D3A"/>
    <w:rsid w:val="00E57E90"/>
    <w:rsid w:val="00E601D2"/>
    <w:rsid w:val="00E610B7"/>
    <w:rsid w:val="00E61BAA"/>
    <w:rsid w:val="00E62003"/>
    <w:rsid w:val="00E63831"/>
    <w:rsid w:val="00E64BEA"/>
    <w:rsid w:val="00E66619"/>
    <w:rsid w:val="00E72C7D"/>
    <w:rsid w:val="00E769A2"/>
    <w:rsid w:val="00E76CFC"/>
    <w:rsid w:val="00E773CF"/>
    <w:rsid w:val="00E77475"/>
    <w:rsid w:val="00E82B7C"/>
    <w:rsid w:val="00E86E53"/>
    <w:rsid w:val="00E8735F"/>
    <w:rsid w:val="00E90616"/>
    <w:rsid w:val="00E90C22"/>
    <w:rsid w:val="00E932E9"/>
    <w:rsid w:val="00E9349A"/>
    <w:rsid w:val="00E957C6"/>
    <w:rsid w:val="00E95F34"/>
    <w:rsid w:val="00E96B3E"/>
    <w:rsid w:val="00E97018"/>
    <w:rsid w:val="00EA1200"/>
    <w:rsid w:val="00EA22BB"/>
    <w:rsid w:val="00EA44C2"/>
    <w:rsid w:val="00EA46D5"/>
    <w:rsid w:val="00EA5907"/>
    <w:rsid w:val="00EA5C0C"/>
    <w:rsid w:val="00EA608D"/>
    <w:rsid w:val="00EA63E1"/>
    <w:rsid w:val="00EA6C4F"/>
    <w:rsid w:val="00EA6E7E"/>
    <w:rsid w:val="00EB0DA6"/>
    <w:rsid w:val="00EB0ED2"/>
    <w:rsid w:val="00EB244F"/>
    <w:rsid w:val="00EB2D97"/>
    <w:rsid w:val="00EB66CF"/>
    <w:rsid w:val="00EB7015"/>
    <w:rsid w:val="00EC30F0"/>
    <w:rsid w:val="00EC362B"/>
    <w:rsid w:val="00EC4B7C"/>
    <w:rsid w:val="00EC53B7"/>
    <w:rsid w:val="00EC675B"/>
    <w:rsid w:val="00ED168F"/>
    <w:rsid w:val="00ED5331"/>
    <w:rsid w:val="00ED55E8"/>
    <w:rsid w:val="00ED5917"/>
    <w:rsid w:val="00EE1374"/>
    <w:rsid w:val="00EE210F"/>
    <w:rsid w:val="00EE4585"/>
    <w:rsid w:val="00EE4A13"/>
    <w:rsid w:val="00EE4E03"/>
    <w:rsid w:val="00EE693E"/>
    <w:rsid w:val="00EE7AA2"/>
    <w:rsid w:val="00EF0C6D"/>
    <w:rsid w:val="00EF1096"/>
    <w:rsid w:val="00EF13EC"/>
    <w:rsid w:val="00EF4205"/>
    <w:rsid w:val="00EF5591"/>
    <w:rsid w:val="00F0318F"/>
    <w:rsid w:val="00F05F6E"/>
    <w:rsid w:val="00F06A4B"/>
    <w:rsid w:val="00F10265"/>
    <w:rsid w:val="00F11342"/>
    <w:rsid w:val="00F11680"/>
    <w:rsid w:val="00F121C3"/>
    <w:rsid w:val="00F12575"/>
    <w:rsid w:val="00F13B07"/>
    <w:rsid w:val="00F13F0A"/>
    <w:rsid w:val="00F13FF9"/>
    <w:rsid w:val="00F14393"/>
    <w:rsid w:val="00F16206"/>
    <w:rsid w:val="00F17395"/>
    <w:rsid w:val="00F20566"/>
    <w:rsid w:val="00F20D39"/>
    <w:rsid w:val="00F24123"/>
    <w:rsid w:val="00F30217"/>
    <w:rsid w:val="00F32276"/>
    <w:rsid w:val="00F343A1"/>
    <w:rsid w:val="00F3571C"/>
    <w:rsid w:val="00F359E0"/>
    <w:rsid w:val="00F44E68"/>
    <w:rsid w:val="00F45D76"/>
    <w:rsid w:val="00F521CD"/>
    <w:rsid w:val="00F52906"/>
    <w:rsid w:val="00F5350A"/>
    <w:rsid w:val="00F55962"/>
    <w:rsid w:val="00F56493"/>
    <w:rsid w:val="00F61E42"/>
    <w:rsid w:val="00F6368C"/>
    <w:rsid w:val="00F64056"/>
    <w:rsid w:val="00F64249"/>
    <w:rsid w:val="00F657A3"/>
    <w:rsid w:val="00F677B9"/>
    <w:rsid w:val="00F67D89"/>
    <w:rsid w:val="00F713E4"/>
    <w:rsid w:val="00F74DFB"/>
    <w:rsid w:val="00F778EF"/>
    <w:rsid w:val="00F81C35"/>
    <w:rsid w:val="00F820A1"/>
    <w:rsid w:val="00F84B06"/>
    <w:rsid w:val="00F85139"/>
    <w:rsid w:val="00F851F3"/>
    <w:rsid w:val="00F86BCD"/>
    <w:rsid w:val="00F90271"/>
    <w:rsid w:val="00F90F8D"/>
    <w:rsid w:val="00F91BAB"/>
    <w:rsid w:val="00F925DB"/>
    <w:rsid w:val="00F92C8B"/>
    <w:rsid w:val="00F9300C"/>
    <w:rsid w:val="00F941E4"/>
    <w:rsid w:val="00F9474D"/>
    <w:rsid w:val="00FA09EC"/>
    <w:rsid w:val="00FA253C"/>
    <w:rsid w:val="00FA3D02"/>
    <w:rsid w:val="00FA4786"/>
    <w:rsid w:val="00FA63A6"/>
    <w:rsid w:val="00FB3061"/>
    <w:rsid w:val="00FB3110"/>
    <w:rsid w:val="00FB3882"/>
    <w:rsid w:val="00FB5922"/>
    <w:rsid w:val="00FB5BE1"/>
    <w:rsid w:val="00FB5C21"/>
    <w:rsid w:val="00FC0852"/>
    <w:rsid w:val="00FC2B3F"/>
    <w:rsid w:val="00FC3B4B"/>
    <w:rsid w:val="00FC3D27"/>
    <w:rsid w:val="00FD043A"/>
    <w:rsid w:val="00FD211A"/>
    <w:rsid w:val="00FD4584"/>
    <w:rsid w:val="00FD5B89"/>
    <w:rsid w:val="00FE1F69"/>
    <w:rsid w:val="00FE3339"/>
    <w:rsid w:val="00FE6465"/>
    <w:rsid w:val="00FE7F69"/>
    <w:rsid w:val="00FF0ED4"/>
    <w:rsid w:val="00FF403F"/>
    <w:rsid w:val="00FF44E6"/>
    <w:rsid w:val="00FF459E"/>
    <w:rsid w:val="00FF6FF3"/>
    <w:rsid w:val="00FF75C3"/>
    <w:rsid w:val="00FF7C24"/>
    <w:rsid w:val="010F7FF3"/>
    <w:rsid w:val="01B224B4"/>
    <w:rsid w:val="01D17056"/>
    <w:rsid w:val="01E46D89"/>
    <w:rsid w:val="01F80A87"/>
    <w:rsid w:val="02333346"/>
    <w:rsid w:val="02F4124E"/>
    <w:rsid w:val="035D3297"/>
    <w:rsid w:val="036D26EF"/>
    <w:rsid w:val="038A7E04"/>
    <w:rsid w:val="040F20B8"/>
    <w:rsid w:val="04271740"/>
    <w:rsid w:val="04C3537C"/>
    <w:rsid w:val="04DD3F64"/>
    <w:rsid w:val="05066DF9"/>
    <w:rsid w:val="05080FE1"/>
    <w:rsid w:val="05300538"/>
    <w:rsid w:val="056C5A14"/>
    <w:rsid w:val="05D709B3"/>
    <w:rsid w:val="06257349"/>
    <w:rsid w:val="065165EA"/>
    <w:rsid w:val="06976AC0"/>
    <w:rsid w:val="069778EF"/>
    <w:rsid w:val="06AD6F44"/>
    <w:rsid w:val="06D870D9"/>
    <w:rsid w:val="06D91237"/>
    <w:rsid w:val="0777244E"/>
    <w:rsid w:val="07E16D00"/>
    <w:rsid w:val="085D4A47"/>
    <w:rsid w:val="08915665"/>
    <w:rsid w:val="09016473"/>
    <w:rsid w:val="096802A0"/>
    <w:rsid w:val="098826F0"/>
    <w:rsid w:val="09A27906"/>
    <w:rsid w:val="09A92503"/>
    <w:rsid w:val="09D41DD9"/>
    <w:rsid w:val="0A014209"/>
    <w:rsid w:val="0A486323"/>
    <w:rsid w:val="0A7F6940"/>
    <w:rsid w:val="0AB319EF"/>
    <w:rsid w:val="0ABB6AF5"/>
    <w:rsid w:val="0B012EF4"/>
    <w:rsid w:val="0B1641CF"/>
    <w:rsid w:val="0B464611"/>
    <w:rsid w:val="0B8D0492"/>
    <w:rsid w:val="0BCD6AE0"/>
    <w:rsid w:val="0C05627A"/>
    <w:rsid w:val="0C2866A8"/>
    <w:rsid w:val="0C2A3F33"/>
    <w:rsid w:val="0C9358E9"/>
    <w:rsid w:val="0D447276"/>
    <w:rsid w:val="0D5400D3"/>
    <w:rsid w:val="0DA47D15"/>
    <w:rsid w:val="0DEF71E2"/>
    <w:rsid w:val="0E6B438E"/>
    <w:rsid w:val="0E787D9A"/>
    <w:rsid w:val="0E7B6CC7"/>
    <w:rsid w:val="0EEE56EB"/>
    <w:rsid w:val="0F264E85"/>
    <w:rsid w:val="0F3F1AA3"/>
    <w:rsid w:val="0F977B31"/>
    <w:rsid w:val="0FA4224E"/>
    <w:rsid w:val="0FC24482"/>
    <w:rsid w:val="0FCC70AF"/>
    <w:rsid w:val="10207B26"/>
    <w:rsid w:val="10A122E9"/>
    <w:rsid w:val="10B55BD2"/>
    <w:rsid w:val="10E5667A"/>
    <w:rsid w:val="10F92232"/>
    <w:rsid w:val="11050ACA"/>
    <w:rsid w:val="113F222E"/>
    <w:rsid w:val="114B4815"/>
    <w:rsid w:val="116021A5"/>
    <w:rsid w:val="11765524"/>
    <w:rsid w:val="117D68B3"/>
    <w:rsid w:val="12492C39"/>
    <w:rsid w:val="12751C80"/>
    <w:rsid w:val="129E2F84"/>
    <w:rsid w:val="12E60488"/>
    <w:rsid w:val="13220D35"/>
    <w:rsid w:val="13385187"/>
    <w:rsid w:val="133941A4"/>
    <w:rsid w:val="1374267F"/>
    <w:rsid w:val="13954387"/>
    <w:rsid w:val="13AA55D0"/>
    <w:rsid w:val="13B30CB1"/>
    <w:rsid w:val="14262E9B"/>
    <w:rsid w:val="1448764C"/>
    <w:rsid w:val="14860174"/>
    <w:rsid w:val="14CF38C9"/>
    <w:rsid w:val="14EA425F"/>
    <w:rsid w:val="15270ED2"/>
    <w:rsid w:val="16314110"/>
    <w:rsid w:val="16CB00C0"/>
    <w:rsid w:val="16D231FD"/>
    <w:rsid w:val="175C51BC"/>
    <w:rsid w:val="17667DE9"/>
    <w:rsid w:val="17A252C5"/>
    <w:rsid w:val="184B14B9"/>
    <w:rsid w:val="184C6FDF"/>
    <w:rsid w:val="19145D4E"/>
    <w:rsid w:val="19792055"/>
    <w:rsid w:val="19C975F4"/>
    <w:rsid w:val="19D922E4"/>
    <w:rsid w:val="1A0F4768"/>
    <w:rsid w:val="1B124510"/>
    <w:rsid w:val="1B1871EC"/>
    <w:rsid w:val="1B2E6E70"/>
    <w:rsid w:val="1BBE01F3"/>
    <w:rsid w:val="1C042A47"/>
    <w:rsid w:val="1C27223D"/>
    <w:rsid w:val="1C6568C1"/>
    <w:rsid w:val="1C6F14EE"/>
    <w:rsid w:val="1CD31A7D"/>
    <w:rsid w:val="1CE7377A"/>
    <w:rsid w:val="1D354B31"/>
    <w:rsid w:val="1D375805"/>
    <w:rsid w:val="1D696095"/>
    <w:rsid w:val="1D9F5E03"/>
    <w:rsid w:val="1DCF7E7B"/>
    <w:rsid w:val="1DF45440"/>
    <w:rsid w:val="1DFFE2F4"/>
    <w:rsid w:val="1E360515"/>
    <w:rsid w:val="1E49223A"/>
    <w:rsid w:val="1F506AF3"/>
    <w:rsid w:val="1F6D440A"/>
    <w:rsid w:val="1F777037"/>
    <w:rsid w:val="1F792DAF"/>
    <w:rsid w:val="1FC87ED5"/>
    <w:rsid w:val="1FE60E0C"/>
    <w:rsid w:val="1FF95C9E"/>
    <w:rsid w:val="205639D9"/>
    <w:rsid w:val="209B6D55"/>
    <w:rsid w:val="212B632B"/>
    <w:rsid w:val="21A25092"/>
    <w:rsid w:val="21CB7332"/>
    <w:rsid w:val="21EE3B1D"/>
    <w:rsid w:val="224C6559"/>
    <w:rsid w:val="22C205C9"/>
    <w:rsid w:val="22C73E32"/>
    <w:rsid w:val="235F050E"/>
    <w:rsid w:val="238735C1"/>
    <w:rsid w:val="23B419B2"/>
    <w:rsid w:val="23CB5BA3"/>
    <w:rsid w:val="2402279F"/>
    <w:rsid w:val="245C4A4D"/>
    <w:rsid w:val="24747FE9"/>
    <w:rsid w:val="2481624A"/>
    <w:rsid w:val="24975A86"/>
    <w:rsid w:val="25205A7B"/>
    <w:rsid w:val="25451D61"/>
    <w:rsid w:val="256C447C"/>
    <w:rsid w:val="25A4365F"/>
    <w:rsid w:val="262571A0"/>
    <w:rsid w:val="266B45B7"/>
    <w:rsid w:val="26B96187"/>
    <w:rsid w:val="27181100"/>
    <w:rsid w:val="27195933"/>
    <w:rsid w:val="27225ADA"/>
    <w:rsid w:val="27501E4D"/>
    <w:rsid w:val="2767173F"/>
    <w:rsid w:val="27764078"/>
    <w:rsid w:val="28104596"/>
    <w:rsid w:val="282910EA"/>
    <w:rsid w:val="28475EC8"/>
    <w:rsid w:val="285C501C"/>
    <w:rsid w:val="285D2B42"/>
    <w:rsid w:val="28724840"/>
    <w:rsid w:val="287904D3"/>
    <w:rsid w:val="28C759B8"/>
    <w:rsid w:val="28D70B46"/>
    <w:rsid w:val="29125B79"/>
    <w:rsid w:val="291458F7"/>
    <w:rsid w:val="293E4AE9"/>
    <w:rsid w:val="2973086F"/>
    <w:rsid w:val="29B03871"/>
    <w:rsid w:val="29E277A3"/>
    <w:rsid w:val="29EE439A"/>
    <w:rsid w:val="2A135BAE"/>
    <w:rsid w:val="2AD71E4C"/>
    <w:rsid w:val="2AE86391"/>
    <w:rsid w:val="2B165956"/>
    <w:rsid w:val="2B277B63"/>
    <w:rsid w:val="2B54022C"/>
    <w:rsid w:val="2B8330C6"/>
    <w:rsid w:val="2BD22673"/>
    <w:rsid w:val="2BDD303A"/>
    <w:rsid w:val="2C04047F"/>
    <w:rsid w:val="2C063C1D"/>
    <w:rsid w:val="2C2777F2"/>
    <w:rsid w:val="2C484235"/>
    <w:rsid w:val="2C646B95"/>
    <w:rsid w:val="2CCE2260"/>
    <w:rsid w:val="2D1063D5"/>
    <w:rsid w:val="2D214A86"/>
    <w:rsid w:val="2D765371"/>
    <w:rsid w:val="2DA21723"/>
    <w:rsid w:val="2DC518B5"/>
    <w:rsid w:val="2DD85145"/>
    <w:rsid w:val="2DFC3ADD"/>
    <w:rsid w:val="2DFD4BAB"/>
    <w:rsid w:val="2E3A5DFF"/>
    <w:rsid w:val="2EC708BB"/>
    <w:rsid w:val="2EF44200"/>
    <w:rsid w:val="2FF38A33"/>
    <w:rsid w:val="30662EDC"/>
    <w:rsid w:val="30BA3228"/>
    <w:rsid w:val="312B5ED3"/>
    <w:rsid w:val="314C0307"/>
    <w:rsid w:val="316136A3"/>
    <w:rsid w:val="31DE5A06"/>
    <w:rsid w:val="32146967"/>
    <w:rsid w:val="3227641B"/>
    <w:rsid w:val="32342B66"/>
    <w:rsid w:val="329655CE"/>
    <w:rsid w:val="32BB09D9"/>
    <w:rsid w:val="32CC7242"/>
    <w:rsid w:val="330B558D"/>
    <w:rsid w:val="33182487"/>
    <w:rsid w:val="337551E4"/>
    <w:rsid w:val="33BF2BC8"/>
    <w:rsid w:val="33D04B10"/>
    <w:rsid w:val="340B0788"/>
    <w:rsid w:val="3411756B"/>
    <w:rsid w:val="345614B9"/>
    <w:rsid w:val="34696D48"/>
    <w:rsid w:val="3491429F"/>
    <w:rsid w:val="350C2728"/>
    <w:rsid w:val="35966B53"/>
    <w:rsid w:val="35F34347"/>
    <w:rsid w:val="35FA5E74"/>
    <w:rsid w:val="36327701"/>
    <w:rsid w:val="36370E76"/>
    <w:rsid w:val="36A83449"/>
    <w:rsid w:val="36B87504"/>
    <w:rsid w:val="36D466C5"/>
    <w:rsid w:val="36F62AE0"/>
    <w:rsid w:val="36F73E43"/>
    <w:rsid w:val="370A0339"/>
    <w:rsid w:val="374F5634"/>
    <w:rsid w:val="375810A4"/>
    <w:rsid w:val="37585548"/>
    <w:rsid w:val="376E09B0"/>
    <w:rsid w:val="377203B8"/>
    <w:rsid w:val="37796963"/>
    <w:rsid w:val="37CB7AC8"/>
    <w:rsid w:val="37F94635"/>
    <w:rsid w:val="386D1C23"/>
    <w:rsid w:val="388F42A0"/>
    <w:rsid w:val="38E97FB1"/>
    <w:rsid w:val="392171A7"/>
    <w:rsid w:val="3934169D"/>
    <w:rsid w:val="39422795"/>
    <w:rsid w:val="39504729"/>
    <w:rsid w:val="39A14F85"/>
    <w:rsid w:val="39A46823"/>
    <w:rsid w:val="39F07CBA"/>
    <w:rsid w:val="3A060CE4"/>
    <w:rsid w:val="3A406637"/>
    <w:rsid w:val="3A6366DE"/>
    <w:rsid w:val="3A8744A4"/>
    <w:rsid w:val="3AF17846"/>
    <w:rsid w:val="3B210111"/>
    <w:rsid w:val="3B4C0F20"/>
    <w:rsid w:val="3B4F7999"/>
    <w:rsid w:val="3B8B7C9A"/>
    <w:rsid w:val="3C214E1E"/>
    <w:rsid w:val="3D006466"/>
    <w:rsid w:val="3D6B3A47"/>
    <w:rsid w:val="3DEEFFBE"/>
    <w:rsid w:val="3E1675C3"/>
    <w:rsid w:val="3E6447D3"/>
    <w:rsid w:val="3E8100AB"/>
    <w:rsid w:val="3F141C58"/>
    <w:rsid w:val="3F3348D1"/>
    <w:rsid w:val="3F7FCEE9"/>
    <w:rsid w:val="3F9B7174"/>
    <w:rsid w:val="3FDF4A61"/>
    <w:rsid w:val="3FFA644F"/>
    <w:rsid w:val="3FFA719D"/>
    <w:rsid w:val="401656C8"/>
    <w:rsid w:val="407C02A4"/>
    <w:rsid w:val="40D551E1"/>
    <w:rsid w:val="40FA31CC"/>
    <w:rsid w:val="4101455B"/>
    <w:rsid w:val="41432DC5"/>
    <w:rsid w:val="41792343"/>
    <w:rsid w:val="41AE6491"/>
    <w:rsid w:val="41C07F72"/>
    <w:rsid w:val="421309EA"/>
    <w:rsid w:val="4219639C"/>
    <w:rsid w:val="42C256EF"/>
    <w:rsid w:val="43911BC6"/>
    <w:rsid w:val="43B933CB"/>
    <w:rsid w:val="43C04259"/>
    <w:rsid w:val="43F263DD"/>
    <w:rsid w:val="443F1622"/>
    <w:rsid w:val="444E5D09"/>
    <w:rsid w:val="446E70C1"/>
    <w:rsid w:val="44817E8C"/>
    <w:rsid w:val="44A1408B"/>
    <w:rsid w:val="45107462"/>
    <w:rsid w:val="453C0257"/>
    <w:rsid w:val="4565724F"/>
    <w:rsid w:val="45982C79"/>
    <w:rsid w:val="45F02883"/>
    <w:rsid w:val="46623CEE"/>
    <w:rsid w:val="4689127A"/>
    <w:rsid w:val="46B02CAB"/>
    <w:rsid w:val="47024B89"/>
    <w:rsid w:val="47B37D01"/>
    <w:rsid w:val="47CA7D9C"/>
    <w:rsid w:val="47ED3A8B"/>
    <w:rsid w:val="47F00E85"/>
    <w:rsid w:val="480E41EB"/>
    <w:rsid w:val="486F44A0"/>
    <w:rsid w:val="495C2C76"/>
    <w:rsid w:val="498B355B"/>
    <w:rsid w:val="498C6FF4"/>
    <w:rsid w:val="49DF11B1"/>
    <w:rsid w:val="4A1C41B3"/>
    <w:rsid w:val="4A484FA8"/>
    <w:rsid w:val="4A655B5A"/>
    <w:rsid w:val="4A6F2535"/>
    <w:rsid w:val="4A897A9B"/>
    <w:rsid w:val="4AC76815"/>
    <w:rsid w:val="4AE66C9B"/>
    <w:rsid w:val="4AF86B2F"/>
    <w:rsid w:val="4BA3693A"/>
    <w:rsid w:val="4BDA4326"/>
    <w:rsid w:val="4BEE392E"/>
    <w:rsid w:val="4C0849EF"/>
    <w:rsid w:val="4C1635B0"/>
    <w:rsid w:val="4C9646F1"/>
    <w:rsid w:val="4CE22EB2"/>
    <w:rsid w:val="4D834C75"/>
    <w:rsid w:val="4DB12E65"/>
    <w:rsid w:val="4E6A5F74"/>
    <w:rsid w:val="4EB35D82"/>
    <w:rsid w:val="4EEA4880"/>
    <w:rsid w:val="4F18763F"/>
    <w:rsid w:val="4F2A6C36"/>
    <w:rsid w:val="4F50502B"/>
    <w:rsid w:val="4F6208BA"/>
    <w:rsid w:val="4F7C7BCE"/>
    <w:rsid w:val="4FB53235"/>
    <w:rsid w:val="4FBC621D"/>
    <w:rsid w:val="4FC74BC1"/>
    <w:rsid w:val="4FEE214E"/>
    <w:rsid w:val="4FFBFB5F"/>
    <w:rsid w:val="507D68BF"/>
    <w:rsid w:val="508605D9"/>
    <w:rsid w:val="508B3E41"/>
    <w:rsid w:val="50C57353"/>
    <w:rsid w:val="50FE2865"/>
    <w:rsid w:val="51312429"/>
    <w:rsid w:val="518634B0"/>
    <w:rsid w:val="518A5EA7"/>
    <w:rsid w:val="51DA0BDC"/>
    <w:rsid w:val="53346859"/>
    <w:rsid w:val="53377948"/>
    <w:rsid w:val="53386C00"/>
    <w:rsid w:val="5392744A"/>
    <w:rsid w:val="539354E6"/>
    <w:rsid w:val="53C733E2"/>
    <w:rsid w:val="54624EB9"/>
    <w:rsid w:val="54880DC3"/>
    <w:rsid w:val="54EA7388"/>
    <w:rsid w:val="54FE2E33"/>
    <w:rsid w:val="55006F39"/>
    <w:rsid w:val="56CA56C3"/>
    <w:rsid w:val="56CB31E9"/>
    <w:rsid w:val="56E95231"/>
    <w:rsid w:val="56EB0E6E"/>
    <w:rsid w:val="5753390A"/>
    <w:rsid w:val="57633422"/>
    <w:rsid w:val="57743881"/>
    <w:rsid w:val="57825F9E"/>
    <w:rsid w:val="57B146E2"/>
    <w:rsid w:val="58247055"/>
    <w:rsid w:val="585D282E"/>
    <w:rsid w:val="58873140"/>
    <w:rsid w:val="58893338"/>
    <w:rsid w:val="588A7BF2"/>
    <w:rsid w:val="58B33F35"/>
    <w:rsid w:val="58D26A3F"/>
    <w:rsid w:val="590824D3"/>
    <w:rsid w:val="59235F93"/>
    <w:rsid w:val="593257A1"/>
    <w:rsid w:val="5976568E"/>
    <w:rsid w:val="598558D1"/>
    <w:rsid w:val="5A1466DA"/>
    <w:rsid w:val="5ACB7C5C"/>
    <w:rsid w:val="5AE14D89"/>
    <w:rsid w:val="5B1809F6"/>
    <w:rsid w:val="5B3F5F54"/>
    <w:rsid w:val="5B8A5421"/>
    <w:rsid w:val="5CE07ABA"/>
    <w:rsid w:val="5D177188"/>
    <w:rsid w:val="5D58591A"/>
    <w:rsid w:val="5D685F6B"/>
    <w:rsid w:val="5D8977E8"/>
    <w:rsid w:val="5D8B5480"/>
    <w:rsid w:val="5DE1109B"/>
    <w:rsid w:val="5E421FE3"/>
    <w:rsid w:val="5E4A1347"/>
    <w:rsid w:val="5EAA067C"/>
    <w:rsid w:val="5F06397B"/>
    <w:rsid w:val="5F335AED"/>
    <w:rsid w:val="5F4955F3"/>
    <w:rsid w:val="5FB270B9"/>
    <w:rsid w:val="600734E4"/>
    <w:rsid w:val="60716BAF"/>
    <w:rsid w:val="607B17DC"/>
    <w:rsid w:val="60B42F40"/>
    <w:rsid w:val="60BA2331"/>
    <w:rsid w:val="619060AB"/>
    <w:rsid w:val="621C0D9D"/>
    <w:rsid w:val="62744735"/>
    <w:rsid w:val="631F3AD8"/>
    <w:rsid w:val="634E4F86"/>
    <w:rsid w:val="636B1DF5"/>
    <w:rsid w:val="63860BC4"/>
    <w:rsid w:val="63BF7C32"/>
    <w:rsid w:val="63CD0301"/>
    <w:rsid w:val="63FF2724"/>
    <w:rsid w:val="640B2E77"/>
    <w:rsid w:val="651F6F29"/>
    <w:rsid w:val="65A6554D"/>
    <w:rsid w:val="65DA51F7"/>
    <w:rsid w:val="65F37142"/>
    <w:rsid w:val="66044022"/>
    <w:rsid w:val="66783D95"/>
    <w:rsid w:val="669E4476"/>
    <w:rsid w:val="66AB26EF"/>
    <w:rsid w:val="66FB71D3"/>
    <w:rsid w:val="674943E2"/>
    <w:rsid w:val="67841E1D"/>
    <w:rsid w:val="67850177"/>
    <w:rsid w:val="679A69EC"/>
    <w:rsid w:val="688469F2"/>
    <w:rsid w:val="68D423D1"/>
    <w:rsid w:val="68EC49A5"/>
    <w:rsid w:val="690F11B3"/>
    <w:rsid w:val="694D5CE0"/>
    <w:rsid w:val="69B8584F"/>
    <w:rsid w:val="69BD2E65"/>
    <w:rsid w:val="6A6F7C76"/>
    <w:rsid w:val="6AAC3883"/>
    <w:rsid w:val="6B2D5653"/>
    <w:rsid w:val="6B59096C"/>
    <w:rsid w:val="6BDA3BAF"/>
    <w:rsid w:val="6BF62012"/>
    <w:rsid w:val="6C2947E2"/>
    <w:rsid w:val="6C6B4DFB"/>
    <w:rsid w:val="6DFA1AA7"/>
    <w:rsid w:val="6E366386"/>
    <w:rsid w:val="6EC66318"/>
    <w:rsid w:val="6F651FD5"/>
    <w:rsid w:val="707F0E75"/>
    <w:rsid w:val="70876A3A"/>
    <w:rsid w:val="71357785"/>
    <w:rsid w:val="713F6856"/>
    <w:rsid w:val="71467BE4"/>
    <w:rsid w:val="71771B4C"/>
    <w:rsid w:val="71B11502"/>
    <w:rsid w:val="71C90F7D"/>
    <w:rsid w:val="71F9130C"/>
    <w:rsid w:val="722A245C"/>
    <w:rsid w:val="72765F2F"/>
    <w:rsid w:val="72C47013"/>
    <w:rsid w:val="72E17BC5"/>
    <w:rsid w:val="730362C7"/>
    <w:rsid w:val="73076EFF"/>
    <w:rsid w:val="733F48EB"/>
    <w:rsid w:val="7399224D"/>
    <w:rsid w:val="73CF2113"/>
    <w:rsid w:val="73F60282"/>
    <w:rsid w:val="73FE47A6"/>
    <w:rsid w:val="74827185"/>
    <w:rsid w:val="749D4F4E"/>
    <w:rsid w:val="74CB0B2C"/>
    <w:rsid w:val="754200FE"/>
    <w:rsid w:val="7553467E"/>
    <w:rsid w:val="758B02BC"/>
    <w:rsid w:val="7599579A"/>
    <w:rsid w:val="764D37C3"/>
    <w:rsid w:val="76634D94"/>
    <w:rsid w:val="76860BDC"/>
    <w:rsid w:val="76C752D5"/>
    <w:rsid w:val="76DF266D"/>
    <w:rsid w:val="76F45266"/>
    <w:rsid w:val="77B70362"/>
    <w:rsid w:val="77F9028B"/>
    <w:rsid w:val="78211C7C"/>
    <w:rsid w:val="78372035"/>
    <w:rsid w:val="785B5D23"/>
    <w:rsid w:val="785E2DBB"/>
    <w:rsid w:val="78A43B6E"/>
    <w:rsid w:val="78AC47D1"/>
    <w:rsid w:val="78ED1061"/>
    <w:rsid w:val="790E3535"/>
    <w:rsid w:val="79164340"/>
    <w:rsid w:val="79254583"/>
    <w:rsid w:val="798D4602"/>
    <w:rsid w:val="79B449DA"/>
    <w:rsid w:val="79F53F55"/>
    <w:rsid w:val="7A8377B3"/>
    <w:rsid w:val="7A951295"/>
    <w:rsid w:val="7AB67B89"/>
    <w:rsid w:val="7AC52B1C"/>
    <w:rsid w:val="7AE77D42"/>
    <w:rsid w:val="7AE85868"/>
    <w:rsid w:val="7B6FEBF9"/>
    <w:rsid w:val="7B8228A1"/>
    <w:rsid w:val="7B8E2585"/>
    <w:rsid w:val="7BA565E4"/>
    <w:rsid w:val="7C10151B"/>
    <w:rsid w:val="7C10780F"/>
    <w:rsid w:val="7C5C2218"/>
    <w:rsid w:val="7C6B6751"/>
    <w:rsid w:val="7DA22646"/>
    <w:rsid w:val="7DA41F1A"/>
    <w:rsid w:val="7DD10836"/>
    <w:rsid w:val="7DE62533"/>
    <w:rsid w:val="7E413C0D"/>
    <w:rsid w:val="7E955D07"/>
    <w:rsid w:val="7EB0669D"/>
    <w:rsid w:val="7F1D01D6"/>
    <w:rsid w:val="7F3E014D"/>
    <w:rsid w:val="7F9F6E3D"/>
    <w:rsid w:val="7FA3A642"/>
    <w:rsid w:val="7FAC3308"/>
    <w:rsid w:val="7FEC1957"/>
    <w:rsid w:val="B17D10A0"/>
    <w:rsid w:val="BFDE49AF"/>
    <w:rsid w:val="C9FF898E"/>
    <w:rsid w:val="E7DFCB21"/>
    <w:rsid w:val="ED2FB02A"/>
    <w:rsid w:val="EFF74613"/>
    <w:rsid w:val="FAEB5E82"/>
    <w:rsid w:val="FEA78EB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qFormat="1" w:unhideWhenUsed="0" w:uiPriority="99" w:semiHidden="0" w:name="table of figures"/>
    <w:lsdException w:uiPriority="99" w:name="envelope address" w:locked="1"/>
    <w:lsdException w:uiPriority="99" w:name="envelope return" w:locked="1"/>
    <w:lsdException w:qFormat="1" w:unhideWhenUsed="0" w:uiPriority="99" w:semiHidden="0" w:name="footnote reference"/>
    <w:lsdException w:qFormat="1" w:unhideWhenUsed="0" w:uiPriority="0" w:semiHidden="0" w:name="annotation reference"/>
    <w:lsdException w:uiPriority="99" w:name="line number" w:locked="1"/>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qFormat="1" w:unhideWhenUsed="0" w:uiPriority="0" w:semiHidden="0"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3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afterLines="50" w:line="360" w:lineRule="auto"/>
      <w:ind w:firstLine="480"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55"/>
    <w:qFormat/>
    <w:uiPriority w:val="99"/>
    <w:pPr>
      <w:keepNext/>
      <w:keepLines/>
      <w:spacing w:before="340" w:after="330" w:line="578" w:lineRule="auto"/>
      <w:outlineLvl w:val="0"/>
    </w:pPr>
    <w:rPr>
      <w:rFonts w:ascii="Calibri" w:hAnsi="Calibri"/>
      <w:b/>
      <w:bCs/>
      <w:kern w:val="44"/>
      <w:sz w:val="44"/>
      <w:szCs w:val="44"/>
    </w:rPr>
  </w:style>
  <w:style w:type="paragraph" w:styleId="2">
    <w:name w:val="heading 2"/>
    <w:basedOn w:val="1"/>
    <w:next w:val="1"/>
    <w:link w:val="56"/>
    <w:qFormat/>
    <w:uiPriority w:val="9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6" w:lineRule="auto"/>
      <w:outlineLvl w:val="2"/>
    </w:pPr>
    <w:rPr>
      <w:rFonts w:ascii="Calibri" w:hAnsi="Calibri"/>
      <w:b/>
      <w:bCs/>
      <w:kern w:val="0"/>
      <w:sz w:val="32"/>
      <w:szCs w:val="32"/>
    </w:rPr>
  </w:style>
  <w:style w:type="paragraph" w:styleId="5">
    <w:name w:val="heading 4"/>
    <w:basedOn w:val="1"/>
    <w:next w:val="1"/>
    <w:link w:val="58"/>
    <w:qFormat/>
    <w:uiPriority w:val="9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9"/>
    <w:qFormat/>
    <w:uiPriority w:val="99"/>
    <w:pPr>
      <w:keepNext/>
      <w:keepLines/>
      <w:spacing w:before="280" w:after="290" w:line="376" w:lineRule="auto"/>
      <w:outlineLvl w:val="4"/>
    </w:pPr>
    <w:rPr>
      <w:b/>
      <w:bCs/>
      <w:sz w:val="28"/>
      <w:szCs w:val="28"/>
    </w:rPr>
  </w:style>
  <w:style w:type="paragraph" w:styleId="7">
    <w:name w:val="heading 6"/>
    <w:basedOn w:val="1"/>
    <w:next w:val="1"/>
    <w:link w:val="60"/>
    <w:qFormat/>
    <w:uiPriority w:val="99"/>
    <w:pPr>
      <w:widowControl/>
      <w:tabs>
        <w:tab w:val="left" w:pos="1152"/>
      </w:tabs>
      <w:ind w:left="1152" w:hanging="1152"/>
      <w:jc w:val="left"/>
      <w:outlineLvl w:val="5"/>
    </w:pPr>
    <w:rPr>
      <w:rFonts w:ascii="Arial" w:hAnsi="Arial"/>
      <w:i/>
      <w:kern w:val="0"/>
      <w:sz w:val="22"/>
      <w:szCs w:val="20"/>
      <w:lang w:val="en-GB" w:eastAsia="en-US"/>
    </w:rPr>
  </w:style>
  <w:style w:type="paragraph" w:styleId="8">
    <w:name w:val="heading 7"/>
    <w:basedOn w:val="1"/>
    <w:next w:val="1"/>
    <w:link w:val="61"/>
    <w:qFormat/>
    <w:uiPriority w:val="99"/>
    <w:pPr>
      <w:widowControl/>
      <w:tabs>
        <w:tab w:val="left" w:pos="1296"/>
      </w:tabs>
      <w:ind w:left="1296" w:hanging="1296"/>
      <w:jc w:val="left"/>
      <w:outlineLvl w:val="6"/>
    </w:pPr>
    <w:rPr>
      <w:rFonts w:ascii="Arial" w:hAnsi="Arial"/>
      <w:kern w:val="0"/>
      <w:sz w:val="18"/>
      <w:szCs w:val="20"/>
      <w:lang w:val="en-GB" w:eastAsia="en-US"/>
    </w:rPr>
  </w:style>
  <w:style w:type="paragraph" w:styleId="9">
    <w:name w:val="heading 8"/>
    <w:basedOn w:val="1"/>
    <w:next w:val="1"/>
    <w:link w:val="62"/>
    <w:qFormat/>
    <w:uiPriority w:val="99"/>
    <w:pPr>
      <w:widowControl/>
      <w:tabs>
        <w:tab w:val="left" w:pos="1440"/>
      </w:tabs>
      <w:ind w:left="1440" w:hanging="1440"/>
      <w:jc w:val="left"/>
      <w:outlineLvl w:val="7"/>
    </w:pPr>
    <w:rPr>
      <w:rFonts w:ascii="Arial" w:hAnsi="Arial"/>
      <w:i/>
      <w:kern w:val="0"/>
      <w:sz w:val="18"/>
      <w:szCs w:val="20"/>
      <w:lang w:val="en-GB" w:eastAsia="en-US"/>
    </w:rPr>
  </w:style>
  <w:style w:type="paragraph" w:styleId="10">
    <w:name w:val="heading 9"/>
    <w:basedOn w:val="1"/>
    <w:next w:val="1"/>
    <w:link w:val="63"/>
    <w:qFormat/>
    <w:uiPriority w:val="99"/>
    <w:pPr>
      <w:widowControl/>
      <w:tabs>
        <w:tab w:val="left" w:pos="1584"/>
      </w:tabs>
      <w:ind w:left="1584" w:hanging="1584"/>
      <w:jc w:val="left"/>
      <w:outlineLvl w:val="8"/>
    </w:pPr>
    <w:rPr>
      <w:rFonts w:ascii="Arial" w:hAnsi="Arial"/>
      <w:b/>
      <w:i/>
      <w:kern w:val="0"/>
      <w:sz w:val="18"/>
      <w:szCs w:val="20"/>
      <w:lang w:val="en-GB" w:eastAsia="en-US"/>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link w:val="159"/>
    <w:qFormat/>
    <w:uiPriority w:val="99"/>
    <w:pPr>
      <w:ind w:firstLine="420"/>
    </w:pPr>
    <w:rPr>
      <w:rFonts w:ascii="仿宋_GB2312" w:eastAsia="仿宋_GB2312"/>
      <w:sz w:val="28"/>
      <w:szCs w:val="20"/>
    </w:rPr>
  </w:style>
  <w:style w:type="paragraph" w:styleId="13">
    <w:name w:val="caption"/>
    <w:basedOn w:val="1"/>
    <w:next w:val="1"/>
    <w:qFormat/>
    <w:uiPriority w:val="99"/>
    <w:rPr>
      <w:rFonts w:ascii="Arial" w:hAnsi="Arial" w:eastAsia="黑体"/>
      <w:sz w:val="20"/>
      <w:szCs w:val="20"/>
      <w:lang w:val="zh-CN"/>
    </w:rPr>
  </w:style>
  <w:style w:type="paragraph" w:styleId="14">
    <w:name w:val="Document Map"/>
    <w:basedOn w:val="1"/>
    <w:link w:val="66"/>
    <w:qFormat/>
    <w:uiPriority w:val="99"/>
    <w:rPr>
      <w:rFonts w:ascii="宋体" w:hAnsi="Calibri"/>
      <w:kern w:val="0"/>
      <w:sz w:val="18"/>
      <w:szCs w:val="18"/>
    </w:rPr>
  </w:style>
  <w:style w:type="paragraph" w:styleId="15">
    <w:name w:val="annotation text"/>
    <w:basedOn w:val="1"/>
    <w:link w:val="64"/>
    <w:qFormat/>
    <w:uiPriority w:val="99"/>
    <w:pPr>
      <w:ind w:firstLine="560"/>
      <w:jc w:val="left"/>
    </w:pPr>
    <w:rPr>
      <w:sz w:val="28"/>
      <w:szCs w:val="28"/>
    </w:rPr>
  </w:style>
  <w:style w:type="paragraph" w:styleId="16">
    <w:name w:val="Body Text"/>
    <w:basedOn w:val="1"/>
    <w:link w:val="67"/>
    <w:qFormat/>
    <w:uiPriority w:val="99"/>
    <w:pPr>
      <w:spacing w:after="120"/>
    </w:pPr>
    <w:rPr>
      <w:rFonts w:ascii="仿宋_GB2312"/>
      <w:sz w:val="28"/>
      <w:szCs w:val="28"/>
      <w:lang w:val="zh-CN"/>
    </w:rPr>
  </w:style>
  <w:style w:type="paragraph" w:styleId="17">
    <w:name w:val="Body Text Indent"/>
    <w:basedOn w:val="1"/>
    <w:link w:val="68"/>
    <w:qFormat/>
    <w:uiPriority w:val="99"/>
    <w:pPr>
      <w:spacing w:after="120"/>
      <w:ind w:left="420" w:leftChars="200"/>
    </w:pPr>
  </w:style>
  <w:style w:type="paragraph" w:styleId="18">
    <w:name w:val="toc 5"/>
    <w:basedOn w:val="1"/>
    <w:next w:val="1"/>
    <w:qFormat/>
    <w:uiPriority w:val="99"/>
    <w:pPr>
      <w:ind w:left="1680" w:leftChars="800"/>
    </w:pPr>
    <w:rPr>
      <w:rFonts w:ascii="Calibri" w:hAnsi="Calibri"/>
      <w:szCs w:val="22"/>
    </w:rPr>
  </w:style>
  <w:style w:type="paragraph" w:styleId="19">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20">
    <w:name w:val="Plain Text"/>
    <w:basedOn w:val="1"/>
    <w:link w:val="69"/>
    <w:qFormat/>
    <w:uiPriority w:val="99"/>
    <w:rPr>
      <w:rFonts w:ascii="宋体" w:hAnsi="Courier New"/>
      <w:kern w:val="0"/>
      <w:sz w:val="20"/>
      <w:szCs w:val="20"/>
    </w:rPr>
  </w:style>
  <w:style w:type="paragraph" w:styleId="21">
    <w:name w:val="toc 8"/>
    <w:basedOn w:val="1"/>
    <w:next w:val="1"/>
    <w:qFormat/>
    <w:uiPriority w:val="99"/>
    <w:pPr>
      <w:ind w:left="2940" w:leftChars="1400"/>
    </w:pPr>
    <w:rPr>
      <w:rFonts w:ascii="Calibri" w:hAnsi="Calibri"/>
      <w:szCs w:val="22"/>
    </w:rPr>
  </w:style>
  <w:style w:type="paragraph" w:styleId="22">
    <w:name w:val="Date"/>
    <w:basedOn w:val="1"/>
    <w:next w:val="1"/>
    <w:link w:val="70"/>
    <w:qFormat/>
    <w:uiPriority w:val="99"/>
    <w:rPr>
      <w:rFonts w:ascii="宋体" w:hAnsi="等线"/>
      <w:kern w:val="0"/>
      <w:sz w:val="20"/>
      <w:szCs w:val="20"/>
    </w:rPr>
  </w:style>
  <w:style w:type="paragraph" w:styleId="23">
    <w:name w:val="Body Text Indent 2"/>
    <w:basedOn w:val="1"/>
    <w:link w:val="71"/>
    <w:qFormat/>
    <w:uiPriority w:val="99"/>
    <w:pPr>
      <w:ind w:firstLine="482"/>
    </w:pPr>
    <w:rPr>
      <w:rFonts w:ascii="宋体"/>
      <w:kern w:val="144"/>
      <w:sz w:val="20"/>
      <w:szCs w:val="20"/>
    </w:rPr>
  </w:style>
  <w:style w:type="paragraph" w:styleId="24">
    <w:name w:val="endnote text"/>
    <w:basedOn w:val="1"/>
    <w:link w:val="72"/>
    <w:qFormat/>
    <w:uiPriority w:val="99"/>
    <w:pPr>
      <w:ind w:firstLine="560"/>
      <w:jc w:val="left"/>
    </w:pPr>
    <w:rPr>
      <w:sz w:val="28"/>
      <w:szCs w:val="28"/>
    </w:rPr>
  </w:style>
  <w:style w:type="paragraph" w:styleId="25">
    <w:name w:val="Balloon Text"/>
    <w:basedOn w:val="1"/>
    <w:link w:val="73"/>
    <w:qFormat/>
    <w:uiPriority w:val="99"/>
    <w:rPr>
      <w:rFonts w:ascii="Calibri" w:hAnsi="Calibri"/>
      <w:kern w:val="0"/>
      <w:sz w:val="18"/>
      <w:szCs w:val="18"/>
    </w:rPr>
  </w:style>
  <w:style w:type="paragraph" w:styleId="26">
    <w:name w:val="footer"/>
    <w:basedOn w:val="1"/>
    <w:link w:val="74"/>
    <w:qFormat/>
    <w:uiPriority w:val="99"/>
    <w:pPr>
      <w:tabs>
        <w:tab w:val="center" w:pos="4153"/>
        <w:tab w:val="right" w:pos="8306"/>
      </w:tabs>
      <w:jc w:val="left"/>
    </w:pPr>
    <w:rPr>
      <w:sz w:val="18"/>
      <w:szCs w:val="18"/>
    </w:rPr>
  </w:style>
  <w:style w:type="paragraph" w:styleId="27">
    <w:name w:val="header"/>
    <w:basedOn w:val="1"/>
    <w:link w:val="75"/>
    <w:qFormat/>
    <w:uiPriority w:val="99"/>
    <w:pPr>
      <w:pBdr>
        <w:bottom w:val="single" w:color="auto" w:sz="6" w:space="1"/>
      </w:pBdr>
      <w:tabs>
        <w:tab w:val="center" w:pos="4153"/>
        <w:tab w:val="right" w:pos="8306"/>
      </w:tabs>
      <w:jc w:val="center"/>
    </w:pPr>
    <w:rPr>
      <w:sz w:val="18"/>
      <w:szCs w:val="18"/>
    </w:rPr>
  </w:style>
  <w:style w:type="paragraph" w:styleId="28">
    <w:name w:val="toc 1"/>
    <w:basedOn w:val="1"/>
    <w:next w:val="1"/>
    <w:link w:val="164"/>
    <w:qFormat/>
    <w:uiPriority w:val="39"/>
    <w:pPr>
      <w:widowControl/>
      <w:spacing w:after="50" w:line="276" w:lineRule="auto"/>
      <w:jc w:val="left"/>
    </w:pPr>
    <w:rPr>
      <w:rFonts w:ascii="Calibri" w:hAnsi="Calibri"/>
      <w:b/>
      <w:kern w:val="0"/>
      <w:sz w:val="22"/>
      <w:szCs w:val="20"/>
    </w:rPr>
  </w:style>
  <w:style w:type="paragraph" w:styleId="29">
    <w:name w:val="toc 4"/>
    <w:basedOn w:val="1"/>
    <w:next w:val="1"/>
    <w:qFormat/>
    <w:uiPriority w:val="99"/>
    <w:pPr>
      <w:ind w:left="1260" w:leftChars="600"/>
    </w:pPr>
    <w:rPr>
      <w:rFonts w:ascii="Calibri" w:hAnsi="Calibri"/>
      <w:szCs w:val="22"/>
    </w:rPr>
  </w:style>
  <w:style w:type="paragraph" w:styleId="30">
    <w:name w:val="Subtitle"/>
    <w:basedOn w:val="1"/>
    <w:next w:val="1"/>
    <w:link w:val="76"/>
    <w:qFormat/>
    <w:uiPriority w:val="99"/>
    <w:pPr>
      <w:widowControl/>
      <w:tabs>
        <w:tab w:val="center" w:pos="4560"/>
      </w:tabs>
      <w:topLinePunct/>
      <w:spacing w:before="120"/>
      <w:jc w:val="center"/>
      <w:textAlignment w:val="baseline"/>
    </w:pPr>
    <w:rPr>
      <w:rFonts w:ascii="仿宋_GB2312" w:hAnsi="Georgia" w:eastAsia="宋体"/>
      <w:b/>
      <w:kern w:val="0"/>
      <w:sz w:val="44"/>
      <w:szCs w:val="20"/>
      <w:lang w:val="zh-CN"/>
    </w:rPr>
  </w:style>
  <w:style w:type="paragraph" w:styleId="31">
    <w:name w:val="footnote text"/>
    <w:basedOn w:val="1"/>
    <w:link w:val="77"/>
    <w:qFormat/>
    <w:uiPriority w:val="99"/>
    <w:pPr>
      <w:ind w:firstLine="560"/>
      <w:jc w:val="left"/>
    </w:pPr>
    <w:rPr>
      <w:sz w:val="18"/>
      <w:szCs w:val="18"/>
    </w:rPr>
  </w:style>
  <w:style w:type="paragraph" w:styleId="32">
    <w:name w:val="toc 6"/>
    <w:basedOn w:val="1"/>
    <w:next w:val="1"/>
    <w:qFormat/>
    <w:uiPriority w:val="99"/>
    <w:pPr>
      <w:ind w:left="2100" w:leftChars="1000"/>
    </w:pPr>
    <w:rPr>
      <w:rFonts w:ascii="Calibri" w:hAnsi="Calibri"/>
      <w:szCs w:val="22"/>
    </w:rPr>
  </w:style>
  <w:style w:type="paragraph" w:styleId="33">
    <w:name w:val="Body Text Indent 3"/>
    <w:basedOn w:val="1"/>
    <w:link w:val="78"/>
    <w:qFormat/>
    <w:uiPriority w:val="99"/>
    <w:pPr>
      <w:spacing w:after="120"/>
      <w:ind w:left="420" w:leftChars="200"/>
    </w:pPr>
    <w:rPr>
      <w:rFonts w:ascii="仿宋_GB2312" w:eastAsia="仿宋_GB2312"/>
      <w:sz w:val="16"/>
      <w:szCs w:val="16"/>
      <w:lang w:val="zh-CN"/>
    </w:rPr>
  </w:style>
  <w:style w:type="paragraph" w:styleId="34">
    <w:name w:val="table of figures"/>
    <w:basedOn w:val="1"/>
    <w:next w:val="1"/>
    <w:qFormat/>
    <w:uiPriority w:val="99"/>
    <w:pPr>
      <w:ind w:left="560" w:hanging="560"/>
      <w:jc w:val="left"/>
    </w:pPr>
    <w:rPr>
      <w:smallCaps/>
      <w:sz w:val="20"/>
    </w:rPr>
  </w:style>
  <w:style w:type="paragraph" w:styleId="35">
    <w:name w:val="toc 2"/>
    <w:basedOn w:val="1"/>
    <w:next w:val="1"/>
    <w:qFormat/>
    <w:uiPriority w:val="39"/>
    <w:pPr>
      <w:widowControl/>
      <w:tabs>
        <w:tab w:val="right" w:leader="dot" w:pos="8296"/>
      </w:tabs>
      <w:spacing w:after="50" w:line="276" w:lineRule="auto"/>
      <w:ind w:left="220"/>
      <w:jc w:val="left"/>
    </w:pPr>
    <w:rPr>
      <w:kern w:val="0"/>
      <w:sz w:val="22"/>
      <w:szCs w:val="22"/>
    </w:rPr>
  </w:style>
  <w:style w:type="paragraph" w:styleId="36">
    <w:name w:val="toc 9"/>
    <w:basedOn w:val="1"/>
    <w:next w:val="1"/>
    <w:qFormat/>
    <w:uiPriority w:val="99"/>
    <w:pPr>
      <w:ind w:left="3360" w:leftChars="1600"/>
    </w:pPr>
    <w:rPr>
      <w:rFonts w:ascii="Calibri" w:hAnsi="Calibri"/>
      <w:szCs w:val="22"/>
    </w:rPr>
  </w:style>
  <w:style w:type="paragraph" w:styleId="37">
    <w:name w:val="Body Text 2"/>
    <w:basedOn w:val="1"/>
    <w:link w:val="79"/>
    <w:qFormat/>
    <w:uiPriority w:val="99"/>
    <w:pPr>
      <w:spacing w:after="120" w:line="480" w:lineRule="auto"/>
    </w:pPr>
    <w:rPr>
      <w:kern w:val="0"/>
    </w:rPr>
  </w:style>
  <w:style w:type="paragraph" w:styleId="38">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cs="宋体"/>
      <w:kern w:val="0"/>
    </w:rPr>
  </w:style>
  <w:style w:type="paragraph" w:styleId="39">
    <w:name w:val="Normal (Web)"/>
    <w:basedOn w:val="1"/>
    <w:qFormat/>
    <w:uiPriority w:val="99"/>
    <w:pPr>
      <w:spacing w:beforeAutospacing="1" w:afterAutospacing="1"/>
      <w:jc w:val="left"/>
    </w:pPr>
    <w:rPr>
      <w:rFonts w:ascii="宋体" w:hAnsi="Calibri" w:cs="宋体"/>
      <w:kern w:val="0"/>
      <w:szCs w:val="22"/>
    </w:rPr>
  </w:style>
  <w:style w:type="paragraph" w:styleId="40">
    <w:name w:val="Title"/>
    <w:basedOn w:val="1"/>
    <w:link w:val="81"/>
    <w:qFormat/>
    <w:uiPriority w:val="99"/>
    <w:pPr>
      <w:spacing w:before="240" w:after="60"/>
      <w:jc w:val="center"/>
      <w:outlineLvl w:val="0"/>
    </w:pPr>
    <w:rPr>
      <w:rFonts w:ascii="Arial" w:hAnsi="Arial" w:eastAsia="黑体"/>
      <w:bCs/>
      <w:sz w:val="32"/>
      <w:szCs w:val="32"/>
      <w:lang w:val="zh-CN"/>
    </w:rPr>
  </w:style>
  <w:style w:type="paragraph" w:styleId="41">
    <w:name w:val="annotation subject"/>
    <w:basedOn w:val="15"/>
    <w:next w:val="15"/>
    <w:link w:val="65"/>
    <w:qFormat/>
    <w:uiPriority w:val="99"/>
    <w:rPr>
      <w:b/>
      <w:bCs/>
    </w:rPr>
  </w:style>
  <w:style w:type="table" w:styleId="43">
    <w:name w:val="Table Grid"/>
    <w:basedOn w:val="4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4">
    <w:name w:val="Table Grid 2"/>
    <w:basedOn w:val="42"/>
    <w:qFormat/>
    <w:locked/>
    <w:uiPriority w:val="0"/>
    <w:pPr>
      <w:widowControl w:val="0"/>
      <w:jc w:val="both"/>
    </w:pPr>
    <w:rPr>
      <w:rFonts w:ascii="Calibri" w:hAnsi="Calibri"/>
    </w:rPr>
    <w:tblPr>
      <w:tblBorders>
        <w:insideH w:val="single" w:color="000000" w:sz="6" w:space="0"/>
        <w:insideV w:val="single" w:color="000000" w:sz="6" w:space="0"/>
      </w:tblBorders>
    </w:tblPr>
    <w:tcPr>
      <w:shd w:val="clear" w:color="auto" w:fill="auto"/>
    </w:tcPr>
    <w:tblStylePr w:type="firstRow">
      <w:rPr>
        <w:b/>
        <w:bCs/>
      </w:rPr>
      <w:tblPr/>
    </w:tblStylePr>
    <w:tblStylePr w:type="lastRow">
      <w:rPr>
        <w:b/>
        <w:bCs/>
      </w:rPr>
      <w:tblPr/>
      <w:tcPr>
        <w:tcBorders>
          <w:top w:val="single" w:color="000000" w:sz="6" w:space="0"/>
        </w:tcBorders>
      </w:tcPr>
    </w:tblStylePr>
    <w:tblStylePr w:type="firstCol">
      <w:rPr>
        <w:b/>
        <w:bCs/>
      </w:rPr>
      <w:tblPr/>
    </w:tblStylePr>
    <w:tblStylePr w:type="lastCol">
      <w:rPr>
        <w:b/>
        <w:bCs/>
      </w:rPr>
      <w:tblPr/>
    </w:tblStylePr>
  </w:style>
  <w:style w:type="character" w:styleId="46">
    <w:name w:val="Strong"/>
    <w:qFormat/>
    <w:uiPriority w:val="99"/>
    <w:rPr>
      <w:rFonts w:cs="Times New Roman"/>
      <w:b/>
      <w:bCs/>
    </w:rPr>
  </w:style>
  <w:style w:type="character" w:styleId="47">
    <w:name w:val="endnote reference"/>
    <w:qFormat/>
    <w:uiPriority w:val="99"/>
    <w:rPr>
      <w:rFonts w:cs="Times New Roman"/>
      <w:vertAlign w:val="superscript"/>
    </w:rPr>
  </w:style>
  <w:style w:type="character" w:styleId="48">
    <w:name w:val="page number"/>
    <w:qFormat/>
    <w:uiPriority w:val="99"/>
    <w:rPr>
      <w:rFonts w:cs="Times New Roman"/>
    </w:rPr>
  </w:style>
  <w:style w:type="character" w:styleId="49">
    <w:name w:val="FollowedHyperlink"/>
    <w:qFormat/>
    <w:uiPriority w:val="99"/>
    <w:rPr>
      <w:rFonts w:cs="Times New Roman"/>
      <w:color w:val="954F72"/>
      <w:u w:val="single"/>
    </w:rPr>
  </w:style>
  <w:style w:type="character" w:styleId="50">
    <w:name w:val="Emphasis"/>
    <w:qFormat/>
    <w:uiPriority w:val="99"/>
    <w:rPr>
      <w:rFonts w:cs="Times New Roman"/>
      <w:i/>
      <w:iCs/>
    </w:rPr>
  </w:style>
  <w:style w:type="character" w:styleId="51">
    <w:name w:val="Hyperlink"/>
    <w:qFormat/>
    <w:uiPriority w:val="99"/>
    <w:rPr>
      <w:rFonts w:cs="Times New Roman"/>
      <w:color w:val="0000FF"/>
      <w:u w:val="single"/>
    </w:rPr>
  </w:style>
  <w:style w:type="character" w:styleId="52">
    <w:name w:val="annotation reference"/>
    <w:qFormat/>
    <w:uiPriority w:val="0"/>
    <w:rPr>
      <w:rFonts w:cs="Times New Roman"/>
      <w:sz w:val="21"/>
      <w:szCs w:val="21"/>
    </w:rPr>
  </w:style>
  <w:style w:type="character" w:styleId="53">
    <w:name w:val="footnote reference"/>
    <w:qFormat/>
    <w:uiPriority w:val="99"/>
    <w:rPr>
      <w:rFonts w:cs="Times New Roman"/>
      <w:vertAlign w:val="superscript"/>
    </w:rPr>
  </w:style>
  <w:style w:type="character" w:customStyle="1" w:styleId="54">
    <w:name w:val="标题 2 Char"/>
    <w:qFormat/>
    <w:uiPriority w:val="99"/>
    <w:rPr>
      <w:rFonts w:ascii="黑体" w:hAnsi="Arial" w:eastAsia="黑体"/>
      <w:kern w:val="2"/>
      <w:sz w:val="28"/>
      <w:lang w:val="en-US" w:eastAsia="zh-CN"/>
    </w:rPr>
  </w:style>
  <w:style w:type="character" w:customStyle="1" w:styleId="55">
    <w:name w:val="标题 1 字符"/>
    <w:link w:val="3"/>
    <w:qFormat/>
    <w:locked/>
    <w:uiPriority w:val="99"/>
    <w:rPr>
      <w:rFonts w:ascii="Calibri" w:hAnsi="Calibri" w:eastAsia="宋体" w:cs="Times New Roman"/>
      <w:b/>
      <w:bCs/>
      <w:kern w:val="44"/>
      <w:sz w:val="44"/>
      <w:szCs w:val="44"/>
    </w:rPr>
  </w:style>
  <w:style w:type="character" w:customStyle="1" w:styleId="56">
    <w:name w:val="标题 2 字符"/>
    <w:link w:val="2"/>
    <w:qFormat/>
    <w:locked/>
    <w:uiPriority w:val="99"/>
    <w:rPr>
      <w:rFonts w:ascii="Cambria" w:hAnsi="Cambria" w:eastAsia="宋体" w:cs="Times New Roman"/>
      <w:b/>
      <w:bCs/>
      <w:kern w:val="0"/>
      <w:sz w:val="32"/>
      <w:szCs w:val="32"/>
    </w:rPr>
  </w:style>
  <w:style w:type="character" w:customStyle="1" w:styleId="57">
    <w:name w:val="标题 3 字符"/>
    <w:link w:val="4"/>
    <w:qFormat/>
    <w:locked/>
    <w:uiPriority w:val="99"/>
    <w:rPr>
      <w:rFonts w:ascii="Calibri" w:hAnsi="Calibri" w:eastAsia="宋体" w:cs="Times New Roman"/>
      <w:b/>
      <w:bCs/>
      <w:kern w:val="0"/>
      <w:sz w:val="32"/>
      <w:szCs w:val="32"/>
    </w:rPr>
  </w:style>
  <w:style w:type="character" w:customStyle="1" w:styleId="58">
    <w:name w:val="标题 4 字符"/>
    <w:link w:val="5"/>
    <w:qFormat/>
    <w:locked/>
    <w:uiPriority w:val="99"/>
    <w:rPr>
      <w:rFonts w:ascii="Cambria" w:hAnsi="Cambria" w:eastAsia="宋体" w:cs="Times New Roman"/>
      <w:b/>
      <w:bCs/>
      <w:kern w:val="0"/>
      <w:sz w:val="28"/>
      <w:szCs w:val="28"/>
    </w:rPr>
  </w:style>
  <w:style w:type="character" w:customStyle="1" w:styleId="59">
    <w:name w:val="标题 5 字符"/>
    <w:link w:val="6"/>
    <w:qFormat/>
    <w:locked/>
    <w:uiPriority w:val="99"/>
    <w:rPr>
      <w:rFonts w:ascii="Times New Roman" w:hAnsi="Times New Roman" w:eastAsia="宋体" w:cs="Times New Roman"/>
      <w:b/>
      <w:bCs/>
      <w:kern w:val="2"/>
      <w:sz w:val="28"/>
      <w:szCs w:val="28"/>
    </w:rPr>
  </w:style>
  <w:style w:type="character" w:customStyle="1" w:styleId="60">
    <w:name w:val="标题 6 字符1"/>
    <w:link w:val="7"/>
    <w:qFormat/>
    <w:locked/>
    <w:uiPriority w:val="99"/>
    <w:rPr>
      <w:rFonts w:ascii="Arial" w:hAnsi="Arial" w:eastAsia="宋体" w:cs="Times New Roman"/>
      <w:i/>
      <w:sz w:val="22"/>
      <w:lang w:val="en-GB" w:eastAsia="en-US"/>
    </w:rPr>
  </w:style>
  <w:style w:type="character" w:customStyle="1" w:styleId="61">
    <w:name w:val="标题 7 字符1"/>
    <w:link w:val="8"/>
    <w:qFormat/>
    <w:locked/>
    <w:uiPriority w:val="99"/>
    <w:rPr>
      <w:rFonts w:ascii="Arial" w:hAnsi="Arial" w:eastAsia="宋体" w:cs="Times New Roman"/>
      <w:sz w:val="18"/>
      <w:lang w:val="en-GB" w:eastAsia="en-US"/>
    </w:rPr>
  </w:style>
  <w:style w:type="character" w:customStyle="1" w:styleId="62">
    <w:name w:val="标题 8 字符1"/>
    <w:link w:val="9"/>
    <w:qFormat/>
    <w:locked/>
    <w:uiPriority w:val="99"/>
    <w:rPr>
      <w:rFonts w:ascii="Arial" w:hAnsi="Arial" w:eastAsia="宋体" w:cs="Times New Roman"/>
      <w:i/>
      <w:sz w:val="18"/>
      <w:lang w:val="en-GB" w:eastAsia="en-US"/>
    </w:rPr>
  </w:style>
  <w:style w:type="character" w:customStyle="1" w:styleId="63">
    <w:name w:val="标题 9 字符1"/>
    <w:link w:val="10"/>
    <w:qFormat/>
    <w:locked/>
    <w:uiPriority w:val="99"/>
    <w:rPr>
      <w:rFonts w:ascii="Arial" w:hAnsi="Arial" w:eastAsia="宋体" w:cs="Times New Roman"/>
      <w:b/>
      <w:i/>
      <w:sz w:val="18"/>
      <w:lang w:val="en-GB" w:eastAsia="en-US"/>
    </w:rPr>
  </w:style>
  <w:style w:type="character" w:customStyle="1" w:styleId="64">
    <w:name w:val="批注文字 字符"/>
    <w:link w:val="15"/>
    <w:qFormat/>
    <w:locked/>
    <w:uiPriority w:val="99"/>
    <w:rPr>
      <w:rFonts w:ascii="Times New Roman" w:hAnsi="Times New Roman" w:eastAsia="仿宋_GB2312" w:cs="Times New Roman"/>
      <w:kern w:val="2"/>
      <w:sz w:val="28"/>
      <w:szCs w:val="28"/>
    </w:rPr>
  </w:style>
  <w:style w:type="character" w:customStyle="1" w:styleId="65">
    <w:name w:val="批注主题 字符"/>
    <w:link w:val="41"/>
    <w:qFormat/>
    <w:locked/>
    <w:uiPriority w:val="99"/>
    <w:rPr>
      <w:rFonts w:ascii="Times New Roman" w:hAnsi="Times New Roman" w:eastAsia="仿宋_GB2312" w:cs="Times New Roman"/>
      <w:b/>
      <w:bCs/>
      <w:kern w:val="2"/>
      <w:sz w:val="28"/>
      <w:szCs w:val="28"/>
    </w:rPr>
  </w:style>
  <w:style w:type="character" w:customStyle="1" w:styleId="66">
    <w:name w:val="文档结构图 字符"/>
    <w:link w:val="14"/>
    <w:qFormat/>
    <w:locked/>
    <w:uiPriority w:val="99"/>
    <w:rPr>
      <w:rFonts w:ascii="宋体" w:hAnsi="Calibri" w:eastAsia="宋体" w:cs="Times New Roman"/>
      <w:kern w:val="0"/>
      <w:sz w:val="18"/>
      <w:szCs w:val="18"/>
    </w:rPr>
  </w:style>
  <w:style w:type="character" w:customStyle="1" w:styleId="67">
    <w:name w:val="正文文本 字符1"/>
    <w:link w:val="16"/>
    <w:qFormat/>
    <w:locked/>
    <w:uiPriority w:val="99"/>
    <w:rPr>
      <w:rFonts w:ascii="仿宋_GB2312" w:hAnsi="Times New Roman" w:eastAsia="宋体" w:cs="Times New Roman"/>
      <w:kern w:val="2"/>
      <w:sz w:val="28"/>
      <w:lang w:val="zh-CN" w:eastAsia="zh-CN"/>
    </w:rPr>
  </w:style>
  <w:style w:type="character" w:customStyle="1" w:styleId="68">
    <w:name w:val="正文文本缩进 字符"/>
    <w:link w:val="17"/>
    <w:qFormat/>
    <w:locked/>
    <w:uiPriority w:val="99"/>
    <w:rPr>
      <w:rFonts w:ascii="Times New Roman" w:hAnsi="Times New Roman" w:eastAsia="宋体" w:cs="Times New Roman"/>
      <w:sz w:val="24"/>
      <w:szCs w:val="24"/>
    </w:rPr>
  </w:style>
  <w:style w:type="character" w:customStyle="1" w:styleId="69">
    <w:name w:val="纯文本 字符"/>
    <w:link w:val="20"/>
    <w:qFormat/>
    <w:locked/>
    <w:uiPriority w:val="99"/>
    <w:rPr>
      <w:rFonts w:ascii="宋体" w:hAnsi="Courier New" w:eastAsia="宋体" w:cs="Times New Roman"/>
      <w:kern w:val="0"/>
      <w:sz w:val="20"/>
      <w:szCs w:val="20"/>
    </w:rPr>
  </w:style>
  <w:style w:type="character" w:customStyle="1" w:styleId="70">
    <w:name w:val="日期 字符1"/>
    <w:link w:val="22"/>
    <w:qFormat/>
    <w:locked/>
    <w:uiPriority w:val="99"/>
    <w:rPr>
      <w:rFonts w:ascii="宋体" w:eastAsia="宋体" w:cs="Times New Roman"/>
    </w:rPr>
  </w:style>
  <w:style w:type="character" w:customStyle="1" w:styleId="71">
    <w:name w:val="正文文本缩进 2 字符"/>
    <w:link w:val="23"/>
    <w:qFormat/>
    <w:locked/>
    <w:uiPriority w:val="99"/>
    <w:rPr>
      <w:rFonts w:ascii="宋体" w:hAnsi="Times New Roman" w:eastAsia="宋体" w:cs="Times New Roman"/>
      <w:kern w:val="144"/>
      <w:sz w:val="20"/>
      <w:szCs w:val="20"/>
    </w:rPr>
  </w:style>
  <w:style w:type="character" w:customStyle="1" w:styleId="72">
    <w:name w:val="尾注文本 字符"/>
    <w:link w:val="24"/>
    <w:qFormat/>
    <w:locked/>
    <w:uiPriority w:val="99"/>
    <w:rPr>
      <w:rFonts w:ascii="Times New Roman" w:hAnsi="Times New Roman" w:eastAsia="仿宋_GB2312" w:cs="Times New Roman"/>
      <w:kern w:val="2"/>
      <w:sz w:val="28"/>
      <w:szCs w:val="28"/>
    </w:rPr>
  </w:style>
  <w:style w:type="character" w:customStyle="1" w:styleId="73">
    <w:name w:val="批注框文本 字符"/>
    <w:link w:val="25"/>
    <w:qFormat/>
    <w:locked/>
    <w:uiPriority w:val="99"/>
    <w:rPr>
      <w:rFonts w:ascii="Calibri" w:hAnsi="Calibri" w:eastAsia="宋体" w:cs="Times New Roman"/>
      <w:kern w:val="0"/>
      <w:sz w:val="18"/>
      <w:szCs w:val="18"/>
    </w:rPr>
  </w:style>
  <w:style w:type="character" w:customStyle="1" w:styleId="74">
    <w:name w:val="页脚 字符"/>
    <w:link w:val="26"/>
    <w:qFormat/>
    <w:locked/>
    <w:uiPriority w:val="99"/>
    <w:rPr>
      <w:rFonts w:cs="Times New Roman"/>
      <w:sz w:val="18"/>
      <w:szCs w:val="18"/>
    </w:rPr>
  </w:style>
  <w:style w:type="character" w:customStyle="1" w:styleId="75">
    <w:name w:val="页眉 字符"/>
    <w:link w:val="27"/>
    <w:qFormat/>
    <w:locked/>
    <w:uiPriority w:val="99"/>
    <w:rPr>
      <w:rFonts w:cs="Times New Roman"/>
      <w:sz w:val="18"/>
      <w:szCs w:val="18"/>
    </w:rPr>
  </w:style>
  <w:style w:type="character" w:customStyle="1" w:styleId="76">
    <w:name w:val="副标题 字符1"/>
    <w:link w:val="30"/>
    <w:qFormat/>
    <w:locked/>
    <w:uiPriority w:val="99"/>
    <w:rPr>
      <w:rFonts w:ascii="仿宋_GB2312" w:hAnsi="Georgia" w:eastAsia="宋体" w:cs="Times New Roman"/>
      <w:b/>
      <w:sz w:val="44"/>
      <w:lang w:val="zh-CN" w:eastAsia="zh-CN"/>
    </w:rPr>
  </w:style>
  <w:style w:type="character" w:customStyle="1" w:styleId="77">
    <w:name w:val="脚注文本 字符"/>
    <w:link w:val="31"/>
    <w:qFormat/>
    <w:locked/>
    <w:uiPriority w:val="99"/>
    <w:rPr>
      <w:rFonts w:ascii="Times New Roman" w:hAnsi="Times New Roman" w:eastAsia="仿宋_GB2312" w:cs="Times New Roman"/>
      <w:kern w:val="2"/>
      <w:sz w:val="18"/>
      <w:szCs w:val="18"/>
    </w:rPr>
  </w:style>
  <w:style w:type="character" w:customStyle="1" w:styleId="78">
    <w:name w:val="正文文本缩进 3 字符1"/>
    <w:link w:val="33"/>
    <w:qFormat/>
    <w:locked/>
    <w:uiPriority w:val="99"/>
    <w:rPr>
      <w:rFonts w:ascii="仿宋_GB2312" w:hAnsi="Times New Roman" w:eastAsia="仿宋_GB2312" w:cs="Times New Roman"/>
      <w:kern w:val="2"/>
      <w:sz w:val="16"/>
      <w:lang w:val="zh-CN" w:eastAsia="zh-CN"/>
    </w:rPr>
  </w:style>
  <w:style w:type="character" w:customStyle="1" w:styleId="79">
    <w:name w:val="正文文本 2 字符"/>
    <w:link w:val="37"/>
    <w:qFormat/>
    <w:locked/>
    <w:uiPriority w:val="99"/>
    <w:rPr>
      <w:rFonts w:ascii="Times New Roman" w:hAnsi="Times New Roman" w:eastAsia="宋体" w:cs="Times New Roman"/>
      <w:kern w:val="0"/>
      <w:sz w:val="24"/>
      <w:szCs w:val="24"/>
    </w:rPr>
  </w:style>
  <w:style w:type="character" w:customStyle="1" w:styleId="80">
    <w:name w:val="HTML 预设格式 字符"/>
    <w:link w:val="38"/>
    <w:qFormat/>
    <w:locked/>
    <w:uiPriority w:val="99"/>
    <w:rPr>
      <w:rFonts w:ascii="宋体" w:hAnsi="宋体" w:eastAsia="宋体" w:cs="宋体"/>
      <w:sz w:val="24"/>
      <w:szCs w:val="24"/>
    </w:rPr>
  </w:style>
  <w:style w:type="character" w:customStyle="1" w:styleId="81">
    <w:name w:val="标题 字符1"/>
    <w:link w:val="40"/>
    <w:qFormat/>
    <w:locked/>
    <w:uiPriority w:val="99"/>
    <w:rPr>
      <w:rFonts w:ascii="Arial" w:hAnsi="Arial" w:eastAsia="黑体" w:cs="Times New Roman"/>
      <w:kern w:val="2"/>
      <w:sz w:val="32"/>
      <w:lang w:val="zh-CN" w:eastAsia="zh-CN"/>
    </w:rPr>
  </w:style>
  <w:style w:type="paragraph" w:customStyle="1" w:styleId="82">
    <w:name w:val="列出段落1"/>
    <w:basedOn w:val="1"/>
    <w:qFormat/>
    <w:uiPriority w:val="0"/>
    <w:pPr>
      <w:ind w:firstLine="420"/>
    </w:pPr>
    <w:rPr>
      <w:rFonts w:ascii="Calibri" w:hAnsi="Calibri"/>
      <w:szCs w:val="22"/>
    </w:rPr>
  </w:style>
  <w:style w:type="paragraph" w:customStyle="1" w:styleId="83">
    <w:name w:val="Char"/>
    <w:basedOn w:val="1"/>
    <w:qFormat/>
    <w:uiPriority w:val="99"/>
  </w:style>
  <w:style w:type="paragraph" w:customStyle="1" w:styleId="84">
    <w:name w:val="cucd-0"/>
    <w:link w:val="85"/>
    <w:qFormat/>
    <w:uiPriority w:val="99"/>
    <w:pPr>
      <w:spacing w:line="360" w:lineRule="auto"/>
      <w:ind w:firstLine="480" w:firstLineChars="200"/>
    </w:pPr>
    <w:rPr>
      <w:rFonts w:ascii="Calibri" w:hAnsi="Calibri" w:eastAsia="宋体" w:cs="Times New Roman"/>
      <w:sz w:val="22"/>
      <w:szCs w:val="22"/>
      <w:lang w:val="en-US" w:eastAsia="zh-CN" w:bidi="ar-SA"/>
    </w:rPr>
  </w:style>
  <w:style w:type="character" w:customStyle="1" w:styleId="85">
    <w:name w:val="cucd-0 Char"/>
    <w:link w:val="84"/>
    <w:qFormat/>
    <w:locked/>
    <w:uiPriority w:val="99"/>
    <w:rPr>
      <w:rFonts w:ascii="Calibri" w:hAnsi="Calibri" w:eastAsia="宋体"/>
      <w:sz w:val="22"/>
    </w:rPr>
  </w:style>
  <w:style w:type="paragraph" w:customStyle="1" w:styleId="86">
    <w:name w:val="yu"/>
    <w:basedOn w:val="1"/>
    <w:qFormat/>
    <w:uiPriority w:val="99"/>
    <w:pPr>
      <w:autoSpaceDE w:val="0"/>
      <w:autoSpaceDN w:val="0"/>
      <w:spacing w:before="120" w:after="120"/>
      <w:ind w:left="720" w:firstLine="533"/>
    </w:pPr>
    <w:rPr>
      <w:rFonts w:ascii="宋体"/>
      <w:kern w:val="0"/>
    </w:rPr>
  </w:style>
  <w:style w:type="paragraph" w:customStyle="1" w:styleId="87">
    <w:name w:val="样式4"/>
    <w:basedOn w:val="1"/>
    <w:qFormat/>
    <w:uiPriority w:val="99"/>
    <w:rPr>
      <w:rFonts w:ascii="Arial" w:hAnsi="Arial" w:cs="Arial"/>
      <w:b/>
    </w:rPr>
  </w:style>
  <w:style w:type="character" w:customStyle="1" w:styleId="88">
    <w:name w:val="纯文本 Char"/>
    <w:qFormat/>
    <w:uiPriority w:val="99"/>
    <w:rPr>
      <w:rFonts w:ascii="宋体" w:hAnsi="Courier New" w:eastAsia="宋体"/>
      <w:sz w:val="21"/>
    </w:rPr>
  </w:style>
  <w:style w:type="paragraph" w:customStyle="1" w:styleId="89">
    <w:name w:val="正文 New New New New New New New New"/>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90">
    <w:name w:val="Default"/>
    <w:qFormat/>
    <w:uiPriority w:val="99"/>
    <w:pPr>
      <w:widowControl w:val="0"/>
      <w:autoSpaceDE w:val="0"/>
      <w:autoSpaceDN w:val="0"/>
      <w:adjustRightInd w:val="0"/>
    </w:pPr>
    <w:rPr>
      <w:rFonts w:ascii="Wingdings" w:hAnsi="Wingdings" w:eastAsia="宋体" w:cs="Wingdings"/>
      <w:color w:val="000000"/>
      <w:sz w:val="24"/>
      <w:szCs w:val="24"/>
      <w:lang w:val="en-US" w:eastAsia="zh-CN" w:bidi="ar-SA"/>
    </w:rPr>
  </w:style>
  <w:style w:type="paragraph" w:customStyle="1" w:styleId="91">
    <w:name w:val="TOC 标题1"/>
    <w:basedOn w:val="3"/>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92">
    <w:name w:val="1"/>
    <w:basedOn w:val="1"/>
    <w:next w:val="37"/>
    <w:qFormat/>
    <w:uiPriority w:val="99"/>
    <w:pPr>
      <w:spacing w:line="360" w:lineRule="exact"/>
      <w:jc w:val="left"/>
    </w:pPr>
    <w:rPr>
      <w:rFonts w:ascii="宋体"/>
      <w:iCs/>
    </w:rPr>
  </w:style>
  <w:style w:type="paragraph" w:customStyle="1" w:styleId="93">
    <w:name w:val="reader-word-layer reader-word-s1-23"/>
    <w:basedOn w:val="1"/>
    <w:qFormat/>
    <w:uiPriority w:val="99"/>
    <w:pPr>
      <w:widowControl/>
      <w:spacing w:before="100" w:beforeAutospacing="1" w:after="100" w:afterAutospacing="1"/>
      <w:jc w:val="left"/>
    </w:pPr>
    <w:rPr>
      <w:rFonts w:ascii="宋体" w:cs="宋体"/>
      <w:kern w:val="0"/>
    </w:rPr>
  </w:style>
  <w:style w:type="paragraph" w:customStyle="1" w:styleId="94">
    <w:name w:val="reader-word-layer reader-word-s1-17"/>
    <w:basedOn w:val="1"/>
    <w:qFormat/>
    <w:uiPriority w:val="99"/>
    <w:pPr>
      <w:widowControl/>
      <w:spacing w:before="100" w:beforeAutospacing="1" w:after="100" w:afterAutospacing="1"/>
      <w:jc w:val="left"/>
    </w:pPr>
    <w:rPr>
      <w:rFonts w:ascii="宋体" w:cs="宋体"/>
      <w:kern w:val="0"/>
    </w:rPr>
  </w:style>
  <w:style w:type="paragraph" w:customStyle="1" w:styleId="95">
    <w:name w:val="reader-word-layer reader-word-s3-4"/>
    <w:basedOn w:val="1"/>
    <w:qFormat/>
    <w:uiPriority w:val="99"/>
    <w:pPr>
      <w:widowControl/>
      <w:spacing w:before="100" w:beforeAutospacing="1" w:after="100" w:afterAutospacing="1"/>
      <w:jc w:val="left"/>
    </w:pPr>
    <w:rPr>
      <w:rFonts w:ascii="宋体" w:cs="宋体"/>
      <w:kern w:val="0"/>
    </w:rPr>
  </w:style>
  <w:style w:type="paragraph" w:customStyle="1" w:styleId="96">
    <w:name w:val="reader-word-layer reader-word-s3-5"/>
    <w:basedOn w:val="1"/>
    <w:qFormat/>
    <w:uiPriority w:val="99"/>
    <w:pPr>
      <w:widowControl/>
      <w:spacing w:before="100" w:beforeAutospacing="1" w:after="100" w:afterAutospacing="1"/>
      <w:jc w:val="left"/>
    </w:pPr>
    <w:rPr>
      <w:rFonts w:ascii="宋体" w:cs="宋体"/>
      <w:kern w:val="0"/>
    </w:rPr>
  </w:style>
  <w:style w:type="paragraph" w:customStyle="1" w:styleId="97">
    <w:name w:val="reader-word-layer reader-word-s3-3"/>
    <w:basedOn w:val="1"/>
    <w:qFormat/>
    <w:uiPriority w:val="99"/>
    <w:pPr>
      <w:widowControl/>
      <w:spacing w:before="100" w:beforeAutospacing="1" w:after="100" w:afterAutospacing="1"/>
      <w:jc w:val="left"/>
    </w:pPr>
    <w:rPr>
      <w:rFonts w:ascii="宋体" w:cs="宋体"/>
      <w:kern w:val="0"/>
    </w:rPr>
  </w:style>
  <w:style w:type="paragraph" w:customStyle="1" w:styleId="98">
    <w:name w:val="reader-word-layer reader-word-s1-32"/>
    <w:basedOn w:val="1"/>
    <w:qFormat/>
    <w:uiPriority w:val="99"/>
    <w:pPr>
      <w:widowControl/>
      <w:spacing w:before="100" w:beforeAutospacing="1" w:after="100" w:afterAutospacing="1"/>
      <w:jc w:val="left"/>
    </w:pPr>
    <w:rPr>
      <w:rFonts w:ascii="宋体" w:cs="宋体"/>
      <w:kern w:val="0"/>
    </w:rPr>
  </w:style>
  <w:style w:type="paragraph" w:customStyle="1" w:styleId="99">
    <w:name w:val="reader-word-layer reader-word-s1-33"/>
    <w:basedOn w:val="1"/>
    <w:qFormat/>
    <w:uiPriority w:val="99"/>
    <w:pPr>
      <w:widowControl/>
      <w:spacing w:before="100" w:beforeAutospacing="1" w:after="100" w:afterAutospacing="1"/>
      <w:jc w:val="left"/>
    </w:pPr>
    <w:rPr>
      <w:rFonts w:ascii="宋体" w:cs="宋体"/>
      <w:kern w:val="0"/>
    </w:rPr>
  </w:style>
  <w:style w:type="paragraph" w:customStyle="1" w:styleId="100">
    <w:name w:val="reader-word-layer reader-word-s1-27"/>
    <w:basedOn w:val="1"/>
    <w:qFormat/>
    <w:uiPriority w:val="99"/>
    <w:pPr>
      <w:widowControl/>
      <w:spacing w:before="100" w:beforeAutospacing="1" w:after="100" w:afterAutospacing="1"/>
      <w:jc w:val="left"/>
    </w:pPr>
    <w:rPr>
      <w:rFonts w:ascii="宋体" w:cs="宋体"/>
      <w:kern w:val="0"/>
    </w:rPr>
  </w:style>
  <w:style w:type="paragraph" w:customStyle="1" w:styleId="101">
    <w:name w:val="reader-word-layer reader-word-s1-14 reader-word-s1-16"/>
    <w:basedOn w:val="1"/>
    <w:qFormat/>
    <w:uiPriority w:val="99"/>
    <w:pPr>
      <w:widowControl/>
      <w:spacing w:before="100" w:beforeAutospacing="1" w:after="100" w:afterAutospacing="1"/>
      <w:jc w:val="left"/>
    </w:pPr>
    <w:rPr>
      <w:rFonts w:ascii="宋体" w:cs="宋体"/>
      <w:kern w:val="0"/>
    </w:rPr>
  </w:style>
  <w:style w:type="paragraph" w:customStyle="1" w:styleId="102">
    <w:name w:val="reader-word-layer reader-word-s1-16"/>
    <w:basedOn w:val="1"/>
    <w:qFormat/>
    <w:uiPriority w:val="99"/>
    <w:pPr>
      <w:widowControl/>
      <w:spacing w:before="100" w:beforeAutospacing="1" w:after="100" w:afterAutospacing="1"/>
      <w:jc w:val="left"/>
    </w:pPr>
    <w:rPr>
      <w:rFonts w:ascii="宋体" w:cs="宋体"/>
      <w:kern w:val="0"/>
    </w:rPr>
  </w:style>
  <w:style w:type="paragraph" w:customStyle="1" w:styleId="103">
    <w:name w:val="reader-word-layer reader-word-s1-29"/>
    <w:basedOn w:val="1"/>
    <w:qFormat/>
    <w:uiPriority w:val="99"/>
    <w:pPr>
      <w:widowControl/>
      <w:spacing w:before="100" w:beforeAutospacing="1" w:after="100" w:afterAutospacing="1"/>
      <w:jc w:val="left"/>
    </w:pPr>
    <w:rPr>
      <w:rFonts w:ascii="宋体" w:cs="宋体"/>
      <w:kern w:val="0"/>
    </w:rPr>
  </w:style>
  <w:style w:type="paragraph" w:customStyle="1" w:styleId="104">
    <w:name w:val="reader-word-layer reader-word-s1-20"/>
    <w:basedOn w:val="1"/>
    <w:qFormat/>
    <w:uiPriority w:val="99"/>
    <w:pPr>
      <w:widowControl/>
      <w:spacing w:before="100" w:beforeAutospacing="1" w:after="100" w:afterAutospacing="1"/>
      <w:jc w:val="left"/>
    </w:pPr>
    <w:rPr>
      <w:rFonts w:ascii="宋体" w:cs="宋体"/>
      <w:kern w:val="0"/>
    </w:rPr>
  </w:style>
  <w:style w:type="paragraph" w:customStyle="1" w:styleId="105">
    <w:name w:val="普通(网站)1"/>
    <w:basedOn w:val="1"/>
    <w:qFormat/>
    <w:uiPriority w:val="99"/>
    <w:pPr>
      <w:widowControl/>
      <w:spacing w:before="100" w:beforeAutospacing="1" w:after="100" w:afterAutospacing="1"/>
      <w:jc w:val="left"/>
    </w:pPr>
    <w:rPr>
      <w:kern w:val="0"/>
    </w:rPr>
  </w:style>
  <w:style w:type="paragraph" w:customStyle="1" w:styleId="106">
    <w:name w:val="AOPlainFooter"/>
    <w:basedOn w:val="1"/>
    <w:next w:val="1"/>
    <w:qFormat/>
    <w:uiPriority w:val="99"/>
    <w:pPr>
      <w:widowControl/>
      <w:jc w:val="right"/>
    </w:pPr>
    <w:rPr>
      <w:kern w:val="0"/>
      <w:sz w:val="16"/>
      <w:szCs w:val="20"/>
      <w:lang w:eastAsia="en-US"/>
    </w:rPr>
  </w:style>
  <w:style w:type="paragraph" w:customStyle="1" w:styleId="107">
    <w:name w:val="样式 四号 行距: 1.5 倍行距"/>
    <w:basedOn w:val="1"/>
    <w:qFormat/>
    <w:uiPriority w:val="99"/>
    <w:pPr>
      <w:ind w:firstLine="560"/>
    </w:pPr>
    <w:rPr>
      <w:szCs w:val="20"/>
    </w:rPr>
  </w:style>
  <w:style w:type="character" w:customStyle="1" w:styleId="108">
    <w:name w:val="样式 Arial 四号"/>
    <w:qFormat/>
    <w:uiPriority w:val="99"/>
    <w:rPr>
      <w:rFonts w:ascii="Arial" w:hAnsi="Arial"/>
      <w:sz w:val="28"/>
    </w:rPr>
  </w:style>
  <w:style w:type="paragraph" w:customStyle="1" w:styleId="109">
    <w:name w:val="列出段落2"/>
    <w:basedOn w:val="1"/>
    <w:qFormat/>
    <w:uiPriority w:val="99"/>
    <w:pPr>
      <w:ind w:firstLine="420"/>
    </w:pPr>
  </w:style>
  <w:style w:type="paragraph" w:customStyle="1" w:styleId="110">
    <w:name w:val="_Style 1"/>
    <w:basedOn w:val="1"/>
    <w:qFormat/>
    <w:uiPriority w:val="99"/>
    <w:pPr>
      <w:widowControl/>
      <w:ind w:firstLine="420"/>
      <w:jc w:val="left"/>
    </w:pPr>
    <w:rPr>
      <w:rFonts w:ascii="宋体"/>
      <w:kern w:val="0"/>
    </w:rPr>
  </w:style>
  <w:style w:type="paragraph" w:customStyle="1" w:styleId="111">
    <w:name w:val="普通(网站)2"/>
    <w:basedOn w:val="1"/>
    <w:qFormat/>
    <w:uiPriority w:val="99"/>
    <w:pPr>
      <w:widowControl/>
      <w:spacing w:before="100" w:beforeAutospacing="1" w:after="100" w:afterAutospacing="1"/>
      <w:jc w:val="left"/>
    </w:pPr>
    <w:rPr>
      <w:kern w:val="0"/>
    </w:rPr>
  </w:style>
  <w:style w:type="paragraph" w:customStyle="1" w:styleId="112">
    <w:name w:val="列出段落3"/>
    <w:basedOn w:val="1"/>
    <w:link w:val="318"/>
    <w:qFormat/>
    <w:uiPriority w:val="99"/>
    <w:pPr>
      <w:ind w:firstLine="420"/>
    </w:pPr>
    <w:rPr>
      <w:szCs w:val="20"/>
    </w:rPr>
  </w:style>
  <w:style w:type="character" w:customStyle="1" w:styleId="113">
    <w:name w:val="彩色底纹 - 强调文字颜色 3 Char"/>
    <w:link w:val="114"/>
    <w:qFormat/>
    <w:locked/>
    <w:uiPriority w:val="99"/>
    <w:rPr>
      <w:rFonts w:ascii="宋体" w:eastAsia="宋体"/>
      <w:sz w:val="24"/>
    </w:rPr>
  </w:style>
  <w:style w:type="paragraph" w:customStyle="1" w:styleId="114">
    <w:name w:val="彩色底纹 - 强调文字颜色 31"/>
    <w:basedOn w:val="1"/>
    <w:link w:val="113"/>
    <w:qFormat/>
    <w:uiPriority w:val="99"/>
    <w:pPr>
      <w:widowControl/>
      <w:ind w:firstLine="420"/>
      <w:jc w:val="left"/>
    </w:pPr>
    <w:rPr>
      <w:rFonts w:ascii="宋体" w:hAnsi="等线"/>
      <w:kern w:val="0"/>
      <w:szCs w:val="20"/>
    </w:rPr>
  </w:style>
  <w:style w:type="character" w:customStyle="1" w:styleId="115">
    <w:name w:val="未处理的提及1"/>
    <w:qFormat/>
    <w:uiPriority w:val="99"/>
    <w:rPr>
      <w:rFonts w:cs="Times New Roman"/>
      <w:color w:val="808080"/>
      <w:shd w:val="clear" w:color="auto" w:fill="E6E6E6"/>
    </w:rPr>
  </w:style>
  <w:style w:type="paragraph" w:customStyle="1" w:styleId="116">
    <w:name w:val="列出段落31"/>
    <w:basedOn w:val="1"/>
    <w:qFormat/>
    <w:uiPriority w:val="99"/>
    <w:pPr>
      <w:ind w:firstLine="420"/>
    </w:pPr>
  </w:style>
  <w:style w:type="paragraph" w:customStyle="1" w:styleId="117">
    <w:name w:val="普通(网站)4"/>
    <w:basedOn w:val="1"/>
    <w:qFormat/>
    <w:uiPriority w:val="99"/>
    <w:pPr>
      <w:widowControl/>
      <w:spacing w:before="100" w:beforeAutospacing="1" w:after="100" w:afterAutospacing="1"/>
      <w:jc w:val="left"/>
    </w:pPr>
    <w:rPr>
      <w:kern w:val="0"/>
    </w:rPr>
  </w:style>
  <w:style w:type="paragraph" w:customStyle="1" w:styleId="118">
    <w:name w:val="普通(网站)7"/>
    <w:basedOn w:val="1"/>
    <w:qFormat/>
    <w:uiPriority w:val="99"/>
    <w:pPr>
      <w:widowControl/>
      <w:spacing w:before="100" w:beforeAutospacing="1" w:after="100" w:afterAutospacing="1"/>
      <w:jc w:val="left"/>
    </w:pPr>
    <w:rPr>
      <w:kern w:val="0"/>
    </w:rPr>
  </w:style>
  <w:style w:type="paragraph" w:customStyle="1" w:styleId="119">
    <w:name w:val="普通(网站)6"/>
    <w:basedOn w:val="1"/>
    <w:qFormat/>
    <w:uiPriority w:val="99"/>
    <w:pPr>
      <w:widowControl/>
      <w:spacing w:before="100" w:beforeAutospacing="1" w:after="100" w:afterAutospacing="1"/>
      <w:jc w:val="left"/>
    </w:pPr>
    <w:rPr>
      <w:kern w:val="0"/>
    </w:rPr>
  </w:style>
  <w:style w:type="character" w:customStyle="1" w:styleId="120">
    <w:name w:val="标题 6 字符"/>
    <w:qFormat/>
    <w:uiPriority w:val="99"/>
    <w:rPr>
      <w:rFonts w:ascii="等线 Light" w:hAnsi="等线 Light" w:eastAsia="等线 Light" w:cs="宋体"/>
      <w:b/>
      <w:bCs/>
      <w:kern w:val="2"/>
      <w:sz w:val="24"/>
      <w:szCs w:val="24"/>
    </w:rPr>
  </w:style>
  <w:style w:type="character" w:customStyle="1" w:styleId="121">
    <w:name w:val="标题 7 字符"/>
    <w:qFormat/>
    <w:uiPriority w:val="99"/>
    <w:rPr>
      <w:rFonts w:ascii="Times New Roman" w:hAnsi="Times New Roman" w:eastAsia="宋体" w:cs="Times New Roman"/>
      <w:b/>
      <w:bCs/>
      <w:kern w:val="2"/>
      <w:sz w:val="24"/>
      <w:szCs w:val="24"/>
    </w:rPr>
  </w:style>
  <w:style w:type="character" w:customStyle="1" w:styleId="122">
    <w:name w:val="标题 8 字符"/>
    <w:qFormat/>
    <w:uiPriority w:val="99"/>
    <w:rPr>
      <w:rFonts w:ascii="等线 Light" w:hAnsi="等线 Light" w:eastAsia="等线 Light" w:cs="宋体"/>
      <w:kern w:val="2"/>
      <w:sz w:val="24"/>
      <w:szCs w:val="24"/>
    </w:rPr>
  </w:style>
  <w:style w:type="character" w:customStyle="1" w:styleId="123">
    <w:name w:val="标题 9 字符"/>
    <w:qFormat/>
    <w:uiPriority w:val="99"/>
    <w:rPr>
      <w:rFonts w:ascii="等线 Light" w:hAnsi="等线 Light" w:eastAsia="等线 Light" w:cs="宋体"/>
      <w:kern w:val="2"/>
      <w:sz w:val="21"/>
      <w:szCs w:val="21"/>
    </w:rPr>
  </w:style>
  <w:style w:type="paragraph" w:customStyle="1" w:styleId="124">
    <w:name w:val="正文(仿)首缩"/>
    <w:basedOn w:val="1"/>
    <w:link w:val="125"/>
    <w:qFormat/>
    <w:uiPriority w:val="99"/>
    <w:pPr>
      <w:ind w:firstLine="554"/>
    </w:pPr>
    <w:rPr>
      <w:rFonts w:eastAsia="仿宋_GB2312"/>
      <w:kern w:val="0"/>
      <w:sz w:val="28"/>
      <w:szCs w:val="20"/>
    </w:rPr>
  </w:style>
  <w:style w:type="character" w:customStyle="1" w:styleId="125">
    <w:name w:val="正文(仿)首缩 Char"/>
    <w:link w:val="124"/>
    <w:qFormat/>
    <w:locked/>
    <w:uiPriority w:val="99"/>
    <w:rPr>
      <w:rFonts w:ascii="Times New Roman" w:hAnsi="Times New Roman" w:eastAsia="仿宋_GB2312"/>
      <w:snapToGrid w:val="0"/>
      <w:sz w:val="28"/>
    </w:rPr>
  </w:style>
  <w:style w:type="character" w:customStyle="1" w:styleId="126">
    <w:name w:val="unnamed21"/>
    <w:qFormat/>
    <w:uiPriority w:val="99"/>
    <w:rPr>
      <w:sz w:val="19"/>
    </w:rPr>
  </w:style>
  <w:style w:type="character" w:customStyle="1" w:styleId="127">
    <w:name w:val="纯文本 字符1"/>
    <w:qFormat/>
    <w:uiPriority w:val="99"/>
    <w:rPr>
      <w:rFonts w:ascii="宋体" w:hAnsi="宋体" w:eastAsia="宋体"/>
      <w:color w:val="000000"/>
      <w:kern w:val="0"/>
      <w:sz w:val="24"/>
    </w:rPr>
  </w:style>
  <w:style w:type="paragraph" w:customStyle="1" w:styleId="128">
    <w:name w:val="多级符号"/>
    <w:basedOn w:val="1"/>
    <w:qFormat/>
    <w:uiPriority w:val="99"/>
    <w:rPr>
      <w:szCs w:val="21"/>
    </w:rPr>
  </w:style>
  <w:style w:type="table" w:customStyle="1" w:styleId="129">
    <w:name w:val="网格型1"/>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0">
    <w:name w:val="表格"/>
    <w:basedOn w:val="1"/>
    <w:link w:val="131"/>
    <w:qFormat/>
    <w:uiPriority w:val="99"/>
    <w:pPr>
      <w:jc w:val="center"/>
    </w:pPr>
    <w:rPr>
      <w:rFonts w:ascii="仿宋_GB2312" w:eastAsia="仿宋_GB2312"/>
      <w:sz w:val="28"/>
      <w:szCs w:val="20"/>
    </w:rPr>
  </w:style>
  <w:style w:type="character" w:customStyle="1" w:styleId="131">
    <w:name w:val="表格 Char"/>
    <w:link w:val="130"/>
    <w:qFormat/>
    <w:locked/>
    <w:uiPriority w:val="99"/>
    <w:rPr>
      <w:rFonts w:ascii="仿宋_GB2312" w:hAnsi="Times New Roman" w:eastAsia="仿宋_GB2312"/>
      <w:kern w:val="2"/>
      <w:sz w:val="28"/>
    </w:rPr>
  </w:style>
  <w:style w:type="paragraph" w:customStyle="1" w:styleId="132">
    <w:name w:val="TOC 标题2"/>
    <w:basedOn w:val="3"/>
    <w:next w:val="1"/>
    <w:qFormat/>
    <w:uiPriority w:val="99"/>
    <w:pPr>
      <w:widowControl/>
      <w:spacing w:beforeLines="50" w:after="381" w:line="259" w:lineRule="auto"/>
      <w:jc w:val="left"/>
      <w:outlineLvl w:val="9"/>
    </w:pPr>
    <w:rPr>
      <w:rFonts w:ascii="等线 Light" w:hAnsi="等线 Light" w:eastAsia="等线 Light" w:cs="宋体"/>
      <w:b w:val="0"/>
      <w:bCs w:val="0"/>
      <w:color w:val="2F5496"/>
      <w:kern w:val="0"/>
      <w:sz w:val="32"/>
      <w:szCs w:val="32"/>
    </w:rPr>
  </w:style>
  <w:style w:type="paragraph" w:customStyle="1" w:styleId="133">
    <w:name w:val="段落1"/>
    <w:basedOn w:val="1"/>
    <w:qFormat/>
    <w:uiPriority w:val="99"/>
    <w:pPr>
      <w:ind w:firstLine="200"/>
    </w:pPr>
  </w:style>
  <w:style w:type="paragraph" w:customStyle="1" w:styleId="134">
    <w:name w:val="段落格式"/>
    <w:basedOn w:val="1"/>
    <w:qFormat/>
    <w:uiPriority w:val="99"/>
    <w:pPr>
      <w:ind w:firstLine="546" w:firstLineChars="197"/>
    </w:pPr>
    <w:rPr>
      <w:rFonts w:cs="宋体"/>
      <w:sz w:val="28"/>
      <w:szCs w:val="20"/>
    </w:rPr>
  </w:style>
  <w:style w:type="character" w:customStyle="1" w:styleId="135">
    <w:name w:val="占位符文本1"/>
    <w:qFormat/>
    <w:uiPriority w:val="99"/>
    <w:rPr>
      <w:rFonts w:cs="Times New Roman"/>
      <w:color w:val="808080"/>
    </w:rPr>
  </w:style>
  <w:style w:type="paragraph" w:customStyle="1" w:styleId="136">
    <w:name w:val="正文1"/>
    <w:basedOn w:val="1"/>
    <w:qFormat/>
    <w:uiPriority w:val="99"/>
    <w:rPr>
      <w:rFonts w:ascii="宋体"/>
    </w:rPr>
  </w:style>
  <w:style w:type="paragraph" w:customStyle="1" w:styleId="137">
    <w:name w:val="1级编号"/>
    <w:basedOn w:val="1"/>
    <w:qFormat/>
    <w:uiPriority w:val="99"/>
    <w:pPr>
      <w:numPr>
        <w:ilvl w:val="0"/>
        <w:numId w:val="1"/>
      </w:numPr>
      <w:shd w:val="clear" w:color="000000" w:fill="auto"/>
      <w:spacing w:beforeLines="100"/>
      <w:ind w:firstLineChars="0"/>
      <w:outlineLvl w:val="0"/>
    </w:pPr>
    <w:rPr>
      <w:rFonts w:eastAsia="黑体"/>
      <w:sz w:val="28"/>
    </w:rPr>
  </w:style>
  <w:style w:type="paragraph" w:customStyle="1" w:styleId="138">
    <w:name w:val="2级编号"/>
    <w:basedOn w:val="1"/>
    <w:link w:val="140"/>
    <w:qFormat/>
    <w:uiPriority w:val="99"/>
    <w:pPr>
      <w:numPr>
        <w:ilvl w:val="1"/>
        <w:numId w:val="1"/>
      </w:numPr>
      <w:tabs>
        <w:tab w:val="left" w:pos="8505"/>
      </w:tabs>
      <w:spacing w:line="288" w:lineRule="auto"/>
      <w:ind w:firstLineChars="0"/>
      <w:outlineLvl w:val="1"/>
    </w:pPr>
    <w:rPr>
      <w:rFonts w:ascii="宋体" w:hAnsi="宋体"/>
      <w:szCs w:val="20"/>
      <w:lang w:val="en-GB"/>
    </w:rPr>
  </w:style>
  <w:style w:type="paragraph" w:customStyle="1" w:styleId="139">
    <w:name w:val="3级编号"/>
    <w:basedOn w:val="1"/>
    <w:link w:val="390"/>
    <w:qFormat/>
    <w:uiPriority w:val="99"/>
    <w:pPr>
      <w:numPr>
        <w:ilvl w:val="2"/>
        <w:numId w:val="1"/>
      </w:numPr>
      <w:tabs>
        <w:tab w:val="left" w:pos="9356"/>
      </w:tabs>
      <w:spacing w:after="50"/>
      <w:ind w:firstLineChars="0"/>
      <w:outlineLvl w:val="2"/>
    </w:pPr>
    <w:rPr>
      <w:rFonts w:ascii="等线" w:hAnsi="等线" w:eastAsia="仿宋_GB2312"/>
      <w:szCs w:val="20"/>
    </w:rPr>
  </w:style>
  <w:style w:type="character" w:customStyle="1" w:styleId="140">
    <w:name w:val="2级编号 Char"/>
    <w:link w:val="138"/>
    <w:qFormat/>
    <w:locked/>
    <w:uiPriority w:val="99"/>
    <w:rPr>
      <w:rFonts w:ascii="宋体" w:hAnsi="宋体" w:eastAsia="宋体"/>
      <w:kern w:val="2"/>
      <w:sz w:val="24"/>
      <w:lang w:val="en-GB" w:eastAsia="zh-CN"/>
    </w:rPr>
  </w:style>
  <w:style w:type="paragraph" w:customStyle="1" w:styleId="141">
    <w:name w:val="4级编号"/>
    <w:basedOn w:val="139"/>
    <w:link w:val="391"/>
    <w:qFormat/>
    <w:uiPriority w:val="99"/>
    <w:pPr>
      <w:numPr>
        <w:ilvl w:val="3"/>
        <w:numId w:val="0"/>
      </w:numPr>
    </w:pPr>
    <w:rPr>
      <w:rFonts w:ascii="Times New Roman" w:hAnsi="Times New Roman"/>
    </w:rPr>
  </w:style>
  <w:style w:type="character" w:customStyle="1" w:styleId="142">
    <w:name w:val="标题 1 Char"/>
    <w:qFormat/>
    <w:uiPriority w:val="99"/>
    <w:rPr>
      <w:rFonts w:ascii="黑体" w:eastAsia="黑体"/>
      <w:kern w:val="44"/>
      <w:sz w:val="32"/>
      <w:lang w:val="en-US" w:eastAsia="zh-CN"/>
    </w:rPr>
  </w:style>
  <w:style w:type="character" w:customStyle="1" w:styleId="143">
    <w:name w:val="标题 3 Char"/>
    <w:qFormat/>
    <w:uiPriority w:val="99"/>
    <w:rPr>
      <w:rFonts w:ascii="仿宋_GB2312" w:eastAsia="仿宋_GB2312"/>
      <w:kern w:val="2"/>
      <w:sz w:val="28"/>
    </w:rPr>
  </w:style>
  <w:style w:type="character" w:customStyle="1" w:styleId="144">
    <w:name w:val="标题 4 Char"/>
    <w:qFormat/>
    <w:uiPriority w:val="99"/>
    <w:rPr>
      <w:rFonts w:ascii="仿宋_GB2312" w:hAnsi="Arial" w:eastAsia="仿宋_GB2312"/>
      <w:kern w:val="2"/>
      <w:sz w:val="28"/>
      <w:lang w:val="zh-CN" w:eastAsia="zh-CN"/>
    </w:rPr>
  </w:style>
  <w:style w:type="character" w:customStyle="1" w:styleId="145">
    <w:name w:val="标题 5 Char"/>
    <w:qFormat/>
    <w:uiPriority w:val="99"/>
    <w:rPr>
      <w:rFonts w:ascii="仿宋_GB2312" w:hAnsi="Georgia" w:eastAsia="仿宋_GB2312"/>
      <w:b/>
      <w:kern w:val="2"/>
      <w:sz w:val="28"/>
      <w:lang w:val="zh-CN" w:eastAsia="zh-CN"/>
    </w:rPr>
  </w:style>
  <w:style w:type="character" w:customStyle="1" w:styleId="146">
    <w:name w:val="节（3级） Char"/>
    <w:qFormat/>
    <w:uiPriority w:val="99"/>
    <w:rPr>
      <w:rFonts w:ascii="仿宋_GB2312" w:eastAsia="仿宋_GB2312"/>
      <w:kern w:val="2"/>
      <w:sz w:val="28"/>
      <w:lang w:val="en-US" w:eastAsia="zh-CN"/>
    </w:rPr>
  </w:style>
  <w:style w:type="character" w:customStyle="1" w:styleId="147">
    <w:name w:val="纯文本 Char Char"/>
    <w:qFormat/>
    <w:uiPriority w:val="99"/>
    <w:rPr>
      <w:rFonts w:ascii="仿宋_GB2312" w:hAnsi="Courier New" w:eastAsia="仿宋_GB2312"/>
      <w:kern w:val="2"/>
      <w:sz w:val="28"/>
      <w:lang w:val="en-US" w:eastAsia="zh-CN"/>
    </w:rPr>
  </w:style>
  <w:style w:type="character" w:customStyle="1" w:styleId="148">
    <w:name w:val="页脚 Char"/>
    <w:qFormat/>
    <w:uiPriority w:val="99"/>
    <w:rPr>
      <w:rFonts w:ascii="仿宋_GB2312" w:eastAsia="仿宋_GB2312"/>
      <w:kern w:val="2"/>
      <w:sz w:val="18"/>
      <w:lang w:val="en-US" w:eastAsia="zh-CN"/>
    </w:rPr>
  </w:style>
  <w:style w:type="character" w:customStyle="1" w:styleId="149">
    <w:name w:val="l-1601"/>
    <w:qFormat/>
    <w:uiPriority w:val="99"/>
    <w:rPr>
      <w:rFonts w:cs="Times New Roman"/>
    </w:rPr>
  </w:style>
  <w:style w:type="character" w:customStyle="1" w:styleId="150">
    <w:name w:val="批注主题 Char"/>
    <w:qFormat/>
    <w:uiPriority w:val="99"/>
    <w:rPr>
      <w:rFonts w:ascii="仿宋_GB2312" w:eastAsia="仿宋_GB2312"/>
      <w:kern w:val="2"/>
      <w:sz w:val="18"/>
      <w:lang w:val="en-US" w:eastAsia="zh-CN"/>
    </w:rPr>
  </w:style>
  <w:style w:type="character" w:customStyle="1" w:styleId="151">
    <w:name w:val="批注文字 Char"/>
    <w:qFormat/>
    <w:uiPriority w:val="99"/>
    <w:rPr>
      <w:rFonts w:ascii="仿宋_GB2312" w:eastAsia="仿宋_GB2312"/>
      <w:kern w:val="2"/>
      <w:sz w:val="28"/>
      <w:lang w:val="zh-CN" w:eastAsia="zh-CN"/>
    </w:rPr>
  </w:style>
  <w:style w:type="character" w:customStyle="1" w:styleId="152">
    <w:name w:val="HTML 预设格式 Char"/>
    <w:qFormat/>
    <w:uiPriority w:val="99"/>
    <w:rPr>
      <w:rFonts w:ascii="宋体" w:eastAsia="宋体"/>
      <w:kern w:val="2"/>
      <w:sz w:val="28"/>
      <w:lang w:val="en-US" w:eastAsia="zh-CN"/>
    </w:rPr>
  </w:style>
  <w:style w:type="character" w:customStyle="1" w:styleId="153">
    <w:name w:val="页眉 Char"/>
    <w:qFormat/>
    <w:uiPriority w:val="99"/>
    <w:rPr>
      <w:rFonts w:ascii="仿宋_GB2312" w:eastAsia="仿宋_GB2312"/>
      <w:kern w:val="2"/>
      <w:sz w:val="18"/>
      <w:lang w:val="en-US" w:eastAsia="zh-CN"/>
    </w:rPr>
  </w:style>
  <w:style w:type="character" w:customStyle="1" w:styleId="154">
    <w:name w:val="表编号 Char Char"/>
    <w:link w:val="155"/>
    <w:qFormat/>
    <w:locked/>
    <w:uiPriority w:val="99"/>
    <w:rPr>
      <w:rFonts w:ascii="仿宋_GB2312" w:hAnsi="Book Antiqua"/>
    </w:rPr>
  </w:style>
  <w:style w:type="paragraph" w:customStyle="1" w:styleId="155">
    <w:name w:val="表编号"/>
    <w:basedOn w:val="1"/>
    <w:link w:val="154"/>
    <w:qFormat/>
    <w:uiPriority w:val="99"/>
    <w:pPr>
      <w:jc w:val="left"/>
    </w:pPr>
    <w:rPr>
      <w:rFonts w:ascii="仿宋_GB2312" w:hAnsi="Book Antiqua" w:eastAsia="等线"/>
      <w:kern w:val="0"/>
      <w:sz w:val="20"/>
      <w:szCs w:val="20"/>
    </w:rPr>
  </w:style>
  <w:style w:type="character" w:customStyle="1" w:styleId="156">
    <w:name w:val="批注框文本 Char"/>
    <w:qFormat/>
    <w:uiPriority w:val="99"/>
    <w:rPr>
      <w:rFonts w:ascii="仿宋_GB2312" w:eastAsia="仿宋_GB2312"/>
      <w:kern w:val="2"/>
      <w:sz w:val="18"/>
      <w:lang w:val="en-US" w:eastAsia="zh-CN"/>
    </w:rPr>
  </w:style>
  <w:style w:type="character" w:customStyle="1" w:styleId="157">
    <w:name w:val="日期 字符"/>
    <w:qFormat/>
    <w:uiPriority w:val="99"/>
    <w:rPr>
      <w:rFonts w:ascii="Times New Roman" w:hAnsi="Times New Roman" w:eastAsia="宋体" w:cs="Times New Roman"/>
      <w:kern w:val="2"/>
      <w:sz w:val="24"/>
      <w:szCs w:val="24"/>
    </w:rPr>
  </w:style>
  <w:style w:type="character" w:customStyle="1" w:styleId="158">
    <w:name w:val="文档结构图 字符1"/>
    <w:qFormat/>
    <w:uiPriority w:val="99"/>
    <w:rPr>
      <w:rFonts w:ascii="仿宋_GB2312"/>
      <w:shd w:val="clear" w:color="auto" w:fill="000080"/>
      <w:lang w:val="zh-CN" w:eastAsia="zh-CN"/>
    </w:rPr>
  </w:style>
  <w:style w:type="character" w:customStyle="1" w:styleId="159">
    <w:name w:val="正文缩进 字符"/>
    <w:link w:val="12"/>
    <w:qFormat/>
    <w:locked/>
    <w:uiPriority w:val="99"/>
    <w:rPr>
      <w:rFonts w:ascii="仿宋_GB2312" w:hAnsi="Times New Roman" w:eastAsia="仿宋_GB2312"/>
      <w:kern w:val="2"/>
      <w:sz w:val="28"/>
    </w:rPr>
  </w:style>
  <w:style w:type="paragraph" w:customStyle="1" w:styleId="160">
    <w:name w:val="正文2"/>
    <w:basedOn w:val="1"/>
    <w:qFormat/>
    <w:uiPriority w:val="99"/>
    <w:pPr>
      <w:widowControl/>
      <w:spacing w:before="167" w:after="167"/>
      <w:ind w:left="167" w:right="167"/>
      <w:jc w:val="left"/>
    </w:pPr>
    <w:rPr>
      <w:rFonts w:cs="宋体"/>
      <w:color w:val="000000"/>
      <w:kern w:val="0"/>
      <w:sz w:val="28"/>
      <w:szCs w:val="28"/>
    </w:rPr>
  </w:style>
  <w:style w:type="paragraph" w:customStyle="1" w:styleId="161">
    <w:name w:val="样式 (中文) 黑体 三号 居中"/>
    <w:basedOn w:val="1"/>
    <w:qFormat/>
    <w:uiPriority w:val="99"/>
    <w:pPr>
      <w:spacing w:before="120" w:after="120"/>
      <w:jc w:val="center"/>
    </w:pPr>
    <w:rPr>
      <w:rFonts w:eastAsia="黑体" w:cs="宋体"/>
      <w:sz w:val="32"/>
      <w:szCs w:val="20"/>
    </w:rPr>
  </w:style>
  <w:style w:type="character" w:customStyle="1" w:styleId="162">
    <w:name w:val="正文文本 字符"/>
    <w:qFormat/>
    <w:uiPriority w:val="99"/>
    <w:rPr>
      <w:rFonts w:ascii="Times New Roman" w:hAnsi="Times New Roman" w:eastAsia="宋体" w:cs="Times New Roman"/>
      <w:kern w:val="2"/>
      <w:sz w:val="24"/>
      <w:szCs w:val="24"/>
    </w:rPr>
  </w:style>
  <w:style w:type="character" w:customStyle="1" w:styleId="163">
    <w:name w:val="表格 Char1"/>
    <w:qFormat/>
    <w:uiPriority w:val="99"/>
    <w:rPr>
      <w:rFonts w:ascii="仿宋_GB2312" w:eastAsia="仿宋_GB2312"/>
      <w:kern w:val="2"/>
      <w:sz w:val="28"/>
      <w:lang w:val="en-US" w:eastAsia="zh-CN"/>
    </w:rPr>
  </w:style>
  <w:style w:type="character" w:customStyle="1" w:styleId="164">
    <w:name w:val="TOC 1 字符"/>
    <w:link w:val="28"/>
    <w:qFormat/>
    <w:locked/>
    <w:uiPriority w:val="99"/>
    <w:rPr>
      <w:rFonts w:ascii="Calibri" w:hAnsi="Calibri" w:eastAsia="宋体"/>
      <w:b/>
      <w:sz w:val="22"/>
    </w:rPr>
  </w:style>
  <w:style w:type="character" w:customStyle="1" w:styleId="165">
    <w:name w:val="正文文本缩进 字符1"/>
    <w:qFormat/>
    <w:uiPriority w:val="99"/>
    <w:rPr>
      <w:rFonts w:ascii="仿宋_GB2312"/>
      <w:lang w:val="zh-CN" w:eastAsia="zh-CN"/>
    </w:rPr>
  </w:style>
  <w:style w:type="paragraph" w:customStyle="1" w:styleId="166">
    <w:name w:val="表格2"/>
    <w:basedOn w:val="1"/>
    <w:next w:val="1"/>
    <w:qFormat/>
    <w:uiPriority w:val="99"/>
    <w:pPr>
      <w:topLinePunct/>
      <w:autoSpaceDE w:val="0"/>
      <w:autoSpaceDN w:val="0"/>
      <w:jc w:val="center"/>
      <w:textAlignment w:val="baseline"/>
    </w:pPr>
    <w:rPr>
      <w:rFonts w:ascii="宋体" w:hAnsi="Impact"/>
      <w:kern w:val="24"/>
      <w:position w:val="-28"/>
      <w:szCs w:val="20"/>
    </w:rPr>
  </w:style>
  <w:style w:type="character" w:customStyle="1" w:styleId="167">
    <w:name w:val="正文文本缩进 2 字符1"/>
    <w:qFormat/>
    <w:uiPriority w:val="99"/>
    <w:rPr>
      <w:rFonts w:eastAsia="宋体"/>
      <w:sz w:val="20"/>
      <w:lang w:val="zh-CN" w:eastAsia="zh-CN"/>
    </w:rPr>
  </w:style>
  <w:style w:type="paragraph" w:customStyle="1" w:styleId="168">
    <w:name w:val="wenp04"/>
    <w:basedOn w:val="1"/>
    <w:qFormat/>
    <w:uiPriority w:val="99"/>
    <w:pPr>
      <w:spacing w:line="300" w:lineRule="auto"/>
      <w:ind w:firstLine="504"/>
    </w:pPr>
    <w:rPr>
      <w:spacing w:val="6"/>
    </w:rPr>
  </w:style>
  <w:style w:type="character" w:customStyle="1" w:styleId="169">
    <w:name w:val="正文文本 2 字符1"/>
    <w:qFormat/>
    <w:uiPriority w:val="99"/>
    <w:rPr>
      <w:rFonts w:ascii="仿宋_GB2312"/>
      <w:lang w:val="zh-CN" w:eastAsia="zh-CN"/>
    </w:rPr>
  </w:style>
  <w:style w:type="paragraph" w:customStyle="1" w:styleId="170">
    <w:name w:val="xl50"/>
    <w:basedOn w:val="1"/>
    <w:qFormat/>
    <w:uiPriority w:val="99"/>
    <w:pPr>
      <w:widowControl/>
      <w:spacing w:before="100" w:beforeAutospacing="1" w:after="100" w:afterAutospacing="1"/>
      <w:jc w:val="center"/>
    </w:pPr>
    <w:rPr>
      <w:rFonts w:ascii="黑体" w:eastAsia="黑体"/>
      <w:kern w:val="0"/>
      <w:sz w:val="28"/>
      <w:szCs w:val="28"/>
    </w:rPr>
  </w:style>
  <w:style w:type="paragraph" w:customStyle="1" w:styleId="171">
    <w:name w:val="表头"/>
    <w:basedOn w:val="1"/>
    <w:link w:val="172"/>
    <w:qFormat/>
    <w:uiPriority w:val="99"/>
    <w:pPr>
      <w:jc w:val="center"/>
    </w:pPr>
    <w:rPr>
      <w:rFonts w:ascii="仿宋_GB2312" w:eastAsia="黑体"/>
      <w:sz w:val="28"/>
      <w:szCs w:val="20"/>
    </w:rPr>
  </w:style>
  <w:style w:type="character" w:customStyle="1" w:styleId="172">
    <w:name w:val="表头 Char"/>
    <w:link w:val="171"/>
    <w:qFormat/>
    <w:locked/>
    <w:uiPriority w:val="99"/>
    <w:rPr>
      <w:rFonts w:ascii="仿宋_GB2312" w:hAnsi="Times New Roman" w:eastAsia="黑体"/>
      <w:kern w:val="2"/>
      <w:sz w:val="28"/>
    </w:rPr>
  </w:style>
  <w:style w:type="paragraph" w:customStyle="1" w:styleId="173">
    <w:name w:val="xl27"/>
    <w:basedOn w:val="1"/>
    <w:qFormat/>
    <w:uiPriority w:val="99"/>
    <w:pPr>
      <w:widowControl/>
      <w:pBdr>
        <w:bottom w:val="single" w:color="auto" w:sz="4" w:space="0"/>
      </w:pBdr>
      <w:spacing w:before="100" w:beforeAutospacing="1" w:after="100" w:afterAutospacing="1"/>
    </w:pPr>
    <w:rPr>
      <w:rFonts w:cs="Book Antiqua"/>
      <w:kern w:val="0"/>
      <w:szCs w:val="21"/>
    </w:rPr>
  </w:style>
  <w:style w:type="character" w:customStyle="1" w:styleId="174">
    <w:name w:val="正文文本缩进 3 字符"/>
    <w:qFormat/>
    <w:uiPriority w:val="99"/>
    <w:rPr>
      <w:rFonts w:ascii="Times New Roman" w:hAnsi="Times New Roman" w:eastAsia="宋体" w:cs="Times New Roman"/>
      <w:kern w:val="2"/>
      <w:sz w:val="16"/>
      <w:szCs w:val="16"/>
    </w:rPr>
  </w:style>
  <w:style w:type="paragraph" w:customStyle="1" w:styleId="175">
    <w:name w:val="首行缩进"/>
    <w:basedOn w:val="1"/>
    <w:qFormat/>
    <w:uiPriority w:val="99"/>
    <w:rPr>
      <w:rFonts w:cs="宋体"/>
      <w:sz w:val="28"/>
      <w:szCs w:val="20"/>
    </w:rPr>
  </w:style>
  <w:style w:type="paragraph" w:customStyle="1" w:styleId="176">
    <w:name w:val="Char Char Char Char Char Char2 Char"/>
    <w:basedOn w:val="1"/>
    <w:qFormat/>
    <w:uiPriority w:val="99"/>
    <w:pPr>
      <w:ind w:firstLine="200"/>
    </w:pPr>
    <w:rPr>
      <w:rFonts w:ascii="宋体" w:cs="宋体"/>
    </w:rPr>
  </w:style>
  <w:style w:type="paragraph" w:customStyle="1" w:styleId="177">
    <w:name w:val="_Style 26"/>
    <w:basedOn w:val="1"/>
    <w:qFormat/>
    <w:uiPriority w:val="99"/>
    <w:pPr>
      <w:widowControl/>
      <w:spacing w:line="400" w:lineRule="exact"/>
      <w:jc w:val="center"/>
    </w:pPr>
    <w:rPr>
      <w:rFonts w:ascii="Verdana" w:hAnsi="Verdana"/>
      <w:kern w:val="0"/>
      <w:szCs w:val="20"/>
      <w:lang w:eastAsia="en-US"/>
    </w:rPr>
  </w:style>
  <w:style w:type="character" w:customStyle="1" w:styleId="178">
    <w:name w:val="章（1级） Char"/>
    <w:qFormat/>
    <w:uiPriority w:val="99"/>
    <w:rPr>
      <w:rFonts w:hAnsi="Times New Roman" w:eastAsia="黑体"/>
      <w:kern w:val="44"/>
      <w:sz w:val="28"/>
    </w:rPr>
  </w:style>
  <w:style w:type="character" w:customStyle="1" w:styleId="179">
    <w:name w:val="jx标题 2 Char"/>
    <w:qFormat/>
    <w:uiPriority w:val="99"/>
    <w:rPr>
      <w:rFonts w:ascii="黑体" w:hAnsi="Arial" w:eastAsia="黑体"/>
      <w:kern w:val="2"/>
      <w:sz w:val="32"/>
    </w:rPr>
  </w:style>
  <w:style w:type="paragraph" w:customStyle="1" w:styleId="180">
    <w:name w:val="公司格式 1.1"/>
    <w:basedOn w:val="2"/>
    <w:link w:val="181"/>
    <w:qFormat/>
    <w:uiPriority w:val="99"/>
    <w:pPr>
      <w:kinsoku w:val="0"/>
      <w:spacing w:before="0" w:after="0" w:line="240" w:lineRule="auto"/>
    </w:pPr>
    <w:rPr>
      <w:rFonts w:ascii="黑体" w:hAnsi="Arial" w:eastAsia="黑体"/>
      <w:b w:val="0"/>
      <w:bCs w:val="0"/>
      <w:kern w:val="2"/>
      <w:sz w:val="28"/>
      <w:szCs w:val="20"/>
      <w:lang w:val="zh-CN"/>
    </w:rPr>
  </w:style>
  <w:style w:type="character" w:customStyle="1" w:styleId="181">
    <w:name w:val="公司格式 1.1 Char"/>
    <w:link w:val="180"/>
    <w:qFormat/>
    <w:locked/>
    <w:uiPriority w:val="99"/>
    <w:rPr>
      <w:rFonts w:ascii="黑体" w:hAnsi="Arial" w:eastAsia="黑体"/>
      <w:kern w:val="2"/>
      <w:sz w:val="28"/>
      <w:lang w:val="zh-CN" w:eastAsia="zh-CN"/>
    </w:rPr>
  </w:style>
  <w:style w:type="paragraph" w:customStyle="1" w:styleId="182">
    <w:name w:val="公司格式 第一章"/>
    <w:basedOn w:val="1"/>
    <w:link w:val="183"/>
    <w:qFormat/>
    <w:uiPriority w:val="99"/>
    <w:pPr>
      <w:keepNext/>
      <w:keepLines/>
      <w:jc w:val="center"/>
      <w:outlineLvl w:val="1"/>
    </w:pPr>
    <w:rPr>
      <w:rFonts w:ascii="黑体" w:hAnsi="黑体" w:eastAsia="黑体"/>
      <w:sz w:val="32"/>
      <w:szCs w:val="20"/>
      <w:lang w:val="zh-CN"/>
    </w:rPr>
  </w:style>
  <w:style w:type="character" w:customStyle="1" w:styleId="183">
    <w:name w:val="公司格式 第一章 Char"/>
    <w:link w:val="182"/>
    <w:qFormat/>
    <w:locked/>
    <w:uiPriority w:val="99"/>
    <w:rPr>
      <w:rFonts w:ascii="黑体" w:hAnsi="黑体" w:eastAsia="黑体"/>
      <w:kern w:val="2"/>
      <w:sz w:val="32"/>
      <w:lang w:val="zh-CN" w:eastAsia="zh-CN"/>
    </w:rPr>
  </w:style>
  <w:style w:type="paragraph" w:customStyle="1" w:styleId="184">
    <w:name w:val="公司格式 1.1.1"/>
    <w:basedOn w:val="5"/>
    <w:link w:val="185"/>
    <w:qFormat/>
    <w:uiPriority w:val="99"/>
    <w:pPr>
      <w:spacing w:before="0" w:after="0" w:line="240" w:lineRule="auto"/>
    </w:pPr>
    <w:rPr>
      <w:rFonts w:ascii="仿宋_GB2312" w:hAnsi="Arial" w:eastAsia="仿宋_GB2312"/>
      <w:b w:val="0"/>
      <w:bCs w:val="0"/>
      <w:szCs w:val="20"/>
      <w:lang w:val="zh-CN"/>
    </w:rPr>
  </w:style>
  <w:style w:type="character" w:customStyle="1" w:styleId="185">
    <w:name w:val="公司格式 1.1.1 Char"/>
    <w:link w:val="184"/>
    <w:qFormat/>
    <w:locked/>
    <w:uiPriority w:val="99"/>
    <w:rPr>
      <w:rFonts w:ascii="仿宋_GB2312" w:hAnsi="Arial" w:eastAsia="仿宋_GB2312"/>
      <w:sz w:val="28"/>
      <w:lang w:val="zh-CN" w:eastAsia="zh-CN"/>
    </w:rPr>
  </w:style>
  <w:style w:type="paragraph" w:customStyle="1" w:styleId="186">
    <w:name w:val="公司格式 1.1.1.1"/>
    <w:basedOn w:val="5"/>
    <w:link w:val="187"/>
    <w:qFormat/>
    <w:uiPriority w:val="99"/>
    <w:pPr>
      <w:spacing w:before="0" w:after="0" w:line="240" w:lineRule="auto"/>
    </w:pPr>
    <w:rPr>
      <w:rFonts w:ascii="仿宋_GB2312" w:hAnsi="Arial" w:eastAsia="仿宋_GB2312"/>
      <w:b w:val="0"/>
      <w:bCs w:val="0"/>
      <w:szCs w:val="20"/>
      <w:lang w:val="zh-CN"/>
    </w:rPr>
  </w:style>
  <w:style w:type="character" w:customStyle="1" w:styleId="187">
    <w:name w:val="公司格式 1.1.1.1 Char"/>
    <w:link w:val="186"/>
    <w:qFormat/>
    <w:locked/>
    <w:uiPriority w:val="99"/>
    <w:rPr>
      <w:rFonts w:ascii="仿宋_GB2312" w:hAnsi="Arial" w:eastAsia="仿宋_GB2312"/>
      <w:sz w:val="28"/>
      <w:lang w:val="zh-CN" w:eastAsia="zh-CN"/>
    </w:rPr>
  </w:style>
  <w:style w:type="paragraph" w:customStyle="1" w:styleId="188">
    <w:name w:val="标题3"/>
    <w:basedOn w:val="1"/>
    <w:link w:val="189"/>
    <w:qFormat/>
    <w:uiPriority w:val="99"/>
    <w:pPr>
      <w:widowControl/>
      <w:jc w:val="left"/>
      <w:outlineLvl w:val="2"/>
    </w:pPr>
    <w:rPr>
      <w:rFonts w:ascii="仿宋_GB2312" w:eastAsia="仿宋_GB2312"/>
      <w:sz w:val="28"/>
      <w:szCs w:val="20"/>
      <w:lang w:val="zh-CN"/>
    </w:rPr>
  </w:style>
  <w:style w:type="character" w:customStyle="1" w:styleId="189">
    <w:name w:val="标题3 Char"/>
    <w:link w:val="188"/>
    <w:qFormat/>
    <w:locked/>
    <w:uiPriority w:val="99"/>
    <w:rPr>
      <w:rFonts w:ascii="仿宋_GB2312" w:hAnsi="Times New Roman" w:eastAsia="仿宋_GB2312"/>
      <w:kern w:val="2"/>
      <w:sz w:val="28"/>
      <w:lang w:val="zh-CN" w:eastAsia="zh-CN"/>
    </w:rPr>
  </w:style>
  <w:style w:type="character" w:customStyle="1" w:styleId="190">
    <w:name w:val="不明显强调1"/>
    <w:qFormat/>
    <w:uiPriority w:val="99"/>
    <w:rPr>
      <w:rFonts w:ascii="仿宋_GB2312" w:eastAsia="仿宋_GB2312"/>
      <w:color w:val="auto"/>
      <w:sz w:val="21"/>
      <w:vertAlign w:val="baseline"/>
    </w:rPr>
  </w:style>
  <w:style w:type="character" w:customStyle="1" w:styleId="191">
    <w:name w:val="标题 字符"/>
    <w:qFormat/>
    <w:uiPriority w:val="99"/>
    <w:rPr>
      <w:rFonts w:ascii="等线 Light" w:hAnsi="等线 Light" w:eastAsia="等线 Light" w:cs="宋体"/>
      <w:b/>
      <w:bCs/>
      <w:kern w:val="2"/>
      <w:sz w:val="32"/>
      <w:szCs w:val="32"/>
    </w:rPr>
  </w:style>
  <w:style w:type="character" w:customStyle="1" w:styleId="192">
    <w:name w:val="副标题 字符"/>
    <w:qFormat/>
    <w:uiPriority w:val="99"/>
    <w:rPr>
      <w:rFonts w:cs="Times New Roman"/>
      <w:b/>
      <w:bCs/>
      <w:kern w:val="28"/>
      <w:sz w:val="32"/>
      <w:szCs w:val="32"/>
    </w:rPr>
  </w:style>
  <w:style w:type="paragraph" w:customStyle="1" w:styleId="193">
    <w:name w:val="无间隔1"/>
    <w:link w:val="194"/>
    <w:qFormat/>
    <w:uiPriority w:val="99"/>
    <w:pPr>
      <w:jc w:val="both"/>
    </w:pPr>
    <w:rPr>
      <w:rFonts w:ascii="Calibri" w:hAnsi="Calibri" w:eastAsia="宋体" w:cs="Times New Roman"/>
      <w:sz w:val="22"/>
      <w:szCs w:val="22"/>
      <w:lang w:val="en-US" w:eastAsia="en-US" w:bidi="ar-SA"/>
    </w:rPr>
  </w:style>
  <w:style w:type="character" w:customStyle="1" w:styleId="194">
    <w:name w:val="无间隔 字符"/>
    <w:link w:val="193"/>
    <w:qFormat/>
    <w:locked/>
    <w:uiPriority w:val="99"/>
    <w:rPr>
      <w:rFonts w:ascii="Calibri" w:hAnsi="Calibri" w:eastAsia="宋体"/>
      <w:sz w:val="22"/>
      <w:lang w:eastAsia="en-US"/>
    </w:rPr>
  </w:style>
  <w:style w:type="character" w:customStyle="1" w:styleId="195">
    <w:name w:val="不明显强调2"/>
    <w:qFormat/>
    <w:uiPriority w:val="99"/>
    <w:rPr>
      <w:rFonts w:ascii="仿宋_GB2312" w:eastAsia="仿宋_GB2312"/>
      <w:color w:val="auto"/>
      <w:sz w:val="21"/>
      <w:vertAlign w:val="baseline"/>
    </w:rPr>
  </w:style>
  <w:style w:type="paragraph" w:customStyle="1" w:styleId="196">
    <w:name w:val="标题 1 New"/>
    <w:basedOn w:val="1"/>
    <w:qFormat/>
    <w:uiPriority w:val="99"/>
    <w:pPr>
      <w:widowControl/>
      <w:spacing w:before="100" w:beforeAutospacing="1" w:after="100" w:afterAutospacing="1"/>
      <w:jc w:val="left"/>
      <w:outlineLvl w:val="0"/>
    </w:pPr>
    <w:rPr>
      <w:rFonts w:ascii="宋体" w:cs="宋体"/>
      <w:b/>
      <w:bCs/>
      <w:kern w:val="36"/>
      <w:sz w:val="48"/>
      <w:szCs w:val="48"/>
    </w:rPr>
  </w:style>
  <w:style w:type="character" w:customStyle="1" w:styleId="197">
    <w:name w:val="Footer-Even Char Char"/>
    <w:qFormat/>
    <w:uiPriority w:val="99"/>
    <w:rPr>
      <w:rFonts w:ascii="Times New Roman" w:hAnsi="Times New Roman"/>
      <w:kern w:val="2"/>
      <w:sz w:val="18"/>
      <w:lang w:val="zh-CN" w:eastAsia="zh-CN"/>
    </w:rPr>
  </w:style>
  <w:style w:type="paragraph" w:customStyle="1" w:styleId="198">
    <w:name w:val="样式 首页公司名 + 段后: 0.5 行"/>
    <w:basedOn w:val="1"/>
    <w:qFormat/>
    <w:uiPriority w:val="99"/>
    <w:pPr>
      <w:jc w:val="center"/>
    </w:pPr>
    <w:rPr>
      <w:rFonts w:ascii="楷体_GB2312" w:eastAsia="楷体_GB2312" w:cs="宋体"/>
      <w:b/>
      <w:bCs/>
      <w:sz w:val="36"/>
    </w:rPr>
  </w:style>
  <w:style w:type="paragraph" w:customStyle="1" w:styleId="199">
    <w:name w:val="Char Char2 Char Char"/>
    <w:basedOn w:val="1"/>
    <w:qFormat/>
    <w:uiPriority w:val="99"/>
    <w:pPr>
      <w:widowControl/>
      <w:spacing w:after="160" w:line="240" w:lineRule="exact"/>
      <w:jc w:val="left"/>
    </w:pPr>
  </w:style>
  <w:style w:type="paragraph" w:customStyle="1" w:styleId="200">
    <w:name w:val="表"/>
    <w:basedOn w:val="1"/>
    <w:qFormat/>
    <w:uiPriority w:val="99"/>
    <w:pPr>
      <w:topLinePunct/>
      <w:jc w:val="center"/>
    </w:pPr>
    <w:rPr>
      <w:rFonts w:eastAsia="黑体"/>
      <w:sz w:val="28"/>
    </w:rPr>
  </w:style>
  <w:style w:type="paragraph" w:customStyle="1" w:styleId="201">
    <w:name w:val="正文 New New New"/>
    <w:qFormat/>
    <w:uiPriority w:val="99"/>
    <w:pPr>
      <w:widowControl w:val="0"/>
      <w:jc w:val="both"/>
    </w:pPr>
    <w:rPr>
      <w:rFonts w:ascii="Times New Roman" w:hAnsi="Times New Roman" w:eastAsia="宋体" w:cs="Times New Roman"/>
      <w:kern w:val="2"/>
      <w:sz w:val="21"/>
      <w:szCs w:val="22"/>
      <w:lang w:val="en-US" w:eastAsia="zh-CN" w:bidi="ar-SA"/>
    </w:rPr>
  </w:style>
  <w:style w:type="character" w:customStyle="1" w:styleId="202">
    <w:name w:val="apple-converted-space"/>
    <w:qFormat/>
    <w:uiPriority w:val="99"/>
    <w:rPr>
      <w:rFonts w:cs="Times New Roman"/>
    </w:rPr>
  </w:style>
  <w:style w:type="paragraph" w:customStyle="1" w:styleId="203">
    <w:name w:val="体育首行缩进:  2 字符 Char Char"/>
    <w:basedOn w:val="1"/>
    <w:link w:val="204"/>
    <w:qFormat/>
    <w:uiPriority w:val="99"/>
    <w:pPr>
      <w:widowControl/>
      <w:ind w:firstLine="560"/>
      <w:jc w:val="left"/>
    </w:pPr>
    <w:rPr>
      <w:rFonts w:ascii="仿宋_GB2312" w:eastAsia="仿宋_GB2312"/>
      <w:sz w:val="28"/>
      <w:szCs w:val="20"/>
      <w:lang w:val="zh-CN"/>
    </w:rPr>
  </w:style>
  <w:style w:type="character" w:customStyle="1" w:styleId="204">
    <w:name w:val="体育首行缩进:  2 字符 Char Char Char"/>
    <w:link w:val="203"/>
    <w:qFormat/>
    <w:locked/>
    <w:uiPriority w:val="99"/>
    <w:rPr>
      <w:rFonts w:ascii="仿宋_GB2312" w:hAnsi="Times New Roman" w:eastAsia="仿宋_GB2312"/>
      <w:kern w:val="2"/>
      <w:sz w:val="28"/>
      <w:lang w:val="zh-CN" w:eastAsia="zh-CN"/>
    </w:rPr>
  </w:style>
  <w:style w:type="character" w:customStyle="1" w:styleId="205">
    <w:name w:val="text1"/>
    <w:qFormat/>
    <w:uiPriority w:val="99"/>
    <w:rPr>
      <w:color w:val="000000"/>
      <w:sz w:val="20"/>
    </w:rPr>
  </w:style>
  <w:style w:type="character" w:customStyle="1" w:styleId="206">
    <w:name w:val="Char Char Char Char Char Char"/>
    <w:qFormat/>
    <w:uiPriority w:val="99"/>
    <w:rPr>
      <w:rFonts w:ascii="宋体" w:hAnsi="Courier New" w:eastAsia="宋体"/>
      <w:kern w:val="2"/>
      <w:sz w:val="21"/>
    </w:rPr>
  </w:style>
  <w:style w:type="paragraph" w:customStyle="1" w:styleId="207">
    <w:name w:val="样式 标题 2标题 2 Char + 黑体 小三"/>
    <w:basedOn w:val="2"/>
    <w:qFormat/>
    <w:uiPriority w:val="99"/>
    <w:pPr>
      <w:spacing w:line="480" w:lineRule="auto"/>
    </w:pPr>
    <w:rPr>
      <w:rFonts w:ascii="黑体" w:hAnsi="黑体" w:eastAsia="黑体"/>
      <w:w w:val="95"/>
      <w:kern w:val="2"/>
      <w:lang w:val="zh-CN"/>
    </w:rPr>
  </w:style>
  <w:style w:type="character" w:customStyle="1" w:styleId="208">
    <w:name w:val="Char Char15"/>
    <w:qFormat/>
    <w:uiPriority w:val="99"/>
    <w:rPr>
      <w:rFonts w:ascii="Arial" w:hAnsi="Arial"/>
      <w:i/>
      <w:sz w:val="22"/>
      <w:lang w:val="en-GB" w:eastAsia="en-US"/>
    </w:rPr>
  </w:style>
  <w:style w:type="character" w:customStyle="1" w:styleId="209">
    <w:name w:val="Char Char14"/>
    <w:qFormat/>
    <w:uiPriority w:val="99"/>
    <w:rPr>
      <w:rFonts w:ascii="Arial" w:hAnsi="Arial"/>
      <w:sz w:val="18"/>
      <w:lang w:val="en-GB" w:eastAsia="en-US"/>
    </w:rPr>
  </w:style>
  <w:style w:type="character" w:customStyle="1" w:styleId="210">
    <w:name w:val="Char Char13"/>
    <w:qFormat/>
    <w:uiPriority w:val="99"/>
    <w:rPr>
      <w:rFonts w:ascii="Arial" w:hAnsi="Arial"/>
      <w:i/>
      <w:sz w:val="18"/>
      <w:lang w:val="en-GB" w:eastAsia="en-US"/>
    </w:rPr>
  </w:style>
  <w:style w:type="paragraph" w:customStyle="1" w:styleId="211">
    <w:name w:val="表名称"/>
    <w:basedOn w:val="124"/>
    <w:qFormat/>
    <w:uiPriority w:val="99"/>
    <w:pPr>
      <w:adjustRightInd/>
      <w:snapToGrid/>
      <w:spacing w:line="240" w:lineRule="auto"/>
      <w:ind w:firstLine="0" w:firstLineChars="0"/>
      <w:jc w:val="center"/>
    </w:pPr>
    <w:rPr>
      <w:rFonts w:hAnsi="仿宋_GB2312" w:eastAsia="黑体"/>
      <w:kern w:val="2"/>
    </w:rPr>
  </w:style>
  <w:style w:type="paragraph" w:customStyle="1" w:styleId="212">
    <w:name w:val="表格号及注解"/>
    <w:basedOn w:val="1"/>
    <w:qFormat/>
    <w:uiPriority w:val="99"/>
    <w:pPr>
      <w:spacing w:line="240" w:lineRule="atLeast"/>
    </w:pPr>
    <w:rPr>
      <w:rFonts w:cs="宋体"/>
      <w:szCs w:val="20"/>
    </w:rPr>
  </w:style>
  <w:style w:type="paragraph" w:customStyle="1" w:styleId="213">
    <w:name w:val="Pa2"/>
    <w:basedOn w:val="1"/>
    <w:next w:val="1"/>
    <w:qFormat/>
    <w:uiPriority w:val="99"/>
    <w:pPr>
      <w:autoSpaceDE w:val="0"/>
      <w:autoSpaceDN w:val="0"/>
      <w:spacing w:line="241" w:lineRule="atLeast"/>
      <w:jc w:val="left"/>
    </w:pPr>
    <w:rPr>
      <w:rFonts w:ascii="宋体" w:eastAsia="宋体" w:cs="黑体"/>
      <w:kern w:val="0"/>
    </w:rPr>
  </w:style>
  <w:style w:type="paragraph" w:customStyle="1" w:styleId="214">
    <w:name w:val="4"/>
    <w:qFormat/>
    <w:uiPriority w:val="99"/>
    <w:pPr>
      <w:widowControl w:val="0"/>
      <w:jc w:val="both"/>
    </w:pPr>
    <w:rPr>
      <w:rFonts w:ascii="仿宋_GB2312" w:hAnsi="Times New Roman" w:eastAsia="仿宋_GB2312" w:cs="Times New Roman"/>
      <w:kern w:val="2"/>
      <w:sz w:val="28"/>
      <w:szCs w:val="28"/>
      <w:lang w:val="en-US" w:eastAsia="zh-CN" w:bidi="ar-SA"/>
    </w:rPr>
  </w:style>
  <w:style w:type="table" w:customStyle="1" w:styleId="215">
    <w:name w:val="网格型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6">
    <w:name w:val="p10x"/>
    <w:qFormat/>
    <w:uiPriority w:val="99"/>
  </w:style>
  <w:style w:type="paragraph" w:customStyle="1" w:styleId="217">
    <w:name w:val="5"/>
    <w:qFormat/>
    <w:uiPriority w:val="99"/>
    <w:pPr>
      <w:widowControl w:val="0"/>
      <w:jc w:val="both"/>
    </w:pPr>
    <w:rPr>
      <w:rFonts w:ascii="仿宋_GB2312" w:hAnsi="Times New Roman" w:eastAsia="仿宋_GB2312" w:cs="Times New Roman"/>
      <w:kern w:val="2"/>
      <w:sz w:val="28"/>
      <w:szCs w:val="28"/>
      <w:lang w:val="en-US" w:eastAsia="zh-CN" w:bidi="ar-SA"/>
    </w:rPr>
  </w:style>
  <w:style w:type="character" w:customStyle="1" w:styleId="218">
    <w:name w:val="页脚 Char1"/>
    <w:qFormat/>
    <w:uiPriority w:val="99"/>
    <w:rPr>
      <w:rFonts w:ascii="仿宋_GB2312" w:eastAsia="仿宋_GB2312"/>
      <w:kern w:val="2"/>
      <w:sz w:val="18"/>
    </w:rPr>
  </w:style>
  <w:style w:type="character" w:customStyle="1" w:styleId="219">
    <w:name w:val="批注主题 Char1"/>
    <w:qFormat/>
    <w:uiPriority w:val="99"/>
    <w:rPr>
      <w:rFonts w:ascii="仿宋_GB2312" w:hAnsi="Times New Roman" w:eastAsia="仿宋_GB2312"/>
      <w:b/>
      <w:kern w:val="2"/>
      <w:sz w:val="28"/>
      <w:lang w:val="zh-CN" w:eastAsia="zh-CN"/>
    </w:rPr>
  </w:style>
  <w:style w:type="character" w:customStyle="1" w:styleId="220">
    <w:name w:val="纯文本 Char1"/>
    <w:qFormat/>
    <w:uiPriority w:val="99"/>
    <w:rPr>
      <w:rFonts w:ascii="宋体" w:hAnsi="Courier New" w:eastAsia="宋体"/>
      <w:sz w:val="21"/>
    </w:rPr>
  </w:style>
  <w:style w:type="character" w:customStyle="1" w:styleId="221">
    <w:name w:val="HTML 预设格式 Char1"/>
    <w:qFormat/>
    <w:uiPriority w:val="99"/>
    <w:rPr>
      <w:rFonts w:ascii="Courier New" w:hAnsi="Courier New"/>
      <w:sz w:val="20"/>
    </w:rPr>
  </w:style>
  <w:style w:type="character" w:customStyle="1" w:styleId="222">
    <w:name w:val="页眉 Char1"/>
    <w:qFormat/>
    <w:uiPriority w:val="99"/>
    <w:rPr>
      <w:rFonts w:ascii="仿宋_GB2312" w:eastAsia="仿宋_GB2312"/>
      <w:kern w:val="2"/>
      <w:sz w:val="18"/>
    </w:rPr>
  </w:style>
  <w:style w:type="character" w:customStyle="1" w:styleId="223">
    <w:name w:val="批注框文本 Char1"/>
    <w:qFormat/>
    <w:uiPriority w:val="99"/>
    <w:rPr>
      <w:sz w:val="18"/>
    </w:rPr>
  </w:style>
  <w:style w:type="character" w:customStyle="1" w:styleId="224">
    <w:name w:val="日期 Char1"/>
    <w:qFormat/>
    <w:uiPriority w:val="99"/>
  </w:style>
  <w:style w:type="character" w:customStyle="1" w:styleId="225">
    <w:name w:val="正文缩进 Char"/>
    <w:qFormat/>
    <w:uiPriority w:val="99"/>
    <w:rPr>
      <w:rFonts w:ascii="仿宋_GB2312" w:hAnsi="宋体" w:eastAsia="仿宋_GB2312"/>
      <w:sz w:val="28"/>
    </w:rPr>
  </w:style>
  <w:style w:type="table" w:customStyle="1" w:styleId="226">
    <w:name w:val="网格型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网格型1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网格型2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29">
    <w:name w:val="font5"/>
    <w:basedOn w:val="1"/>
    <w:qFormat/>
    <w:uiPriority w:val="99"/>
    <w:pPr>
      <w:widowControl/>
      <w:spacing w:before="100" w:beforeAutospacing="1" w:after="100" w:afterAutospacing="1"/>
      <w:jc w:val="left"/>
    </w:pPr>
    <w:rPr>
      <w:rFonts w:ascii="宋体" w:cs="宋体"/>
      <w:kern w:val="0"/>
      <w:sz w:val="18"/>
      <w:szCs w:val="18"/>
    </w:rPr>
  </w:style>
  <w:style w:type="paragraph" w:customStyle="1" w:styleId="230">
    <w:name w:val="font6"/>
    <w:basedOn w:val="1"/>
    <w:qFormat/>
    <w:uiPriority w:val="99"/>
    <w:pPr>
      <w:widowControl/>
      <w:spacing w:before="100" w:beforeAutospacing="1" w:after="100" w:afterAutospacing="1"/>
      <w:jc w:val="left"/>
    </w:pPr>
    <w:rPr>
      <w:rFonts w:cs="宋体"/>
      <w:color w:val="000000"/>
      <w:kern w:val="0"/>
      <w:szCs w:val="21"/>
    </w:rPr>
  </w:style>
  <w:style w:type="paragraph" w:customStyle="1" w:styleId="231">
    <w:name w:val="font7"/>
    <w:basedOn w:val="1"/>
    <w:qFormat/>
    <w:uiPriority w:val="99"/>
    <w:pPr>
      <w:widowControl/>
      <w:spacing w:before="100" w:beforeAutospacing="1" w:after="100" w:afterAutospacing="1"/>
      <w:jc w:val="left"/>
    </w:pPr>
    <w:rPr>
      <w:rFonts w:cs="宋体"/>
      <w:color w:val="000000"/>
      <w:kern w:val="0"/>
      <w:szCs w:val="21"/>
    </w:rPr>
  </w:style>
  <w:style w:type="paragraph" w:customStyle="1" w:styleId="232">
    <w:name w:val="font8"/>
    <w:basedOn w:val="1"/>
    <w:qFormat/>
    <w:uiPriority w:val="99"/>
    <w:pPr>
      <w:widowControl/>
      <w:spacing w:before="100" w:beforeAutospacing="1" w:after="100" w:afterAutospacing="1"/>
      <w:jc w:val="left"/>
    </w:pPr>
    <w:rPr>
      <w:rFonts w:cs="宋体"/>
      <w:color w:val="000000"/>
      <w:kern w:val="0"/>
    </w:rPr>
  </w:style>
  <w:style w:type="paragraph" w:customStyle="1" w:styleId="233">
    <w:name w:val="font9"/>
    <w:basedOn w:val="1"/>
    <w:qFormat/>
    <w:uiPriority w:val="99"/>
    <w:pPr>
      <w:widowControl/>
      <w:spacing w:before="100" w:beforeAutospacing="1" w:after="100" w:afterAutospacing="1"/>
      <w:jc w:val="left"/>
    </w:pPr>
    <w:rPr>
      <w:rFonts w:ascii="微软雅黑" w:hAnsi="微软雅黑" w:eastAsia="微软雅黑" w:cs="宋体"/>
      <w:color w:val="000000"/>
      <w:kern w:val="0"/>
    </w:rPr>
  </w:style>
  <w:style w:type="paragraph" w:customStyle="1" w:styleId="234">
    <w:name w:val="font10"/>
    <w:basedOn w:val="1"/>
    <w:qFormat/>
    <w:uiPriority w:val="99"/>
    <w:pPr>
      <w:widowControl/>
      <w:spacing w:before="100" w:beforeAutospacing="1" w:after="100" w:afterAutospacing="1"/>
      <w:jc w:val="left"/>
    </w:pPr>
    <w:rPr>
      <w:rFonts w:ascii="黑体" w:hAnsi="黑体" w:eastAsia="黑体" w:cs="宋体"/>
      <w:color w:val="000000"/>
      <w:kern w:val="0"/>
      <w:szCs w:val="21"/>
    </w:rPr>
  </w:style>
  <w:style w:type="paragraph" w:customStyle="1" w:styleId="235">
    <w:name w:val="font11"/>
    <w:basedOn w:val="1"/>
    <w:qFormat/>
    <w:uiPriority w:val="99"/>
    <w:pPr>
      <w:widowControl/>
      <w:spacing w:before="100" w:beforeAutospacing="1" w:after="100" w:afterAutospacing="1"/>
      <w:jc w:val="left"/>
    </w:pPr>
    <w:rPr>
      <w:rFonts w:ascii="微软雅黑" w:hAnsi="微软雅黑" w:eastAsia="微软雅黑" w:cs="宋体"/>
      <w:color w:val="000000"/>
      <w:kern w:val="0"/>
      <w:szCs w:val="21"/>
    </w:rPr>
  </w:style>
  <w:style w:type="paragraph" w:customStyle="1" w:styleId="236">
    <w:name w:val="font12"/>
    <w:basedOn w:val="1"/>
    <w:qFormat/>
    <w:uiPriority w:val="99"/>
    <w:pPr>
      <w:widowControl/>
      <w:spacing w:before="100" w:beforeAutospacing="1" w:after="100" w:afterAutospacing="1"/>
      <w:jc w:val="left"/>
    </w:pPr>
    <w:rPr>
      <w:rFonts w:cs="宋体"/>
      <w:color w:val="FF0000"/>
      <w:kern w:val="0"/>
      <w:szCs w:val="21"/>
    </w:rPr>
  </w:style>
  <w:style w:type="paragraph" w:customStyle="1" w:styleId="237">
    <w:name w:val="font13"/>
    <w:basedOn w:val="1"/>
    <w:qFormat/>
    <w:uiPriority w:val="99"/>
    <w:pPr>
      <w:widowControl/>
      <w:spacing w:before="100" w:beforeAutospacing="1" w:after="100" w:afterAutospacing="1"/>
      <w:jc w:val="left"/>
    </w:pPr>
    <w:rPr>
      <w:rFonts w:cs="宋体"/>
      <w:color w:val="FF0000"/>
      <w:kern w:val="0"/>
      <w:szCs w:val="21"/>
    </w:rPr>
  </w:style>
  <w:style w:type="paragraph" w:customStyle="1" w:styleId="238">
    <w:name w:val="font14"/>
    <w:basedOn w:val="1"/>
    <w:qFormat/>
    <w:uiPriority w:val="99"/>
    <w:pPr>
      <w:widowControl/>
      <w:spacing w:before="100" w:beforeAutospacing="1" w:after="100" w:afterAutospacing="1"/>
      <w:jc w:val="left"/>
    </w:pPr>
    <w:rPr>
      <w:rFonts w:ascii="微软雅黑" w:hAnsi="微软雅黑" w:eastAsia="微软雅黑" w:cs="宋体"/>
      <w:color w:val="FF0000"/>
      <w:kern w:val="0"/>
      <w:szCs w:val="21"/>
    </w:rPr>
  </w:style>
  <w:style w:type="paragraph" w:customStyle="1" w:styleId="239">
    <w:name w:val="font15"/>
    <w:basedOn w:val="1"/>
    <w:qFormat/>
    <w:uiPriority w:val="99"/>
    <w:pPr>
      <w:widowControl/>
      <w:spacing w:before="100" w:beforeAutospacing="1" w:after="100" w:afterAutospacing="1"/>
      <w:jc w:val="left"/>
    </w:pPr>
    <w:rPr>
      <w:rFonts w:cs="宋体"/>
      <w:color w:val="000000"/>
      <w:kern w:val="0"/>
      <w:sz w:val="22"/>
      <w:szCs w:val="22"/>
    </w:rPr>
  </w:style>
  <w:style w:type="paragraph" w:customStyle="1" w:styleId="24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000000"/>
      <w:kern w:val="0"/>
    </w:rPr>
  </w:style>
  <w:style w:type="paragraph" w:customStyle="1" w:styleId="24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rPr>
  </w:style>
  <w:style w:type="paragraph" w:customStyle="1" w:styleId="24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rPr>
  </w:style>
  <w:style w:type="paragraph" w:customStyle="1" w:styleId="24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000000"/>
      <w:kern w:val="0"/>
      <w:szCs w:val="21"/>
    </w:rPr>
  </w:style>
  <w:style w:type="paragraph" w:customStyle="1" w:styleId="24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rPr>
  </w:style>
  <w:style w:type="paragraph" w:customStyle="1" w:styleId="24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Cs w:val="21"/>
    </w:rPr>
  </w:style>
  <w:style w:type="paragraph" w:customStyle="1" w:styleId="24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1"/>
    </w:rPr>
  </w:style>
  <w:style w:type="paragraph" w:customStyle="1" w:styleId="24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szCs w:val="21"/>
    </w:rPr>
  </w:style>
  <w:style w:type="paragraph" w:customStyle="1" w:styleId="24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kern w:val="0"/>
      <w:szCs w:val="21"/>
    </w:rPr>
  </w:style>
  <w:style w:type="paragraph" w:customStyle="1" w:styleId="24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rPr>
  </w:style>
  <w:style w:type="paragraph" w:customStyle="1" w:styleId="25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rPr>
  </w:style>
  <w:style w:type="paragraph" w:customStyle="1" w:styleId="251">
    <w:name w:val="xl7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kern w:val="0"/>
      <w:szCs w:val="21"/>
    </w:rPr>
  </w:style>
  <w:style w:type="paragraph" w:customStyle="1" w:styleId="252">
    <w:name w:val="xl7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kern w:val="0"/>
      <w:szCs w:val="21"/>
    </w:rPr>
  </w:style>
  <w:style w:type="paragraph" w:customStyle="1" w:styleId="25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kern w:val="0"/>
      <w:szCs w:val="21"/>
    </w:rPr>
  </w:style>
  <w:style w:type="paragraph" w:customStyle="1" w:styleId="25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黑体" w:hAnsi="黑体" w:eastAsia="黑体" w:cs="宋体"/>
      <w:kern w:val="0"/>
      <w:szCs w:val="21"/>
    </w:rPr>
  </w:style>
  <w:style w:type="paragraph" w:customStyle="1" w:styleId="255">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000000"/>
      <w:kern w:val="0"/>
    </w:rPr>
  </w:style>
  <w:style w:type="paragraph" w:customStyle="1" w:styleId="25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Cs w:val="21"/>
    </w:rPr>
  </w:style>
  <w:style w:type="paragraph" w:customStyle="1" w:styleId="25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rPr>
  </w:style>
  <w:style w:type="paragraph" w:customStyle="1" w:styleId="258">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000000"/>
      <w:kern w:val="0"/>
    </w:rPr>
  </w:style>
  <w:style w:type="paragraph" w:customStyle="1" w:styleId="259">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kern w:val="0"/>
    </w:rPr>
  </w:style>
  <w:style w:type="paragraph" w:customStyle="1" w:styleId="26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b/>
      <w:bCs/>
      <w:kern w:val="0"/>
      <w:szCs w:val="21"/>
    </w:rPr>
  </w:style>
  <w:style w:type="paragraph" w:customStyle="1" w:styleId="261">
    <w:name w:val="xl84"/>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rPr>
  </w:style>
  <w:style w:type="paragraph" w:customStyle="1" w:styleId="26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rPr>
  </w:style>
  <w:style w:type="paragraph" w:customStyle="1" w:styleId="263">
    <w:name w:val="xl86"/>
    <w:basedOn w:val="1"/>
    <w:qFormat/>
    <w:uiPriority w:val="99"/>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宋体"/>
      <w:b/>
      <w:bCs/>
      <w:color w:val="000000"/>
      <w:kern w:val="0"/>
    </w:rPr>
  </w:style>
  <w:style w:type="paragraph" w:customStyle="1" w:styleId="264">
    <w:name w:val="xl87"/>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cs="宋体"/>
      <w:b/>
      <w:bCs/>
      <w:color w:val="000000"/>
      <w:kern w:val="0"/>
    </w:rPr>
  </w:style>
  <w:style w:type="paragraph" w:customStyle="1" w:styleId="265">
    <w:name w:val="xl88"/>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color w:val="000000"/>
      <w:kern w:val="0"/>
    </w:rPr>
  </w:style>
  <w:style w:type="paragraph" w:customStyle="1" w:styleId="266">
    <w:name w:val="xl89"/>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Cs w:val="21"/>
    </w:rPr>
  </w:style>
  <w:style w:type="paragraph" w:customStyle="1" w:styleId="267">
    <w:name w:val="xl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szCs w:val="21"/>
    </w:rPr>
  </w:style>
  <w:style w:type="paragraph" w:customStyle="1" w:styleId="268">
    <w:name w:val="xl91"/>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kern w:val="0"/>
    </w:rPr>
  </w:style>
  <w:style w:type="paragraph" w:customStyle="1" w:styleId="269">
    <w:name w:val="xl92"/>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cs="宋体"/>
      <w:kern w:val="0"/>
    </w:rPr>
  </w:style>
  <w:style w:type="paragraph" w:customStyle="1" w:styleId="270">
    <w:name w:val="xl93"/>
    <w:basedOn w:val="1"/>
    <w:qFormat/>
    <w:uiPriority w:val="99"/>
    <w:pPr>
      <w:widowControl/>
      <w:pBdr>
        <w:left w:val="single" w:color="auto" w:sz="4" w:space="0"/>
        <w:right w:val="single" w:color="auto" w:sz="4" w:space="0"/>
      </w:pBdr>
      <w:spacing w:before="100" w:beforeAutospacing="1" w:after="100" w:afterAutospacing="1"/>
      <w:jc w:val="left"/>
      <w:textAlignment w:val="center"/>
    </w:pPr>
    <w:rPr>
      <w:rFonts w:ascii="宋体" w:cs="宋体"/>
      <w:kern w:val="0"/>
    </w:rPr>
  </w:style>
  <w:style w:type="paragraph" w:customStyle="1" w:styleId="271">
    <w:name w:val="xl94"/>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kern w:val="0"/>
    </w:rPr>
  </w:style>
  <w:style w:type="paragraph" w:customStyle="1" w:styleId="27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rPr>
  </w:style>
  <w:style w:type="paragraph" w:customStyle="1" w:styleId="273">
    <w:name w:val="xl9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FF0000"/>
      <w:kern w:val="0"/>
      <w:szCs w:val="21"/>
    </w:rPr>
  </w:style>
  <w:style w:type="paragraph" w:customStyle="1" w:styleId="274">
    <w:name w:val="xl9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FF0000"/>
      <w:kern w:val="0"/>
    </w:rPr>
  </w:style>
  <w:style w:type="paragraph" w:customStyle="1" w:styleId="275">
    <w:name w:val="xl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rPr>
  </w:style>
  <w:style w:type="paragraph" w:customStyle="1" w:styleId="276">
    <w:name w:val="xl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FF0000"/>
      <w:kern w:val="0"/>
    </w:rPr>
  </w:style>
  <w:style w:type="paragraph" w:customStyle="1" w:styleId="277">
    <w:name w:val="xl1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cs="宋体"/>
      <w:color w:val="FF0000"/>
      <w:kern w:val="0"/>
    </w:rPr>
  </w:style>
  <w:style w:type="paragraph" w:customStyle="1" w:styleId="278">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FF0000"/>
      <w:kern w:val="0"/>
      <w:szCs w:val="21"/>
    </w:rPr>
  </w:style>
  <w:style w:type="paragraph" w:customStyle="1" w:styleId="279">
    <w:name w:val="xl102"/>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rPr>
  </w:style>
  <w:style w:type="paragraph" w:customStyle="1" w:styleId="280">
    <w:name w:val="xl103"/>
    <w:basedOn w:val="1"/>
    <w:qFormat/>
    <w:uiPriority w:val="99"/>
    <w:pPr>
      <w:widowControl/>
      <w:spacing w:before="100" w:beforeAutospacing="1" w:after="100" w:afterAutospacing="1"/>
      <w:jc w:val="left"/>
    </w:pPr>
    <w:rPr>
      <w:rFonts w:ascii="宋体" w:cs="宋体"/>
      <w:color w:val="FF0000"/>
      <w:kern w:val="0"/>
    </w:rPr>
  </w:style>
  <w:style w:type="paragraph" w:customStyle="1" w:styleId="28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FF0000"/>
      <w:kern w:val="0"/>
    </w:rPr>
  </w:style>
  <w:style w:type="paragraph" w:customStyle="1" w:styleId="28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FF0000"/>
      <w:kern w:val="0"/>
    </w:rPr>
  </w:style>
  <w:style w:type="paragraph" w:customStyle="1" w:styleId="28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FF0000"/>
      <w:kern w:val="0"/>
      <w:szCs w:val="21"/>
    </w:rPr>
  </w:style>
  <w:style w:type="paragraph" w:customStyle="1" w:styleId="284">
    <w:name w:val="xl10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黑体" w:hAnsi="黑体" w:eastAsia="黑体" w:cs="宋体"/>
      <w:color w:val="FF0000"/>
      <w:kern w:val="0"/>
      <w:szCs w:val="21"/>
    </w:rPr>
  </w:style>
  <w:style w:type="paragraph" w:customStyle="1" w:styleId="285">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黑体" w:hAnsi="黑体" w:eastAsia="黑体" w:cs="宋体"/>
      <w:color w:val="FF0000"/>
      <w:kern w:val="0"/>
      <w:szCs w:val="21"/>
    </w:rPr>
  </w:style>
  <w:style w:type="paragraph" w:customStyle="1" w:styleId="286">
    <w:name w:val="xl10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color w:val="FF0000"/>
      <w:kern w:val="0"/>
    </w:rPr>
  </w:style>
  <w:style w:type="paragraph" w:customStyle="1" w:styleId="28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kern w:val="0"/>
    </w:rPr>
  </w:style>
  <w:style w:type="paragraph" w:customStyle="1" w:styleId="288">
    <w:name w:val="xl111"/>
    <w:basedOn w:val="1"/>
    <w:qFormat/>
    <w:uiPriority w:val="99"/>
    <w:pPr>
      <w:widowControl/>
      <w:pBdr>
        <w:top w:val="single" w:color="auto" w:sz="4" w:space="0"/>
        <w:left w:val="single" w:color="auto" w:sz="4" w:space="0"/>
        <w:right w:val="single" w:color="auto" w:sz="4" w:space="0"/>
      </w:pBdr>
      <w:spacing w:before="100" w:beforeAutospacing="1" w:after="100" w:afterAutospacing="1"/>
      <w:jc w:val="left"/>
    </w:pPr>
    <w:rPr>
      <w:rFonts w:ascii="宋体" w:cs="宋体"/>
      <w:kern w:val="0"/>
    </w:rPr>
  </w:style>
  <w:style w:type="paragraph" w:customStyle="1" w:styleId="289">
    <w:name w:val="xl11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kern w:val="0"/>
      <w:szCs w:val="21"/>
    </w:rPr>
  </w:style>
  <w:style w:type="paragraph" w:customStyle="1" w:styleId="290">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黑体" w:hAnsi="黑体" w:eastAsia="黑体" w:cs="宋体"/>
      <w:color w:val="FF0000"/>
      <w:kern w:val="0"/>
      <w:szCs w:val="21"/>
    </w:rPr>
  </w:style>
  <w:style w:type="paragraph" w:customStyle="1" w:styleId="291">
    <w:name w:val="xl11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黑体" w:hAnsi="黑体" w:eastAsia="黑体" w:cs="宋体"/>
      <w:color w:val="FF0000"/>
      <w:kern w:val="0"/>
      <w:szCs w:val="21"/>
    </w:rPr>
  </w:style>
  <w:style w:type="paragraph" w:customStyle="1" w:styleId="292">
    <w:name w:val="xl11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FF0000"/>
      <w:kern w:val="0"/>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color w:val="FF0000"/>
      <w:kern w:val="0"/>
      <w:szCs w:val="21"/>
    </w:rPr>
  </w:style>
  <w:style w:type="paragraph" w:customStyle="1" w:styleId="294">
    <w:name w:val="xl11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color w:val="FF0000"/>
      <w:kern w:val="0"/>
      <w:szCs w:val="21"/>
    </w:rPr>
  </w:style>
  <w:style w:type="paragraph" w:customStyle="1" w:styleId="295">
    <w:name w:val="xl11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FF0000"/>
      <w:kern w:val="0"/>
      <w:szCs w:val="21"/>
    </w:rPr>
  </w:style>
  <w:style w:type="paragraph" w:customStyle="1" w:styleId="296">
    <w:name w:val="xl1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cs="宋体"/>
      <w:color w:val="FF0000"/>
      <w:kern w:val="0"/>
      <w:szCs w:val="21"/>
    </w:rPr>
  </w:style>
  <w:style w:type="paragraph" w:customStyle="1" w:styleId="297">
    <w:name w:val="xl12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70C0"/>
      <w:kern w:val="0"/>
    </w:rPr>
  </w:style>
  <w:style w:type="paragraph" w:customStyle="1" w:styleId="298">
    <w:name w:val="xl1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rPr>
  </w:style>
  <w:style w:type="paragraph" w:customStyle="1" w:styleId="299">
    <w:name w:val="font1"/>
    <w:basedOn w:val="1"/>
    <w:qFormat/>
    <w:uiPriority w:val="99"/>
    <w:pPr>
      <w:widowControl/>
      <w:spacing w:before="100" w:beforeAutospacing="1" w:after="100" w:afterAutospacing="1"/>
      <w:jc w:val="left"/>
    </w:pPr>
    <w:rPr>
      <w:rFonts w:ascii="宋体" w:cs="宋体"/>
      <w:color w:val="000000"/>
      <w:kern w:val="0"/>
      <w:sz w:val="22"/>
      <w:szCs w:val="22"/>
    </w:rPr>
  </w:style>
  <w:style w:type="paragraph" w:customStyle="1" w:styleId="300">
    <w:name w:val="列出段落6"/>
    <w:basedOn w:val="1"/>
    <w:qFormat/>
    <w:uiPriority w:val="99"/>
    <w:pPr>
      <w:ind w:firstLine="420"/>
    </w:pPr>
    <w:rPr>
      <w:sz w:val="28"/>
      <w:szCs w:val="28"/>
    </w:rPr>
  </w:style>
  <w:style w:type="character" w:customStyle="1" w:styleId="301">
    <w:name w:val="标题 6 Char"/>
    <w:qFormat/>
    <w:uiPriority w:val="99"/>
    <w:rPr>
      <w:rFonts w:ascii="Arial" w:hAnsi="Arial"/>
      <w:i/>
      <w:sz w:val="22"/>
      <w:lang w:val="en-GB" w:eastAsia="en-US"/>
    </w:rPr>
  </w:style>
  <w:style w:type="character" w:customStyle="1" w:styleId="302">
    <w:name w:val="标题 7 Char"/>
    <w:qFormat/>
    <w:uiPriority w:val="99"/>
    <w:rPr>
      <w:rFonts w:ascii="Arial" w:hAnsi="Arial"/>
      <w:sz w:val="18"/>
      <w:lang w:val="en-GB" w:eastAsia="en-US"/>
    </w:rPr>
  </w:style>
  <w:style w:type="character" w:customStyle="1" w:styleId="303">
    <w:name w:val="标题 8 Char"/>
    <w:qFormat/>
    <w:uiPriority w:val="99"/>
    <w:rPr>
      <w:rFonts w:ascii="Arial" w:hAnsi="Arial"/>
      <w:i/>
      <w:sz w:val="18"/>
      <w:lang w:val="en-GB" w:eastAsia="en-US"/>
    </w:rPr>
  </w:style>
  <w:style w:type="character" w:customStyle="1" w:styleId="304">
    <w:name w:val="标题 9 Char"/>
    <w:qFormat/>
    <w:uiPriority w:val="99"/>
    <w:rPr>
      <w:rFonts w:ascii="Arial" w:hAnsi="Arial"/>
      <w:b/>
      <w:i/>
      <w:sz w:val="18"/>
      <w:lang w:val="en-GB" w:eastAsia="en-US"/>
    </w:rPr>
  </w:style>
  <w:style w:type="character" w:customStyle="1" w:styleId="305">
    <w:name w:val="日期 Char"/>
    <w:qFormat/>
    <w:uiPriority w:val="99"/>
    <w:rPr>
      <w:rFonts w:ascii="宋体" w:eastAsia="宋体"/>
      <w:kern w:val="2"/>
      <w:sz w:val="28"/>
      <w:lang w:val="en-US" w:eastAsia="zh-CN"/>
    </w:rPr>
  </w:style>
  <w:style w:type="character" w:customStyle="1" w:styleId="306">
    <w:name w:val="文档结构图 Char"/>
    <w:qFormat/>
    <w:uiPriority w:val="99"/>
    <w:rPr>
      <w:rFonts w:ascii="仿宋_GB2312" w:eastAsia="仿宋_GB2312"/>
      <w:kern w:val="2"/>
      <w:sz w:val="28"/>
      <w:shd w:val="clear" w:color="auto" w:fill="000080"/>
    </w:rPr>
  </w:style>
  <w:style w:type="character" w:customStyle="1" w:styleId="307">
    <w:name w:val="正文缩进 Char1"/>
    <w:qFormat/>
    <w:uiPriority w:val="99"/>
    <w:rPr>
      <w:rFonts w:ascii="仿宋_GB2312" w:hAnsi="宋体" w:eastAsia="仿宋_GB2312"/>
      <w:kern w:val="2"/>
      <w:sz w:val="28"/>
    </w:rPr>
  </w:style>
  <w:style w:type="paragraph" w:customStyle="1" w:styleId="308">
    <w:name w:val="正文3"/>
    <w:basedOn w:val="1"/>
    <w:qFormat/>
    <w:uiPriority w:val="99"/>
    <w:pPr>
      <w:widowControl/>
      <w:spacing w:before="167" w:after="167"/>
      <w:ind w:left="167" w:right="167"/>
      <w:jc w:val="left"/>
    </w:pPr>
    <w:rPr>
      <w:rFonts w:cs="宋体"/>
      <w:color w:val="000000"/>
      <w:kern w:val="0"/>
      <w:sz w:val="28"/>
      <w:szCs w:val="28"/>
    </w:rPr>
  </w:style>
  <w:style w:type="character" w:customStyle="1" w:styleId="309">
    <w:name w:val="正文文本 Char"/>
    <w:qFormat/>
    <w:uiPriority w:val="99"/>
    <w:rPr>
      <w:rFonts w:ascii="仿宋_GB2312"/>
      <w:kern w:val="2"/>
      <w:sz w:val="28"/>
    </w:rPr>
  </w:style>
  <w:style w:type="character" w:customStyle="1" w:styleId="310">
    <w:name w:val="目录 1 Char"/>
    <w:qFormat/>
    <w:uiPriority w:val="99"/>
    <w:rPr>
      <w:rFonts w:eastAsia="仿宋_GB2312"/>
      <w:b/>
      <w:caps/>
      <w:kern w:val="2"/>
      <w:sz w:val="24"/>
      <w:lang w:val="en-US" w:eastAsia="zh-CN"/>
    </w:rPr>
  </w:style>
  <w:style w:type="character" w:customStyle="1" w:styleId="311">
    <w:name w:val="正文文本缩进 Char"/>
    <w:qFormat/>
    <w:uiPriority w:val="99"/>
    <w:rPr>
      <w:rFonts w:ascii="仿宋_GB2312" w:eastAsia="仿宋_GB2312"/>
      <w:kern w:val="2"/>
      <w:sz w:val="28"/>
    </w:rPr>
  </w:style>
  <w:style w:type="character" w:customStyle="1" w:styleId="312">
    <w:name w:val="正文文本缩进 2 Char"/>
    <w:qFormat/>
    <w:uiPriority w:val="99"/>
    <w:rPr>
      <w:kern w:val="2"/>
      <w:sz w:val="21"/>
    </w:rPr>
  </w:style>
  <w:style w:type="character" w:customStyle="1" w:styleId="313">
    <w:name w:val="正文文本 2 Char"/>
    <w:qFormat/>
    <w:uiPriority w:val="99"/>
    <w:rPr>
      <w:rFonts w:ascii="仿宋_GB2312" w:eastAsia="仿宋_GB2312"/>
      <w:kern w:val="2"/>
      <w:sz w:val="28"/>
    </w:rPr>
  </w:style>
  <w:style w:type="character" w:customStyle="1" w:styleId="314">
    <w:name w:val="正文文本缩进 3 Char"/>
    <w:qFormat/>
    <w:uiPriority w:val="99"/>
    <w:rPr>
      <w:rFonts w:ascii="仿宋_GB2312" w:eastAsia="仿宋_GB2312"/>
      <w:kern w:val="2"/>
      <w:sz w:val="16"/>
    </w:rPr>
  </w:style>
  <w:style w:type="character" w:customStyle="1" w:styleId="315">
    <w:name w:val="标题 Char"/>
    <w:qFormat/>
    <w:uiPriority w:val="99"/>
    <w:rPr>
      <w:rFonts w:ascii="Arial" w:hAnsi="Arial" w:eastAsia="黑体"/>
      <w:kern w:val="2"/>
      <w:sz w:val="32"/>
      <w:lang w:val="zh-CN" w:eastAsia="zh-CN"/>
    </w:rPr>
  </w:style>
  <w:style w:type="character" w:customStyle="1" w:styleId="316">
    <w:name w:val="副标题 Char"/>
    <w:qFormat/>
    <w:uiPriority w:val="99"/>
    <w:rPr>
      <w:rFonts w:ascii="仿宋_GB2312" w:hAnsi="Georgia" w:eastAsia="宋体"/>
      <w:b/>
      <w:sz w:val="44"/>
      <w:lang w:val="zh-CN" w:eastAsia="zh-CN"/>
    </w:rPr>
  </w:style>
  <w:style w:type="character" w:customStyle="1" w:styleId="317">
    <w:name w:val="无间隔 Char"/>
    <w:qFormat/>
    <w:uiPriority w:val="99"/>
    <w:rPr>
      <w:rFonts w:ascii="Calibri" w:hAnsi="Calibri"/>
      <w:sz w:val="22"/>
      <w:lang w:val="en-US" w:eastAsia="en-US"/>
    </w:rPr>
  </w:style>
  <w:style w:type="character" w:customStyle="1" w:styleId="318">
    <w:name w:val="列出段落 字符"/>
    <w:link w:val="112"/>
    <w:qFormat/>
    <w:locked/>
    <w:uiPriority w:val="0"/>
    <w:rPr>
      <w:rFonts w:ascii="Times New Roman" w:hAnsi="Times New Roman" w:eastAsia="宋体"/>
      <w:kern w:val="2"/>
      <w:sz w:val="24"/>
    </w:rPr>
  </w:style>
  <w:style w:type="paragraph" w:customStyle="1" w:styleId="319">
    <w:name w:val="msonormal"/>
    <w:basedOn w:val="1"/>
    <w:qFormat/>
    <w:uiPriority w:val="99"/>
    <w:pPr>
      <w:widowControl/>
      <w:spacing w:before="100" w:beforeAutospacing="1" w:after="100" w:afterAutospacing="1"/>
      <w:jc w:val="left"/>
    </w:pPr>
    <w:rPr>
      <w:rFonts w:ascii="宋体" w:cs="宋体"/>
      <w:kern w:val="0"/>
    </w:rPr>
  </w:style>
  <w:style w:type="character" w:customStyle="1" w:styleId="320">
    <w:name w:val="font231"/>
    <w:qFormat/>
    <w:uiPriority w:val="99"/>
    <w:rPr>
      <w:rFonts w:ascii="宋体" w:hAnsi="宋体" w:eastAsia="宋体" w:cs="Times New Roman"/>
      <w:color w:val="auto"/>
      <w:sz w:val="24"/>
      <w:szCs w:val="24"/>
      <w:u w:val="none"/>
    </w:rPr>
  </w:style>
  <w:style w:type="table" w:customStyle="1" w:styleId="321">
    <w:name w:val="网格型1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22">
    <w:name w:val="网格型4"/>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23">
    <w:name w:val="font64"/>
    <w:basedOn w:val="1"/>
    <w:qFormat/>
    <w:uiPriority w:val="99"/>
    <w:pPr>
      <w:widowControl/>
      <w:spacing w:before="100" w:beforeAutospacing="1" w:after="100" w:afterAutospacing="1"/>
      <w:jc w:val="left"/>
    </w:pPr>
    <w:rPr>
      <w:rFonts w:cs="宋体"/>
      <w:color w:val="000000"/>
      <w:kern w:val="0"/>
      <w:szCs w:val="21"/>
    </w:rPr>
  </w:style>
  <w:style w:type="paragraph" w:customStyle="1" w:styleId="324">
    <w:name w:val="font65"/>
    <w:basedOn w:val="1"/>
    <w:qFormat/>
    <w:uiPriority w:val="99"/>
    <w:pPr>
      <w:widowControl/>
      <w:spacing w:before="100" w:beforeAutospacing="1" w:after="100" w:afterAutospacing="1"/>
      <w:jc w:val="left"/>
    </w:pPr>
    <w:rPr>
      <w:color w:val="000000"/>
      <w:kern w:val="0"/>
      <w:szCs w:val="21"/>
    </w:rPr>
  </w:style>
  <w:style w:type="paragraph" w:customStyle="1" w:styleId="325">
    <w:name w:val="font69"/>
    <w:basedOn w:val="1"/>
    <w:qFormat/>
    <w:uiPriority w:val="99"/>
    <w:pPr>
      <w:widowControl/>
      <w:spacing w:before="100" w:beforeAutospacing="1" w:after="100" w:afterAutospacing="1"/>
      <w:jc w:val="left"/>
    </w:pPr>
    <w:rPr>
      <w:color w:val="FF0000"/>
      <w:kern w:val="0"/>
      <w:szCs w:val="21"/>
    </w:rPr>
  </w:style>
  <w:style w:type="paragraph" w:customStyle="1" w:styleId="326">
    <w:name w:val="font74"/>
    <w:basedOn w:val="1"/>
    <w:qFormat/>
    <w:uiPriority w:val="99"/>
    <w:pPr>
      <w:widowControl/>
      <w:spacing w:before="100" w:beforeAutospacing="1" w:after="100" w:afterAutospacing="1"/>
      <w:jc w:val="left"/>
    </w:pPr>
    <w:rPr>
      <w:rFonts w:ascii="宋体" w:cs="宋体"/>
      <w:color w:val="FF0000"/>
      <w:kern w:val="0"/>
      <w:szCs w:val="21"/>
    </w:rPr>
  </w:style>
  <w:style w:type="paragraph" w:customStyle="1" w:styleId="327">
    <w:name w:val="xl49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000000"/>
      <w:kern w:val="0"/>
      <w:szCs w:val="21"/>
    </w:rPr>
  </w:style>
  <w:style w:type="paragraph" w:customStyle="1" w:styleId="328">
    <w:name w:val="xl4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Cs w:val="21"/>
    </w:rPr>
  </w:style>
  <w:style w:type="paragraph" w:customStyle="1" w:styleId="329">
    <w:name w:val="xl49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color w:val="000000"/>
      <w:kern w:val="0"/>
      <w:szCs w:val="21"/>
    </w:rPr>
  </w:style>
  <w:style w:type="paragraph" w:customStyle="1" w:styleId="330">
    <w:name w:val="xl49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color w:val="000000"/>
      <w:kern w:val="0"/>
      <w:szCs w:val="21"/>
    </w:rPr>
  </w:style>
  <w:style w:type="paragraph" w:customStyle="1" w:styleId="331">
    <w:name w:val="xl49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kern w:val="0"/>
      <w:szCs w:val="21"/>
    </w:rPr>
  </w:style>
  <w:style w:type="paragraph" w:customStyle="1" w:styleId="332">
    <w:name w:val="xl49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FF0000"/>
      <w:kern w:val="0"/>
      <w:szCs w:val="21"/>
    </w:rPr>
  </w:style>
  <w:style w:type="paragraph" w:customStyle="1" w:styleId="333">
    <w:name w:val="xl49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0000"/>
      <w:kern w:val="0"/>
      <w:szCs w:val="21"/>
    </w:rPr>
  </w:style>
  <w:style w:type="paragraph" w:customStyle="1" w:styleId="334">
    <w:name w:val="xl50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Cs w:val="21"/>
    </w:rPr>
  </w:style>
  <w:style w:type="paragraph" w:customStyle="1" w:styleId="335">
    <w:name w:val="xl5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Cs w:val="21"/>
    </w:rPr>
  </w:style>
  <w:style w:type="paragraph" w:customStyle="1" w:styleId="336">
    <w:name w:val="xl502"/>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1"/>
    </w:rPr>
  </w:style>
  <w:style w:type="paragraph" w:customStyle="1" w:styleId="337">
    <w:name w:val="xl503"/>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color w:val="000000"/>
      <w:kern w:val="0"/>
      <w:szCs w:val="21"/>
    </w:rPr>
  </w:style>
  <w:style w:type="paragraph" w:customStyle="1" w:styleId="338">
    <w:name w:val="xl504"/>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right"/>
      <w:textAlignment w:val="center"/>
    </w:pPr>
    <w:rPr>
      <w:kern w:val="0"/>
      <w:szCs w:val="21"/>
    </w:rPr>
  </w:style>
  <w:style w:type="paragraph" w:customStyle="1" w:styleId="339">
    <w:name w:val="xl50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color w:val="FF0000"/>
      <w:kern w:val="0"/>
      <w:szCs w:val="21"/>
    </w:rPr>
  </w:style>
  <w:style w:type="paragraph" w:customStyle="1" w:styleId="340">
    <w:name w:val="xl507"/>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000000"/>
      <w:kern w:val="0"/>
      <w:szCs w:val="21"/>
    </w:rPr>
  </w:style>
  <w:style w:type="paragraph" w:customStyle="1" w:styleId="341">
    <w:name w:val="xl5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宋体"/>
      <w:color w:val="000000"/>
      <w:kern w:val="0"/>
      <w:szCs w:val="21"/>
    </w:rPr>
  </w:style>
  <w:style w:type="paragraph" w:customStyle="1" w:styleId="342">
    <w:name w:val="xl5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cs="宋体"/>
      <w:color w:val="000000"/>
      <w:kern w:val="0"/>
      <w:szCs w:val="21"/>
    </w:rPr>
  </w:style>
  <w:style w:type="paragraph" w:customStyle="1" w:styleId="343">
    <w:name w:val="xl51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cs="宋体"/>
      <w:color w:val="000000"/>
      <w:kern w:val="0"/>
      <w:szCs w:val="21"/>
    </w:rPr>
  </w:style>
  <w:style w:type="paragraph" w:customStyle="1" w:styleId="344">
    <w:name w:val="xl5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color w:val="000000"/>
      <w:kern w:val="0"/>
      <w:szCs w:val="21"/>
    </w:rPr>
  </w:style>
  <w:style w:type="paragraph" w:customStyle="1" w:styleId="345">
    <w:name w:val="xl51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textAlignment w:val="center"/>
    </w:pPr>
    <w:rPr>
      <w:kern w:val="0"/>
      <w:szCs w:val="21"/>
    </w:rPr>
  </w:style>
  <w:style w:type="paragraph" w:customStyle="1" w:styleId="346">
    <w:name w:val="xl515"/>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color w:val="FF0000"/>
      <w:kern w:val="0"/>
      <w:szCs w:val="21"/>
    </w:rPr>
  </w:style>
  <w:style w:type="paragraph" w:customStyle="1" w:styleId="347">
    <w:name w:val="xl5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color w:val="FF0000"/>
      <w:kern w:val="0"/>
      <w:szCs w:val="21"/>
    </w:rPr>
  </w:style>
  <w:style w:type="paragraph" w:customStyle="1" w:styleId="348">
    <w:name w:val="xl51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宋体"/>
      <w:b/>
      <w:bCs/>
      <w:color w:val="000000"/>
      <w:kern w:val="0"/>
      <w:szCs w:val="21"/>
    </w:rPr>
  </w:style>
  <w:style w:type="paragraph" w:customStyle="1" w:styleId="349">
    <w:name w:val="xl52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b/>
      <w:bCs/>
      <w:color w:val="000000"/>
      <w:kern w:val="0"/>
      <w:szCs w:val="21"/>
    </w:rPr>
  </w:style>
  <w:style w:type="paragraph" w:customStyle="1" w:styleId="350">
    <w:name w:val="xl52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宋体"/>
      <w:b/>
      <w:bCs/>
      <w:kern w:val="0"/>
      <w:szCs w:val="21"/>
    </w:rPr>
  </w:style>
  <w:style w:type="paragraph" w:customStyle="1" w:styleId="351">
    <w:name w:val="xl5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b/>
      <w:bCs/>
      <w:color w:val="000000"/>
      <w:kern w:val="0"/>
      <w:szCs w:val="21"/>
    </w:rPr>
  </w:style>
  <w:style w:type="paragraph" w:customStyle="1" w:styleId="352">
    <w:name w:val="xl5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cs="宋体"/>
      <w:color w:val="000000"/>
      <w:kern w:val="0"/>
      <w:sz w:val="22"/>
      <w:szCs w:val="22"/>
    </w:rPr>
  </w:style>
  <w:style w:type="paragraph" w:customStyle="1" w:styleId="353">
    <w:name w:val="xl5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宋体"/>
      <w:color w:val="000000"/>
      <w:kern w:val="0"/>
      <w:szCs w:val="21"/>
    </w:rPr>
  </w:style>
  <w:style w:type="paragraph" w:customStyle="1" w:styleId="354">
    <w:name w:val="xl52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kern w:val="0"/>
      <w:szCs w:val="21"/>
    </w:rPr>
  </w:style>
  <w:style w:type="paragraph" w:customStyle="1" w:styleId="355">
    <w:name w:val="xl52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cs="宋体"/>
      <w:kern w:val="0"/>
    </w:rPr>
  </w:style>
  <w:style w:type="paragraph" w:customStyle="1" w:styleId="356">
    <w:name w:val="xl5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color w:val="000000"/>
      <w:kern w:val="0"/>
      <w:szCs w:val="21"/>
    </w:rPr>
  </w:style>
  <w:style w:type="paragraph" w:customStyle="1" w:styleId="357">
    <w:name w:val="xl5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FF0000"/>
      <w:kern w:val="0"/>
      <w:szCs w:val="21"/>
    </w:rPr>
  </w:style>
  <w:style w:type="paragraph" w:customStyle="1" w:styleId="358">
    <w:name w:val="xl53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cs="宋体"/>
      <w:color w:val="FF0000"/>
      <w:kern w:val="0"/>
      <w:szCs w:val="21"/>
    </w:rPr>
  </w:style>
  <w:style w:type="paragraph" w:customStyle="1" w:styleId="359">
    <w:name w:val="xl5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FF0000"/>
      <w:kern w:val="0"/>
      <w:szCs w:val="21"/>
    </w:rPr>
  </w:style>
  <w:style w:type="paragraph" w:customStyle="1" w:styleId="360">
    <w:name w:val="xl845"/>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color w:val="000000"/>
      <w:kern w:val="0"/>
      <w:szCs w:val="21"/>
    </w:rPr>
  </w:style>
  <w:style w:type="paragraph" w:customStyle="1" w:styleId="361">
    <w:name w:val="xl846"/>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cs="宋体"/>
      <w:color w:val="000000"/>
      <w:kern w:val="0"/>
      <w:szCs w:val="21"/>
    </w:rPr>
  </w:style>
  <w:style w:type="paragraph" w:customStyle="1" w:styleId="362">
    <w:name w:val="xl847"/>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rFonts w:ascii="宋体" w:cs="宋体"/>
      <w:color w:val="000000"/>
      <w:kern w:val="0"/>
      <w:szCs w:val="21"/>
    </w:rPr>
  </w:style>
  <w:style w:type="paragraph" w:customStyle="1" w:styleId="363">
    <w:name w:val="xl849"/>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kern w:val="0"/>
      <w:szCs w:val="21"/>
    </w:rPr>
  </w:style>
  <w:style w:type="paragraph" w:customStyle="1" w:styleId="364">
    <w:name w:val="xl850"/>
    <w:basedOn w:val="1"/>
    <w:qFormat/>
    <w:uiPriority w:val="99"/>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textAlignment w:val="center"/>
    </w:pPr>
    <w:rPr>
      <w:color w:val="FF0000"/>
      <w:kern w:val="0"/>
      <w:szCs w:val="21"/>
    </w:rPr>
  </w:style>
  <w:style w:type="paragraph" w:customStyle="1" w:styleId="365">
    <w:name w:val="xl85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cs="宋体"/>
      <w:kern w:val="0"/>
    </w:rPr>
  </w:style>
  <w:style w:type="character" w:customStyle="1" w:styleId="366">
    <w:name w:val="font741"/>
    <w:qFormat/>
    <w:uiPriority w:val="99"/>
    <w:rPr>
      <w:rFonts w:ascii="宋体" w:hAnsi="宋体" w:eastAsia="宋体" w:cs="Times New Roman"/>
      <w:color w:val="FF0000"/>
      <w:sz w:val="21"/>
      <w:szCs w:val="21"/>
      <w:u w:val="none"/>
    </w:rPr>
  </w:style>
  <w:style w:type="character" w:customStyle="1" w:styleId="367">
    <w:name w:val="font691"/>
    <w:qFormat/>
    <w:uiPriority w:val="99"/>
    <w:rPr>
      <w:rFonts w:ascii="Times New Roman" w:hAnsi="Times New Roman" w:cs="Times New Roman"/>
      <w:color w:val="FF0000"/>
      <w:sz w:val="21"/>
      <w:szCs w:val="21"/>
      <w:u w:val="none"/>
    </w:rPr>
  </w:style>
  <w:style w:type="character" w:customStyle="1" w:styleId="368">
    <w:name w:val="font651"/>
    <w:qFormat/>
    <w:uiPriority w:val="99"/>
    <w:rPr>
      <w:rFonts w:ascii="Times New Roman" w:hAnsi="Times New Roman" w:cs="Times New Roman"/>
      <w:color w:val="000000"/>
      <w:sz w:val="21"/>
      <w:szCs w:val="21"/>
      <w:u w:val="none"/>
    </w:rPr>
  </w:style>
  <w:style w:type="character" w:customStyle="1" w:styleId="369">
    <w:name w:val="font641"/>
    <w:qFormat/>
    <w:uiPriority w:val="99"/>
    <w:rPr>
      <w:rFonts w:ascii="仿宋_GB2312" w:eastAsia="仿宋_GB2312" w:cs="Times New Roman"/>
      <w:color w:val="000000"/>
      <w:sz w:val="21"/>
      <w:szCs w:val="21"/>
      <w:u w:val="none"/>
    </w:rPr>
  </w:style>
  <w:style w:type="character" w:customStyle="1" w:styleId="370">
    <w:name w:val="font371"/>
    <w:qFormat/>
    <w:uiPriority w:val="99"/>
    <w:rPr>
      <w:rFonts w:ascii="宋体" w:hAnsi="宋体" w:eastAsia="宋体" w:cs="Times New Roman"/>
      <w:color w:val="auto"/>
      <w:sz w:val="24"/>
      <w:szCs w:val="24"/>
      <w:u w:val="none"/>
    </w:rPr>
  </w:style>
  <w:style w:type="character" w:customStyle="1" w:styleId="371">
    <w:name w:val="font101"/>
    <w:qFormat/>
    <w:uiPriority w:val="99"/>
    <w:rPr>
      <w:rFonts w:ascii="仿宋_GB2312" w:eastAsia="仿宋_GB2312" w:cs="Times New Roman"/>
      <w:color w:val="auto"/>
      <w:sz w:val="24"/>
      <w:szCs w:val="24"/>
      <w:u w:val="none"/>
    </w:rPr>
  </w:style>
  <w:style w:type="paragraph" w:customStyle="1" w:styleId="372">
    <w:name w:val="无间隔11"/>
    <w:qFormat/>
    <w:uiPriority w:val="99"/>
    <w:pPr>
      <w:widowControl w:val="0"/>
      <w:adjustRightInd w:val="0"/>
      <w:snapToGrid w:val="0"/>
      <w:ind w:firstLine="560" w:firstLineChars="200"/>
      <w:jc w:val="both"/>
    </w:pPr>
    <w:rPr>
      <w:rFonts w:ascii="Times New Roman" w:hAnsi="Times New Roman" w:eastAsia="仿宋_GB2312" w:cs="Times New Roman"/>
      <w:kern w:val="2"/>
      <w:sz w:val="28"/>
      <w:szCs w:val="28"/>
      <w:lang w:val="en-US" w:eastAsia="zh-CN" w:bidi="ar-SA"/>
    </w:rPr>
  </w:style>
  <w:style w:type="character" w:customStyle="1" w:styleId="373">
    <w:name w:val="占位符文本11"/>
    <w:qFormat/>
    <w:uiPriority w:val="99"/>
    <w:rPr>
      <w:rFonts w:cs="Times New Roman"/>
      <w:color w:val="808080"/>
    </w:rPr>
  </w:style>
  <w:style w:type="character" w:customStyle="1" w:styleId="374">
    <w:name w:val="不明显强调21"/>
    <w:qFormat/>
    <w:uiPriority w:val="99"/>
    <w:rPr>
      <w:rFonts w:ascii="仿宋_GB2312" w:eastAsia="仿宋_GB2312"/>
      <w:color w:val="auto"/>
      <w:sz w:val="21"/>
      <w:vertAlign w:val="baseline"/>
    </w:rPr>
  </w:style>
  <w:style w:type="character" w:customStyle="1" w:styleId="375">
    <w:name w:val="font21"/>
    <w:qFormat/>
    <w:uiPriority w:val="99"/>
    <w:rPr>
      <w:rFonts w:ascii="Times New Roman" w:hAnsi="Times New Roman" w:cs="Times New Roman"/>
      <w:color w:val="000000"/>
      <w:sz w:val="22"/>
      <w:szCs w:val="22"/>
      <w:u w:val="none"/>
    </w:rPr>
  </w:style>
  <w:style w:type="paragraph" w:customStyle="1" w:styleId="376">
    <w:name w:val="TOC 标题3"/>
    <w:basedOn w:val="3"/>
    <w:next w:val="1"/>
    <w:qFormat/>
    <w:uiPriority w:val="99"/>
    <w:pPr>
      <w:widowControl/>
      <w:spacing w:before="240" w:after="0" w:line="259" w:lineRule="auto"/>
      <w:jc w:val="left"/>
      <w:outlineLvl w:val="9"/>
    </w:pPr>
    <w:rPr>
      <w:rFonts w:ascii="等线 Light" w:hAnsi="等线 Light" w:eastAsia="等线 Light" w:cs="宋体"/>
      <w:b w:val="0"/>
      <w:bCs w:val="0"/>
      <w:color w:val="2F5496"/>
      <w:kern w:val="0"/>
      <w:sz w:val="32"/>
      <w:szCs w:val="32"/>
    </w:rPr>
  </w:style>
  <w:style w:type="paragraph" w:customStyle="1" w:styleId="377">
    <w:name w:val="列出段落4"/>
    <w:basedOn w:val="1"/>
    <w:link w:val="379"/>
    <w:qFormat/>
    <w:uiPriority w:val="99"/>
    <w:pPr>
      <w:ind w:firstLine="420"/>
    </w:pPr>
    <w:rPr>
      <w:szCs w:val="20"/>
    </w:rPr>
  </w:style>
  <w:style w:type="paragraph" w:customStyle="1" w:styleId="378">
    <w:name w:val="列出段落41"/>
    <w:basedOn w:val="1"/>
    <w:qFormat/>
    <w:uiPriority w:val="99"/>
    <w:pPr>
      <w:ind w:firstLine="420"/>
    </w:pPr>
  </w:style>
  <w:style w:type="character" w:customStyle="1" w:styleId="379">
    <w:name w:val="列出段落 字符1"/>
    <w:link w:val="377"/>
    <w:qFormat/>
    <w:locked/>
    <w:uiPriority w:val="99"/>
    <w:rPr>
      <w:rFonts w:ascii="Times New Roman" w:hAnsi="Times New Roman" w:eastAsia="宋体"/>
      <w:kern w:val="2"/>
      <w:sz w:val="24"/>
    </w:rPr>
  </w:style>
  <w:style w:type="character" w:customStyle="1" w:styleId="380">
    <w:name w:val="中等深浅网格 1 - 强调文字颜色 2 Char"/>
    <w:link w:val="381"/>
    <w:qFormat/>
    <w:locked/>
    <w:uiPriority w:val="99"/>
    <w:rPr>
      <w:kern w:val="2"/>
      <w:sz w:val="21"/>
    </w:rPr>
  </w:style>
  <w:style w:type="paragraph" w:customStyle="1" w:styleId="381">
    <w:name w:val="中等深浅网格 1 - 强调文字颜色 21"/>
    <w:basedOn w:val="1"/>
    <w:link w:val="380"/>
    <w:qFormat/>
    <w:uiPriority w:val="99"/>
    <w:pPr>
      <w:ind w:firstLine="420"/>
    </w:pPr>
    <w:rPr>
      <w:rFonts w:ascii="等线" w:hAnsi="等线" w:eastAsia="等线"/>
      <w:sz w:val="21"/>
      <w:szCs w:val="20"/>
    </w:rPr>
  </w:style>
  <w:style w:type="paragraph" w:customStyle="1" w:styleId="382">
    <w:name w:val="TOC 标题31"/>
    <w:basedOn w:val="3"/>
    <w:next w:val="1"/>
    <w:qFormat/>
    <w:uiPriority w:val="99"/>
    <w:pPr>
      <w:widowControl/>
      <w:spacing w:before="240" w:after="0" w:line="256" w:lineRule="auto"/>
      <w:jc w:val="left"/>
      <w:outlineLvl w:val="9"/>
    </w:pPr>
    <w:rPr>
      <w:rFonts w:ascii="等线 Light" w:hAnsi="等线 Light" w:eastAsia="等线 Light"/>
      <w:b w:val="0"/>
      <w:bCs w:val="0"/>
      <w:color w:val="2F5496"/>
      <w:kern w:val="0"/>
      <w:sz w:val="32"/>
      <w:szCs w:val="32"/>
    </w:rPr>
  </w:style>
  <w:style w:type="character" w:customStyle="1" w:styleId="383">
    <w:name w:val="15"/>
    <w:qFormat/>
    <w:uiPriority w:val="99"/>
    <w:rPr>
      <w:rFonts w:ascii="仿宋_GB2312" w:eastAsia="仿宋_GB2312" w:cs="Times New Roman"/>
      <w:color w:val="3665C3"/>
    </w:rPr>
  </w:style>
  <w:style w:type="paragraph" w:customStyle="1" w:styleId="384">
    <w:name w:val="列出段落5"/>
    <w:basedOn w:val="1"/>
    <w:qFormat/>
    <w:uiPriority w:val="99"/>
    <w:pPr>
      <w:ind w:firstLine="420"/>
    </w:pPr>
    <w:rPr>
      <w:szCs w:val="21"/>
    </w:rPr>
  </w:style>
  <w:style w:type="character" w:customStyle="1" w:styleId="385">
    <w:name w:val="题目 Char"/>
    <w:link w:val="386"/>
    <w:qFormat/>
    <w:locked/>
    <w:uiPriority w:val="99"/>
    <w:rPr>
      <w:rFonts w:ascii="黑体" w:hAnsi="Times New Roman" w:eastAsia="黑体"/>
      <w:sz w:val="44"/>
    </w:rPr>
  </w:style>
  <w:style w:type="paragraph" w:customStyle="1" w:styleId="386">
    <w:name w:val="题目"/>
    <w:basedOn w:val="1"/>
    <w:link w:val="385"/>
    <w:qFormat/>
    <w:uiPriority w:val="99"/>
    <w:pPr>
      <w:autoSpaceDE w:val="0"/>
      <w:autoSpaceDN w:val="0"/>
      <w:jc w:val="center"/>
    </w:pPr>
    <w:rPr>
      <w:rFonts w:ascii="黑体" w:eastAsia="黑体"/>
      <w:kern w:val="0"/>
      <w:sz w:val="44"/>
      <w:szCs w:val="20"/>
    </w:rPr>
  </w:style>
  <w:style w:type="paragraph" w:customStyle="1" w:styleId="387">
    <w:name w:val="列出段落7"/>
    <w:basedOn w:val="1"/>
    <w:qFormat/>
    <w:uiPriority w:val="99"/>
    <w:pPr>
      <w:ind w:firstLine="420"/>
    </w:pPr>
  </w:style>
  <w:style w:type="paragraph" w:customStyle="1" w:styleId="388">
    <w:name w:val="Table Paragraph"/>
    <w:basedOn w:val="1"/>
    <w:qFormat/>
    <w:uiPriority w:val="99"/>
    <w:pPr>
      <w:autoSpaceDN w:val="0"/>
      <w:spacing w:after="50" w:line="288" w:lineRule="auto"/>
      <w:ind w:firstLine="200"/>
    </w:pPr>
    <w:rPr>
      <w:szCs w:val="22"/>
    </w:rPr>
  </w:style>
  <w:style w:type="character" w:customStyle="1" w:styleId="389">
    <w:name w:val="备选条款1"/>
    <w:qFormat/>
    <w:uiPriority w:val="99"/>
    <w:rPr>
      <w:color w:val="00B050"/>
      <w:sz w:val="18"/>
    </w:rPr>
  </w:style>
  <w:style w:type="character" w:customStyle="1" w:styleId="390">
    <w:name w:val="3级编号 Char"/>
    <w:link w:val="139"/>
    <w:qFormat/>
    <w:locked/>
    <w:uiPriority w:val="99"/>
    <w:rPr>
      <w:rFonts w:eastAsia="仿宋_GB2312"/>
      <w:kern w:val="2"/>
      <w:sz w:val="24"/>
      <w:lang w:val="en-US" w:eastAsia="zh-CN"/>
    </w:rPr>
  </w:style>
  <w:style w:type="character" w:customStyle="1" w:styleId="391">
    <w:name w:val="4级编号 Char"/>
    <w:link w:val="141"/>
    <w:qFormat/>
    <w:locked/>
    <w:uiPriority w:val="99"/>
    <w:rPr>
      <w:rFonts w:ascii="Times New Roman" w:hAnsi="Times New Roman" w:eastAsia="仿宋_GB2312"/>
      <w:kern w:val="2"/>
      <w:sz w:val="24"/>
    </w:rPr>
  </w:style>
  <w:style w:type="paragraph" w:customStyle="1" w:styleId="392">
    <w:name w:val="2级正文"/>
    <w:basedOn w:val="1"/>
    <w:qFormat/>
    <w:uiPriority w:val="99"/>
    <w:pPr>
      <w:autoSpaceDE w:val="0"/>
      <w:autoSpaceDN w:val="0"/>
      <w:adjustRightInd/>
      <w:snapToGrid/>
      <w:spacing w:afterLines="30"/>
      <w:ind w:left="567" w:firstLine="0" w:firstLineChars="0"/>
    </w:pPr>
  </w:style>
  <w:style w:type="table" w:customStyle="1" w:styleId="393">
    <w:name w:val="网格型5"/>
    <w:qFormat/>
    <w:uiPriority w:val="99"/>
    <w:pPr>
      <w:jc w:val="both"/>
    </w:pPr>
    <w:rPr>
      <w:rFonts w:eastAsia="仿宋_GB231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394">
    <w:name w:val="占位符文本2"/>
    <w:qFormat/>
    <w:uiPriority w:val="99"/>
    <w:rPr>
      <w:rFonts w:cs="Times New Roman"/>
      <w:color w:val="808080"/>
    </w:rPr>
  </w:style>
  <w:style w:type="table" w:customStyle="1" w:styleId="395">
    <w:name w:val="网格型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96">
    <w:name w:val="TOC 标题4"/>
    <w:basedOn w:val="3"/>
    <w:next w:val="1"/>
    <w:qFormat/>
    <w:uiPriority w:val="99"/>
    <w:pPr>
      <w:widowControl/>
      <w:adjustRightInd/>
      <w:snapToGrid/>
      <w:spacing w:beforeLines="50" w:after="381" w:line="259" w:lineRule="auto"/>
      <w:ind w:firstLine="0" w:firstLineChars="0"/>
      <w:jc w:val="left"/>
      <w:outlineLvl w:val="9"/>
    </w:pPr>
    <w:rPr>
      <w:rFonts w:ascii="等线 Light" w:hAnsi="等线 Light" w:eastAsia="等线 Light" w:cs="宋体"/>
      <w:b w:val="0"/>
      <w:bCs w:val="0"/>
      <w:color w:val="2F5496"/>
      <w:kern w:val="0"/>
      <w:sz w:val="32"/>
      <w:szCs w:val="32"/>
    </w:rPr>
  </w:style>
  <w:style w:type="paragraph" w:customStyle="1" w:styleId="397">
    <w:name w:val="无间隔2"/>
    <w:qFormat/>
    <w:uiPriority w:val="99"/>
    <w:pPr>
      <w:jc w:val="both"/>
    </w:pPr>
    <w:rPr>
      <w:rFonts w:ascii="Calibri" w:hAnsi="Calibri" w:eastAsia="宋体" w:cs="Times New Roman"/>
      <w:sz w:val="22"/>
      <w:szCs w:val="22"/>
      <w:lang w:val="en-US" w:eastAsia="en-US" w:bidi="ar-SA"/>
    </w:rPr>
  </w:style>
  <w:style w:type="character" w:customStyle="1" w:styleId="398">
    <w:name w:val="不明显强调3"/>
    <w:qFormat/>
    <w:uiPriority w:val="99"/>
    <w:rPr>
      <w:rFonts w:ascii="仿宋_GB2312" w:eastAsia="仿宋_GB2312"/>
      <w:color w:val="auto"/>
      <w:sz w:val="21"/>
      <w:vertAlign w:val="baseline"/>
    </w:rPr>
  </w:style>
  <w:style w:type="paragraph" w:customStyle="1" w:styleId="399">
    <w:name w:val="修订1"/>
    <w:qFormat/>
    <w:uiPriority w:val="99"/>
    <w:rPr>
      <w:rFonts w:ascii="Times New Roman" w:hAnsi="Times New Roman" w:eastAsia="仿宋_GB2312" w:cs="Times New Roman"/>
      <w:kern w:val="2"/>
      <w:sz w:val="28"/>
      <w:szCs w:val="28"/>
      <w:lang w:val="en-US" w:eastAsia="zh-CN" w:bidi="ar-SA"/>
    </w:rPr>
  </w:style>
  <w:style w:type="paragraph" w:customStyle="1" w:styleId="400">
    <w:name w:val="1级正文"/>
    <w:basedOn w:val="1"/>
    <w:qFormat/>
    <w:uiPriority w:val="99"/>
    <w:pPr>
      <w:autoSpaceDE w:val="0"/>
      <w:autoSpaceDN w:val="0"/>
      <w:adjustRightInd/>
      <w:snapToGrid/>
      <w:spacing w:line="288" w:lineRule="auto"/>
      <w:ind w:firstLine="0" w:firstLineChars="0"/>
    </w:pPr>
  </w:style>
  <w:style w:type="paragraph" w:styleId="401">
    <w:name w:val="List Paragraph"/>
    <w:basedOn w:val="1"/>
    <w:link w:val="402"/>
    <w:qFormat/>
    <w:uiPriority w:val="99"/>
    <w:pPr>
      <w:numPr>
        <w:ilvl w:val="0"/>
        <w:numId w:val="2"/>
      </w:numPr>
      <w:spacing w:afterLines="0"/>
      <w:ind w:firstLine="0" w:firstLineChars="0"/>
    </w:pPr>
    <w:rPr>
      <w:rFonts w:eastAsia="仿宋_GB2312"/>
      <w:sz w:val="28"/>
      <w:szCs w:val="28"/>
    </w:rPr>
  </w:style>
  <w:style w:type="character" w:customStyle="1" w:styleId="402">
    <w:name w:val="列表段落 字符"/>
    <w:link w:val="401"/>
    <w:qFormat/>
    <w:uiPriority w:val="99"/>
    <w:rPr>
      <w:rFonts w:ascii="Times New Roman" w:hAnsi="Times New Roman" w:eastAsia="仿宋_GB2312" w:cs="Times New Roman"/>
      <w:kern w:val="2"/>
      <w:sz w:val="28"/>
      <w:szCs w:val="28"/>
    </w:rPr>
  </w:style>
  <w:style w:type="paragraph" w:customStyle="1" w:styleId="403">
    <w:name w:val="修订2"/>
    <w:hidden/>
    <w:semiHidden/>
    <w:qFormat/>
    <w:uiPriority w:val="99"/>
    <w:rPr>
      <w:rFonts w:ascii="Times New Roman" w:hAnsi="Times New Roman" w:eastAsia="宋体" w:cs="Times New Roman"/>
      <w:kern w:val="2"/>
      <w:sz w:val="24"/>
      <w:szCs w:val="24"/>
      <w:lang w:val="en-US" w:eastAsia="zh-CN" w:bidi="ar-SA"/>
    </w:rPr>
  </w:style>
  <w:style w:type="paragraph" w:customStyle="1" w:styleId="404">
    <w:name w:val="Revision"/>
    <w:hidden/>
    <w:unhideWhenUsed/>
    <w:qFormat/>
    <w:uiPriority w:val="99"/>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26</Pages>
  <Words>12630</Words>
  <Characters>13038</Characters>
  <Lines>106</Lines>
  <Paragraphs>29</Paragraphs>
  <TotalTime>2</TotalTime>
  <ScaleCrop>false</ScaleCrop>
  <LinksUpToDate>false</LinksUpToDate>
  <CharactersWithSpaces>13144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2019-02-25T21:16:00Z</dcterms:created>
  <dc:creator>Leaming Lee. 李立明</dc:creator>
  <cp:lastModifiedBy>Yu</cp:lastModifiedBy>
  <cp:lastPrinted>2019-01-06T17:33:00Z</cp:lastPrinted>
  <dcterms:modified xsi:type="dcterms:W3CDTF">2025-11-27T08:19:06Z</dcterms:modified>
  <dc:title>合同编号：穗南开产园合字【2017】  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585F0958B2724F4882BFAA69B6569FE3_13</vt:lpwstr>
  </property>
  <property fmtid="{D5CDD505-2E9C-101B-9397-08002B2CF9AE}" pid="4" name="KSOTemplateDocerSaveRecord">
    <vt:lpwstr>eyJoZGlkIjoiNWY4NWQ1NjllNTcyNWY4MmVhZDRmNDQyNTFiZjUxYWQiLCJ1c2VySWQiOiIxNTcyMDgyOTIxIn0=</vt:lpwstr>
  </property>
</Properties>
</file>