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9935"/>
        </w:tabs>
        <w:spacing w:before="34"/>
        <w:ind w:left="6498"/>
        <w:rPr>
          <w:rFonts w:ascii="Times New Roman" w:eastAsia="Times New Roman"/>
          <w:b/>
          <w:color w:val="auto"/>
          <w:sz w:val="32"/>
          <w:highlight w:val="none"/>
          <w:lang w:eastAsia="zh-CN"/>
        </w:rPr>
      </w:pPr>
      <w:bookmarkStart w:id="26" w:name="_GoBack"/>
      <w:r>
        <w:rPr>
          <w:b/>
          <w:color w:val="auto"/>
          <w:w w:val="95"/>
          <w:sz w:val="32"/>
          <w:highlight w:val="none"/>
          <w:lang w:eastAsia="zh-CN"/>
        </w:rPr>
        <w:t>合同编号：</w:t>
      </w:r>
      <w:r>
        <w:rPr>
          <w:rFonts w:ascii="Times New Roman" w:eastAsia="Times New Roman"/>
          <w:b/>
          <w:color w:val="auto"/>
          <w:w w:val="99"/>
          <w:sz w:val="32"/>
          <w:highlight w:val="none"/>
          <w:u w:val="single"/>
          <w:lang w:eastAsia="zh-CN"/>
        </w:rPr>
        <w:t xml:space="preserve"> </w:t>
      </w:r>
      <w:r>
        <w:rPr>
          <w:rFonts w:ascii="Times New Roman" w:eastAsia="Times New Roman"/>
          <w:b/>
          <w:color w:val="auto"/>
          <w:sz w:val="32"/>
          <w:highlight w:val="none"/>
          <w:u w:val="single"/>
          <w:lang w:eastAsia="zh-CN"/>
        </w:rPr>
        <w:tab/>
      </w:r>
    </w:p>
    <w:p>
      <w:pPr>
        <w:pStyle w:val="5"/>
        <w:ind w:left="0"/>
        <w:rPr>
          <w:rFonts w:ascii="Times New Roman"/>
          <w:b/>
          <w:color w:val="auto"/>
          <w:sz w:val="20"/>
          <w:highlight w:val="none"/>
          <w:lang w:eastAsia="zh-CN"/>
        </w:rPr>
      </w:pPr>
    </w:p>
    <w:p>
      <w:pPr>
        <w:pStyle w:val="5"/>
        <w:ind w:left="0"/>
        <w:rPr>
          <w:rFonts w:ascii="Times New Roman"/>
          <w:b/>
          <w:color w:val="auto"/>
          <w:sz w:val="20"/>
          <w:highlight w:val="none"/>
          <w:lang w:eastAsia="zh-CN"/>
        </w:rPr>
      </w:pPr>
    </w:p>
    <w:p>
      <w:pPr>
        <w:pStyle w:val="5"/>
        <w:ind w:left="0"/>
        <w:rPr>
          <w:rFonts w:ascii="Times New Roman"/>
          <w:b/>
          <w:color w:val="auto"/>
          <w:sz w:val="20"/>
          <w:highlight w:val="none"/>
          <w:lang w:eastAsia="zh-CN"/>
        </w:rPr>
      </w:pPr>
    </w:p>
    <w:p>
      <w:pPr>
        <w:pStyle w:val="5"/>
        <w:ind w:left="0"/>
        <w:rPr>
          <w:rFonts w:ascii="Times New Roman"/>
          <w:b/>
          <w:color w:val="auto"/>
          <w:sz w:val="20"/>
          <w:highlight w:val="none"/>
          <w:lang w:eastAsia="zh-CN"/>
        </w:rPr>
      </w:pPr>
    </w:p>
    <w:p>
      <w:pPr>
        <w:pStyle w:val="5"/>
        <w:ind w:left="0"/>
        <w:rPr>
          <w:rFonts w:ascii="Times New Roman"/>
          <w:b/>
          <w:color w:val="auto"/>
          <w:sz w:val="20"/>
          <w:highlight w:val="none"/>
          <w:lang w:eastAsia="zh-CN"/>
        </w:rPr>
      </w:pPr>
    </w:p>
    <w:p>
      <w:pPr>
        <w:pStyle w:val="5"/>
        <w:ind w:left="0"/>
        <w:rPr>
          <w:rFonts w:ascii="Times New Roman"/>
          <w:b/>
          <w:color w:val="auto"/>
          <w:sz w:val="20"/>
          <w:highlight w:val="none"/>
          <w:lang w:eastAsia="zh-CN"/>
        </w:rPr>
      </w:pPr>
    </w:p>
    <w:p>
      <w:pPr>
        <w:pStyle w:val="5"/>
        <w:ind w:left="0"/>
        <w:rPr>
          <w:rFonts w:ascii="Times New Roman"/>
          <w:b/>
          <w:color w:val="auto"/>
          <w:sz w:val="20"/>
          <w:highlight w:val="none"/>
          <w:lang w:eastAsia="zh-CN"/>
        </w:rPr>
      </w:pPr>
    </w:p>
    <w:p>
      <w:pPr>
        <w:pStyle w:val="5"/>
        <w:ind w:left="0"/>
        <w:rPr>
          <w:rFonts w:ascii="Times New Roman"/>
          <w:b/>
          <w:color w:val="auto"/>
          <w:sz w:val="20"/>
          <w:highlight w:val="none"/>
          <w:lang w:eastAsia="zh-CN"/>
        </w:rPr>
      </w:pPr>
    </w:p>
    <w:p>
      <w:pPr>
        <w:pStyle w:val="5"/>
        <w:ind w:left="0"/>
        <w:rPr>
          <w:rFonts w:ascii="Times New Roman"/>
          <w:b/>
          <w:color w:val="auto"/>
          <w:sz w:val="20"/>
          <w:highlight w:val="none"/>
          <w:lang w:eastAsia="zh-CN"/>
        </w:rPr>
      </w:pPr>
    </w:p>
    <w:p>
      <w:pPr>
        <w:pStyle w:val="5"/>
        <w:ind w:left="0"/>
        <w:rPr>
          <w:rFonts w:ascii="Times New Roman"/>
          <w:b/>
          <w:color w:val="auto"/>
          <w:sz w:val="20"/>
          <w:highlight w:val="none"/>
          <w:lang w:eastAsia="zh-CN"/>
        </w:rPr>
      </w:pPr>
    </w:p>
    <w:p>
      <w:pPr>
        <w:pStyle w:val="5"/>
        <w:ind w:left="0"/>
        <w:rPr>
          <w:rFonts w:ascii="Times New Roman"/>
          <w:b/>
          <w:color w:val="auto"/>
          <w:sz w:val="20"/>
          <w:highlight w:val="none"/>
          <w:lang w:eastAsia="zh-CN"/>
        </w:rPr>
      </w:pPr>
    </w:p>
    <w:p>
      <w:pPr>
        <w:pStyle w:val="5"/>
        <w:ind w:left="0"/>
        <w:rPr>
          <w:rFonts w:ascii="Times New Roman"/>
          <w:b/>
          <w:color w:val="auto"/>
          <w:sz w:val="20"/>
          <w:highlight w:val="none"/>
          <w:lang w:eastAsia="zh-CN"/>
        </w:rPr>
      </w:pPr>
    </w:p>
    <w:p>
      <w:pPr>
        <w:pStyle w:val="5"/>
        <w:ind w:left="0"/>
        <w:rPr>
          <w:rFonts w:ascii="Times New Roman"/>
          <w:b/>
          <w:color w:val="auto"/>
          <w:sz w:val="20"/>
          <w:highlight w:val="none"/>
          <w:lang w:eastAsia="zh-CN"/>
        </w:rPr>
      </w:pPr>
    </w:p>
    <w:p>
      <w:pPr>
        <w:pStyle w:val="5"/>
        <w:spacing w:before="5"/>
        <w:ind w:left="0"/>
        <w:rPr>
          <w:rFonts w:ascii="Times New Roman"/>
          <w:b/>
          <w:color w:val="auto"/>
          <w:sz w:val="22"/>
          <w:highlight w:val="none"/>
          <w:lang w:eastAsia="zh-CN"/>
        </w:rPr>
      </w:pPr>
    </w:p>
    <w:p>
      <w:pPr>
        <w:tabs>
          <w:tab w:val="left" w:pos="4772"/>
          <w:tab w:val="left" w:pos="5816"/>
        </w:tabs>
        <w:spacing w:before="28"/>
        <w:ind w:left="3728"/>
        <w:rPr>
          <w:b/>
          <w:color w:val="auto"/>
          <w:sz w:val="52"/>
          <w:highlight w:val="none"/>
          <w:lang w:eastAsia="zh-CN"/>
        </w:rPr>
      </w:pPr>
      <w:r>
        <w:rPr>
          <w:b/>
          <w:color w:val="auto"/>
          <w:sz w:val="52"/>
          <w:highlight w:val="none"/>
          <w:lang w:eastAsia="zh-CN"/>
        </w:rPr>
        <w:t>合</w:t>
      </w:r>
      <w:r>
        <w:rPr>
          <w:b/>
          <w:color w:val="auto"/>
          <w:sz w:val="52"/>
          <w:highlight w:val="none"/>
          <w:lang w:eastAsia="zh-CN"/>
        </w:rPr>
        <w:tab/>
      </w:r>
      <w:r>
        <w:rPr>
          <w:b/>
          <w:color w:val="auto"/>
          <w:sz w:val="52"/>
          <w:highlight w:val="none"/>
          <w:lang w:eastAsia="zh-CN"/>
        </w:rPr>
        <w:t>同</w:t>
      </w:r>
      <w:r>
        <w:rPr>
          <w:b/>
          <w:color w:val="auto"/>
          <w:sz w:val="52"/>
          <w:highlight w:val="none"/>
          <w:lang w:eastAsia="zh-CN"/>
        </w:rPr>
        <w:tab/>
      </w:r>
      <w:r>
        <w:rPr>
          <w:b/>
          <w:color w:val="auto"/>
          <w:sz w:val="52"/>
          <w:highlight w:val="none"/>
          <w:lang w:eastAsia="zh-CN"/>
        </w:rPr>
        <w:t>书</w:t>
      </w:r>
    </w:p>
    <w:p>
      <w:pPr>
        <w:pStyle w:val="5"/>
        <w:ind w:left="0"/>
        <w:rPr>
          <w:b/>
          <w:color w:val="auto"/>
          <w:sz w:val="52"/>
          <w:highlight w:val="none"/>
          <w:lang w:eastAsia="zh-CN"/>
        </w:rPr>
      </w:pPr>
    </w:p>
    <w:p>
      <w:pPr>
        <w:pStyle w:val="5"/>
        <w:ind w:left="0"/>
        <w:rPr>
          <w:b/>
          <w:color w:val="auto"/>
          <w:sz w:val="52"/>
          <w:highlight w:val="none"/>
          <w:lang w:eastAsia="zh-CN"/>
        </w:rPr>
      </w:pPr>
    </w:p>
    <w:p>
      <w:pPr>
        <w:pStyle w:val="5"/>
        <w:ind w:left="0"/>
        <w:rPr>
          <w:b/>
          <w:color w:val="auto"/>
          <w:sz w:val="52"/>
          <w:highlight w:val="none"/>
          <w:lang w:eastAsia="zh-CN"/>
        </w:rPr>
      </w:pPr>
    </w:p>
    <w:p>
      <w:pPr>
        <w:pStyle w:val="5"/>
        <w:ind w:left="0"/>
        <w:rPr>
          <w:b/>
          <w:color w:val="auto"/>
          <w:sz w:val="52"/>
          <w:highlight w:val="none"/>
          <w:lang w:eastAsia="zh-CN"/>
        </w:rPr>
      </w:pPr>
    </w:p>
    <w:p>
      <w:pPr>
        <w:pStyle w:val="5"/>
        <w:ind w:left="0"/>
        <w:rPr>
          <w:b/>
          <w:color w:val="auto"/>
          <w:sz w:val="52"/>
          <w:highlight w:val="none"/>
          <w:lang w:eastAsia="zh-CN"/>
        </w:rPr>
      </w:pPr>
    </w:p>
    <w:p>
      <w:pPr>
        <w:tabs>
          <w:tab w:val="left" w:pos="7292"/>
        </w:tabs>
        <w:spacing w:before="443" w:line="364" w:lineRule="auto"/>
        <w:ind w:left="1484" w:right="2792"/>
        <w:jc w:val="both"/>
        <w:rPr>
          <w:b/>
          <w:color w:val="auto"/>
          <w:spacing w:val="-1"/>
          <w:w w:val="95"/>
          <w:sz w:val="32"/>
          <w:highlight w:val="none"/>
          <w:lang w:eastAsia="zh-CN"/>
        </w:rPr>
      </w:pPr>
    </w:p>
    <w:p>
      <w:pPr>
        <w:tabs>
          <w:tab w:val="left" w:pos="7292"/>
        </w:tabs>
        <w:spacing w:line="360" w:lineRule="auto"/>
        <w:rPr>
          <w:b/>
          <w:color w:val="auto"/>
          <w:sz w:val="32"/>
          <w:highlight w:val="none"/>
          <w:lang w:eastAsia="zh-CN"/>
        </w:rPr>
      </w:pPr>
      <w:r>
        <w:rPr>
          <w:b/>
          <w:color w:val="auto"/>
          <w:sz w:val="32"/>
          <w:highlight w:val="none"/>
          <w:lang w:eastAsia="zh-CN"/>
        </w:rPr>
        <w:t>项目名称：</w:t>
      </w:r>
      <w:r>
        <w:rPr>
          <w:rFonts w:hint="eastAsia"/>
          <w:b/>
          <w:color w:val="auto"/>
          <w:sz w:val="32"/>
          <w:highlight w:val="none"/>
          <w:u w:val="single"/>
          <w:lang w:eastAsia="zh-CN"/>
        </w:rPr>
        <w:t>榄核镇东丫涌等</w:t>
      </w:r>
      <w:r>
        <w:rPr>
          <w:b/>
          <w:color w:val="auto"/>
          <w:sz w:val="32"/>
          <w:highlight w:val="none"/>
          <w:u w:val="single"/>
          <w:lang w:eastAsia="zh-CN"/>
        </w:rPr>
        <w:t>53条河涌（道）整治工程全过程咨询</w:t>
      </w:r>
      <w:r>
        <w:rPr>
          <w:b/>
          <w:color w:val="auto"/>
          <w:sz w:val="32"/>
          <w:highlight w:val="none"/>
          <w:lang w:eastAsia="zh-CN"/>
        </w:rPr>
        <w:tab/>
      </w:r>
      <w:r>
        <w:rPr>
          <w:b/>
          <w:color w:val="auto"/>
          <w:sz w:val="32"/>
          <w:highlight w:val="none"/>
          <w:lang w:eastAsia="zh-CN"/>
        </w:rPr>
        <w:t xml:space="preserve"> </w:t>
      </w:r>
    </w:p>
    <w:p>
      <w:pPr>
        <w:tabs>
          <w:tab w:val="left" w:pos="7292"/>
        </w:tabs>
        <w:spacing w:line="360" w:lineRule="auto"/>
        <w:rPr>
          <w:rFonts w:ascii="Times New Roman" w:eastAsiaTheme="minorEastAsia"/>
          <w:b/>
          <w:color w:val="auto"/>
          <w:sz w:val="32"/>
          <w:highlight w:val="none"/>
          <w:u w:val="single"/>
          <w:lang w:eastAsia="zh-CN"/>
        </w:rPr>
      </w:pPr>
      <w:r>
        <w:rPr>
          <w:b/>
          <w:color w:val="auto"/>
          <w:sz w:val="32"/>
          <w:highlight w:val="none"/>
          <w:lang w:eastAsia="zh-CN"/>
        </w:rPr>
        <w:t>发 包</w:t>
      </w:r>
      <w:r>
        <w:rPr>
          <w:b/>
          <w:color w:val="auto"/>
          <w:spacing w:val="-14"/>
          <w:sz w:val="32"/>
          <w:highlight w:val="none"/>
          <w:lang w:eastAsia="zh-CN"/>
        </w:rPr>
        <w:t xml:space="preserve"> </w:t>
      </w:r>
      <w:r>
        <w:rPr>
          <w:b/>
          <w:color w:val="auto"/>
          <w:sz w:val="32"/>
          <w:highlight w:val="none"/>
          <w:lang w:eastAsia="zh-CN"/>
        </w:rPr>
        <w:t>人：</w:t>
      </w:r>
      <w:r>
        <w:rPr>
          <w:rFonts w:ascii="Times New Roman" w:eastAsia="Times New Roman"/>
          <w:b/>
          <w:color w:val="auto"/>
          <w:w w:val="99"/>
          <w:sz w:val="32"/>
          <w:highlight w:val="none"/>
          <w:u w:val="single"/>
          <w:lang w:eastAsia="zh-CN"/>
        </w:rPr>
        <w:t xml:space="preserve"> </w:t>
      </w:r>
      <w:r>
        <w:rPr>
          <w:rFonts w:hint="eastAsia" w:ascii="Times New Roman" w:eastAsiaTheme="minorEastAsia"/>
          <w:b/>
          <w:color w:val="auto"/>
          <w:sz w:val="32"/>
          <w:highlight w:val="none"/>
          <w:u w:val="single"/>
          <w:lang w:eastAsia="zh-CN"/>
        </w:rPr>
        <w:t xml:space="preserve">                                                     </w:t>
      </w:r>
      <w:r>
        <w:rPr>
          <w:rFonts w:ascii="Times New Roman" w:eastAsia="Times New Roman"/>
          <w:b/>
          <w:color w:val="auto"/>
          <w:sz w:val="32"/>
          <w:highlight w:val="none"/>
          <w:u w:val="single"/>
          <w:lang w:eastAsia="zh-CN"/>
        </w:rPr>
        <w:t xml:space="preserve"> </w:t>
      </w:r>
    </w:p>
    <w:p>
      <w:pPr>
        <w:tabs>
          <w:tab w:val="left" w:pos="6024"/>
        </w:tabs>
        <w:spacing w:line="360" w:lineRule="auto"/>
        <w:rPr>
          <w:rFonts w:ascii="Times New Roman" w:eastAsiaTheme="minorEastAsia"/>
          <w:b/>
          <w:color w:val="auto"/>
          <w:sz w:val="32"/>
          <w:highlight w:val="none"/>
          <w:u w:val="single"/>
          <w:lang w:eastAsia="zh-CN"/>
        </w:rPr>
      </w:pPr>
      <w:r>
        <w:rPr>
          <w:b/>
          <w:color w:val="auto"/>
          <w:sz w:val="32"/>
          <w:highlight w:val="none"/>
          <w:lang w:eastAsia="zh-CN"/>
        </w:rPr>
        <w:t>承 包</w:t>
      </w:r>
      <w:r>
        <w:rPr>
          <w:b/>
          <w:color w:val="auto"/>
          <w:spacing w:val="-14"/>
          <w:sz w:val="32"/>
          <w:highlight w:val="none"/>
          <w:lang w:eastAsia="zh-CN"/>
        </w:rPr>
        <w:t xml:space="preserve"> </w:t>
      </w:r>
      <w:r>
        <w:rPr>
          <w:b/>
          <w:color w:val="auto"/>
          <w:sz w:val="32"/>
          <w:highlight w:val="none"/>
          <w:lang w:eastAsia="zh-CN"/>
        </w:rPr>
        <w:t>人：</w:t>
      </w:r>
      <w:r>
        <w:rPr>
          <w:rFonts w:ascii="Times New Roman" w:eastAsia="Times New Roman"/>
          <w:b/>
          <w:color w:val="auto"/>
          <w:w w:val="99"/>
          <w:sz w:val="32"/>
          <w:highlight w:val="none"/>
          <w:u w:val="single"/>
          <w:lang w:eastAsia="zh-CN"/>
        </w:rPr>
        <w:t xml:space="preserve"> </w:t>
      </w:r>
      <w:r>
        <w:rPr>
          <w:rFonts w:ascii="Times New Roman" w:eastAsia="Times New Roman"/>
          <w:b/>
          <w:color w:val="auto"/>
          <w:sz w:val="32"/>
          <w:highlight w:val="none"/>
          <w:u w:val="single"/>
          <w:lang w:eastAsia="zh-CN"/>
        </w:rPr>
        <w:tab/>
      </w:r>
    </w:p>
    <w:p>
      <w:pPr>
        <w:tabs>
          <w:tab w:val="left" w:pos="7292"/>
        </w:tabs>
        <w:spacing w:line="360" w:lineRule="auto"/>
        <w:rPr>
          <w:rFonts w:ascii="Times New Roman" w:eastAsiaTheme="minorEastAsia"/>
          <w:color w:val="auto"/>
          <w:sz w:val="32"/>
          <w:highlight w:val="none"/>
          <w:lang w:eastAsia="zh-CN"/>
        </w:rPr>
        <w:sectPr>
          <w:type w:val="continuous"/>
          <w:pgSz w:w="11910" w:h="16840"/>
          <w:pgMar w:top="1600" w:right="900" w:bottom="280" w:left="920" w:header="720" w:footer="720" w:gutter="0"/>
          <w:cols w:space="720" w:num="1"/>
        </w:sectPr>
      </w:pPr>
      <w:r>
        <w:rPr>
          <w:b/>
          <w:color w:val="auto"/>
          <w:w w:val="95"/>
          <w:sz w:val="32"/>
          <w:highlight w:val="none"/>
          <w:lang w:eastAsia="zh-CN"/>
        </w:rPr>
        <w:t>签订日期</w:t>
      </w:r>
      <w:r>
        <w:rPr>
          <w:b/>
          <w:color w:val="auto"/>
          <w:spacing w:val="-3"/>
          <w:w w:val="95"/>
          <w:sz w:val="32"/>
          <w:highlight w:val="none"/>
          <w:lang w:eastAsia="zh-CN"/>
        </w:rPr>
        <w:t>：</w:t>
      </w:r>
      <w:r>
        <w:rPr>
          <w:rFonts w:ascii="Times New Roman" w:eastAsia="Times New Roman"/>
          <w:b/>
          <w:color w:val="auto"/>
          <w:w w:val="99"/>
          <w:sz w:val="32"/>
          <w:highlight w:val="none"/>
          <w:u w:val="single"/>
          <w:lang w:eastAsia="zh-CN"/>
        </w:rPr>
        <w:t xml:space="preserve"> </w:t>
      </w:r>
      <w:r>
        <w:rPr>
          <w:rFonts w:hint="eastAsia" w:ascii="Times New Roman" w:eastAsiaTheme="minorEastAsia"/>
          <w:b/>
          <w:color w:val="auto"/>
          <w:w w:val="99"/>
          <w:sz w:val="32"/>
          <w:highlight w:val="none"/>
          <w:u w:val="single"/>
          <w:lang w:eastAsia="zh-CN"/>
        </w:rPr>
        <w:t xml:space="preserve">                                                         </w:t>
      </w:r>
    </w:p>
    <w:p>
      <w:pPr>
        <w:rPr>
          <w:color w:val="auto"/>
          <w:highlight w:val="none"/>
          <w:lang w:eastAsia="zh-CN"/>
        </w:rPr>
        <w:sectPr>
          <w:footerReference r:id="rId3" w:type="default"/>
          <w:pgSz w:w="11910" w:h="16840"/>
          <w:pgMar w:top="1100" w:right="900" w:bottom="1040" w:left="920" w:header="0" w:footer="858" w:gutter="0"/>
          <w:pgNumType w:start="1"/>
          <w:cols w:space="720" w:num="1"/>
        </w:sectPr>
      </w:pPr>
    </w:p>
    <w:p>
      <w:pPr>
        <w:pStyle w:val="2"/>
        <w:ind w:right="12"/>
        <w:rPr>
          <w:color w:val="auto"/>
          <w:highlight w:val="none"/>
          <w:lang w:eastAsia="zh-CN"/>
        </w:rPr>
      </w:pPr>
      <w:bookmarkStart w:id="0" w:name="第一部分_合同协议书"/>
      <w:bookmarkEnd w:id="0"/>
      <w:bookmarkStart w:id="1" w:name="_bookmark0"/>
      <w:bookmarkEnd w:id="1"/>
      <w:r>
        <w:rPr>
          <w:color w:val="auto"/>
          <w:highlight w:val="none"/>
          <w:lang w:eastAsia="zh-CN"/>
        </w:rPr>
        <w:t>第一部分 合同协议书</w:t>
      </w:r>
    </w:p>
    <w:p>
      <w:pPr>
        <w:pStyle w:val="3"/>
        <w:tabs>
          <w:tab w:val="left" w:pos="5180"/>
          <w:tab w:val="left" w:pos="5311"/>
        </w:tabs>
        <w:spacing w:before="199" w:line="364" w:lineRule="auto"/>
        <w:ind w:right="4776"/>
        <w:jc w:val="both"/>
        <w:rPr>
          <w:rFonts w:ascii="Times New Roman" w:eastAsiaTheme="minorEastAsia"/>
          <w:color w:val="auto"/>
          <w:highlight w:val="none"/>
          <w:lang w:eastAsia="zh-CN"/>
        </w:rPr>
      </w:pPr>
      <w:r>
        <w:rPr>
          <w:color w:val="auto"/>
          <w:w w:val="95"/>
          <w:highlight w:val="none"/>
          <w:lang w:eastAsia="zh-CN"/>
        </w:rPr>
        <w:t>发包人：</w:t>
      </w:r>
      <w:r>
        <w:rPr>
          <w:color w:val="auto"/>
          <w:w w:val="95"/>
          <w:highlight w:val="none"/>
          <w:u w:val="single"/>
          <w:lang w:eastAsia="zh-CN"/>
        </w:rPr>
        <w:tab/>
      </w:r>
      <w:r>
        <w:rPr>
          <w:color w:val="auto"/>
          <w:w w:val="95"/>
          <w:highlight w:val="none"/>
          <w:u w:val="single"/>
          <w:lang w:eastAsia="zh-CN"/>
        </w:rPr>
        <w:tab/>
      </w:r>
      <w:r>
        <w:rPr>
          <w:color w:val="auto"/>
          <w:w w:val="95"/>
          <w:highlight w:val="none"/>
          <w:u w:val="single"/>
          <w:lang w:eastAsia="zh-CN"/>
        </w:rPr>
        <w:t xml:space="preserve">                                                    </w:t>
      </w:r>
      <w:r>
        <w:rPr>
          <w:color w:val="auto"/>
          <w:w w:val="95"/>
          <w:highlight w:val="none"/>
          <w:lang w:eastAsia="zh-CN"/>
        </w:rPr>
        <w:t>承包人：</w:t>
      </w:r>
      <w:r>
        <w:rPr>
          <w:rFonts w:ascii="Times New Roman" w:eastAsia="Times New Roman"/>
          <w:color w:val="auto"/>
          <w:highlight w:val="none"/>
          <w:u w:val="single"/>
          <w:lang w:eastAsia="zh-CN"/>
        </w:rPr>
        <w:t xml:space="preserve"> </w:t>
      </w:r>
      <w:r>
        <w:rPr>
          <w:rFonts w:ascii="Times New Roman" w:eastAsia="Times New Roman"/>
          <w:color w:val="auto"/>
          <w:highlight w:val="none"/>
          <w:u w:val="single"/>
          <w:lang w:eastAsia="zh-CN"/>
        </w:rPr>
        <w:tab/>
      </w:r>
    </w:p>
    <w:p>
      <w:pPr>
        <w:pStyle w:val="5"/>
        <w:spacing w:line="362" w:lineRule="auto"/>
        <w:ind w:right="265" w:firstLine="480"/>
        <w:rPr>
          <w:color w:val="auto"/>
          <w:highlight w:val="none"/>
          <w:lang w:eastAsia="zh-CN"/>
        </w:rPr>
      </w:pPr>
      <w:r>
        <w:rPr>
          <w:color w:val="auto"/>
          <w:highlight w:val="none"/>
          <w:lang w:eastAsia="zh-CN"/>
        </w:rPr>
        <w:t>根据《中华人民共和国民法典》及其他有关法律、法规，遵循平等、自愿、公平和诚信的原则，双方就</w:t>
      </w:r>
      <w:r>
        <w:rPr>
          <w:rFonts w:hint="eastAsia"/>
          <w:color w:val="auto"/>
          <w:highlight w:val="none"/>
          <w:u w:val="single"/>
          <w:lang w:eastAsia="zh-CN"/>
        </w:rPr>
        <w:t xml:space="preserve">  </w:t>
      </w:r>
      <w:r>
        <w:rPr>
          <w:rFonts w:hint="eastAsia"/>
          <w:color w:val="auto"/>
          <w:highlight w:val="none"/>
          <w:u w:val="single"/>
          <w:lang w:eastAsia="zh-CN"/>
        </w:rPr>
        <w:t>榄核镇东丫涌等</w:t>
      </w:r>
      <w:r>
        <w:rPr>
          <w:color w:val="auto"/>
          <w:highlight w:val="none"/>
          <w:u w:val="single"/>
          <w:lang w:eastAsia="zh-CN"/>
        </w:rPr>
        <w:t>53条河涌（道）整治工程</w:t>
      </w:r>
      <w:r>
        <w:rPr>
          <w:rFonts w:hint="eastAsia"/>
          <w:color w:val="auto"/>
          <w:highlight w:val="none"/>
          <w:u w:val="single"/>
          <w:lang w:eastAsia="zh-CN"/>
        </w:rPr>
        <w:t xml:space="preserve">  </w:t>
      </w:r>
      <w:r>
        <w:rPr>
          <w:color w:val="auto"/>
          <w:highlight w:val="none"/>
          <w:lang w:eastAsia="zh-CN"/>
        </w:rPr>
        <w:t>全过程咨询服务事项协商一致，订立本合同。</w:t>
      </w:r>
    </w:p>
    <w:p>
      <w:pPr>
        <w:pStyle w:val="3"/>
        <w:spacing w:before="5"/>
        <w:rPr>
          <w:color w:val="auto"/>
          <w:highlight w:val="none"/>
          <w:lang w:eastAsia="zh-CN"/>
        </w:rPr>
      </w:pPr>
      <w:r>
        <w:rPr>
          <w:color w:val="auto"/>
          <w:highlight w:val="none"/>
          <w:lang w:eastAsia="zh-CN"/>
        </w:rPr>
        <w:t>一、项目概况</w:t>
      </w:r>
    </w:p>
    <w:p>
      <w:pPr>
        <w:pStyle w:val="5"/>
        <w:spacing w:before="158"/>
        <w:ind w:left="692"/>
        <w:rPr>
          <w:color w:val="auto"/>
          <w:highlight w:val="none"/>
          <w:lang w:eastAsia="zh-CN"/>
        </w:rPr>
      </w:pPr>
      <w:r>
        <w:rPr>
          <w:color w:val="auto"/>
          <w:highlight w:val="none"/>
          <w:lang w:eastAsia="zh-CN"/>
        </w:rPr>
        <w:t>1.项目名称：</w:t>
      </w:r>
      <w:r>
        <w:rPr>
          <w:rFonts w:hint="eastAsia"/>
          <w:color w:val="auto"/>
          <w:highlight w:val="none"/>
          <w:u w:val="single"/>
          <w:lang w:eastAsia="zh-CN"/>
        </w:rPr>
        <w:t>榄核镇东丫涌等</w:t>
      </w:r>
      <w:r>
        <w:rPr>
          <w:color w:val="auto"/>
          <w:highlight w:val="none"/>
          <w:u w:val="single"/>
          <w:lang w:eastAsia="zh-CN"/>
        </w:rPr>
        <w:t>53条河涌（道）整治工程全过程咨询</w:t>
      </w:r>
      <w:r>
        <w:rPr>
          <w:color w:val="auto"/>
          <w:highlight w:val="none"/>
          <w:lang w:eastAsia="zh-CN"/>
        </w:rPr>
        <w:t xml:space="preserve"> </w:t>
      </w:r>
    </w:p>
    <w:p>
      <w:pPr>
        <w:pStyle w:val="5"/>
        <w:spacing w:before="161"/>
        <w:ind w:left="692"/>
        <w:rPr>
          <w:color w:val="auto"/>
          <w:highlight w:val="none"/>
          <w:lang w:eastAsia="zh-CN"/>
        </w:rPr>
      </w:pPr>
      <w:r>
        <w:rPr>
          <w:color w:val="auto"/>
          <w:highlight w:val="none"/>
          <w:lang w:eastAsia="zh-CN"/>
        </w:rPr>
        <w:t>2.项目地点：</w:t>
      </w:r>
      <w:r>
        <w:rPr>
          <w:rFonts w:hint="eastAsia"/>
          <w:color w:val="auto"/>
          <w:highlight w:val="none"/>
          <w:u w:val="single"/>
          <w:lang w:eastAsia="zh-CN"/>
        </w:rPr>
        <w:t>广州市南沙区</w:t>
      </w:r>
      <w:r>
        <w:rPr>
          <w:color w:val="auto"/>
          <w:highlight w:val="none"/>
          <w:lang w:eastAsia="zh-CN"/>
        </w:rPr>
        <w:t xml:space="preserve"> </w:t>
      </w:r>
    </w:p>
    <w:p>
      <w:pPr>
        <w:spacing w:before="160" w:line="362" w:lineRule="auto"/>
        <w:ind w:left="212" w:right="6995" w:firstLine="480"/>
        <w:rPr>
          <w:color w:val="auto"/>
          <w:sz w:val="24"/>
          <w:highlight w:val="none"/>
          <w:u w:val="single"/>
          <w:lang w:eastAsia="zh-CN"/>
        </w:rPr>
      </w:pPr>
      <w:r>
        <w:rPr>
          <w:color w:val="auto"/>
          <w:sz w:val="24"/>
          <w:highlight w:val="none"/>
          <w:lang w:eastAsia="zh-CN"/>
        </w:rPr>
        <w:t>3.资金来源：</w:t>
      </w:r>
      <w:r>
        <w:rPr>
          <w:rFonts w:hint="eastAsia"/>
          <w:color w:val="auto"/>
          <w:sz w:val="24"/>
          <w:highlight w:val="none"/>
          <w:u w:val="single"/>
          <w:lang w:eastAsia="zh-CN"/>
        </w:rPr>
        <w:t xml:space="preserve">财政资金        </w:t>
      </w:r>
    </w:p>
    <w:p>
      <w:pPr>
        <w:pStyle w:val="3"/>
        <w:spacing w:before="5"/>
        <w:rPr>
          <w:color w:val="auto"/>
          <w:highlight w:val="none"/>
          <w:lang w:eastAsia="zh-CN"/>
        </w:rPr>
      </w:pPr>
      <w:r>
        <w:rPr>
          <w:color w:val="auto"/>
          <w:highlight w:val="none"/>
          <w:lang w:eastAsia="zh-CN"/>
        </w:rPr>
        <w:t>二、服务范围与内容</w:t>
      </w:r>
    </w:p>
    <w:p>
      <w:pPr>
        <w:spacing w:line="360" w:lineRule="auto"/>
        <w:ind w:firstLine="480"/>
        <w:rPr>
          <w:bCs/>
          <w:color w:val="auto"/>
          <w:sz w:val="24"/>
          <w:highlight w:val="none"/>
          <w:lang w:eastAsia="zh-CN"/>
        </w:rPr>
      </w:pPr>
      <w:r>
        <w:rPr>
          <w:rFonts w:hint="eastAsia"/>
          <w:color w:val="auto"/>
          <w:sz w:val="24"/>
          <w:highlight w:val="none"/>
          <w:lang w:eastAsia="zh-CN"/>
        </w:rPr>
        <w:t>1.工程建设规模：</w:t>
      </w:r>
      <w:r>
        <w:rPr>
          <w:rFonts w:hint="eastAsia"/>
          <w:bCs/>
          <w:color w:val="auto"/>
          <w:sz w:val="24"/>
          <w:highlight w:val="none"/>
          <w:lang w:eastAsia="zh-CN"/>
        </w:rPr>
        <w:t>对榄核镇53条河涌，整治全长27.05km，工程设计排涝标准为10年一遇，河涌堤防工程级别为5级。工程建安费估算6550万元。</w:t>
      </w:r>
    </w:p>
    <w:p>
      <w:pPr>
        <w:tabs>
          <w:tab w:val="left" w:pos="7513"/>
        </w:tabs>
        <w:spacing w:line="360" w:lineRule="auto"/>
        <w:ind w:firstLine="480" w:firstLineChars="200"/>
        <w:rPr>
          <w:color w:val="auto"/>
          <w:sz w:val="24"/>
          <w:highlight w:val="none"/>
          <w:lang w:eastAsia="zh-CN"/>
        </w:rPr>
      </w:pPr>
      <w:r>
        <w:rPr>
          <w:rFonts w:hint="eastAsia"/>
          <w:color w:val="auto"/>
          <w:sz w:val="24"/>
          <w:highlight w:val="none"/>
          <w:lang w:eastAsia="zh-CN"/>
        </w:rPr>
        <w:t>2.服务范围：</w:t>
      </w:r>
      <w:r>
        <w:rPr>
          <w:rFonts w:hint="eastAsia"/>
          <w:color w:val="auto"/>
          <w:sz w:val="24"/>
          <w:highlight w:val="none"/>
          <w:lang w:eastAsia="zh-CN"/>
        </w:rPr>
        <w:t>主要对榄核镇东丫涌等53条河涌（道）整治工程全过程咨询提供全过程咨询工作，及时掌握和解决项目实施过程中存在的问题，并提出合理的解决方案，最终以招标单位委托为准。</w:t>
      </w:r>
    </w:p>
    <w:p>
      <w:pPr>
        <w:spacing w:line="360" w:lineRule="auto"/>
        <w:ind w:firstLine="480" w:firstLineChars="200"/>
        <w:rPr>
          <w:color w:val="auto"/>
          <w:sz w:val="24"/>
          <w:highlight w:val="none"/>
          <w:lang w:eastAsia="zh-CN"/>
        </w:rPr>
      </w:pPr>
      <w:r>
        <w:rPr>
          <w:rFonts w:hint="eastAsia"/>
          <w:color w:val="auto"/>
          <w:sz w:val="24"/>
          <w:highlight w:val="none"/>
          <w:lang w:eastAsia="zh-CN"/>
        </w:rPr>
        <w:t>（一）项目管理服务内容包括但不限于：</w:t>
      </w:r>
    </w:p>
    <w:p>
      <w:pPr>
        <w:spacing w:line="360" w:lineRule="auto"/>
        <w:ind w:firstLine="480" w:firstLineChars="200"/>
        <w:rPr>
          <w:color w:val="auto"/>
          <w:sz w:val="24"/>
          <w:highlight w:val="none"/>
          <w:lang w:eastAsia="zh-CN"/>
        </w:rPr>
      </w:pPr>
      <w:r>
        <w:rPr>
          <w:rFonts w:hint="eastAsia"/>
          <w:color w:val="auto"/>
          <w:sz w:val="24"/>
          <w:highlight w:val="none"/>
          <w:lang w:eastAsia="zh-CN"/>
        </w:rPr>
        <w:t>为招标人提供前期报批、设计管理、管线迁移等工作的协调和管理、实施项目管理、档案管理、结算初审等服务，代表招标人对实施项目进行质量、进度、投资控制和安全、合同、信息等管理工作并出具考核意见。</w:t>
      </w:r>
    </w:p>
    <w:p>
      <w:pPr>
        <w:spacing w:line="360" w:lineRule="auto"/>
        <w:ind w:firstLine="480" w:firstLineChars="200"/>
        <w:rPr>
          <w:color w:val="auto"/>
          <w:sz w:val="24"/>
          <w:highlight w:val="none"/>
          <w:lang w:eastAsia="zh-CN"/>
        </w:rPr>
      </w:pPr>
      <w:r>
        <w:rPr>
          <w:rFonts w:hint="eastAsia"/>
          <w:color w:val="auto"/>
          <w:sz w:val="24"/>
          <w:highlight w:val="none"/>
          <w:lang w:eastAsia="zh-CN"/>
        </w:rPr>
        <w:t>（二）监理服务内容包括但不限于：</w:t>
      </w:r>
    </w:p>
    <w:p>
      <w:pPr>
        <w:spacing w:line="360" w:lineRule="auto"/>
        <w:ind w:firstLine="480" w:firstLineChars="200"/>
        <w:rPr>
          <w:color w:val="auto"/>
          <w:sz w:val="24"/>
          <w:highlight w:val="none"/>
          <w:lang w:eastAsia="zh-CN"/>
        </w:rPr>
      </w:pPr>
      <w:r>
        <w:rPr>
          <w:rFonts w:hint="eastAsia"/>
          <w:color w:val="auto"/>
          <w:sz w:val="24"/>
          <w:highlight w:val="none"/>
          <w:lang w:eastAsia="zh-CN"/>
        </w:rPr>
        <w:t>项目实施阶段的施工前期准备、施工管理、设计图会审、进度款和变更审核、投资控制、竣工验收、结算、资产移交、质量保修等工作，并对项目进行质量、进度、投资、合同、信息、环保、安全文明施工等方面进行有效管理和控制，直至办理竣工验收手续和结算、质量保修期满等的全过程监理服务及相关协调工作。</w:t>
      </w:r>
    </w:p>
    <w:p>
      <w:pPr>
        <w:spacing w:line="364" w:lineRule="auto"/>
        <w:ind w:left="212" w:right="5315" w:firstLine="480"/>
        <w:rPr>
          <w:b/>
          <w:color w:val="auto"/>
          <w:sz w:val="24"/>
          <w:highlight w:val="none"/>
          <w:lang w:eastAsia="zh-CN"/>
        </w:rPr>
      </w:pPr>
      <w:r>
        <w:rPr>
          <w:b/>
          <w:color w:val="auto"/>
          <w:sz w:val="24"/>
          <w:highlight w:val="none"/>
          <w:lang w:eastAsia="zh-CN"/>
        </w:rPr>
        <w:t>三、词语限定</w:t>
      </w:r>
    </w:p>
    <w:p>
      <w:pPr>
        <w:pStyle w:val="5"/>
        <w:spacing w:line="306" w:lineRule="exact"/>
        <w:ind w:left="692"/>
        <w:rPr>
          <w:color w:val="auto"/>
          <w:highlight w:val="none"/>
          <w:lang w:eastAsia="zh-CN"/>
        </w:rPr>
      </w:pPr>
      <w:r>
        <w:rPr>
          <w:color w:val="auto"/>
          <w:highlight w:val="none"/>
          <w:lang w:eastAsia="zh-CN"/>
        </w:rPr>
        <w:t>协议书中相关词语的含义与通用条款、专用条款中的定义与解释相同。</w:t>
      </w:r>
    </w:p>
    <w:p>
      <w:pPr>
        <w:spacing w:line="306" w:lineRule="exact"/>
        <w:rPr>
          <w:color w:val="auto"/>
          <w:highlight w:val="none"/>
          <w:lang w:eastAsia="zh-CN"/>
        </w:rPr>
        <w:sectPr>
          <w:pgSz w:w="11910" w:h="16840"/>
          <w:pgMar w:top="1100" w:right="900" w:bottom="1040" w:left="920" w:header="0" w:footer="858" w:gutter="0"/>
          <w:cols w:space="720" w:num="1"/>
        </w:sectPr>
      </w:pPr>
    </w:p>
    <w:p>
      <w:pPr>
        <w:pStyle w:val="3"/>
        <w:spacing w:before="56"/>
        <w:ind w:left="211" w:leftChars="96" w:firstLine="482" w:firstLineChars="200"/>
        <w:rPr>
          <w:color w:val="auto"/>
          <w:highlight w:val="none"/>
          <w:lang w:eastAsia="zh-CN"/>
        </w:rPr>
      </w:pPr>
      <w:r>
        <w:rPr>
          <w:color w:val="auto"/>
          <w:highlight w:val="none"/>
          <w:lang w:eastAsia="zh-CN"/>
        </w:rPr>
        <w:t>四、合同文件组成与解释顺序</w:t>
      </w:r>
    </w:p>
    <w:p>
      <w:pPr>
        <w:pStyle w:val="5"/>
        <w:spacing w:before="158" w:line="364" w:lineRule="auto"/>
        <w:ind w:right="275" w:firstLine="480"/>
        <w:rPr>
          <w:color w:val="auto"/>
          <w:highlight w:val="none"/>
          <w:lang w:eastAsia="zh-CN"/>
        </w:rPr>
      </w:pPr>
      <w:r>
        <w:rPr>
          <w:color w:val="auto"/>
          <w:highlight w:val="none"/>
          <w:lang w:eastAsia="zh-CN"/>
        </w:rPr>
        <w:t>下列文件成为本合同的组成部分，具有同等法律效力，合同文件应是互为解释，互为说明，除合同另有约定外，解释的优先顺序如下：</w:t>
      </w:r>
    </w:p>
    <w:p>
      <w:pPr>
        <w:pStyle w:val="5"/>
        <w:spacing w:line="306" w:lineRule="exact"/>
        <w:ind w:left="692"/>
        <w:rPr>
          <w:color w:val="auto"/>
          <w:highlight w:val="none"/>
          <w:lang w:eastAsia="zh-CN"/>
        </w:rPr>
      </w:pPr>
      <w:r>
        <w:rPr>
          <w:color w:val="auto"/>
          <w:highlight w:val="none"/>
          <w:lang w:eastAsia="zh-CN"/>
        </w:rPr>
        <w:t>1.合同履行期间双方签订的补充合同（协议）或修正文件（如有）；</w:t>
      </w:r>
    </w:p>
    <w:p>
      <w:pPr>
        <w:pStyle w:val="5"/>
        <w:spacing w:before="160"/>
        <w:ind w:left="692"/>
        <w:rPr>
          <w:color w:val="auto"/>
          <w:highlight w:val="none"/>
          <w:lang w:eastAsia="zh-CN"/>
        </w:rPr>
      </w:pPr>
      <w:r>
        <w:rPr>
          <w:color w:val="auto"/>
          <w:highlight w:val="none"/>
          <w:lang w:eastAsia="zh-CN"/>
        </w:rPr>
        <w:t>2.本合同协议书；</w:t>
      </w:r>
    </w:p>
    <w:p>
      <w:pPr>
        <w:pStyle w:val="5"/>
        <w:spacing w:before="159"/>
        <w:ind w:left="692"/>
        <w:rPr>
          <w:color w:val="auto"/>
          <w:highlight w:val="none"/>
          <w:lang w:eastAsia="zh-CN"/>
        </w:rPr>
      </w:pPr>
      <w:r>
        <w:rPr>
          <w:color w:val="auto"/>
          <w:highlight w:val="none"/>
          <w:lang w:eastAsia="zh-CN"/>
        </w:rPr>
        <w:t>3.中标通知书；（如有）</w:t>
      </w:r>
    </w:p>
    <w:p>
      <w:pPr>
        <w:pStyle w:val="5"/>
        <w:spacing w:before="160"/>
        <w:ind w:left="692"/>
        <w:rPr>
          <w:color w:val="auto"/>
          <w:highlight w:val="none"/>
          <w:lang w:eastAsia="zh-CN"/>
        </w:rPr>
      </w:pPr>
      <w:r>
        <w:rPr>
          <w:color w:val="auto"/>
          <w:highlight w:val="none"/>
          <w:lang w:eastAsia="zh-CN"/>
        </w:rPr>
        <w:t>4.合同专用条款；</w:t>
      </w:r>
    </w:p>
    <w:p>
      <w:pPr>
        <w:pStyle w:val="5"/>
        <w:spacing w:before="161"/>
        <w:ind w:left="692"/>
        <w:rPr>
          <w:color w:val="auto"/>
          <w:highlight w:val="none"/>
          <w:lang w:eastAsia="zh-CN"/>
        </w:rPr>
      </w:pPr>
      <w:r>
        <w:rPr>
          <w:color w:val="auto"/>
          <w:highlight w:val="none"/>
          <w:lang w:eastAsia="zh-CN"/>
        </w:rPr>
        <w:t>5.合同通用条款；</w:t>
      </w:r>
    </w:p>
    <w:p>
      <w:pPr>
        <w:pStyle w:val="5"/>
        <w:spacing w:before="158"/>
        <w:ind w:left="692"/>
        <w:rPr>
          <w:color w:val="auto"/>
          <w:highlight w:val="none"/>
          <w:lang w:eastAsia="zh-CN"/>
        </w:rPr>
      </w:pPr>
      <w:r>
        <w:rPr>
          <w:color w:val="auto"/>
          <w:highlight w:val="none"/>
          <w:lang w:eastAsia="zh-CN"/>
        </w:rPr>
        <w:t>6.合同附件；</w:t>
      </w:r>
    </w:p>
    <w:p>
      <w:pPr>
        <w:pStyle w:val="5"/>
        <w:spacing w:before="158"/>
        <w:ind w:left="692"/>
        <w:rPr>
          <w:color w:val="auto"/>
          <w:highlight w:val="none"/>
          <w:lang w:eastAsia="zh-CN"/>
        </w:rPr>
      </w:pPr>
      <w:r>
        <w:rPr>
          <w:color w:val="auto"/>
          <w:highlight w:val="none"/>
          <w:lang w:eastAsia="zh-CN"/>
        </w:rPr>
        <w:t>7.标准规范及有关技术文件、图纸；</w:t>
      </w:r>
    </w:p>
    <w:p>
      <w:pPr>
        <w:pStyle w:val="5"/>
        <w:spacing w:before="160"/>
        <w:ind w:left="692"/>
        <w:rPr>
          <w:color w:val="auto"/>
          <w:highlight w:val="none"/>
          <w:lang w:eastAsia="zh-CN"/>
        </w:rPr>
      </w:pPr>
      <w:r>
        <w:rPr>
          <w:color w:val="auto"/>
          <w:highlight w:val="none"/>
          <w:lang w:eastAsia="zh-CN"/>
        </w:rPr>
        <w:t>8.本项目招标文件（含招标文件补充文件、澄清文件、答疑文件等）；（如有）</w:t>
      </w:r>
    </w:p>
    <w:p>
      <w:pPr>
        <w:pStyle w:val="5"/>
        <w:spacing w:before="158"/>
        <w:ind w:left="692"/>
        <w:rPr>
          <w:color w:val="auto"/>
          <w:highlight w:val="none"/>
          <w:lang w:eastAsia="zh-CN"/>
        </w:rPr>
      </w:pPr>
      <w:r>
        <w:rPr>
          <w:color w:val="auto"/>
          <w:highlight w:val="none"/>
          <w:lang w:eastAsia="zh-CN"/>
        </w:rPr>
        <w:t>9.本项目投标文件（含投标文件澄清等）；（如有）</w:t>
      </w:r>
    </w:p>
    <w:p>
      <w:pPr>
        <w:pStyle w:val="5"/>
        <w:spacing w:before="161"/>
        <w:ind w:left="692"/>
        <w:rPr>
          <w:color w:val="auto"/>
          <w:highlight w:val="none"/>
          <w:lang w:eastAsia="zh-CN"/>
        </w:rPr>
      </w:pPr>
      <w:r>
        <w:rPr>
          <w:color w:val="auto"/>
          <w:highlight w:val="none"/>
          <w:lang w:eastAsia="zh-CN"/>
        </w:rPr>
        <w:t>10.发包人关于项目的各项制度、规定；</w:t>
      </w:r>
    </w:p>
    <w:p>
      <w:pPr>
        <w:pStyle w:val="5"/>
        <w:spacing w:before="160"/>
        <w:ind w:left="692"/>
        <w:rPr>
          <w:color w:val="auto"/>
          <w:highlight w:val="none"/>
          <w:lang w:eastAsia="zh-CN"/>
        </w:rPr>
      </w:pPr>
      <w:r>
        <w:rPr>
          <w:color w:val="auto"/>
          <w:highlight w:val="none"/>
          <w:lang w:eastAsia="zh-CN"/>
        </w:rPr>
        <w:t>11.组成本合同的其他文件。</w:t>
      </w:r>
    </w:p>
    <w:p>
      <w:pPr>
        <w:pStyle w:val="5"/>
        <w:tabs>
          <w:tab w:val="left" w:pos="3692"/>
        </w:tabs>
        <w:spacing w:before="158" w:line="364" w:lineRule="auto"/>
        <w:ind w:right="155" w:firstLine="480"/>
        <w:rPr>
          <w:color w:val="auto"/>
          <w:highlight w:val="none"/>
          <w:lang w:eastAsia="zh-CN"/>
        </w:rPr>
      </w:pPr>
      <w:r>
        <w:rPr>
          <w:color w:val="auto"/>
          <w:highlight w:val="none"/>
          <w:lang w:eastAsia="zh-CN"/>
        </w:rPr>
        <w:t>当上述文件出现多义性或不一致解释时，应由发包人作出解释和校正并作出书面说明； 承包人对发包人的解释和校正有异议的，由发包人与承包人协商解决；如协商不成，由发包人按照公平合理和有利于本项目的原则作出决定。</w:t>
      </w:r>
    </w:p>
    <w:p>
      <w:pPr>
        <w:pStyle w:val="3"/>
        <w:spacing w:line="307" w:lineRule="exact"/>
        <w:rPr>
          <w:color w:val="auto"/>
          <w:highlight w:val="none"/>
          <w:lang w:eastAsia="zh-CN"/>
        </w:rPr>
      </w:pPr>
      <w:r>
        <w:rPr>
          <w:color w:val="auto"/>
          <w:highlight w:val="none"/>
          <w:lang w:eastAsia="zh-CN"/>
        </w:rPr>
        <w:t>五、项目总负责人、项目管理负责人、监理负责人负责人</w:t>
      </w:r>
    </w:p>
    <w:p>
      <w:pPr>
        <w:pStyle w:val="5"/>
        <w:tabs>
          <w:tab w:val="left" w:pos="3668"/>
          <w:tab w:val="left" w:pos="3810"/>
          <w:tab w:val="left" w:pos="6630"/>
          <w:tab w:val="left" w:pos="6750"/>
          <w:tab w:val="left" w:pos="8811"/>
          <w:tab w:val="left" w:pos="9037"/>
        </w:tabs>
        <w:spacing w:before="159" w:line="364" w:lineRule="auto"/>
        <w:ind w:left="692" w:right="810"/>
        <w:jc w:val="both"/>
        <w:rPr>
          <w:color w:val="auto"/>
          <w:highlight w:val="none"/>
          <w:lang w:eastAsia="zh-CN"/>
        </w:rPr>
      </w:pPr>
      <w:r>
        <w:rPr>
          <w:color w:val="auto"/>
          <w:highlight w:val="none"/>
          <w:lang w:eastAsia="zh-CN"/>
        </w:rPr>
        <w:t>项目总负责人姓名：</w:t>
      </w:r>
      <w:r>
        <w:rPr>
          <w:color w:val="auto"/>
          <w:highlight w:val="none"/>
          <w:u w:val="single"/>
          <w:lang w:eastAsia="zh-CN"/>
        </w:rPr>
        <w:t xml:space="preserve"> </w:t>
      </w:r>
      <w:r>
        <w:rPr>
          <w:color w:val="auto"/>
          <w:highlight w:val="none"/>
          <w:u w:val="single"/>
          <w:lang w:eastAsia="zh-CN"/>
        </w:rPr>
        <w:tab/>
      </w:r>
      <w:r>
        <w:rPr>
          <w:color w:val="auto"/>
          <w:highlight w:val="none"/>
          <w:lang w:eastAsia="zh-CN"/>
        </w:rPr>
        <w:t>，身份证号码：</w:t>
      </w:r>
      <w:r>
        <w:rPr>
          <w:color w:val="auto"/>
          <w:highlight w:val="none"/>
          <w:u w:val="single"/>
          <w:lang w:eastAsia="zh-CN"/>
        </w:rPr>
        <w:t xml:space="preserve"> </w:t>
      </w:r>
      <w:r>
        <w:rPr>
          <w:color w:val="auto"/>
          <w:highlight w:val="none"/>
          <w:u w:val="single"/>
          <w:lang w:eastAsia="zh-CN"/>
        </w:rPr>
        <w:tab/>
      </w:r>
      <w:r>
        <w:rPr>
          <w:color w:val="auto"/>
          <w:highlight w:val="none"/>
          <w:lang w:eastAsia="zh-CN"/>
        </w:rPr>
        <w:t>，职称证号：</w:t>
      </w:r>
      <w:r>
        <w:rPr>
          <w:color w:val="auto"/>
          <w:highlight w:val="none"/>
          <w:u w:val="single"/>
          <w:lang w:eastAsia="zh-CN"/>
        </w:rPr>
        <w:t xml:space="preserve"> </w:t>
      </w:r>
      <w:r>
        <w:rPr>
          <w:color w:val="auto"/>
          <w:highlight w:val="none"/>
          <w:u w:val="single"/>
          <w:lang w:eastAsia="zh-CN"/>
        </w:rPr>
        <w:tab/>
      </w:r>
      <w:r>
        <w:rPr>
          <w:color w:val="auto"/>
          <w:highlight w:val="none"/>
          <w:u w:val="single"/>
          <w:lang w:eastAsia="zh-CN"/>
        </w:rPr>
        <w:tab/>
      </w:r>
      <w:r>
        <w:rPr>
          <w:color w:val="auto"/>
          <w:highlight w:val="none"/>
          <w:lang w:eastAsia="zh-CN"/>
        </w:rPr>
        <w:t>。项目管理负责人姓名：</w:t>
      </w:r>
      <w:r>
        <w:rPr>
          <w:color w:val="auto"/>
          <w:highlight w:val="none"/>
          <w:u w:val="single"/>
          <w:lang w:eastAsia="zh-CN"/>
        </w:rPr>
        <w:t xml:space="preserve">  </w:t>
      </w:r>
      <w:r>
        <w:rPr>
          <w:rFonts w:hint="eastAsia"/>
          <w:color w:val="auto"/>
          <w:highlight w:val="none"/>
          <w:u w:val="single"/>
          <w:lang w:eastAsia="zh-CN"/>
        </w:rPr>
        <w:t xml:space="preserve">  </w:t>
      </w:r>
      <w:r>
        <w:rPr>
          <w:color w:val="auto"/>
          <w:spacing w:val="108"/>
          <w:highlight w:val="none"/>
          <w:u w:val="single"/>
          <w:lang w:eastAsia="zh-CN"/>
        </w:rPr>
        <w:t xml:space="preserve"> </w:t>
      </w:r>
      <w:r>
        <w:rPr>
          <w:color w:val="auto"/>
          <w:highlight w:val="none"/>
          <w:lang w:eastAsia="zh-CN"/>
        </w:rPr>
        <w:t>，身份证号码：</w:t>
      </w:r>
      <w:r>
        <w:rPr>
          <w:color w:val="auto"/>
          <w:highlight w:val="none"/>
          <w:u w:val="single"/>
          <w:lang w:eastAsia="zh-CN"/>
        </w:rPr>
        <w:t xml:space="preserve"> </w:t>
      </w:r>
      <w:r>
        <w:rPr>
          <w:color w:val="auto"/>
          <w:highlight w:val="none"/>
          <w:u w:val="single"/>
          <w:lang w:eastAsia="zh-CN"/>
        </w:rPr>
        <w:tab/>
      </w:r>
      <w:r>
        <w:rPr>
          <w:color w:val="auto"/>
          <w:highlight w:val="none"/>
          <w:lang w:eastAsia="zh-CN"/>
        </w:rPr>
        <w:t>，职称证号：</w:t>
      </w:r>
      <w:r>
        <w:rPr>
          <w:color w:val="auto"/>
          <w:highlight w:val="none"/>
          <w:u w:val="single"/>
          <w:lang w:eastAsia="zh-CN"/>
        </w:rPr>
        <w:t xml:space="preserve"> </w:t>
      </w:r>
      <w:r>
        <w:rPr>
          <w:color w:val="auto"/>
          <w:highlight w:val="none"/>
          <w:u w:val="single"/>
          <w:lang w:eastAsia="zh-CN"/>
        </w:rPr>
        <w:tab/>
      </w:r>
      <w:r>
        <w:rPr>
          <w:color w:val="auto"/>
          <w:highlight w:val="none"/>
          <w:u w:val="single"/>
          <w:lang w:eastAsia="zh-CN"/>
        </w:rPr>
        <w:tab/>
      </w:r>
      <w:r>
        <w:rPr>
          <w:color w:val="auto"/>
          <w:highlight w:val="none"/>
          <w:lang w:eastAsia="zh-CN"/>
        </w:rPr>
        <w:t>。监理负责人姓名：</w:t>
      </w:r>
      <w:r>
        <w:rPr>
          <w:color w:val="auto"/>
          <w:highlight w:val="none"/>
          <w:u w:val="single"/>
          <w:lang w:eastAsia="zh-CN"/>
        </w:rPr>
        <w:t xml:space="preserve"> </w:t>
      </w:r>
      <w:r>
        <w:rPr>
          <w:color w:val="auto"/>
          <w:highlight w:val="none"/>
          <w:u w:val="single"/>
          <w:lang w:eastAsia="zh-CN"/>
        </w:rPr>
        <w:tab/>
      </w:r>
      <w:r>
        <w:rPr>
          <w:color w:val="auto"/>
          <w:highlight w:val="none"/>
          <w:u w:val="single"/>
          <w:lang w:eastAsia="zh-CN"/>
        </w:rPr>
        <w:tab/>
      </w:r>
      <w:r>
        <w:rPr>
          <w:color w:val="auto"/>
          <w:highlight w:val="none"/>
          <w:lang w:eastAsia="zh-CN"/>
        </w:rPr>
        <w:t>，身份证号码：</w:t>
      </w:r>
      <w:r>
        <w:rPr>
          <w:color w:val="auto"/>
          <w:highlight w:val="none"/>
          <w:u w:val="single"/>
          <w:lang w:eastAsia="zh-CN"/>
        </w:rPr>
        <w:t xml:space="preserve"> </w:t>
      </w:r>
      <w:r>
        <w:rPr>
          <w:color w:val="auto"/>
          <w:highlight w:val="none"/>
          <w:u w:val="single"/>
          <w:lang w:eastAsia="zh-CN"/>
        </w:rPr>
        <w:tab/>
      </w:r>
      <w:r>
        <w:rPr>
          <w:color w:val="auto"/>
          <w:highlight w:val="none"/>
          <w:u w:val="single"/>
          <w:lang w:eastAsia="zh-CN"/>
        </w:rPr>
        <w:tab/>
      </w:r>
      <w:r>
        <w:rPr>
          <w:color w:val="auto"/>
          <w:highlight w:val="none"/>
          <w:lang w:eastAsia="zh-CN"/>
        </w:rPr>
        <w:t>，注册证号：</w:t>
      </w:r>
      <w:r>
        <w:rPr>
          <w:color w:val="auto"/>
          <w:highlight w:val="none"/>
          <w:u w:val="single"/>
          <w:lang w:eastAsia="zh-CN"/>
        </w:rPr>
        <w:t xml:space="preserve"> </w:t>
      </w:r>
      <w:r>
        <w:rPr>
          <w:color w:val="auto"/>
          <w:highlight w:val="none"/>
          <w:u w:val="single"/>
          <w:lang w:eastAsia="zh-CN"/>
        </w:rPr>
        <w:tab/>
      </w:r>
      <w:r>
        <w:rPr>
          <w:color w:val="auto"/>
          <w:highlight w:val="none"/>
          <w:lang w:eastAsia="zh-CN"/>
        </w:rPr>
        <w:t>。</w:t>
      </w:r>
    </w:p>
    <w:p>
      <w:pPr>
        <w:pStyle w:val="3"/>
        <w:spacing w:line="307" w:lineRule="exact"/>
        <w:rPr>
          <w:color w:val="auto"/>
          <w:highlight w:val="none"/>
          <w:lang w:eastAsia="zh-CN"/>
        </w:rPr>
      </w:pPr>
      <w:r>
        <w:rPr>
          <w:color w:val="auto"/>
          <w:highlight w:val="none"/>
          <w:lang w:eastAsia="zh-CN"/>
        </w:rPr>
        <w:t>六、合同酬金</w:t>
      </w:r>
    </w:p>
    <w:p>
      <w:pPr>
        <w:pStyle w:val="5"/>
        <w:tabs>
          <w:tab w:val="left" w:pos="7352"/>
        </w:tabs>
        <w:spacing w:before="158"/>
        <w:ind w:left="692"/>
        <w:rPr>
          <w:color w:val="auto"/>
          <w:highlight w:val="none"/>
          <w:lang w:eastAsia="zh-CN"/>
        </w:rPr>
      </w:pPr>
      <w:r>
        <w:rPr>
          <w:color w:val="auto"/>
          <w:highlight w:val="none"/>
          <w:lang w:eastAsia="zh-CN"/>
        </w:rPr>
        <w:t>全过程咨询（含项目管理、监理）服务酬金暂定为人民币</w:t>
      </w:r>
      <w:r>
        <w:rPr>
          <w:color w:val="auto"/>
          <w:highlight w:val="none"/>
          <w:u w:val="single"/>
          <w:lang w:eastAsia="zh-CN"/>
        </w:rPr>
        <w:t xml:space="preserve"> </w:t>
      </w:r>
      <w:r>
        <w:rPr>
          <w:color w:val="auto"/>
          <w:highlight w:val="none"/>
          <w:u w:val="single"/>
          <w:lang w:eastAsia="zh-CN"/>
        </w:rPr>
        <w:tab/>
      </w:r>
      <w:r>
        <w:rPr>
          <w:color w:val="auto"/>
          <w:highlight w:val="none"/>
          <w:lang w:eastAsia="zh-CN"/>
        </w:rPr>
        <w:t>元（大写：</w:t>
      </w:r>
    </w:p>
    <w:p>
      <w:pPr>
        <w:pStyle w:val="5"/>
        <w:tabs>
          <w:tab w:val="left" w:pos="632"/>
          <w:tab w:val="left" w:pos="1052"/>
          <w:tab w:val="left" w:pos="3092"/>
          <w:tab w:val="left" w:pos="5252"/>
          <w:tab w:val="left" w:pos="7292"/>
        </w:tabs>
        <w:spacing w:before="160" w:line="364" w:lineRule="auto"/>
        <w:ind w:right="275" w:hanging="1"/>
        <w:rPr>
          <w:color w:val="auto"/>
          <w:highlight w:val="none"/>
          <w:lang w:eastAsia="zh-CN"/>
        </w:rPr>
      </w:pPr>
      <w:r>
        <w:rPr>
          <w:rFonts w:ascii="Times New Roman" w:eastAsia="Times New Roman"/>
          <w:color w:val="auto"/>
          <w:highlight w:val="none"/>
          <w:u w:val="single"/>
          <w:lang w:eastAsia="zh-CN"/>
        </w:rPr>
        <w:t xml:space="preserve"> </w:t>
      </w:r>
      <w:r>
        <w:rPr>
          <w:rFonts w:ascii="Times New Roman" w:eastAsia="Times New Roman"/>
          <w:color w:val="auto"/>
          <w:highlight w:val="none"/>
          <w:u w:val="single"/>
          <w:lang w:eastAsia="zh-CN"/>
        </w:rPr>
        <w:tab/>
      </w:r>
      <w:r>
        <w:rPr>
          <w:color w:val="auto"/>
          <w:highlight w:val="none"/>
          <w:lang w:eastAsia="zh-CN"/>
        </w:rPr>
        <w:t>）。其中项目管理酬金暂定为人民币</w:t>
      </w:r>
      <w:r>
        <w:rPr>
          <w:color w:val="auto"/>
          <w:highlight w:val="none"/>
          <w:u w:val="single"/>
          <w:lang w:eastAsia="zh-CN"/>
        </w:rPr>
        <w:t xml:space="preserve"> </w:t>
      </w:r>
      <w:r>
        <w:rPr>
          <w:color w:val="auto"/>
          <w:highlight w:val="none"/>
          <w:u w:val="single"/>
          <w:lang w:eastAsia="zh-CN"/>
        </w:rPr>
        <w:tab/>
      </w:r>
      <w:r>
        <w:rPr>
          <w:color w:val="auto"/>
          <w:highlight w:val="none"/>
          <w:lang w:eastAsia="zh-CN"/>
        </w:rPr>
        <w:t>元，下浮率为：</w:t>
      </w:r>
      <w:r>
        <w:rPr>
          <w:color w:val="auto"/>
          <w:highlight w:val="none"/>
          <w:u w:val="single"/>
          <w:lang w:eastAsia="zh-CN"/>
        </w:rPr>
        <w:t xml:space="preserve"> </w:t>
      </w:r>
      <w:r>
        <w:rPr>
          <w:color w:val="auto"/>
          <w:highlight w:val="none"/>
          <w:u w:val="single"/>
          <w:lang w:eastAsia="zh-CN"/>
        </w:rPr>
        <w:tab/>
      </w:r>
      <w:r>
        <w:rPr>
          <w:color w:val="auto"/>
          <w:highlight w:val="none"/>
          <w:lang w:eastAsia="zh-CN"/>
        </w:rPr>
        <w:t>%；监理酬金暂定为人民币</w:t>
      </w:r>
      <w:r>
        <w:rPr>
          <w:color w:val="auto"/>
          <w:highlight w:val="none"/>
          <w:u w:val="single"/>
          <w:lang w:eastAsia="zh-CN"/>
        </w:rPr>
        <w:t xml:space="preserve"> </w:t>
      </w:r>
      <w:r>
        <w:rPr>
          <w:color w:val="auto"/>
          <w:highlight w:val="none"/>
          <w:u w:val="single"/>
          <w:lang w:eastAsia="zh-CN"/>
        </w:rPr>
        <w:tab/>
      </w:r>
      <w:r>
        <w:rPr>
          <w:color w:val="auto"/>
          <w:highlight w:val="none"/>
          <w:u w:val="single"/>
          <w:lang w:eastAsia="zh-CN"/>
        </w:rPr>
        <w:tab/>
      </w:r>
      <w:r>
        <w:rPr>
          <w:color w:val="auto"/>
          <w:highlight w:val="none"/>
          <w:lang w:eastAsia="zh-CN"/>
        </w:rPr>
        <w:t>元，下浮率为：</w:t>
      </w:r>
      <w:r>
        <w:rPr>
          <w:color w:val="auto"/>
          <w:highlight w:val="none"/>
          <w:u w:val="single"/>
          <w:lang w:eastAsia="zh-CN"/>
        </w:rPr>
        <w:t xml:space="preserve"> </w:t>
      </w:r>
      <w:r>
        <w:rPr>
          <w:color w:val="auto"/>
          <w:highlight w:val="none"/>
          <w:u w:val="single"/>
          <w:lang w:eastAsia="zh-CN"/>
        </w:rPr>
        <w:tab/>
      </w:r>
      <w:r>
        <w:rPr>
          <w:color w:val="auto"/>
          <w:highlight w:val="none"/>
          <w:lang w:eastAsia="zh-CN"/>
        </w:rPr>
        <w:t>%。</w:t>
      </w:r>
    </w:p>
    <w:p>
      <w:pPr>
        <w:pStyle w:val="5"/>
        <w:spacing w:line="362" w:lineRule="auto"/>
        <w:ind w:right="395" w:firstLine="480"/>
        <w:rPr>
          <w:color w:val="auto"/>
          <w:highlight w:val="none"/>
          <w:lang w:eastAsia="zh-CN"/>
        </w:rPr>
      </w:pPr>
      <w:r>
        <w:rPr>
          <w:color w:val="auto"/>
          <w:highlight w:val="none"/>
          <w:lang w:eastAsia="zh-CN"/>
        </w:rPr>
        <w:t>酬金结算价按本合同专用条款第 5.3.1 条约定计算，最终结算价以财政审定的金额为准。</w:t>
      </w:r>
    </w:p>
    <w:p>
      <w:pPr>
        <w:pStyle w:val="3"/>
        <w:spacing w:before="4" w:line="360" w:lineRule="auto"/>
        <w:ind w:left="210"/>
        <w:rPr>
          <w:color w:val="auto"/>
          <w:highlight w:val="none"/>
          <w:lang w:eastAsia="zh-CN"/>
        </w:rPr>
      </w:pPr>
      <w:r>
        <w:rPr>
          <w:color w:val="auto"/>
          <w:highlight w:val="none"/>
          <w:lang w:eastAsia="zh-CN"/>
        </w:rPr>
        <w:t>七、服务期限</w:t>
      </w:r>
    </w:p>
    <w:p>
      <w:pPr>
        <w:pStyle w:val="5"/>
        <w:spacing w:before="5" w:line="360" w:lineRule="auto"/>
        <w:ind w:left="210" w:right="354" w:firstLine="465"/>
        <w:rPr>
          <w:color w:val="auto"/>
          <w:highlight w:val="none"/>
          <w:lang w:eastAsia="zh-CN"/>
        </w:rPr>
      </w:pPr>
      <w:r>
        <w:rPr>
          <w:rFonts w:hint="eastAsia"/>
          <w:color w:val="auto"/>
          <w:highlight w:val="none"/>
          <w:lang w:eastAsia="zh-CN"/>
        </w:rPr>
        <w:t>从中标人收到中标通知书或参加由招标人组织的进场会开始起算，至该工程质量保修期届满并办妥竣工决算止，包括本工程的勘察、设计、施工准备期、施工期、工程收尾期等全过程服务</w:t>
      </w:r>
      <w:r>
        <w:rPr>
          <w:rFonts w:hint="eastAsia"/>
          <w:color w:val="auto"/>
          <w:highlight w:val="none"/>
          <w:lang w:eastAsia="zh-CN"/>
        </w:rPr>
        <w:t>。</w:t>
      </w:r>
    </w:p>
    <w:p>
      <w:pPr>
        <w:pStyle w:val="3"/>
        <w:spacing w:line="305" w:lineRule="exact"/>
        <w:rPr>
          <w:color w:val="auto"/>
          <w:highlight w:val="none"/>
          <w:lang w:eastAsia="zh-CN"/>
        </w:rPr>
      </w:pPr>
      <w:r>
        <w:rPr>
          <w:color w:val="auto"/>
          <w:highlight w:val="none"/>
          <w:lang w:eastAsia="zh-CN"/>
        </w:rPr>
        <w:t>八、双方承诺</w:t>
      </w:r>
    </w:p>
    <w:p>
      <w:pPr>
        <w:pStyle w:val="5"/>
        <w:spacing w:before="160"/>
        <w:ind w:left="692"/>
        <w:rPr>
          <w:color w:val="auto"/>
          <w:highlight w:val="none"/>
          <w:lang w:eastAsia="zh-CN"/>
        </w:rPr>
      </w:pPr>
      <w:r>
        <w:rPr>
          <w:color w:val="auto"/>
          <w:highlight w:val="none"/>
          <w:lang w:eastAsia="zh-CN"/>
        </w:rPr>
        <w:t>1.承包人向发包人承诺，按照本合同约定提供项目管理服务、施工监理与相关服务。</w:t>
      </w:r>
    </w:p>
    <w:p>
      <w:pPr>
        <w:pStyle w:val="5"/>
        <w:spacing w:before="161"/>
        <w:ind w:left="692"/>
        <w:rPr>
          <w:color w:val="auto"/>
          <w:highlight w:val="none"/>
          <w:lang w:eastAsia="zh-CN"/>
        </w:rPr>
      </w:pPr>
      <w:r>
        <w:rPr>
          <w:color w:val="auto"/>
          <w:highlight w:val="none"/>
          <w:lang w:eastAsia="zh-CN"/>
        </w:rPr>
        <w:t>2.发包人向承包人承诺，按照本合同约定支付酬金。</w:t>
      </w:r>
    </w:p>
    <w:p>
      <w:pPr>
        <w:pStyle w:val="5"/>
        <w:spacing w:before="158" w:line="362" w:lineRule="auto"/>
        <w:ind w:right="275" w:firstLine="480"/>
        <w:rPr>
          <w:color w:val="auto"/>
          <w:highlight w:val="none"/>
          <w:lang w:eastAsia="zh-CN"/>
        </w:rPr>
      </w:pPr>
      <w:r>
        <w:rPr>
          <w:color w:val="auto"/>
          <w:highlight w:val="none"/>
          <w:lang w:eastAsia="zh-CN"/>
        </w:rPr>
        <w:t>3.发包人和承包人保证严格遵守本合同的各项约定，享有并承担本合同的各项权利和义务。</w:t>
      </w:r>
    </w:p>
    <w:p>
      <w:pPr>
        <w:pStyle w:val="5"/>
        <w:spacing w:before="5" w:line="364" w:lineRule="auto"/>
        <w:ind w:right="275" w:firstLine="480"/>
        <w:rPr>
          <w:color w:val="auto"/>
          <w:highlight w:val="none"/>
          <w:lang w:eastAsia="zh-CN"/>
        </w:rPr>
      </w:pPr>
      <w:r>
        <w:rPr>
          <w:color w:val="auto"/>
          <w:highlight w:val="none"/>
          <w:lang w:eastAsia="zh-CN"/>
        </w:rPr>
        <w:t>4.承包人承诺遵守发包人制订的关于本项目的各项制度、规定和管理办法等。合同生效后，承包人应履行合同义务及职责，并视为接受及认同发包人制订的关于本项目的各项制 度、规定和管理办法，包括但不限于管理制度、作业指导书、工作流程等。如承包人未达到发包人相关制度、规定和管理办法等，发包人有权依据相关制度、规定和管理办法等要求承包人承担违约责任及赔偿损承包人承诺按投标文件和本合同所承诺的各项条款落实做好各项工作；采取一切措施按合同文件约定完成本项目质量、进度、投资、安全等各项目标，达到合同约定的各项标准，并保证不因此增加发包人的成本负担。</w:t>
      </w:r>
    </w:p>
    <w:p>
      <w:pPr>
        <w:pStyle w:val="5"/>
        <w:spacing w:line="362" w:lineRule="auto"/>
        <w:ind w:right="275" w:firstLine="480"/>
        <w:rPr>
          <w:color w:val="auto"/>
          <w:highlight w:val="none"/>
          <w:lang w:eastAsia="zh-CN"/>
        </w:rPr>
      </w:pPr>
      <w:r>
        <w:rPr>
          <w:color w:val="auto"/>
          <w:highlight w:val="none"/>
          <w:lang w:eastAsia="zh-CN"/>
        </w:rPr>
        <w:t>5.因资金管理的需要，发包人有权根据资金来源不同对合同价款的结算审核、支付流程及支付方式等进行调整，承包人须配合。</w:t>
      </w:r>
    </w:p>
    <w:p>
      <w:pPr>
        <w:pStyle w:val="3"/>
        <w:spacing w:before="2"/>
        <w:rPr>
          <w:color w:val="auto"/>
          <w:highlight w:val="none"/>
          <w:lang w:eastAsia="zh-CN"/>
        </w:rPr>
      </w:pPr>
      <w:r>
        <w:rPr>
          <w:color w:val="auto"/>
          <w:highlight w:val="none"/>
          <w:lang w:eastAsia="zh-CN"/>
        </w:rPr>
        <w:t>九、合同订立</w:t>
      </w:r>
    </w:p>
    <w:p>
      <w:pPr>
        <w:pStyle w:val="5"/>
        <w:tabs>
          <w:tab w:val="left" w:pos="2672"/>
          <w:tab w:val="left" w:pos="3812"/>
        </w:tabs>
        <w:spacing w:before="158"/>
        <w:ind w:left="692"/>
        <w:rPr>
          <w:color w:val="auto"/>
          <w:highlight w:val="none"/>
          <w:lang w:eastAsia="zh-CN"/>
        </w:rPr>
      </w:pPr>
      <w:r>
        <w:rPr>
          <w:color w:val="auto"/>
          <w:highlight w:val="none"/>
          <w:lang w:eastAsia="zh-CN"/>
        </w:rPr>
        <w:t>1.本合同于</w:t>
      </w:r>
      <w:r>
        <w:rPr>
          <w:color w:val="auto"/>
          <w:highlight w:val="none"/>
          <w:u w:val="single"/>
          <w:lang w:eastAsia="zh-CN"/>
        </w:rPr>
        <w:t xml:space="preserve"> </w:t>
      </w:r>
      <w:r>
        <w:rPr>
          <w:color w:val="auto"/>
          <w:highlight w:val="none"/>
          <w:u w:val="single"/>
          <w:lang w:eastAsia="zh-CN"/>
        </w:rPr>
        <w:tab/>
      </w:r>
      <w:r>
        <w:rPr>
          <w:color w:val="auto"/>
          <w:highlight w:val="none"/>
          <w:lang w:eastAsia="zh-CN"/>
        </w:rPr>
        <w:t>年</w:t>
      </w:r>
      <w:r>
        <w:rPr>
          <w:rFonts w:hint="eastAsia"/>
          <w:color w:val="auto"/>
          <w:highlight w:val="none"/>
          <w:u w:val="single"/>
          <w:lang w:eastAsia="zh-CN"/>
        </w:rPr>
        <w:t xml:space="preserve"> </w:t>
      </w:r>
      <w:r>
        <w:rPr>
          <w:rFonts w:hint="eastAsia"/>
          <w:color w:val="auto"/>
          <w:spacing w:val="117"/>
          <w:highlight w:val="none"/>
          <w:u w:val="single"/>
          <w:lang w:eastAsia="zh-CN"/>
        </w:rPr>
        <w:t xml:space="preserve"> </w:t>
      </w:r>
      <w:r>
        <w:rPr>
          <w:color w:val="auto"/>
          <w:spacing w:val="117"/>
          <w:highlight w:val="none"/>
          <w:u w:val="single"/>
          <w:lang w:eastAsia="zh-CN"/>
        </w:rPr>
        <w:t xml:space="preserve"> </w:t>
      </w:r>
      <w:r>
        <w:rPr>
          <w:color w:val="auto"/>
          <w:highlight w:val="none"/>
          <w:lang w:eastAsia="zh-CN"/>
        </w:rPr>
        <w:t>月</w:t>
      </w:r>
      <w:r>
        <w:rPr>
          <w:color w:val="auto"/>
          <w:highlight w:val="none"/>
          <w:u w:val="single"/>
          <w:lang w:eastAsia="zh-CN"/>
        </w:rPr>
        <w:t xml:space="preserve"> </w:t>
      </w:r>
      <w:r>
        <w:rPr>
          <w:color w:val="auto"/>
          <w:highlight w:val="none"/>
          <w:u w:val="single"/>
          <w:lang w:eastAsia="zh-CN"/>
        </w:rPr>
        <w:tab/>
      </w:r>
      <w:r>
        <w:rPr>
          <w:color w:val="auto"/>
          <w:highlight w:val="none"/>
          <w:lang w:eastAsia="zh-CN"/>
        </w:rPr>
        <w:t>日签订。</w:t>
      </w:r>
    </w:p>
    <w:p>
      <w:pPr>
        <w:pStyle w:val="5"/>
        <w:spacing w:before="160"/>
        <w:ind w:left="692"/>
        <w:rPr>
          <w:color w:val="auto"/>
          <w:highlight w:val="none"/>
          <w:lang w:eastAsia="zh-CN"/>
        </w:rPr>
      </w:pPr>
      <w:r>
        <w:rPr>
          <w:color w:val="auto"/>
          <w:highlight w:val="none"/>
          <w:lang w:eastAsia="zh-CN"/>
        </w:rPr>
        <w:t>2.订立地点：</w:t>
      </w:r>
      <w:r>
        <w:rPr>
          <w:rFonts w:hint="eastAsia"/>
          <w:color w:val="auto"/>
          <w:highlight w:val="none"/>
          <w:u w:val="single"/>
          <w:lang w:eastAsia="zh-CN"/>
        </w:rPr>
        <w:t xml:space="preserve"> </w:t>
      </w:r>
      <w:r>
        <w:rPr>
          <w:rFonts w:hint="eastAsia"/>
          <w:color w:val="auto"/>
          <w:highlight w:val="none"/>
          <w:u w:val="single"/>
          <w:lang w:eastAsia="zh-CN"/>
        </w:rPr>
        <w:t>广州市南沙区</w:t>
      </w:r>
      <w:r>
        <w:rPr>
          <w:rFonts w:hint="eastAsia"/>
          <w:color w:val="auto"/>
          <w:highlight w:val="none"/>
          <w:u w:val="single"/>
          <w:lang w:eastAsia="zh-CN"/>
        </w:rPr>
        <w:t xml:space="preserve">    </w:t>
      </w:r>
      <w:r>
        <w:rPr>
          <w:color w:val="auto"/>
          <w:highlight w:val="none"/>
          <w:lang w:eastAsia="zh-CN"/>
        </w:rPr>
        <w:t>。</w:t>
      </w:r>
    </w:p>
    <w:p>
      <w:pPr>
        <w:pStyle w:val="5"/>
        <w:spacing w:before="159" w:line="364" w:lineRule="auto"/>
        <w:ind w:right="275" w:firstLine="480"/>
        <w:rPr>
          <w:color w:val="auto"/>
          <w:highlight w:val="none"/>
          <w:lang w:eastAsia="zh-CN"/>
        </w:rPr>
      </w:pPr>
      <w:r>
        <w:rPr>
          <w:color w:val="auto"/>
          <w:highlight w:val="none"/>
          <w:lang w:eastAsia="zh-CN"/>
        </w:rPr>
        <w:t>3.合同正本一式</w:t>
      </w:r>
      <w:r>
        <w:rPr>
          <w:rFonts w:hint="eastAsia"/>
          <w:color w:val="auto"/>
          <w:highlight w:val="none"/>
          <w:lang w:eastAsia="zh-CN"/>
        </w:rPr>
        <w:t>贰</w:t>
      </w:r>
      <w:r>
        <w:rPr>
          <w:color w:val="auto"/>
          <w:highlight w:val="none"/>
          <w:lang w:eastAsia="zh-CN"/>
        </w:rPr>
        <w:t>份，发包人、承包人各执一份，副本一式</w:t>
      </w:r>
      <w:r>
        <w:rPr>
          <w:rFonts w:hint="eastAsia"/>
          <w:color w:val="auto"/>
          <w:highlight w:val="none"/>
          <w:lang w:eastAsia="zh-CN"/>
        </w:rPr>
        <w:t>陆</w:t>
      </w:r>
      <w:r>
        <w:rPr>
          <w:color w:val="auto"/>
          <w:highlight w:val="none"/>
          <w:lang w:eastAsia="zh-CN"/>
        </w:rPr>
        <w:t>份，发包人执</w:t>
      </w:r>
      <w:r>
        <w:rPr>
          <w:rFonts w:hint="eastAsia"/>
          <w:color w:val="auto"/>
          <w:highlight w:val="none"/>
          <w:lang w:eastAsia="zh-CN"/>
        </w:rPr>
        <w:t>叁</w:t>
      </w:r>
      <w:r>
        <w:rPr>
          <w:color w:val="auto"/>
          <w:highlight w:val="none"/>
          <w:lang w:eastAsia="zh-CN"/>
        </w:rPr>
        <w:t>份，承包人执</w:t>
      </w:r>
      <w:r>
        <w:rPr>
          <w:rFonts w:hint="eastAsia"/>
          <w:color w:val="auto"/>
          <w:highlight w:val="none"/>
          <w:lang w:eastAsia="zh-CN"/>
        </w:rPr>
        <w:t>叁</w:t>
      </w:r>
      <w:r>
        <w:rPr>
          <w:color w:val="auto"/>
          <w:highlight w:val="none"/>
          <w:lang w:eastAsia="zh-CN"/>
        </w:rPr>
        <w:t>份，正副本具同等法律效力。</w:t>
      </w:r>
    </w:p>
    <w:p>
      <w:pPr>
        <w:pStyle w:val="5"/>
        <w:spacing w:before="1"/>
        <w:ind w:left="692"/>
        <w:rPr>
          <w:color w:val="auto"/>
          <w:highlight w:val="none"/>
          <w:lang w:eastAsia="zh-CN"/>
        </w:rPr>
      </w:pPr>
      <w:r>
        <w:rPr>
          <w:color w:val="auto"/>
          <w:highlight w:val="none"/>
          <w:lang w:eastAsia="zh-CN"/>
        </w:rPr>
        <w:t>4.本合同未尽事宜，由双方协商另行签订补充合同。</w:t>
      </w:r>
    </w:p>
    <w:p>
      <w:pPr>
        <w:pStyle w:val="5"/>
        <w:spacing w:before="158" w:line="362" w:lineRule="auto"/>
        <w:ind w:right="275" w:firstLine="480"/>
        <w:rPr>
          <w:color w:val="auto"/>
          <w:highlight w:val="none"/>
          <w:lang w:eastAsia="zh-CN"/>
        </w:rPr>
      </w:pPr>
      <w:r>
        <w:rPr>
          <w:color w:val="auto"/>
          <w:highlight w:val="none"/>
          <w:lang w:eastAsia="zh-CN"/>
        </w:rPr>
        <w:t>5.本合同自发包人、承包人双方法定代表人在协议书上签字(或签章)并加盖章之日起生效，至本合同期满且双方的责任、义务履行完毕时终止。</w:t>
      </w:r>
    </w:p>
    <w:p>
      <w:pPr>
        <w:pStyle w:val="5"/>
        <w:spacing w:before="5"/>
        <w:ind w:left="692"/>
        <w:rPr>
          <w:color w:val="auto"/>
          <w:highlight w:val="none"/>
          <w:lang w:eastAsia="zh-CN"/>
        </w:rPr>
      </w:pPr>
      <w:r>
        <w:rPr>
          <w:color w:val="auto"/>
          <w:highlight w:val="none"/>
          <w:lang w:eastAsia="zh-CN"/>
        </w:rPr>
        <w:t>(此页以下无正文）</w:t>
      </w:r>
    </w:p>
    <w:p>
      <w:pPr>
        <w:rPr>
          <w:color w:val="auto"/>
          <w:highlight w:val="none"/>
          <w:lang w:eastAsia="zh-CN"/>
        </w:rPr>
        <w:sectPr>
          <w:pgSz w:w="11910" w:h="16840"/>
          <w:pgMar w:top="1080" w:right="900" w:bottom="1040" w:left="920" w:header="0" w:footer="858" w:gutter="0"/>
          <w:cols w:space="720" w:num="1"/>
        </w:sectPr>
      </w:pPr>
    </w:p>
    <w:p>
      <w:pPr>
        <w:pStyle w:val="5"/>
        <w:spacing w:before="6"/>
        <w:ind w:left="0"/>
        <w:rPr>
          <w:color w:val="auto"/>
          <w:sz w:val="10"/>
          <w:highlight w:val="none"/>
          <w:lang w:eastAsia="zh-CN"/>
        </w:rPr>
      </w:pPr>
    </w:p>
    <w:p>
      <w:pPr>
        <w:pStyle w:val="5"/>
        <w:tabs>
          <w:tab w:val="left" w:pos="3572"/>
          <w:tab w:val="left" w:pos="4111"/>
        </w:tabs>
        <w:spacing w:before="74" w:line="364" w:lineRule="auto"/>
        <w:ind w:right="5555"/>
        <w:rPr>
          <w:rFonts w:ascii="Times New Roman" w:eastAsia="Times New Roman"/>
          <w:color w:val="auto"/>
          <w:highlight w:val="none"/>
          <w:lang w:eastAsia="zh-CN"/>
        </w:rPr>
      </w:pPr>
      <w:r>
        <w:rPr>
          <w:color w:val="auto"/>
          <w:highlight w:val="none"/>
          <w:lang w:eastAsia="zh-CN"/>
        </w:rPr>
        <w:t>发包人：</w:t>
      </w:r>
      <w:r>
        <w:rPr>
          <w:color w:val="auto"/>
          <w:highlight w:val="none"/>
          <w:u w:val="single"/>
          <w:lang w:eastAsia="zh-CN"/>
        </w:rPr>
        <w:t xml:space="preserve"> </w:t>
      </w:r>
      <w:r>
        <w:rPr>
          <w:color w:val="auto"/>
          <w:highlight w:val="none"/>
          <w:u w:val="single"/>
          <w:lang w:eastAsia="zh-CN"/>
        </w:rPr>
        <w:tab/>
      </w:r>
      <w:r>
        <w:rPr>
          <w:color w:val="auto"/>
          <w:highlight w:val="none"/>
          <w:lang w:eastAsia="zh-CN"/>
        </w:rPr>
        <w:t xml:space="preserve">（盖章） </w:t>
      </w:r>
      <w:r>
        <w:rPr>
          <w:color w:val="auto"/>
          <w:spacing w:val="-1"/>
          <w:highlight w:val="none"/>
          <w:lang w:eastAsia="zh-CN"/>
        </w:rPr>
        <w:t>法</w:t>
      </w:r>
      <w:r>
        <w:rPr>
          <w:color w:val="auto"/>
          <w:highlight w:val="none"/>
          <w:lang w:eastAsia="zh-CN"/>
        </w:rPr>
        <w:t>定代表人：</w:t>
      </w:r>
      <w:r>
        <w:rPr>
          <w:rFonts w:ascii="Times New Roman" w:eastAsia="Times New Roman"/>
          <w:color w:val="auto"/>
          <w:highlight w:val="none"/>
          <w:u w:val="single"/>
          <w:lang w:eastAsia="zh-CN"/>
        </w:rPr>
        <w:t xml:space="preserve"> </w:t>
      </w:r>
      <w:r>
        <w:rPr>
          <w:rFonts w:ascii="Times New Roman" w:eastAsia="Times New Roman"/>
          <w:color w:val="auto"/>
          <w:highlight w:val="none"/>
          <w:u w:val="single"/>
          <w:lang w:eastAsia="zh-CN"/>
        </w:rPr>
        <w:tab/>
      </w:r>
      <w:r>
        <w:rPr>
          <w:rFonts w:ascii="Times New Roman" w:eastAsia="Times New Roman"/>
          <w:color w:val="auto"/>
          <w:highlight w:val="none"/>
          <w:u w:val="single"/>
          <w:lang w:eastAsia="zh-CN"/>
        </w:rPr>
        <w:tab/>
      </w:r>
    </w:p>
    <w:p>
      <w:pPr>
        <w:pStyle w:val="5"/>
        <w:tabs>
          <w:tab w:val="left" w:pos="3571"/>
          <w:tab w:val="left" w:pos="3631"/>
        </w:tabs>
        <w:spacing w:line="364" w:lineRule="auto"/>
        <w:ind w:right="6456"/>
        <w:rPr>
          <w:rFonts w:ascii="Times New Roman" w:eastAsia="Times New Roman"/>
          <w:color w:val="auto"/>
          <w:highlight w:val="none"/>
          <w:lang w:eastAsia="zh-CN"/>
        </w:rPr>
      </w:pPr>
      <w:r>
        <w:rPr>
          <w:color w:val="auto"/>
          <w:spacing w:val="-1"/>
          <w:highlight w:val="none"/>
          <w:lang w:eastAsia="zh-CN"/>
        </w:rPr>
        <w:t>联</w:t>
      </w:r>
      <w:r>
        <w:rPr>
          <w:color w:val="auto"/>
          <w:highlight w:val="none"/>
          <w:lang w:eastAsia="zh-CN"/>
        </w:rPr>
        <w:t>系人：</w:t>
      </w:r>
      <w:r>
        <w:rPr>
          <w:rFonts w:ascii="Times New Roman" w:eastAsia="Times New Roman"/>
          <w:color w:val="auto"/>
          <w:highlight w:val="none"/>
          <w:u w:val="single"/>
          <w:lang w:eastAsia="zh-CN"/>
        </w:rPr>
        <w:t xml:space="preserve"> </w:t>
      </w:r>
      <w:r>
        <w:rPr>
          <w:rFonts w:ascii="Times New Roman" w:eastAsia="Times New Roman"/>
          <w:color w:val="auto"/>
          <w:highlight w:val="none"/>
          <w:u w:val="single"/>
          <w:lang w:eastAsia="zh-CN"/>
        </w:rPr>
        <w:tab/>
      </w:r>
      <w:r>
        <w:rPr>
          <w:rFonts w:ascii="Times New Roman" w:eastAsia="Times New Roman"/>
          <w:color w:val="auto"/>
          <w:highlight w:val="none"/>
          <w:u w:val="single"/>
          <w:lang w:eastAsia="zh-CN"/>
        </w:rPr>
        <w:tab/>
      </w:r>
      <w:r>
        <w:rPr>
          <w:rFonts w:ascii="Times New Roman" w:eastAsia="Times New Roman"/>
          <w:color w:val="auto"/>
          <w:highlight w:val="none"/>
          <w:u w:val="single"/>
          <w:lang w:eastAsia="zh-CN"/>
        </w:rPr>
        <w:t xml:space="preserve"> </w:t>
      </w:r>
      <w:r>
        <w:rPr>
          <w:color w:val="auto"/>
          <w:highlight w:val="none"/>
          <w:lang w:eastAsia="zh-CN"/>
        </w:rPr>
        <w:t>地</w:t>
      </w:r>
      <w:r>
        <w:rPr>
          <w:color w:val="auto"/>
          <w:spacing w:val="-61"/>
          <w:highlight w:val="none"/>
          <w:lang w:eastAsia="zh-CN"/>
        </w:rPr>
        <w:t xml:space="preserve"> </w:t>
      </w:r>
      <w:r>
        <w:rPr>
          <w:color w:val="auto"/>
          <w:highlight w:val="none"/>
          <w:lang w:eastAsia="zh-CN"/>
        </w:rPr>
        <w:t>址 ：</w:t>
      </w:r>
      <w:r>
        <w:rPr>
          <w:rFonts w:ascii="Times New Roman" w:eastAsia="Times New Roman"/>
          <w:color w:val="auto"/>
          <w:highlight w:val="none"/>
          <w:u w:val="single"/>
          <w:lang w:eastAsia="zh-CN"/>
        </w:rPr>
        <w:t xml:space="preserve"> </w:t>
      </w:r>
      <w:r>
        <w:rPr>
          <w:rFonts w:ascii="Times New Roman" w:eastAsia="Times New Roman"/>
          <w:color w:val="auto"/>
          <w:highlight w:val="none"/>
          <w:u w:val="single"/>
          <w:lang w:eastAsia="zh-CN"/>
        </w:rPr>
        <w:tab/>
      </w:r>
    </w:p>
    <w:p>
      <w:pPr>
        <w:pStyle w:val="5"/>
        <w:tabs>
          <w:tab w:val="left" w:pos="3571"/>
          <w:tab w:val="left" w:pos="3871"/>
        </w:tabs>
        <w:spacing w:line="364" w:lineRule="auto"/>
        <w:ind w:right="6216"/>
        <w:rPr>
          <w:rFonts w:ascii="Times New Roman" w:eastAsia="Times New Roman"/>
          <w:color w:val="auto"/>
          <w:highlight w:val="none"/>
          <w:lang w:eastAsia="zh-CN"/>
        </w:rPr>
      </w:pPr>
      <w:r>
        <w:rPr>
          <w:color w:val="auto"/>
          <w:spacing w:val="-1"/>
          <w:highlight w:val="none"/>
          <w:lang w:eastAsia="zh-CN"/>
        </w:rPr>
        <w:t>邮</w:t>
      </w:r>
      <w:r>
        <w:rPr>
          <w:color w:val="auto"/>
          <w:highlight w:val="none"/>
          <w:lang w:eastAsia="zh-CN"/>
        </w:rPr>
        <w:t>政编码：</w:t>
      </w:r>
      <w:r>
        <w:rPr>
          <w:rFonts w:ascii="Times New Roman" w:eastAsia="Times New Roman"/>
          <w:color w:val="auto"/>
          <w:highlight w:val="none"/>
          <w:u w:val="single"/>
          <w:lang w:eastAsia="zh-CN"/>
        </w:rPr>
        <w:t xml:space="preserve"> </w:t>
      </w:r>
      <w:r>
        <w:rPr>
          <w:rFonts w:ascii="Times New Roman" w:eastAsia="Times New Roman"/>
          <w:color w:val="auto"/>
          <w:highlight w:val="none"/>
          <w:u w:val="single"/>
          <w:lang w:eastAsia="zh-CN"/>
        </w:rPr>
        <w:tab/>
      </w:r>
      <w:r>
        <w:rPr>
          <w:rFonts w:ascii="Times New Roman" w:eastAsia="Times New Roman"/>
          <w:color w:val="auto"/>
          <w:highlight w:val="none"/>
          <w:u w:val="single"/>
          <w:lang w:eastAsia="zh-CN"/>
        </w:rPr>
        <w:tab/>
      </w:r>
      <w:r>
        <w:rPr>
          <w:rFonts w:ascii="Times New Roman" w:eastAsia="Times New Roman"/>
          <w:color w:val="auto"/>
          <w:highlight w:val="none"/>
          <w:u w:val="single"/>
          <w:lang w:eastAsia="zh-CN"/>
        </w:rPr>
        <w:t xml:space="preserve"> </w:t>
      </w:r>
      <w:r>
        <w:rPr>
          <w:color w:val="auto"/>
          <w:highlight w:val="none"/>
          <w:lang w:eastAsia="zh-CN"/>
        </w:rPr>
        <w:t>电</w:t>
      </w:r>
      <w:r>
        <w:rPr>
          <w:color w:val="auto"/>
          <w:spacing w:val="-61"/>
          <w:highlight w:val="none"/>
          <w:lang w:eastAsia="zh-CN"/>
        </w:rPr>
        <w:t xml:space="preserve"> </w:t>
      </w:r>
      <w:r>
        <w:rPr>
          <w:color w:val="auto"/>
          <w:highlight w:val="none"/>
          <w:lang w:eastAsia="zh-CN"/>
        </w:rPr>
        <w:t>话 ：</w:t>
      </w:r>
      <w:r>
        <w:rPr>
          <w:rFonts w:ascii="Times New Roman" w:eastAsia="Times New Roman"/>
          <w:color w:val="auto"/>
          <w:highlight w:val="none"/>
          <w:u w:val="single"/>
          <w:lang w:eastAsia="zh-CN"/>
        </w:rPr>
        <w:t xml:space="preserve"> </w:t>
      </w:r>
      <w:r>
        <w:rPr>
          <w:rFonts w:ascii="Times New Roman" w:eastAsia="Times New Roman"/>
          <w:color w:val="auto"/>
          <w:highlight w:val="none"/>
          <w:u w:val="single"/>
          <w:lang w:eastAsia="zh-CN"/>
        </w:rPr>
        <w:tab/>
      </w:r>
    </w:p>
    <w:p>
      <w:pPr>
        <w:pStyle w:val="5"/>
        <w:tabs>
          <w:tab w:val="left" w:pos="3571"/>
        </w:tabs>
        <w:spacing w:line="306" w:lineRule="exact"/>
        <w:rPr>
          <w:rFonts w:ascii="Times New Roman" w:eastAsia="Times New Roman"/>
          <w:color w:val="auto"/>
          <w:highlight w:val="none"/>
          <w:lang w:eastAsia="zh-CN"/>
        </w:rPr>
      </w:pPr>
      <w:r>
        <w:rPr>
          <w:color w:val="auto"/>
          <w:highlight w:val="none"/>
          <w:lang w:eastAsia="zh-CN"/>
        </w:rPr>
        <w:t>传</w:t>
      </w:r>
      <w:r>
        <w:rPr>
          <w:color w:val="auto"/>
          <w:spacing w:val="-61"/>
          <w:highlight w:val="none"/>
          <w:lang w:eastAsia="zh-CN"/>
        </w:rPr>
        <w:t xml:space="preserve"> </w:t>
      </w:r>
      <w:r>
        <w:rPr>
          <w:color w:val="auto"/>
          <w:highlight w:val="none"/>
          <w:lang w:eastAsia="zh-CN"/>
        </w:rPr>
        <w:t>真 ：</w:t>
      </w:r>
      <w:r>
        <w:rPr>
          <w:rFonts w:ascii="Times New Roman" w:eastAsia="Times New Roman"/>
          <w:color w:val="auto"/>
          <w:highlight w:val="none"/>
          <w:u w:val="single"/>
          <w:lang w:eastAsia="zh-CN"/>
        </w:rPr>
        <w:t xml:space="preserve"> </w:t>
      </w:r>
      <w:r>
        <w:rPr>
          <w:rFonts w:ascii="Times New Roman" w:eastAsia="Times New Roman"/>
          <w:color w:val="auto"/>
          <w:highlight w:val="none"/>
          <w:u w:val="single"/>
          <w:lang w:eastAsia="zh-CN"/>
        </w:rPr>
        <w:tab/>
      </w:r>
    </w:p>
    <w:p>
      <w:pPr>
        <w:pStyle w:val="5"/>
        <w:ind w:left="0"/>
        <w:rPr>
          <w:rFonts w:ascii="Times New Roman"/>
          <w:color w:val="auto"/>
          <w:sz w:val="20"/>
          <w:highlight w:val="none"/>
          <w:lang w:eastAsia="zh-CN"/>
        </w:rPr>
      </w:pPr>
    </w:p>
    <w:p>
      <w:pPr>
        <w:pStyle w:val="5"/>
        <w:ind w:left="0"/>
        <w:rPr>
          <w:rFonts w:ascii="Times New Roman"/>
          <w:color w:val="auto"/>
          <w:sz w:val="28"/>
          <w:highlight w:val="none"/>
          <w:lang w:eastAsia="zh-CN"/>
        </w:rPr>
      </w:pPr>
    </w:p>
    <w:p>
      <w:pPr>
        <w:pStyle w:val="5"/>
        <w:tabs>
          <w:tab w:val="left" w:pos="3392"/>
          <w:tab w:val="left" w:pos="3631"/>
          <w:tab w:val="left" w:pos="4111"/>
        </w:tabs>
        <w:spacing w:before="66" w:line="364" w:lineRule="auto"/>
        <w:ind w:right="5735"/>
        <w:rPr>
          <w:rFonts w:ascii="Times New Roman" w:eastAsia="Times New Roman"/>
          <w:color w:val="auto"/>
          <w:highlight w:val="none"/>
          <w:lang w:eastAsia="zh-CN"/>
        </w:rPr>
      </w:pPr>
      <w:r>
        <w:rPr>
          <w:color w:val="auto"/>
          <w:highlight w:val="none"/>
          <w:lang w:eastAsia="zh-CN"/>
        </w:rPr>
        <w:t>承包人：</w:t>
      </w:r>
      <w:r>
        <w:rPr>
          <w:color w:val="auto"/>
          <w:highlight w:val="none"/>
          <w:u w:val="single"/>
          <w:lang w:eastAsia="zh-CN"/>
        </w:rPr>
        <w:t xml:space="preserve"> </w:t>
      </w:r>
      <w:r>
        <w:rPr>
          <w:color w:val="auto"/>
          <w:highlight w:val="none"/>
          <w:u w:val="single"/>
          <w:lang w:eastAsia="zh-CN"/>
        </w:rPr>
        <w:tab/>
      </w:r>
      <w:r>
        <w:rPr>
          <w:color w:val="auto"/>
          <w:highlight w:val="none"/>
          <w:lang w:eastAsia="zh-CN"/>
        </w:rPr>
        <w:t xml:space="preserve">（盖章） </w:t>
      </w:r>
      <w:r>
        <w:rPr>
          <w:color w:val="auto"/>
          <w:spacing w:val="-1"/>
          <w:highlight w:val="none"/>
          <w:lang w:eastAsia="zh-CN"/>
        </w:rPr>
        <w:t>法</w:t>
      </w:r>
      <w:r>
        <w:rPr>
          <w:color w:val="auto"/>
          <w:highlight w:val="none"/>
          <w:lang w:eastAsia="zh-CN"/>
        </w:rPr>
        <w:t>定代表人：</w:t>
      </w:r>
      <w:r>
        <w:rPr>
          <w:rFonts w:ascii="Times New Roman" w:eastAsia="Times New Roman"/>
          <w:color w:val="auto"/>
          <w:highlight w:val="none"/>
          <w:u w:val="single"/>
          <w:lang w:eastAsia="zh-CN"/>
        </w:rPr>
        <w:t xml:space="preserve"> </w:t>
      </w:r>
      <w:r>
        <w:rPr>
          <w:rFonts w:ascii="Times New Roman" w:eastAsia="Times New Roman"/>
          <w:color w:val="auto"/>
          <w:highlight w:val="none"/>
          <w:u w:val="single"/>
          <w:lang w:eastAsia="zh-CN"/>
        </w:rPr>
        <w:tab/>
      </w:r>
      <w:r>
        <w:rPr>
          <w:rFonts w:ascii="Times New Roman" w:eastAsia="Times New Roman"/>
          <w:color w:val="auto"/>
          <w:highlight w:val="none"/>
          <w:u w:val="single"/>
          <w:lang w:eastAsia="zh-CN"/>
        </w:rPr>
        <w:tab/>
      </w:r>
      <w:r>
        <w:rPr>
          <w:rFonts w:ascii="Times New Roman" w:eastAsia="Times New Roman"/>
          <w:color w:val="auto"/>
          <w:highlight w:val="none"/>
          <w:u w:val="single"/>
          <w:lang w:eastAsia="zh-CN"/>
        </w:rPr>
        <w:tab/>
      </w:r>
      <w:r>
        <w:rPr>
          <w:color w:val="auto"/>
          <w:highlight w:val="none"/>
          <w:lang w:eastAsia="zh-CN"/>
        </w:rPr>
        <w:t xml:space="preserve"> </w:t>
      </w:r>
      <w:r>
        <w:rPr>
          <w:color w:val="auto"/>
          <w:spacing w:val="-1"/>
          <w:highlight w:val="none"/>
          <w:lang w:eastAsia="zh-CN"/>
        </w:rPr>
        <w:t xml:space="preserve">                   </w:t>
      </w:r>
      <w:r>
        <w:rPr>
          <w:color w:val="auto"/>
          <w:spacing w:val="18"/>
          <w:highlight w:val="none"/>
          <w:lang w:eastAsia="zh-CN"/>
        </w:rPr>
        <w:t xml:space="preserve"> </w:t>
      </w:r>
      <w:r>
        <w:rPr>
          <w:color w:val="auto"/>
          <w:spacing w:val="-1"/>
          <w:highlight w:val="none"/>
          <w:lang w:eastAsia="zh-CN"/>
        </w:rPr>
        <w:t>联</w:t>
      </w:r>
      <w:r>
        <w:rPr>
          <w:color w:val="auto"/>
          <w:highlight w:val="none"/>
          <w:lang w:eastAsia="zh-CN"/>
        </w:rPr>
        <w:t>系人：</w:t>
      </w:r>
      <w:r>
        <w:rPr>
          <w:rFonts w:ascii="Times New Roman" w:eastAsia="Times New Roman"/>
          <w:color w:val="auto"/>
          <w:highlight w:val="none"/>
          <w:u w:val="single"/>
          <w:lang w:eastAsia="zh-CN"/>
        </w:rPr>
        <w:t xml:space="preserve"> </w:t>
      </w:r>
      <w:r>
        <w:rPr>
          <w:rFonts w:ascii="Times New Roman" w:eastAsia="Times New Roman"/>
          <w:color w:val="auto"/>
          <w:highlight w:val="none"/>
          <w:u w:val="single"/>
          <w:lang w:eastAsia="zh-CN"/>
        </w:rPr>
        <w:tab/>
      </w:r>
      <w:r>
        <w:rPr>
          <w:rFonts w:ascii="Times New Roman" w:eastAsia="Times New Roman"/>
          <w:color w:val="auto"/>
          <w:highlight w:val="none"/>
          <w:u w:val="single"/>
          <w:lang w:eastAsia="zh-CN"/>
        </w:rPr>
        <w:tab/>
      </w:r>
    </w:p>
    <w:p>
      <w:pPr>
        <w:pStyle w:val="5"/>
        <w:tabs>
          <w:tab w:val="left" w:pos="3511"/>
        </w:tabs>
        <w:spacing w:line="305" w:lineRule="exact"/>
        <w:rPr>
          <w:rFonts w:ascii="Times New Roman" w:eastAsia="Times New Roman"/>
          <w:color w:val="auto"/>
          <w:highlight w:val="none"/>
          <w:lang w:eastAsia="zh-CN"/>
        </w:rPr>
      </w:pPr>
      <w:r>
        <w:rPr>
          <w:color w:val="auto"/>
          <w:highlight w:val="none"/>
          <w:lang w:eastAsia="zh-CN"/>
        </w:rPr>
        <w:t>地</w:t>
      </w:r>
      <w:r>
        <w:rPr>
          <w:color w:val="auto"/>
          <w:spacing w:val="-1"/>
          <w:highlight w:val="none"/>
          <w:lang w:eastAsia="zh-CN"/>
        </w:rPr>
        <w:t xml:space="preserve"> </w:t>
      </w:r>
      <w:r>
        <w:rPr>
          <w:color w:val="auto"/>
          <w:highlight w:val="none"/>
          <w:lang w:eastAsia="zh-CN"/>
        </w:rPr>
        <w:t>址：</w:t>
      </w:r>
      <w:r>
        <w:rPr>
          <w:rFonts w:ascii="Times New Roman" w:eastAsia="Times New Roman"/>
          <w:color w:val="auto"/>
          <w:highlight w:val="none"/>
          <w:u w:val="single"/>
          <w:lang w:eastAsia="zh-CN"/>
        </w:rPr>
        <w:t xml:space="preserve"> </w:t>
      </w:r>
      <w:r>
        <w:rPr>
          <w:rFonts w:ascii="Times New Roman" w:eastAsia="Times New Roman"/>
          <w:color w:val="auto"/>
          <w:highlight w:val="none"/>
          <w:u w:val="single"/>
          <w:lang w:eastAsia="zh-CN"/>
        </w:rPr>
        <w:tab/>
      </w:r>
    </w:p>
    <w:p>
      <w:pPr>
        <w:pStyle w:val="5"/>
        <w:tabs>
          <w:tab w:val="left" w:pos="3571"/>
          <w:tab w:val="left" w:pos="3871"/>
        </w:tabs>
        <w:spacing w:before="160" w:line="362" w:lineRule="auto"/>
        <w:ind w:right="6216"/>
        <w:rPr>
          <w:rFonts w:ascii="Times New Roman" w:eastAsia="Times New Roman"/>
          <w:color w:val="auto"/>
          <w:highlight w:val="none"/>
          <w:lang w:eastAsia="zh-CN"/>
        </w:rPr>
      </w:pPr>
      <w:r>
        <w:rPr>
          <w:color w:val="auto"/>
          <w:spacing w:val="-1"/>
          <w:highlight w:val="none"/>
          <w:lang w:eastAsia="zh-CN"/>
        </w:rPr>
        <w:t>邮</w:t>
      </w:r>
      <w:r>
        <w:rPr>
          <w:color w:val="auto"/>
          <w:highlight w:val="none"/>
          <w:lang w:eastAsia="zh-CN"/>
        </w:rPr>
        <w:t>政编码：</w:t>
      </w:r>
      <w:r>
        <w:rPr>
          <w:rFonts w:ascii="Times New Roman" w:eastAsia="Times New Roman"/>
          <w:color w:val="auto"/>
          <w:highlight w:val="none"/>
          <w:u w:val="single"/>
          <w:lang w:eastAsia="zh-CN"/>
        </w:rPr>
        <w:t xml:space="preserve"> </w:t>
      </w:r>
      <w:r>
        <w:rPr>
          <w:rFonts w:ascii="Times New Roman" w:eastAsia="Times New Roman"/>
          <w:color w:val="auto"/>
          <w:highlight w:val="none"/>
          <w:u w:val="single"/>
          <w:lang w:eastAsia="zh-CN"/>
        </w:rPr>
        <w:tab/>
      </w:r>
      <w:r>
        <w:rPr>
          <w:rFonts w:ascii="Times New Roman" w:eastAsia="Times New Roman"/>
          <w:color w:val="auto"/>
          <w:highlight w:val="none"/>
          <w:u w:val="single"/>
          <w:lang w:eastAsia="zh-CN"/>
        </w:rPr>
        <w:tab/>
      </w:r>
      <w:r>
        <w:rPr>
          <w:rFonts w:ascii="Times New Roman" w:eastAsia="Times New Roman"/>
          <w:color w:val="auto"/>
          <w:highlight w:val="none"/>
          <w:u w:val="single"/>
          <w:lang w:eastAsia="zh-CN"/>
        </w:rPr>
        <w:t xml:space="preserve"> </w:t>
      </w:r>
      <w:r>
        <w:rPr>
          <w:color w:val="auto"/>
          <w:highlight w:val="none"/>
          <w:lang w:eastAsia="zh-CN"/>
        </w:rPr>
        <w:t>电</w:t>
      </w:r>
      <w:r>
        <w:rPr>
          <w:color w:val="auto"/>
          <w:spacing w:val="-61"/>
          <w:highlight w:val="none"/>
          <w:lang w:eastAsia="zh-CN"/>
        </w:rPr>
        <w:t xml:space="preserve"> </w:t>
      </w:r>
      <w:r>
        <w:rPr>
          <w:color w:val="auto"/>
          <w:highlight w:val="none"/>
          <w:lang w:eastAsia="zh-CN"/>
        </w:rPr>
        <w:t>话 ：</w:t>
      </w:r>
      <w:r>
        <w:rPr>
          <w:rFonts w:ascii="Times New Roman" w:eastAsia="Times New Roman"/>
          <w:color w:val="auto"/>
          <w:highlight w:val="none"/>
          <w:u w:val="single"/>
          <w:lang w:eastAsia="zh-CN"/>
        </w:rPr>
        <w:t xml:space="preserve"> </w:t>
      </w:r>
      <w:r>
        <w:rPr>
          <w:rFonts w:ascii="Times New Roman" w:eastAsia="Times New Roman"/>
          <w:color w:val="auto"/>
          <w:highlight w:val="none"/>
          <w:u w:val="single"/>
          <w:lang w:eastAsia="zh-CN"/>
        </w:rPr>
        <w:tab/>
      </w:r>
    </w:p>
    <w:p>
      <w:pPr>
        <w:pStyle w:val="5"/>
        <w:tabs>
          <w:tab w:val="left" w:pos="3571"/>
        </w:tabs>
        <w:spacing w:before="5"/>
        <w:rPr>
          <w:rFonts w:ascii="Times New Roman" w:eastAsia="Times New Roman"/>
          <w:color w:val="auto"/>
          <w:highlight w:val="none"/>
          <w:lang w:eastAsia="zh-CN"/>
        </w:rPr>
      </w:pPr>
      <w:r>
        <w:rPr>
          <w:color w:val="auto"/>
          <w:highlight w:val="none"/>
          <w:lang w:eastAsia="zh-CN"/>
        </w:rPr>
        <w:t>传</w:t>
      </w:r>
      <w:r>
        <w:rPr>
          <w:color w:val="auto"/>
          <w:spacing w:val="-61"/>
          <w:highlight w:val="none"/>
          <w:lang w:eastAsia="zh-CN"/>
        </w:rPr>
        <w:t xml:space="preserve"> </w:t>
      </w:r>
      <w:r>
        <w:rPr>
          <w:color w:val="auto"/>
          <w:highlight w:val="none"/>
          <w:lang w:eastAsia="zh-CN"/>
        </w:rPr>
        <w:t>真 ：</w:t>
      </w:r>
      <w:r>
        <w:rPr>
          <w:rFonts w:ascii="Times New Roman" w:eastAsia="Times New Roman"/>
          <w:color w:val="auto"/>
          <w:highlight w:val="none"/>
          <w:u w:val="single"/>
          <w:lang w:eastAsia="zh-CN"/>
        </w:rPr>
        <w:t xml:space="preserve"> </w:t>
      </w:r>
      <w:r>
        <w:rPr>
          <w:rFonts w:ascii="Times New Roman" w:eastAsia="Times New Roman"/>
          <w:color w:val="auto"/>
          <w:highlight w:val="none"/>
          <w:u w:val="single"/>
          <w:lang w:eastAsia="zh-CN"/>
        </w:rPr>
        <w:tab/>
      </w:r>
    </w:p>
    <w:p>
      <w:pPr>
        <w:pStyle w:val="5"/>
        <w:tabs>
          <w:tab w:val="left" w:pos="3871"/>
        </w:tabs>
        <w:spacing w:before="159" w:line="364" w:lineRule="auto"/>
        <w:ind w:right="6216"/>
        <w:jc w:val="both"/>
        <w:rPr>
          <w:rFonts w:ascii="Times New Roman" w:eastAsia="Times New Roman"/>
          <w:color w:val="auto"/>
          <w:highlight w:val="none"/>
          <w:lang w:eastAsia="zh-CN"/>
        </w:rPr>
      </w:pPr>
      <w:r>
        <w:rPr>
          <w:color w:val="auto"/>
          <w:spacing w:val="-1"/>
          <w:highlight w:val="none"/>
          <w:lang w:eastAsia="zh-CN"/>
        </w:rPr>
        <w:t>开</w:t>
      </w:r>
      <w:r>
        <w:rPr>
          <w:color w:val="auto"/>
          <w:highlight w:val="none"/>
          <w:lang w:eastAsia="zh-CN"/>
        </w:rPr>
        <w:t>户银行：</w:t>
      </w:r>
      <w:r>
        <w:rPr>
          <w:rFonts w:ascii="Times New Roman" w:eastAsia="Times New Roman"/>
          <w:color w:val="auto"/>
          <w:highlight w:val="none"/>
          <w:u w:val="single"/>
          <w:lang w:eastAsia="zh-CN"/>
        </w:rPr>
        <w:t xml:space="preserve"> </w:t>
      </w:r>
      <w:r>
        <w:rPr>
          <w:rFonts w:ascii="Times New Roman" w:eastAsia="Times New Roman"/>
          <w:color w:val="auto"/>
          <w:highlight w:val="none"/>
          <w:u w:val="single"/>
          <w:lang w:eastAsia="zh-CN"/>
        </w:rPr>
        <w:tab/>
      </w:r>
      <w:r>
        <w:rPr>
          <w:rFonts w:ascii="Times New Roman" w:eastAsia="Times New Roman"/>
          <w:color w:val="auto"/>
          <w:spacing w:val="-1"/>
          <w:highlight w:val="none"/>
          <w:u w:val="single"/>
          <w:lang w:eastAsia="zh-CN"/>
        </w:rPr>
        <w:t xml:space="preserve">                  </w:t>
      </w:r>
      <w:r>
        <w:rPr>
          <w:rFonts w:ascii="Times New Roman" w:eastAsia="Times New Roman"/>
          <w:color w:val="auto"/>
          <w:spacing w:val="17"/>
          <w:highlight w:val="none"/>
          <w:u w:val="single"/>
          <w:lang w:eastAsia="zh-CN"/>
        </w:rPr>
        <w:t xml:space="preserve"> </w:t>
      </w:r>
      <w:r>
        <w:rPr>
          <w:color w:val="auto"/>
          <w:spacing w:val="-1"/>
          <w:highlight w:val="none"/>
          <w:lang w:eastAsia="zh-CN"/>
        </w:rPr>
        <w:t>账</w:t>
      </w:r>
      <w:r>
        <w:rPr>
          <w:color w:val="auto"/>
          <w:highlight w:val="none"/>
          <w:lang w:eastAsia="zh-CN"/>
        </w:rPr>
        <w:t>户名称：</w:t>
      </w:r>
      <w:r>
        <w:rPr>
          <w:rFonts w:ascii="Times New Roman" w:eastAsia="Times New Roman"/>
          <w:color w:val="auto"/>
          <w:highlight w:val="none"/>
          <w:u w:val="single"/>
          <w:lang w:eastAsia="zh-CN"/>
        </w:rPr>
        <w:t xml:space="preserve"> </w:t>
      </w:r>
      <w:r>
        <w:rPr>
          <w:rFonts w:ascii="Times New Roman" w:eastAsia="Times New Roman"/>
          <w:color w:val="auto"/>
          <w:highlight w:val="none"/>
          <w:u w:val="single"/>
          <w:lang w:eastAsia="zh-CN"/>
        </w:rPr>
        <w:tab/>
      </w:r>
      <w:r>
        <w:rPr>
          <w:rFonts w:ascii="Times New Roman" w:eastAsia="Times New Roman"/>
          <w:color w:val="auto"/>
          <w:spacing w:val="-1"/>
          <w:highlight w:val="none"/>
          <w:u w:val="single"/>
          <w:lang w:eastAsia="zh-CN"/>
        </w:rPr>
        <w:t xml:space="preserve">                  </w:t>
      </w:r>
      <w:r>
        <w:rPr>
          <w:rFonts w:ascii="Times New Roman" w:eastAsia="Times New Roman"/>
          <w:color w:val="auto"/>
          <w:spacing w:val="17"/>
          <w:highlight w:val="none"/>
          <w:u w:val="single"/>
          <w:lang w:eastAsia="zh-CN"/>
        </w:rPr>
        <w:t xml:space="preserve"> </w:t>
      </w:r>
      <w:r>
        <w:rPr>
          <w:color w:val="auto"/>
          <w:spacing w:val="-1"/>
          <w:highlight w:val="none"/>
          <w:lang w:eastAsia="zh-CN"/>
        </w:rPr>
        <w:t>银</w:t>
      </w:r>
      <w:r>
        <w:rPr>
          <w:color w:val="auto"/>
          <w:highlight w:val="none"/>
          <w:lang w:eastAsia="zh-CN"/>
        </w:rPr>
        <w:t>行账号：</w:t>
      </w:r>
      <w:r>
        <w:rPr>
          <w:rFonts w:ascii="Times New Roman" w:eastAsia="Times New Roman"/>
          <w:color w:val="auto"/>
          <w:highlight w:val="none"/>
          <w:u w:val="single"/>
          <w:lang w:eastAsia="zh-CN"/>
        </w:rPr>
        <w:t xml:space="preserve"> </w:t>
      </w:r>
      <w:r>
        <w:rPr>
          <w:rFonts w:ascii="Times New Roman" w:eastAsia="Times New Roman"/>
          <w:color w:val="auto"/>
          <w:highlight w:val="none"/>
          <w:u w:val="single"/>
          <w:lang w:eastAsia="zh-CN"/>
        </w:rPr>
        <w:tab/>
      </w:r>
    </w:p>
    <w:p>
      <w:pPr>
        <w:spacing w:line="364" w:lineRule="auto"/>
        <w:jc w:val="both"/>
        <w:rPr>
          <w:rFonts w:ascii="Times New Roman" w:eastAsia="Times New Roman"/>
          <w:color w:val="auto"/>
          <w:highlight w:val="none"/>
          <w:lang w:eastAsia="zh-CN"/>
        </w:rPr>
        <w:sectPr>
          <w:pgSz w:w="11910" w:h="16840"/>
          <w:pgMar w:top="1600" w:right="900" w:bottom="1040" w:left="920" w:header="0" w:footer="858" w:gutter="0"/>
          <w:cols w:space="720" w:num="1"/>
        </w:sectPr>
      </w:pPr>
    </w:p>
    <w:p>
      <w:pPr>
        <w:pStyle w:val="2"/>
        <w:rPr>
          <w:color w:val="auto"/>
          <w:highlight w:val="none"/>
          <w:lang w:eastAsia="zh-CN"/>
        </w:rPr>
      </w:pPr>
      <w:bookmarkStart w:id="2" w:name="第二部分_通用条款"/>
      <w:bookmarkEnd w:id="2"/>
      <w:bookmarkStart w:id="3" w:name="_bookmark1"/>
      <w:bookmarkEnd w:id="3"/>
      <w:r>
        <w:rPr>
          <w:color w:val="auto"/>
          <w:highlight w:val="none"/>
          <w:lang w:eastAsia="zh-CN"/>
        </w:rPr>
        <w:t>第二部分 通用条款</w:t>
      </w:r>
    </w:p>
    <w:p>
      <w:pPr>
        <w:pStyle w:val="5"/>
        <w:spacing w:before="199"/>
        <w:rPr>
          <w:color w:val="auto"/>
          <w:highlight w:val="none"/>
          <w:lang w:eastAsia="zh-CN"/>
        </w:rPr>
      </w:pPr>
      <w:r>
        <w:rPr>
          <w:color w:val="auto"/>
          <w:highlight w:val="none"/>
          <w:lang w:eastAsia="zh-CN"/>
        </w:rPr>
        <w:t>1.定义与解释</w:t>
      </w:r>
    </w:p>
    <w:p>
      <w:pPr>
        <w:pStyle w:val="11"/>
        <w:numPr>
          <w:ilvl w:val="1"/>
          <w:numId w:val="1"/>
        </w:numPr>
        <w:tabs>
          <w:tab w:val="left" w:pos="633"/>
        </w:tabs>
        <w:spacing w:before="158"/>
        <w:rPr>
          <w:color w:val="auto"/>
          <w:sz w:val="24"/>
          <w:highlight w:val="none"/>
        </w:rPr>
      </w:pPr>
      <w:r>
        <w:rPr>
          <w:color w:val="auto"/>
          <w:sz w:val="24"/>
          <w:highlight w:val="none"/>
        </w:rPr>
        <w:t>定义</w:t>
      </w:r>
    </w:p>
    <w:p>
      <w:pPr>
        <w:pStyle w:val="5"/>
        <w:spacing w:before="160" w:line="364" w:lineRule="auto"/>
        <w:ind w:right="275" w:firstLine="480"/>
        <w:rPr>
          <w:color w:val="auto"/>
          <w:highlight w:val="none"/>
          <w:lang w:eastAsia="zh-CN"/>
        </w:rPr>
      </w:pPr>
      <w:r>
        <w:rPr>
          <w:color w:val="auto"/>
          <w:highlight w:val="none"/>
          <w:lang w:eastAsia="zh-CN"/>
        </w:rPr>
        <w:t>除根据上下文另有其意义外，组成本合同的全部文件中的下列名词和用语应具有本款所赋予的含义：</w:t>
      </w:r>
    </w:p>
    <w:p>
      <w:pPr>
        <w:pStyle w:val="11"/>
        <w:numPr>
          <w:ilvl w:val="2"/>
          <w:numId w:val="1"/>
        </w:numPr>
        <w:tabs>
          <w:tab w:val="left" w:pos="1294"/>
        </w:tabs>
        <w:spacing w:line="362" w:lineRule="auto"/>
        <w:ind w:right="635" w:firstLine="480"/>
        <w:rPr>
          <w:color w:val="auto"/>
          <w:sz w:val="24"/>
          <w:highlight w:val="none"/>
          <w:lang w:eastAsia="zh-CN"/>
        </w:rPr>
      </w:pPr>
      <w:r>
        <w:rPr>
          <w:color w:val="auto"/>
          <w:sz w:val="24"/>
          <w:highlight w:val="none"/>
          <w:lang w:eastAsia="zh-CN"/>
        </w:rPr>
        <w:t>“合同”是指与本项目相关的所有构成合同的文件，包括但不限于：合同协议书；合同条款；合同附件；补充与修正文件。</w:t>
      </w:r>
    </w:p>
    <w:p>
      <w:pPr>
        <w:pStyle w:val="11"/>
        <w:numPr>
          <w:ilvl w:val="2"/>
          <w:numId w:val="1"/>
        </w:numPr>
        <w:tabs>
          <w:tab w:val="left" w:pos="1294"/>
        </w:tabs>
        <w:spacing w:before="4"/>
        <w:ind w:firstLine="480"/>
        <w:rPr>
          <w:color w:val="auto"/>
          <w:sz w:val="24"/>
          <w:highlight w:val="none"/>
          <w:lang w:eastAsia="zh-CN"/>
        </w:rPr>
      </w:pPr>
      <w:r>
        <w:rPr>
          <w:color w:val="auto"/>
          <w:sz w:val="24"/>
          <w:highlight w:val="none"/>
          <w:lang w:eastAsia="zh-CN"/>
        </w:rPr>
        <w:t>“服务”是指全过程咨询单位根据本合同所履行的服务。</w:t>
      </w:r>
    </w:p>
    <w:p>
      <w:pPr>
        <w:pStyle w:val="11"/>
        <w:numPr>
          <w:ilvl w:val="2"/>
          <w:numId w:val="1"/>
        </w:numPr>
        <w:tabs>
          <w:tab w:val="left" w:pos="1294"/>
        </w:tabs>
        <w:spacing w:before="158" w:line="364" w:lineRule="auto"/>
        <w:ind w:right="275" w:firstLine="480"/>
        <w:rPr>
          <w:color w:val="auto"/>
          <w:sz w:val="24"/>
          <w:highlight w:val="none"/>
          <w:lang w:eastAsia="zh-CN"/>
        </w:rPr>
      </w:pPr>
      <w:r>
        <w:rPr>
          <w:color w:val="auto"/>
          <w:sz w:val="24"/>
          <w:highlight w:val="none"/>
          <w:lang w:eastAsia="zh-CN"/>
        </w:rPr>
        <w:t>“发包人”是指本项目的组织人及其合法继承人和允许的受让人。</w:t>
      </w:r>
    </w:p>
    <w:p>
      <w:pPr>
        <w:pStyle w:val="11"/>
        <w:numPr>
          <w:ilvl w:val="2"/>
          <w:numId w:val="1"/>
        </w:numPr>
        <w:tabs>
          <w:tab w:val="left" w:pos="1294"/>
          <w:tab w:val="left" w:pos="7172"/>
        </w:tabs>
        <w:spacing w:before="5" w:line="364" w:lineRule="auto"/>
        <w:ind w:right="275" w:firstLine="480"/>
        <w:rPr>
          <w:color w:val="auto"/>
          <w:sz w:val="24"/>
          <w:highlight w:val="none"/>
          <w:lang w:eastAsia="zh-CN"/>
        </w:rPr>
      </w:pPr>
      <w:r>
        <w:rPr>
          <w:color w:val="auto"/>
          <w:sz w:val="24"/>
          <w:highlight w:val="none"/>
          <w:lang w:eastAsia="zh-CN"/>
        </w:rPr>
        <w:t xml:space="preserve"> “承包人”是指受发包人委托具体开展</w:t>
      </w:r>
      <w:r>
        <w:rPr>
          <w:rFonts w:hint="eastAsia"/>
          <w:color w:val="auto"/>
          <w:sz w:val="24"/>
          <w:highlight w:val="none"/>
          <w:u w:val="single"/>
          <w:lang w:eastAsia="zh-CN"/>
        </w:rPr>
        <w:t xml:space="preserve"> </w:t>
      </w:r>
      <w:r>
        <w:rPr>
          <w:rFonts w:hint="eastAsia"/>
          <w:bCs/>
          <w:color w:val="auto"/>
          <w:sz w:val="24"/>
          <w:highlight w:val="none"/>
          <w:u w:val="single"/>
          <w:lang w:eastAsia="zh-CN"/>
        </w:rPr>
        <w:t>榄核镇东丫涌等53条河涌（道）整治工程全过程咨询</w:t>
      </w:r>
      <w:r>
        <w:rPr>
          <w:color w:val="auto"/>
          <w:sz w:val="24"/>
          <w:highlight w:val="none"/>
          <w:lang w:eastAsia="zh-CN"/>
        </w:rPr>
        <w:t>的单位主体，本合同指“</w:t>
      </w:r>
      <w:r>
        <w:rPr>
          <w:rFonts w:hint="eastAsia"/>
          <w:bCs/>
          <w:color w:val="auto"/>
          <w:sz w:val="24"/>
          <w:highlight w:val="none"/>
          <w:u w:val="single"/>
          <w:lang w:eastAsia="zh-CN"/>
        </w:rPr>
        <w:t>榄核镇东丫涌等53条河涌（道）整治工程全过程咨询</w:t>
      </w:r>
      <w:r>
        <w:rPr>
          <w:color w:val="auto"/>
          <w:sz w:val="24"/>
          <w:highlight w:val="none"/>
          <w:lang w:eastAsia="zh-CN"/>
        </w:rPr>
        <w:t>”，具体内容包括项目管理、施工监理。</w:t>
      </w:r>
    </w:p>
    <w:p>
      <w:pPr>
        <w:pStyle w:val="11"/>
        <w:numPr>
          <w:ilvl w:val="2"/>
          <w:numId w:val="1"/>
        </w:numPr>
        <w:tabs>
          <w:tab w:val="left" w:pos="1294"/>
          <w:tab w:val="left" w:pos="7292"/>
        </w:tabs>
        <w:spacing w:line="364" w:lineRule="auto"/>
        <w:ind w:right="395" w:firstLine="480"/>
        <w:rPr>
          <w:color w:val="auto"/>
          <w:sz w:val="24"/>
          <w:highlight w:val="none"/>
          <w:lang w:eastAsia="zh-CN"/>
        </w:rPr>
      </w:pPr>
      <w:r>
        <w:rPr>
          <w:color w:val="auto"/>
          <w:sz w:val="24"/>
          <w:highlight w:val="none"/>
          <w:lang w:eastAsia="zh-CN"/>
        </w:rPr>
        <w:t>“项目管理单位”是指接受发包人委托具体开展</w:t>
      </w:r>
      <w:r>
        <w:rPr>
          <w:rFonts w:hint="eastAsia"/>
          <w:color w:val="auto"/>
          <w:sz w:val="24"/>
          <w:highlight w:val="none"/>
          <w:u w:val="single"/>
          <w:lang w:eastAsia="zh-CN"/>
        </w:rPr>
        <w:t xml:space="preserve"> </w:t>
      </w:r>
      <w:r>
        <w:rPr>
          <w:rFonts w:hint="eastAsia"/>
          <w:bCs/>
          <w:color w:val="auto"/>
          <w:sz w:val="24"/>
          <w:highlight w:val="none"/>
          <w:u w:val="single"/>
          <w:lang w:eastAsia="zh-CN"/>
        </w:rPr>
        <w:t>榄核镇东丫涌等53条河涌（道）整治工程全过程咨询</w:t>
      </w:r>
      <w:r>
        <w:rPr>
          <w:rFonts w:hint="eastAsia"/>
          <w:color w:val="auto"/>
          <w:sz w:val="24"/>
          <w:highlight w:val="none"/>
          <w:u w:val="single"/>
          <w:lang w:eastAsia="zh-CN"/>
        </w:rPr>
        <w:t xml:space="preserve">  </w:t>
      </w:r>
      <w:r>
        <w:rPr>
          <w:color w:val="auto"/>
          <w:sz w:val="24"/>
          <w:highlight w:val="none"/>
          <w:lang w:eastAsia="zh-CN"/>
        </w:rPr>
        <w:t>的单位主体，本合同指“</w:t>
      </w:r>
      <w:r>
        <w:rPr>
          <w:rFonts w:hint="eastAsia"/>
          <w:bCs/>
          <w:color w:val="auto"/>
          <w:sz w:val="24"/>
          <w:highlight w:val="none"/>
          <w:u w:val="single"/>
          <w:lang w:eastAsia="zh-CN"/>
        </w:rPr>
        <w:t>榄核镇东丫涌等53条河涌（道）整治工程全过程咨询</w:t>
      </w:r>
      <w:r>
        <w:rPr>
          <w:color w:val="auto"/>
          <w:sz w:val="24"/>
          <w:highlight w:val="none"/>
          <w:lang w:eastAsia="zh-CN"/>
        </w:rPr>
        <w:t>”及其合法继承人。</w:t>
      </w:r>
    </w:p>
    <w:p>
      <w:pPr>
        <w:pStyle w:val="11"/>
        <w:numPr>
          <w:ilvl w:val="2"/>
          <w:numId w:val="1"/>
        </w:numPr>
        <w:tabs>
          <w:tab w:val="left" w:pos="1294"/>
        </w:tabs>
        <w:spacing w:line="364" w:lineRule="auto"/>
        <w:ind w:right="395" w:firstLine="480"/>
        <w:jc w:val="both"/>
        <w:rPr>
          <w:color w:val="auto"/>
          <w:sz w:val="24"/>
          <w:highlight w:val="none"/>
          <w:lang w:eastAsia="zh-CN"/>
        </w:rPr>
      </w:pPr>
      <w:r>
        <w:rPr>
          <w:color w:val="auto"/>
          <w:sz w:val="24"/>
          <w:highlight w:val="none"/>
          <w:lang w:eastAsia="zh-CN"/>
        </w:rPr>
        <w:t>“监理单位”是指本合同中所指的，作为一个具有相应专业资格的公司，接受发包人委托履行服务的</w:t>
      </w:r>
      <w:r>
        <w:rPr>
          <w:rFonts w:hint="eastAsia"/>
          <w:color w:val="auto"/>
          <w:sz w:val="24"/>
          <w:highlight w:val="none"/>
          <w:u w:val="single"/>
          <w:lang w:eastAsia="zh-CN"/>
        </w:rPr>
        <w:t xml:space="preserve">   </w:t>
      </w:r>
      <w:r>
        <w:rPr>
          <w:rFonts w:hint="eastAsia"/>
          <w:bCs/>
          <w:color w:val="auto"/>
          <w:sz w:val="24"/>
          <w:highlight w:val="none"/>
          <w:u w:val="single"/>
          <w:lang w:eastAsia="zh-CN"/>
        </w:rPr>
        <w:t>榄核镇东丫涌等53条河涌（道）整治工程</w:t>
      </w:r>
      <w:r>
        <w:rPr>
          <w:rFonts w:hint="eastAsia"/>
          <w:color w:val="auto"/>
          <w:sz w:val="24"/>
          <w:highlight w:val="none"/>
          <w:u w:val="single"/>
          <w:lang w:eastAsia="zh-CN"/>
        </w:rPr>
        <w:t xml:space="preserve"> </w:t>
      </w:r>
      <w:r>
        <w:rPr>
          <w:color w:val="auto"/>
          <w:sz w:val="24"/>
          <w:highlight w:val="none"/>
          <w:lang w:eastAsia="zh-CN"/>
        </w:rPr>
        <w:t>施工监理等及其合法继承人。</w:t>
      </w:r>
    </w:p>
    <w:p>
      <w:pPr>
        <w:pStyle w:val="11"/>
        <w:numPr>
          <w:ilvl w:val="2"/>
          <w:numId w:val="1"/>
        </w:numPr>
        <w:tabs>
          <w:tab w:val="left" w:pos="1294"/>
        </w:tabs>
        <w:spacing w:line="364" w:lineRule="auto"/>
        <w:ind w:right="275" w:firstLine="480"/>
        <w:rPr>
          <w:color w:val="auto"/>
          <w:sz w:val="24"/>
          <w:highlight w:val="none"/>
          <w:lang w:eastAsia="zh-CN"/>
        </w:rPr>
      </w:pPr>
      <w:r>
        <w:rPr>
          <w:color w:val="auto"/>
          <w:sz w:val="24"/>
          <w:highlight w:val="none"/>
          <w:lang w:eastAsia="zh-CN"/>
        </w:rPr>
        <w:t>“参建单位”是指在</w:t>
      </w:r>
      <w:r>
        <w:rPr>
          <w:rFonts w:hint="eastAsia"/>
          <w:color w:val="auto"/>
          <w:sz w:val="24"/>
          <w:highlight w:val="none"/>
          <w:u w:val="single"/>
          <w:lang w:eastAsia="zh-CN"/>
        </w:rPr>
        <w:t xml:space="preserve"> </w:t>
      </w:r>
      <w:r>
        <w:rPr>
          <w:rFonts w:hint="eastAsia"/>
          <w:bCs/>
          <w:color w:val="auto"/>
          <w:sz w:val="24"/>
          <w:highlight w:val="none"/>
          <w:u w:val="single"/>
          <w:lang w:eastAsia="zh-CN"/>
        </w:rPr>
        <w:t>榄核镇东丫涌等53条河涌（道）整治工程</w:t>
      </w:r>
      <w:r>
        <w:rPr>
          <w:rFonts w:hint="eastAsia"/>
          <w:color w:val="auto"/>
          <w:sz w:val="24"/>
          <w:highlight w:val="none"/>
          <w:u w:val="single"/>
          <w:lang w:eastAsia="zh-CN"/>
        </w:rPr>
        <w:t xml:space="preserve">  </w:t>
      </w:r>
      <w:r>
        <w:rPr>
          <w:color w:val="auto"/>
          <w:sz w:val="24"/>
          <w:highlight w:val="none"/>
          <w:lang w:eastAsia="zh-CN"/>
        </w:rPr>
        <w:t>范围内与发包人签订设计、施工、等有关合同的当事人，及其合法的继承人。</w:t>
      </w:r>
    </w:p>
    <w:p>
      <w:pPr>
        <w:pStyle w:val="11"/>
        <w:numPr>
          <w:ilvl w:val="2"/>
          <w:numId w:val="1"/>
        </w:numPr>
        <w:tabs>
          <w:tab w:val="left" w:pos="1294"/>
        </w:tabs>
        <w:spacing w:line="362" w:lineRule="auto"/>
        <w:ind w:right="635" w:firstLine="480"/>
        <w:rPr>
          <w:color w:val="auto"/>
          <w:sz w:val="24"/>
          <w:highlight w:val="none"/>
          <w:lang w:eastAsia="zh-CN"/>
        </w:rPr>
      </w:pPr>
      <w:r>
        <w:rPr>
          <w:color w:val="auto"/>
          <w:sz w:val="24"/>
          <w:highlight w:val="none"/>
          <w:lang w:eastAsia="zh-CN"/>
        </w:rPr>
        <w:t>“酬金”是指承包人履行本合同义务，发包人按照本合同约定给付承包人的金额。</w:t>
      </w:r>
    </w:p>
    <w:p>
      <w:pPr>
        <w:pStyle w:val="11"/>
        <w:numPr>
          <w:ilvl w:val="2"/>
          <w:numId w:val="1"/>
        </w:numPr>
        <w:tabs>
          <w:tab w:val="left" w:pos="1414"/>
        </w:tabs>
        <w:spacing w:line="364" w:lineRule="auto"/>
        <w:ind w:right="275" w:firstLine="480"/>
        <w:rPr>
          <w:color w:val="auto"/>
          <w:sz w:val="24"/>
          <w:highlight w:val="none"/>
          <w:lang w:eastAsia="zh-CN"/>
        </w:rPr>
      </w:pPr>
      <w:r>
        <w:rPr>
          <w:color w:val="auto"/>
          <w:sz w:val="24"/>
          <w:highlight w:val="none"/>
          <w:lang w:eastAsia="zh-CN"/>
        </w:rPr>
        <w:t>“一方”是指发包人或承包人；“双方”是指发包人和承包人；“第三方”是指除发包人和承包人以外的有关方。</w:t>
      </w:r>
    </w:p>
    <w:p>
      <w:pPr>
        <w:pStyle w:val="11"/>
        <w:numPr>
          <w:ilvl w:val="2"/>
          <w:numId w:val="1"/>
        </w:numPr>
        <w:tabs>
          <w:tab w:val="left" w:pos="1414"/>
        </w:tabs>
        <w:spacing w:line="364" w:lineRule="auto"/>
        <w:ind w:right="275" w:firstLine="480"/>
        <w:rPr>
          <w:color w:val="auto"/>
          <w:sz w:val="24"/>
          <w:highlight w:val="none"/>
          <w:lang w:eastAsia="zh-CN"/>
        </w:rPr>
      </w:pPr>
      <w:r>
        <w:rPr>
          <w:color w:val="auto"/>
          <w:sz w:val="24"/>
          <w:highlight w:val="none"/>
          <w:lang w:eastAsia="zh-CN"/>
        </w:rPr>
        <w:t>“书面形式”是指合同书、信件和数据电文（包括电报、电传、传真、电子数据交换和电子邮件）等可以有形地表现所载内容的形式。</w:t>
      </w:r>
    </w:p>
    <w:p>
      <w:pPr>
        <w:pStyle w:val="11"/>
        <w:numPr>
          <w:ilvl w:val="2"/>
          <w:numId w:val="1"/>
        </w:numPr>
        <w:tabs>
          <w:tab w:val="left" w:pos="1414"/>
        </w:tabs>
        <w:spacing w:line="306" w:lineRule="exact"/>
        <w:ind w:left="1413" w:hanging="721"/>
        <w:rPr>
          <w:color w:val="auto"/>
          <w:sz w:val="24"/>
          <w:highlight w:val="none"/>
          <w:lang w:eastAsia="zh-CN"/>
        </w:rPr>
      </w:pPr>
      <w:r>
        <w:rPr>
          <w:color w:val="auto"/>
          <w:sz w:val="24"/>
          <w:highlight w:val="none"/>
          <w:lang w:eastAsia="zh-CN"/>
        </w:rPr>
        <w:t>“天”是指第一天零时至第二天零时的时间。</w:t>
      </w:r>
    </w:p>
    <w:p>
      <w:pPr>
        <w:pStyle w:val="11"/>
        <w:numPr>
          <w:ilvl w:val="2"/>
          <w:numId w:val="1"/>
        </w:numPr>
        <w:tabs>
          <w:tab w:val="left" w:pos="1414"/>
        </w:tabs>
        <w:spacing w:before="159"/>
        <w:ind w:left="1413" w:hanging="721"/>
        <w:rPr>
          <w:color w:val="auto"/>
          <w:sz w:val="24"/>
          <w:highlight w:val="none"/>
          <w:lang w:eastAsia="zh-CN"/>
        </w:rPr>
      </w:pPr>
      <w:r>
        <w:rPr>
          <w:color w:val="auto"/>
          <w:sz w:val="24"/>
          <w:highlight w:val="none"/>
          <w:lang w:eastAsia="zh-CN"/>
        </w:rPr>
        <w:t>“月”是指按公历从一个月中任何一天开始的一个公历月时间。</w:t>
      </w:r>
    </w:p>
    <w:p>
      <w:pPr>
        <w:rPr>
          <w:color w:val="auto"/>
          <w:sz w:val="24"/>
          <w:highlight w:val="none"/>
          <w:lang w:eastAsia="zh-CN"/>
        </w:rPr>
        <w:sectPr>
          <w:pgSz w:w="11910" w:h="16840"/>
          <w:pgMar w:top="1100" w:right="900" w:bottom="1060" w:left="920" w:header="0" w:footer="858" w:gutter="0"/>
          <w:cols w:space="720" w:num="1"/>
        </w:sectPr>
      </w:pPr>
    </w:p>
    <w:p>
      <w:pPr>
        <w:pStyle w:val="11"/>
        <w:numPr>
          <w:ilvl w:val="2"/>
          <w:numId w:val="1"/>
        </w:numPr>
        <w:tabs>
          <w:tab w:val="left" w:pos="1473"/>
        </w:tabs>
        <w:spacing w:before="56" w:line="364" w:lineRule="auto"/>
        <w:ind w:right="275" w:firstLine="480"/>
        <w:rPr>
          <w:color w:val="auto"/>
          <w:sz w:val="24"/>
          <w:highlight w:val="none"/>
          <w:lang w:eastAsia="zh-CN"/>
        </w:rPr>
      </w:pPr>
      <w:r>
        <w:rPr>
          <w:color w:val="auto"/>
          <w:sz w:val="24"/>
          <w:highlight w:val="none"/>
          <w:lang w:eastAsia="zh-CN"/>
        </w:rPr>
        <w:t>不可抗力是指合同当事人在签订合同时不可预见，在合同履行过程中不可避免且不能克服的自然灾害和社会性突发事件，如地震、海啸、瘟疫、骚乱、戒严、暴动、战争等。</w:t>
      </w:r>
    </w:p>
    <w:p>
      <w:pPr>
        <w:pStyle w:val="11"/>
        <w:numPr>
          <w:ilvl w:val="1"/>
          <w:numId w:val="1"/>
        </w:numPr>
        <w:tabs>
          <w:tab w:val="left" w:pos="633"/>
        </w:tabs>
        <w:spacing w:line="305" w:lineRule="exact"/>
        <w:rPr>
          <w:color w:val="auto"/>
          <w:sz w:val="24"/>
          <w:highlight w:val="none"/>
        </w:rPr>
      </w:pPr>
      <w:r>
        <w:rPr>
          <w:color w:val="auto"/>
          <w:sz w:val="24"/>
          <w:highlight w:val="none"/>
        </w:rPr>
        <w:t>解释</w:t>
      </w:r>
    </w:p>
    <w:p>
      <w:pPr>
        <w:pStyle w:val="11"/>
        <w:numPr>
          <w:ilvl w:val="2"/>
          <w:numId w:val="1"/>
        </w:numPr>
        <w:tabs>
          <w:tab w:val="left" w:pos="1353"/>
        </w:tabs>
        <w:spacing w:before="160" w:line="362" w:lineRule="auto"/>
        <w:ind w:right="335" w:firstLine="480"/>
        <w:rPr>
          <w:color w:val="auto"/>
          <w:sz w:val="24"/>
          <w:highlight w:val="none"/>
          <w:lang w:eastAsia="zh-CN"/>
        </w:rPr>
      </w:pPr>
      <w:r>
        <w:rPr>
          <w:color w:val="auto"/>
          <w:sz w:val="24"/>
          <w:highlight w:val="none"/>
          <w:lang w:eastAsia="zh-CN"/>
        </w:rPr>
        <w:t>本合同以中国的汉语简体文字编写、解释和说明。合同当事人在专用合同条款中约定使用两种以上语言时，汉语为优先解释和说明合同的语言。</w:t>
      </w:r>
    </w:p>
    <w:p>
      <w:pPr>
        <w:pStyle w:val="11"/>
        <w:numPr>
          <w:ilvl w:val="2"/>
          <w:numId w:val="1"/>
        </w:numPr>
        <w:tabs>
          <w:tab w:val="left" w:pos="1353"/>
        </w:tabs>
        <w:spacing w:before="5" w:line="364" w:lineRule="auto"/>
        <w:ind w:right="335" w:firstLine="480"/>
        <w:rPr>
          <w:color w:val="auto"/>
          <w:sz w:val="24"/>
          <w:highlight w:val="none"/>
          <w:lang w:eastAsia="zh-CN"/>
        </w:rPr>
      </w:pPr>
      <w:r>
        <w:rPr>
          <w:color w:val="auto"/>
          <w:sz w:val="24"/>
          <w:highlight w:val="none"/>
          <w:lang w:eastAsia="zh-CN"/>
        </w:rPr>
        <w:t>组成本合同的下列文件彼此应能相互解释、互为说明。本合同文件的解释顺序如下：</w:t>
      </w:r>
    </w:p>
    <w:p>
      <w:pPr>
        <w:pStyle w:val="5"/>
        <w:spacing w:line="306" w:lineRule="exact"/>
        <w:ind w:left="692"/>
        <w:rPr>
          <w:color w:val="auto"/>
          <w:highlight w:val="none"/>
          <w:lang w:eastAsia="zh-CN"/>
        </w:rPr>
      </w:pPr>
      <w:r>
        <w:rPr>
          <w:color w:val="auto"/>
          <w:highlight w:val="none"/>
          <w:lang w:eastAsia="zh-CN"/>
        </w:rPr>
        <w:t>（1）合同履行期间双方签订的补充合同（协议）或修正文件（如有）；</w:t>
      </w:r>
    </w:p>
    <w:p>
      <w:pPr>
        <w:pStyle w:val="5"/>
        <w:spacing w:before="158"/>
        <w:ind w:left="692"/>
        <w:rPr>
          <w:color w:val="auto"/>
          <w:highlight w:val="none"/>
          <w:lang w:eastAsia="zh-CN"/>
        </w:rPr>
      </w:pPr>
      <w:r>
        <w:rPr>
          <w:color w:val="auto"/>
          <w:highlight w:val="none"/>
          <w:lang w:eastAsia="zh-CN"/>
        </w:rPr>
        <w:t>（2）本合同协议书；</w:t>
      </w:r>
    </w:p>
    <w:p>
      <w:pPr>
        <w:pStyle w:val="5"/>
        <w:spacing w:before="161"/>
        <w:ind w:left="692"/>
        <w:rPr>
          <w:color w:val="auto"/>
          <w:highlight w:val="none"/>
          <w:lang w:eastAsia="zh-CN"/>
        </w:rPr>
      </w:pPr>
      <w:r>
        <w:rPr>
          <w:color w:val="auto"/>
          <w:highlight w:val="none"/>
          <w:lang w:eastAsia="zh-CN"/>
        </w:rPr>
        <w:t>（3）中标通知书；（如有）</w:t>
      </w:r>
    </w:p>
    <w:p>
      <w:pPr>
        <w:pStyle w:val="5"/>
        <w:spacing w:before="158"/>
        <w:ind w:left="692"/>
        <w:rPr>
          <w:color w:val="auto"/>
          <w:highlight w:val="none"/>
          <w:lang w:eastAsia="zh-CN"/>
        </w:rPr>
      </w:pPr>
      <w:r>
        <w:rPr>
          <w:color w:val="auto"/>
          <w:highlight w:val="none"/>
          <w:lang w:eastAsia="zh-CN"/>
        </w:rPr>
        <w:t>（4）合同专用条款；</w:t>
      </w:r>
    </w:p>
    <w:p>
      <w:pPr>
        <w:pStyle w:val="5"/>
        <w:spacing w:before="161"/>
        <w:ind w:left="692"/>
        <w:rPr>
          <w:color w:val="auto"/>
          <w:highlight w:val="none"/>
          <w:lang w:eastAsia="zh-CN"/>
        </w:rPr>
      </w:pPr>
      <w:r>
        <w:rPr>
          <w:color w:val="auto"/>
          <w:highlight w:val="none"/>
          <w:lang w:eastAsia="zh-CN"/>
        </w:rPr>
        <w:t>（5）合同通用条款；</w:t>
      </w:r>
    </w:p>
    <w:p>
      <w:pPr>
        <w:pStyle w:val="5"/>
        <w:spacing w:before="160"/>
        <w:ind w:left="692"/>
        <w:rPr>
          <w:color w:val="auto"/>
          <w:highlight w:val="none"/>
          <w:lang w:eastAsia="zh-CN"/>
        </w:rPr>
      </w:pPr>
      <w:r>
        <w:rPr>
          <w:color w:val="auto"/>
          <w:highlight w:val="none"/>
          <w:lang w:eastAsia="zh-CN"/>
        </w:rPr>
        <w:t>（6）合同附件；</w:t>
      </w:r>
    </w:p>
    <w:p>
      <w:pPr>
        <w:pStyle w:val="5"/>
        <w:spacing w:before="158"/>
        <w:ind w:left="692"/>
        <w:rPr>
          <w:color w:val="auto"/>
          <w:highlight w:val="none"/>
          <w:lang w:eastAsia="zh-CN"/>
        </w:rPr>
      </w:pPr>
      <w:r>
        <w:rPr>
          <w:color w:val="auto"/>
          <w:highlight w:val="none"/>
          <w:lang w:eastAsia="zh-CN"/>
        </w:rPr>
        <w:t>（7）标准规范及有关技术文件、图纸；</w:t>
      </w:r>
    </w:p>
    <w:p>
      <w:pPr>
        <w:pStyle w:val="5"/>
        <w:spacing w:before="161"/>
        <w:ind w:left="692"/>
        <w:rPr>
          <w:color w:val="auto"/>
          <w:highlight w:val="none"/>
          <w:lang w:eastAsia="zh-CN"/>
        </w:rPr>
      </w:pPr>
      <w:r>
        <w:rPr>
          <w:color w:val="auto"/>
          <w:highlight w:val="none"/>
          <w:lang w:eastAsia="zh-CN"/>
        </w:rPr>
        <w:t>（8）本合同招标文件（含招标文件补充文件、澄清文件、答疑文件等）；（如有）</w:t>
      </w:r>
    </w:p>
    <w:p>
      <w:pPr>
        <w:pStyle w:val="5"/>
        <w:spacing w:before="158"/>
        <w:ind w:left="692"/>
        <w:rPr>
          <w:color w:val="auto"/>
          <w:highlight w:val="none"/>
          <w:lang w:eastAsia="zh-CN"/>
        </w:rPr>
      </w:pPr>
      <w:r>
        <w:rPr>
          <w:color w:val="auto"/>
          <w:highlight w:val="none"/>
          <w:lang w:eastAsia="zh-CN"/>
        </w:rPr>
        <w:t>（9）本合同投标文件（含投标文件澄清等）；（如有）</w:t>
      </w:r>
    </w:p>
    <w:p>
      <w:pPr>
        <w:pStyle w:val="5"/>
        <w:spacing w:before="160"/>
        <w:ind w:left="692"/>
        <w:rPr>
          <w:color w:val="auto"/>
          <w:highlight w:val="none"/>
          <w:lang w:eastAsia="zh-CN"/>
        </w:rPr>
      </w:pPr>
      <w:r>
        <w:rPr>
          <w:color w:val="auto"/>
          <w:highlight w:val="none"/>
          <w:lang w:eastAsia="zh-CN"/>
        </w:rPr>
        <w:t>（10）发包人关于项目管理的各项制度、规定；</w:t>
      </w:r>
    </w:p>
    <w:p>
      <w:pPr>
        <w:pStyle w:val="5"/>
        <w:spacing w:before="158"/>
        <w:ind w:left="692"/>
        <w:rPr>
          <w:color w:val="auto"/>
          <w:highlight w:val="none"/>
          <w:lang w:eastAsia="zh-CN"/>
        </w:rPr>
      </w:pPr>
      <w:r>
        <w:rPr>
          <w:color w:val="auto"/>
          <w:highlight w:val="none"/>
          <w:lang w:eastAsia="zh-CN"/>
        </w:rPr>
        <w:t>（11）组成本合同的其他文件。</w:t>
      </w:r>
    </w:p>
    <w:p>
      <w:pPr>
        <w:pStyle w:val="5"/>
        <w:spacing w:before="161" w:line="362" w:lineRule="auto"/>
        <w:ind w:right="275" w:firstLine="480"/>
        <w:rPr>
          <w:color w:val="auto"/>
          <w:highlight w:val="none"/>
          <w:lang w:eastAsia="zh-CN"/>
        </w:rPr>
      </w:pPr>
      <w:r>
        <w:rPr>
          <w:color w:val="auto"/>
          <w:highlight w:val="none"/>
          <w:lang w:eastAsia="zh-CN"/>
        </w:rPr>
        <w:t>上述各项合同文件包括合同当事人就该项合同文件所作出的补充和修改，属于同一类内容的文件，应以最新签署的为准。</w:t>
      </w:r>
    </w:p>
    <w:p>
      <w:pPr>
        <w:pStyle w:val="5"/>
        <w:spacing w:before="163"/>
        <w:rPr>
          <w:color w:val="auto"/>
          <w:highlight w:val="none"/>
        </w:rPr>
      </w:pPr>
      <w:r>
        <w:rPr>
          <w:color w:val="auto"/>
          <w:highlight w:val="none"/>
        </w:rPr>
        <w:t>2.承包人的义务</w:t>
      </w:r>
    </w:p>
    <w:p>
      <w:pPr>
        <w:pStyle w:val="11"/>
        <w:numPr>
          <w:ilvl w:val="1"/>
          <w:numId w:val="2"/>
        </w:numPr>
        <w:tabs>
          <w:tab w:val="left" w:pos="633"/>
        </w:tabs>
        <w:spacing w:before="160"/>
        <w:rPr>
          <w:color w:val="auto"/>
          <w:sz w:val="24"/>
          <w:highlight w:val="none"/>
        </w:rPr>
      </w:pPr>
      <w:r>
        <w:rPr>
          <w:color w:val="auto"/>
          <w:sz w:val="24"/>
          <w:highlight w:val="none"/>
        </w:rPr>
        <w:t>服务的范围和工作内容</w:t>
      </w:r>
    </w:p>
    <w:p>
      <w:pPr>
        <w:pStyle w:val="11"/>
        <w:numPr>
          <w:ilvl w:val="2"/>
          <w:numId w:val="2"/>
        </w:numPr>
        <w:tabs>
          <w:tab w:val="left" w:pos="1353"/>
        </w:tabs>
        <w:spacing w:before="161"/>
        <w:rPr>
          <w:color w:val="auto"/>
          <w:sz w:val="24"/>
          <w:highlight w:val="none"/>
          <w:lang w:eastAsia="zh-CN"/>
        </w:rPr>
      </w:pPr>
      <w:r>
        <w:rPr>
          <w:color w:val="auto"/>
          <w:sz w:val="24"/>
          <w:highlight w:val="none"/>
          <w:lang w:eastAsia="zh-CN"/>
        </w:rPr>
        <w:t>服务范围：指项目建设管理、监理与相关服务，具体内容在专用条款中约定。</w:t>
      </w:r>
    </w:p>
    <w:p>
      <w:pPr>
        <w:pStyle w:val="11"/>
        <w:numPr>
          <w:ilvl w:val="2"/>
          <w:numId w:val="2"/>
        </w:numPr>
        <w:tabs>
          <w:tab w:val="left" w:pos="1353"/>
        </w:tabs>
        <w:spacing w:before="158"/>
        <w:rPr>
          <w:color w:val="auto"/>
          <w:sz w:val="24"/>
          <w:highlight w:val="none"/>
          <w:lang w:eastAsia="zh-CN"/>
        </w:rPr>
      </w:pPr>
      <w:r>
        <w:rPr>
          <w:color w:val="auto"/>
          <w:sz w:val="24"/>
          <w:highlight w:val="none"/>
          <w:lang w:eastAsia="zh-CN"/>
        </w:rPr>
        <w:t>项目建设管理及监理服务具体工作内容在合同专用条款约定。</w:t>
      </w:r>
    </w:p>
    <w:p>
      <w:pPr>
        <w:pStyle w:val="11"/>
        <w:numPr>
          <w:ilvl w:val="2"/>
          <w:numId w:val="2"/>
        </w:numPr>
        <w:tabs>
          <w:tab w:val="left" w:pos="1353"/>
        </w:tabs>
        <w:spacing w:before="158"/>
        <w:rPr>
          <w:color w:val="auto"/>
          <w:sz w:val="24"/>
          <w:highlight w:val="none"/>
          <w:lang w:eastAsia="zh-CN"/>
        </w:rPr>
      </w:pPr>
      <w:r>
        <w:rPr>
          <w:color w:val="auto"/>
          <w:sz w:val="24"/>
          <w:highlight w:val="none"/>
          <w:lang w:eastAsia="zh-CN"/>
        </w:rPr>
        <w:t>其他相关服务内容在合同专用条款约定。</w:t>
      </w:r>
    </w:p>
    <w:p>
      <w:pPr>
        <w:pStyle w:val="11"/>
        <w:numPr>
          <w:ilvl w:val="1"/>
          <w:numId w:val="2"/>
        </w:numPr>
        <w:tabs>
          <w:tab w:val="left" w:pos="633"/>
        </w:tabs>
        <w:spacing w:before="161"/>
        <w:rPr>
          <w:color w:val="auto"/>
          <w:sz w:val="24"/>
          <w:highlight w:val="none"/>
        </w:rPr>
      </w:pPr>
      <w:r>
        <w:rPr>
          <w:color w:val="auto"/>
          <w:sz w:val="24"/>
          <w:highlight w:val="none"/>
        </w:rPr>
        <w:t>服务依据</w:t>
      </w:r>
    </w:p>
    <w:p>
      <w:pPr>
        <w:pStyle w:val="11"/>
        <w:numPr>
          <w:ilvl w:val="2"/>
          <w:numId w:val="2"/>
        </w:numPr>
        <w:tabs>
          <w:tab w:val="left" w:pos="1353"/>
        </w:tabs>
        <w:spacing w:before="160"/>
        <w:rPr>
          <w:color w:val="auto"/>
          <w:sz w:val="24"/>
          <w:highlight w:val="none"/>
          <w:lang w:eastAsia="zh-CN"/>
        </w:rPr>
      </w:pPr>
      <w:r>
        <w:rPr>
          <w:color w:val="auto"/>
          <w:sz w:val="24"/>
          <w:highlight w:val="none"/>
          <w:lang w:eastAsia="zh-CN"/>
        </w:rPr>
        <w:t>除专用条款另有约定外，服务依据包括如下：</w:t>
      </w:r>
    </w:p>
    <w:p>
      <w:pPr>
        <w:pStyle w:val="5"/>
        <w:spacing w:before="158"/>
        <w:ind w:left="692"/>
        <w:rPr>
          <w:color w:val="auto"/>
          <w:highlight w:val="none"/>
          <w:lang w:eastAsia="zh-CN"/>
        </w:rPr>
      </w:pPr>
      <w:r>
        <w:rPr>
          <w:color w:val="auto"/>
          <w:highlight w:val="none"/>
          <w:lang w:eastAsia="zh-CN"/>
        </w:rPr>
        <w:t>1、《中华人民共和国建筑法》；</w:t>
      </w:r>
    </w:p>
    <w:p>
      <w:pPr>
        <w:pStyle w:val="5"/>
        <w:spacing w:before="161"/>
        <w:ind w:left="692"/>
        <w:rPr>
          <w:color w:val="auto"/>
          <w:highlight w:val="none"/>
          <w:lang w:eastAsia="zh-CN"/>
        </w:rPr>
      </w:pPr>
      <w:r>
        <w:rPr>
          <w:color w:val="auto"/>
          <w:highlight w:val="none"/>
          <w:lang w:eastAsia="zh-CN"/>
        </w:rPr>
        <w:t>2、《中华人民共和国安全生产法》、《建设工程安全生产管理条例》；</w:t>
      </w:r>
    </w:p>
    <w:p>
      <w:pPr>
        <w:rPr>
          <w:color w:val="auto"/>
          <w:highlight w:val="none"/>
          <w:lang w:eastAsia="zh-CN"/>
        </w:rPr>
        <w:sectPr>
          <w:pgSz w:w="11910" w:h="16840"/>
          <w:pgMar w:top="1080" w:right="900" w:bottom="1060" w:left="920" w:header="0" w:footer="858" w:gutter="0"/>
          <w:cols w:space="720" w:num="1"/>
        </w:sectPr>
      </w:pPr>
    </w:p>
    <w:p>
      <w:pPr>
        <w:pStyle w:val="5"/>
        <w:spacing w:before="56"/>
        <w:ind w:left="692"/>
        <w:rPr>
          <w:color w:val="auto"/>
          <w:highlight w:val="none"/>
          <w:lang w:eastAsia="zh-CN"/>
        </w:rPr>
      </w:pPr>
      <w:r>
        <w:rPr>
          <w:color w:val="auto"/>
          <w:highlight w:val="none"/>
          <w:lang w:eastAsia="zh-CN"/>
        </w:rPr>
        <w:t>3、《建筑工程施工质量验收统一标准》、《建设工程质量管理条例》；</w:t>
      </w:r>
    </w:p>
    <w:p>
      <w:pPr>
        <w:pStyle w:val="5"/>
        <w:spacing w:before="158"/>
        <w:ind w:left="692"/>
        <w:rPr>
          <w:color w:val="auto"/>
          <w:highlight w:val="none"/>
          <w:lang w:eastAsia="zh-CN"/>
        </w:rPr>
      </w:pPr>
      <w:r>
        <w:rPr>
          <w:color w:val="auto"/>
          <w:highlight w:val="none"/>
          <w:lang w:eastAsia="zh-CN"/>
        </w:rPr>
        <w:t>4、《水利工程质量管理规定》；</w:t>
      </w:r>
    </w:p>
    <w:p>
      <w:pPr>
        <w:pStyle w:val="5"/>
        <w:spacing w:before="160"/>
        <w:ind w:left="692"/>
        <w:rPr>
          <w:color w:val="auto"/>
          <w:highlight w:val="none"/>
          <w:lang w:eastAsia="zh-CN"/>
        </w:rPr>
      </w:pPr>
      <w:r>
        <w:rPr>
          <w:color w:val="auto"/>
          <w:highlight w:val="none"/>
          <w:lang w:eastAsia="zh-CN"/>
        </w:rPr>
        <w:t>5、《城市绿化工程施工及验收规范》；</w:t>
      </w:r>
    </w:p>
    <w:p>
      <w:pPr>
        <w:pStyle w:val="5"/>
        <w:spacing w:before="159"/>
        <w:ind w:left="692"/>
        <w:rPr>
          <w:color w:val="auto"/>
          <w:highlight w:val="none"/>
          <w:lang w:eastAsia="zh-CN"/>
        </w:rPr>
      </w:pPr>
      <w:r>
        <w:rPr>
          <w:color w:val="auto"/>
          <w:highlight w:val="none"/>
          <w:lang w:eastAsia="zh-CN"/>
        </w:rPr>
        <w:t>6、《工程监理规范》；</w:t>
      </w:r>
    </w:p>
    <w:p>
      <w:pPr>
        <w:pStyle w:val="5"/>
        <w:spacing w:before="160"/>
        <w:ind w:left="692"/>
        <w:rPr>
          <w:color w:val="auto"/>
          <w:highlight w:val="none"/>
          <w:lang w:eastAsia="zh-CN"/>
        </w:rPr>
      </w:pPr>
      <w:r>
        <w:rPr>
          <w:color w:val="auto"/>
          <w:highlight w:val="none"/>
          <w:lang w:eastAsia="zh-CN"/>
        </w:rPr>
        <w:t>7、《水利水电建设工程验收规范 SL223-2008》；</w:t>
      </w:r>
    </w:p>
    <w:p>
      <w:pPr>
        <w:pStyle w:val="5"/>
        <w:spacing w:before="158"/>
        <w:ind w:left="692"/>
        <w:rPr>
          <w:color w:val="auto"/>
          <w:highlight w:val="none"/>
          <w:lang w:eastAsia="zh-CN"/>
        </w:rPr>
      </w:pPr>
      <w:r>
        <w:rPr>
          <w:color w:val="auto"/>
          <w:highlight w:val="none"/>
          <w:lang w:eastAsia="zh-CN"/>
        </w:rPr>
        <w:t>8、《建筑市场诚信行为信息管理办法》；</w:t>
      </w:r>
    </w:p>
    <w:p>
      <w:pPr>
        <w:pStyle w:val="5"/>
        <w:spacing w:before="161" w:line="364" w:lineRule="auto"/>
        <w:ind w:right="755" w:firstLine="480"/>
        <w:rPr>
          <w:color w:val="auto"/>
          <w:highlight w:val="none"/>
          <w:lang w:eastAsia="zh-CN"/>
        </w:rPr>
      </w:pPr>
      <w:r>
        <w:rPr>
          <w:color w:val="auto"/>
          <w:highlight w:val="none"/>
          <w:lang w:eastAsia="zh-CN"/>
        </w:rPr>
        <w:t>9、建设部《关于落实建设工程安全生产监理责任的若干意见》（建市〔2006〕248 号）；</w:t>
      </w:r>
    </w:p>
    <w:p>
      <w:pPr>
        <w:pStyle w:val="5"/>
        <w:spacing w:line="306" w:lineRule="exact"/>
        <w:ind w:left="692"/>
        <w:rPr>
          <w:color w:val="auto"/>
          <w:highlight w:val="none"/>
          <w:lang w:eastAsia="zh-CN"/>
        </w:rPr>
      </w:pPr>
      <w:r>
        <w:rPr>
          <w:color w:val="auto"/>
          <w:highlight w:val="none"/>
          <w:lang w:eastAsia="zh-CN"/>
        </w:rPr>
        <w:t>10、《广东省建设工程监理条例》；</w:t>
      </w:r>
    </w:p>
    <w:p>
      <w:pPr>
        <w:pStyle w:val="5"/>
        <w:spacing w:before="158"/>
        <w:ind w:left="692"/>
        <w:rPr>
          <w:color w:val="auto"/>
          <w:highlight w:val="none"/>
          <w:lang w:eastAsia="zh-CN"/>
        </w:rPr>
      </w:pPr>
      <w:r>
        <w:rPr>
          <w:color w:val="auto"/>
          <w:highlight w:val="none"/>
          <w:lang w:eastAsia="zh-CN"/>
        </w:rPr>
        <w:t>11、《广东省建设工程质量管理条例》；</w:t>
      </w:r>
    </w:p>
    <w:p>
      <w:pPr>
        <w:pStyle w:val="5"/>
        <w:spacing w:before="160"/>
        <w:ind w:left="692"/>
        <w:rPr>
          <w:color w:val="auto"/>
          <w:highlight w:val="none"/>
          <w:lang w:eastAsia="zh-CN"/>
        </w:rPr>
      </w:pPr>
      <w:r>
        <w:rPr>
          <w:color w:val="auto"/>
          <w:highlight w:val="none"/>
          <w:lang w:eastAsia="zh-CN"/>
        </w:rPr>
        <w:t>12、《建设工程造价咨询规范》</w:t>
      </w:r>
    </w:p>
    <w:p>
      <w:pPr>
        <w:pStyle w:val="5"/>
        <w:spacing w:before="158"/>
        <w:ind w:left="692"/>
        <w:rPr>
          <w:color w:val="auto"/>
          <w:highlight w:val="none"/>
          <w:lang w:eastAsia="zh-CN"/>
        </w:rPr>
      </w:pPr>
      <w:r>
        <w:rPr>
          <w:color w:val="auto"/>
          <w:highlight w:val="none"/>
          <w:lang w:eastAsia="zh-CN"/>
        </w:rPr>
        <w:t>13、《广东省建设工程概算编制办法》</w:t>
      </w:r>
    </w:p>
    <w:p>
      <w:pPr>
        <w:pStyle w:val="5"/>
        <w:spacing w:before="161" w:line="364" w:lineRule="auto"/>
        <w:ind w:right="275" w:firstLine="480"/>
        <w:rPr>
          <w:color w:val="auto"/>
          <w:highlight w:val="none"/>
          <w:lang w:eastAsia="zh-CN"/>
        </w:rPr>
      </w:pPr>
      <w:r>
        <w:rPr>
          <w:color w:val="auto"/>
          <w:highlight w:val="none"/>
          <w:lang w:eastAsia="zh-CN"/>
        </w:rPr>
        <w:t>14、国家、省关于全过程咨询的政策文件，包括《国务院办公厅关于促进建筑业持续健康发展的意见》（国办发[2017]19 号）、《住房城乡建设部关于促进工程监理行业转型升级创新发展的意见》（建市[2017]145 号）等；</w:t>
      </w:r>
    </w:p>
    <w:p>
      <w:pPr>
        <w:pStyle w:val="5"/>
        <w:spacing w:line="307" w:lineRule="exact"/>
        <w:ind w:left="692"/>
        <w:rPr>
          <w:color w:val="auto"/>
          <w:highlight w:val="none"/>
          <w:lang w:eastAsia="zh-CN"/>
        </w:rPr>
      </w:pPr>
      <w:r>
        <w:rPr>
          <w:color w:val="auto"/>
          <w:highlight w:val="none"/>
          <w:lang w:eastAsia="zh-CN"/>
        </w:rPr>
        <w:t>15、广州市水务局《广州市水务工程建设市场诚信行为管理办法》；</w:t>
      </w:r>
    </w:p>
    <w:p>
      <w:pPr>
        <w:pStyle w:val="5"/>
        <w:spacing w:before="158" w:line="364" w:lineRule="auto"/>
        <w:ind w:right="275" w:firstLine="480"/>
        <w:jc w:val="both"/>
        <w:rPr>
          <w:color w:val="auto"/>
          <w:highlight w:val="none"/>
          <w:lang w:eastAsia="zh-CN"/>
        </w:rPr>
      </w:pPr>
      <w:r>
        <w:rPr>
          <w:color w:val="auto"/>
          <w:highlight w:val="none"/>
          <w:lang w:eastAsia="zh-CN"/>
        </w:rPr>
        <w:t>16、《广州南沙开发区（南沙区）政府统筹投资建设项目工程合同变更管理办法》（下简称《区管理办法》）及其补充说明和《广州市南沙区水务局工程设计变更工作指引》及其补充通知；</w:t>
      </w:r>
    </w:p>
    <w:p>
      <w:pPr>
        <w:pStyle w:val="5"/>
        <w:spacing w:line="307" w:lineRule="exact"/>
        <w:ind w:left="692"/>
        <w:rPr>
          <w:color w:val="auto"/>
          <w:highlight w:val="none"/>
          <w:lang w:eastAsia="zh-CN"/>
        </w:rPr>
      </w:pPr>
      <w:r>
        <w:rPr>
          <w:color w:val="auto"/>
          <w:highlight w:val="none"/>
          <w:lang w:eastAsia="zh-CN"/>
        </w:rPr>
        <w:t>17、《广州市南沙区水务局工程款支付制度》；</w:t>
      </w:r>
    </w:p>
    <w:p>
      <w:pPr>
        <w:pStyle w:val="5"/>
        <w:spacing w:before="158"/>
        <w:ind w:left="692"/>
        <w:rPr>
          <w:color w:val="auto"/>
          <w:highlight w:val="none"/>
          <w:lang w:eastAsia="zh-CN"/>
        </w:rPr>
      </w:pPr>
      <w:r>
        <w:rPr>
          <w:color w:val="auto"/>
          <w:highlight w:val="none"/>
          <w:lang w:eastAsia="zh-CN"/>
        </w:rPr>
        <w:t>18、《广州市南沙区水务局工程款合同管理办法》；</w:t>
      </w:r>
    </w:p>
    <w:p>
      <w:pPr>
        <w:pStyle w:val="5"/>
        <w:spacing w:before="161"/>
        <w:ind w:left="692"/>
        <w:rPr>
          <w:color w:val="auto"/>
          <w:highlight w:val="none"/>
          <w:lang w:eastAsia="zh-CN"/>
        </w:rPr>
      </w:pPr>
      <w:r>
        <w:rPr>
          <w:color w:val="auto"/>
          <w:highlight w:val="none"/>
          <w:lang w:eastAsia="zh-CN"/>
        </w:rPr>
        <w:t>19、南沙区水务局建设管理、监理、施工、勘察设计等考评指引、工作规定；</w:t>
      </w:r>
    </w:p>
    <w:p>
      <w:pPr>
        <w:pStyle w:val="5"/>
        <w:spacing w:before="158" w:line="364" w:lineRule="auto"/>
        <w:ind w:right="275" w:firstLine="480"/>
        <w:rPr>
          <w:color w:val="auto"/>
          <w:highlight w:val="none"/>
          <w:lang w:eastAsia="zh-CN"/>
        </w:rPr>
      </w:pPr>
      <w:r>
        <w:rPr>
          <w:color w:val="auto"/>
          <w:highlight w:val="none"/>
          <w:lang w:eastAsia="zh-CN"/>
        </w:rPr>
        <w:t>20、国家、地方和市政公用行业其他有关工程建设的法律、法规和规章或技术标准及其强制性条文；</w:t>
      </w:r>
    </w:p>
    <w:p>
      <w:pPr>
        <w:pStyle w:val="5"/>
        <w:spacing w:before="1"/>
        <w:ind w:left="692"/>
        <w:rPr>
          <w:color w:val="auto"/>
          <w:highlight w:val="none"/>
          <w:lang w:eastAsia="zh-CN"/>
        </w:rPr>
      </w:pPr>
      <w:r>
        <w:rPr>
          <w:color w:val="auto"/>
          <w:highlight w:val="none"/>
          <w:lang w:eastAsia="zh-CN"/>
        </w:rPr>
        <w:t>21、经批准的工程建设项目设计文件及其他相关文件；</w:t>
      </w:r>
    </w:p>
    <w:p>
      <w:pPr>
        <w:pStyle w:val="5"/>
        <w:spacing w:before="158" w:line="362" w:lineRule="auto"/>
        <w:ind w:right="275" w:firstLine="480"/>
        <w:rPr>
          <w:color w:val="auto"/>
          <w:highlight w:val="none"/>
          <w:lang w:eastAsia="zh-CN"/>
        </w:rPr>
      </w:pPr>
      <w:r>
        <w:rPr>
          <w:color w:val="auto"/>
          <w:highlight w:val="none"/>
          <w:lang w:eastAsia="zh-CN"/>
        </w:rPr>
        <w:t>22、建设管理（含施工监理）合同、勘察设计合同、咨询合同、施工合同、检测合同、设备采购合同、质量监督书等合同文件。</w:t>
      </w:r>
    </w:p>
    <w:p>
      <w:pPr>
        <w:pStyle w:val="11"/>
        <w:numPr>
          <w:ilvl w:val="2"/>
          <w:numId w:val="2"/>
        </w:numPr>
        <w:tabs>
          <w:tab w:val="left" w:pos="1353"/>
        </w:tabs>
        <w:spacing w:before="5"/>
        <w:rPr>
          <w:color w:val="auto"/>
          <w:sz w:val="24"/>
          <w:highlight w:val="none"/>
          <w:lang w:eastAsia="zh-CN"/>
        </w:rPr>
      </w:pPr>
      <w:r>
        <w:rPr>
          <w:color w:val="auto"/>
          <w:sz w:val="24"/>
          <w:highlight w:val="none"/>
          <w:lang w:eastAsia="zh-CN"/>
        </w:rPr>
        <w:t>相关服务依据包括：其他项目管理、施工监理依据在专用条款中约定。</w:t>
      </w:r>
    </w:p>
    <w:p>
      <w:pPr>
        <w:pStyle w:val="11"/>
        <w:numPr>
          <w:ilvl w:val="1"/>
          <w:numId w:val="2"/>
        </w:numPr>
        <w:tabs>
          <w:tab w:val="left" w:pos="633"/>
        </w:tabs>
        <w:spacing w:before="160"/>
        <w:rPr>
          <w:color w:val="auto"/>
          <w:sz w:val="24"/>
          <w:highlight w:val="none"/>
        </w:rPr>
      </w:pPr>
      <w:r>
        <w:rPr>
          <w:color w:val="auto"/>
          <w:sz w:val="24"/>
          <w:highlight w:val="none"/>
        </w:rPr>
        <w:t>项目服务机构和人员</w:t>
      </w:r>
    </w:p>
    <w:p>
      <w:pPr>
        <w:rPr>
          <w:color w:val="auto"/>
          <w:sz w:val="24"/>
          <w:highlight w:val="none"/>
        </w:rPr>
        <w:sectPr>
          <w:pgSz w:w="11910" w:h="16840"/>
          <w:pgMar w:top="1080" w:right="900" w:bottom="1060" w:left="920" w:header="0" w:footer="858" w:gutter="0"/>
          <w:cols w:space="720" w:num="1"/>
        </w:sectPr>
      </w:pPr>
    </w:p>
    <w:p>
      <w:pPr>
        <w:pStyle w:val="11"/>
        <w:numPr>
          <w:ilvl w:val="2"/>
          <w:numId w:val="2"/>
        </w:numPr>
        <w:tabs>
          <w:tab w:val="left" w:pos="1353"/>
        </w:tabs>
        <w:spacing w:before="56" w:line="364" w:lineRule="auto"/>
        <w:ind w:left="212" w:right="275" w:firstLine="480"/>
        <w:jc w:val="both"/>
        <w:rPr>
          <w:color w:val="auto"/>
          <w:sz w:val="24"/>
          <w:highlight w:val="none"/>
          <w:lang w:eastAsia="zh-CN"/>
        </w:rPr>
      </w:pPr>
      <w:r>
        <w:rPr>
          <w:color w:val="auto"/>
          <w:sz w:val="24"/>
          <w:highlight w:val="none"/>
          <w:lang w:eastAsia="zh-CN"/>
        </w:rPr>
        <w:t>承包人应在施工现场建立项目服务机构，承包人派驻到项目所在地履行服务的人员，必须能够适应合同规定的委托服务工作。项目服务机构在完成委托合同约定的委托工作后可撤离施工现场。</w:t>
      </w:r>
    </w:p>
    <w:p>
      <w:pPr>
        <w:pStyle w:val="11"/>
        <w:numPr>
          <w:ilvl w:val="2"/>
          <w:numId w:val="2"/>
        </w:numPr>
        <w:tabs>
          <w:tab w:val="left" w:pos="1353"/>
        </w:tabs>
        <w:spacing w:line="364" w:lineRule="auto"/>
        <w:ind w:left="212" w:right="335" w:firstLine="480"/>
        <w:rPr>
          <w:color w:val="auto"/>
          <w:sz w:val="24"/>
          <w:highlight w:val="none"/>
          <w:lang w:eastAsia="zh-CN"/>
        </w:rPr>
      </w:pPr>
      <w:r>
        <w:rPr>
          <w:color w:val="auto"/>
          <w:sz w:val="24"/>
          <w:highlight w:val="none"/>
          <w:lang w:eastAsia="zh-CN"/>
        </w:rPr>
        <w:t>承包人应按提供人员名单组建满足工作需要的项目服务机构，配备必要的检测设备。项目服务机构的主要人员应具有相应的资格条件。</w:t>
      </w:r>
    </w:p>
    <w:p>
      <w:pPr>
        <w:pStyle w:val="11"/>
        <w:numPr>
          <w:ilvl w:val="2"/>
          <w:numId w:val="2"/>
        </w:numPr>
        <w:tabs>
          <w:tab w:val="left" w:pos="1353"/>
        </w:tabs>
        <w:spacing w:line="364" w:lineRule="auto"/>
        <w:ind w:left="212" w:right="335" w:firstLine="480"/>
        <w:rPr>
          <w:color w:val="auto"/>
          <w:sz w:val="24"/>
          <w:highlight w:val="none"/>
          <w:lang w:eastAsia="zh-CN"/>
        </w:rPr>
      </w:pPr>
      <w:r>
        <w:rPr>
          <w:color w:val="auto"/>
          <w:sz w:val="24"/>
          <w:highlight w:val="none"/>
          <w:lang w:eastAsia="zh-CN"/>
        </w:rPr>
        <w:t>承包人必须在发包人发出进场通知后，按发包人具体的要求进场，并立即开始履行本合同约定的服务。承包人必须按照其投标文件的承诺，足额、按时派驻人员和投入设备。</w:t>
      </w:r>
    </w:p>
    <w:p>
      <w:pPr>
        <w:pStyle w:val="11"/>
        <w:numPr>
          <w:ilvl w:val="2"/>
          <w:numId w:val="2"/>
        </w:numPr>
        <w:tabs>
          <w:tab w:val="left" w:pos="1353"/>
        </w:tabs>
        <w:spacing w:line="362" w:lineRule="auto"/>
        <w:ind w:left="212" w:right="335" w:firstLine="480"/>
        <w:rPr>
          <w:color w:val="auto"/>
          <w:sz w:val="24"/>
          <w:highlight w:val="none"/>
          <w:lang w:eastAsia="zh-CN"/>
        </w:rPr>
      </w:pPr>
      <w:r>
        <w:rPr>
          <w:color w:val="auto"/>
          <w:sz w:val="24"/>
          <w:highlight w:val="none"/>
          <w:lang w:eastAsia="zh-CN"/>
        </w:rPr>
        <w:t>本合同履行过程中，项目总负责人、项目管理负责人、监理负责人及重要岗位人员应保持相对稳定，以保证委托工作正常进行。</w:t>
      </w:r>
    </w:p>
    <w:p>
      <w:pPr>
        <w:pStyle w:val="11"/>
        <w:numPr>
          <w:ilvl w:val="2"/>
          <w:numId w:val="2"/>
        </w:numPr>
        <w:tabs>
          <w:tab w:val="left" w:pos="1353"/>
        </w:tabs>
        <w:spacing w:line="364" w:lineRule="auto"/>
        <w:ind w:left="212" w:right="275" w:firstLine="480"/>
        <w:jc w:val="both"/>
        <w:rPr>
          <w:color w:val="auto"/>
          <w:sz w:val="24"/>
          <w:highlight w:val="none"/>
          <w:lang w:eastAsia="zh-CN"/>
        </w:rPr>
      </w:pPr>
      <w:r>
        <w:rPr>
          <w:color w:val="auto"/>
          <w:sz w:val="24"/>
          <w:highlight w:val="none"/>
          <w:lang w:eastAsia="zh-CN"/>
        </w:rPr>
        <w:t>承包人可根据项目进展和工作需要调整项目服务机构人员。承包人更换项目总负</w:t>
      </w:r>
      <w:r>
        <w:rPr>
          <w:color w:val="auto"/>
          <w:spacing w:val="-3"/>
          <w:sz w:val="24"/>
          <w:highlight w:val="none"/>
          <w:lang w:eastAsia="zh-CN"/>
        </w:rPr>
        <w:t xml:space="preserve">责人、项目管理负责人、监理负责人时，应提前 </w:t>
      </w:r>
      <w:r>
        <w:rPr>
          <w:color w:val="auto"/>
          <w:sz w:val="24"/>
          <w:highlight w:val="none"/>
          <w:lang w:eastAsia="zh-CN"/>
        </w:rPr>
        <w:t>7</w:t>
      </w:r>
      <w:r>
        <w:rPr>
          <w:color w:val="auto"/>
          <w:spacing w:val="-8"/>
          <w:sz w:val="24"/>
          <w:highlight w:val="none"/>
          <w:lang w:eastAsia="zh-CN"/>
        </w:rPr>
        <w:t xml:space="preserve"> 天向发包人书面报告，经发包人同意后方可更换；承包人更换项目服务机构其他人员，应以相当资格与能力的人员替换，并通知发包人。</w:t>
      </w:r>
    </w:p>
    <w:p>
      <w:pPr>
        <w:pStyle w:val="11"/>
        <w:numPr>
          <w:ilvl w:val="2"/>
          <w:numId w:val="2"/>
        </w:numPr>
        <w:tabs>
          <w:tab w:val="left" w:pos="1353"/>
        </w:tabs>
        <w:spacing w:line="305" w:lineRule="exact"/>
        <w:ind w:left="212" w:firstLine="480"/>
        <w:rPr>
          <w:color w:val="auto"/>
          <w:sz w:val="24"/>
          <w:highlight w:val="none"/>
          <w:lang w:eastAsia="zh-CN"/>
        </w:rPr>
      </w:pPr>
      <w:r>
        <w:rPr>
          <w:color w:val="auto"/>
          <w:sz w:val="24"/>
          <w:highlight w:val="none"/>
          <w:lang w:eastAsia="zh-CN"/>
        </w:rPr>
        <w:t>承包人应及时更换有下列情形之一的人员：</w:t>
      </w:r>
    </w:p>
    <w:p>
      <w:pPr>
        <w:pStyle w:val="5"/>
        <w:spacing w:before="161"/>
        <w:ind w:left="692"/>
        <w:rPr>
          <w:color w:val="auto"/>
          <w:highlight w:val="none"/>
          <w:lang w:eastAsia="zh-CN"/>
        </w:rPr>
      </w:pPr>
      <w:r>
        <w:rPr>
          <w:color w:val="auto"/>
          <w:highlight w:val="none"/>
          <w:lang w:eastAsia="zh-CN"/>
        </w:rPr>
        <w:t>（1）严重过失行为的；</w:t>
      </w:r>
    </w:p>
    <w:p>
      <w:pPr>
        <w:pStyle w:val="5"/>
        <w:spacing w:before="158"/>
        <w:ind w:left="692"/>
        <w:rPr>
          <w:color w:val="auto"/>
          <w:highlight w:val="none"/>
          <w:lang w:eastAsia="zh-CN"/>
        </w:rPr>
      </w:pPr>
      <w:r>
        <w:rPr>
          <w:color w:val="auto"/>
          <w:highlight w:val="none"/>
          <w:lang w:eastAsia="zh-CN"/>
        </w:rPr>
        <w:t>（2）有违法行为不能履行职责的；</w:t>
      </w:r>
    </w:p>
    <w:p>
      <w:pPr>
        <w:pStyle w:val="5"/>
        <w:spacing w:before="160"/>
        <w:ind w:left="692"/>
        <w:rPr>
          <w:color w:val="auto"/>
          <w:highlight w:val="none"/>
          <w:lang w:eastAsia="zh-CN"/>
        </w:rPr>
      </w:pPr>
      <w:r>
        <w:rPr>
          <w:color w:val="auto"/>
          <w:highlight w:val="none"/>
          <w:lang w:eastAsia="zh-CN"/>
        </w:rPr>
        <w:t>（3）涉嫌犯罪的；</w:t>
      </w:r>
    </w:p>
    <w:p>
      <w:pPr>
        <w:pStyle w:val="5"/>
        <w:spacing w:before="158"/>
        <w:ind w:left="692"/>
        <w:rPr>
          <w:color w:val="auto"/>
          <w:highlight w:val="none"/>
          <w:lang w:eastAsia="zh-CN"/>
        </w:rPr>
      </w:pPr>
      <w:r>
        <w:rPr>
          <w:color w:val="auto"/>
          <w:highlight w:val="none"/>
          <w:lang w:eastAsia="zh-CN"/>
        </w:rPr>
        <w:t>（4）不能胜任岗位职责的；</w:t>
      </w:r>
    </w:p>
    <w:p>
      <w:pPr>
        <w:pStyle w:val="5"/>
        <w:spacing w:before="161"/>
        <w:ind w:left="692"/>
        <w:rPr>
          <w:color w:val="auto"/>
          <w:highlight w:val="none"/>
          <w:lang w:eastAsia="zh-CN"/>
        </w:rPr>
      </w:pPr>
      <w:r>
        <w:rPr>
          <w:color w:val="auto"/>
          <w:highlight w:val="none"/>
          <w:lang w:eastAsia="zh-CN"/>
        </w:rPr>
        <w:t>（5）严重违反职业道德的；</w:t>
      </w:r>
    </w:p>
    <w:p>
      <w:pPr>
        <w:pStyle w:val="5"/>
        <w:spacing w:before="158"/>
        <w:ind w:left="692"/>
        <w:rPr>
          <w:color w:val="auto"/>
          <w:highlight w:val="none"/>
          <w:lang w:eastAsia="zh-CN"/>
        </w:rPr>
      </w:pPr>
      <w:r>
        <w:rPr>
          <w:color w:val="auto"/>
          <w:highlight w:val="none"/>
          <w:lang w:eastAsia="zh-CN"/>
        </w:rPr>
        <w:t>（6）专用条款约定的其他情形。</w:t>
      </w:r>
    </w:p>
    <w:p>
      <w:pPr>
        <w:pStyle w:val="11"/>
        <w:numPr>
          <w:ilvl w:val="2"/>
          <w:numId w:val="2"/>
        </w:numPr>
        <w:tabs>
          <w:tab w:val="left" w:pos="1353"/>
        </w:tabs>
        <w:spacing w:before="160" w:line="364" w:lineRule="auto"/>
        <w:ind w:left="212" w:right="275" w:firstLine="480"/>
        <w:jc w:val="both"/>
        <w:rPr>
          <w:color w:val="auto"/>
          <w:sz w:val="24"/>
          <w:highlight w:val="none"/>
          <w:lang w:eastAsia="zh-CN"/>
        </w:rPr>
      </w:pPr>
      <w:r>
        <w:rPr>
          <w:color w:val="auto"/>
          <w:sz w:val="24"/>
          <w:highlight w:val="none"/>
          <w:lang w:eastAsia="zh-CN"/>
        </w:rPr>
        <w:t>发包人有权以书面形式要求承包人更换不能胜任本职工作的项目服务机构人员。即使是发包人要求或同意更换的人员，其替代人员的资质仍应得到发包人的认可。</w:t>
      </w:r>
    </w:p>
    <w:p>
      <w:pPr>
        <w:pStyle w:val="11"/>
        <w:numPr>
          <w:ilvl w:val="2"/>
          <w:numId w:val="2"/>
        </w:numPr>
        <w:tabs>
          <w:tab w:val="left" w:pos="1353"/>
        </w:tabs>
        <w:spacing w:line="362" w:lineRule="auto"/>
        <w:ind w:left="212" w:right="335" w:firstLine="480"/>
        <w:rPr>
          <w:color w:val="auto"/>
          <w:sz w:val="24"/>
          <w:highlight w:val="none"/>
          <w:lang w:eastAsia="zh-CN"/>
        </w:rPr>
      </w:pPr>
      <w:r>
        <w:rPr>
          <w:color w:val="auto"/>
          <w:sz w:val="24"/>
          <w:highlight w:val="none"/>
          <w:lang w:eastAsia="zh-CN"/>
        </w:rPr>
        <w:t>承包人派驻到项目所在地履行服务的项目总负责人、项目管理负责人、监理负责人代表及主要服务人员，</w:t>
      </w:r>
      <w:r>
        <w:rPr>
          <w:rFonts w:hint="eastAsia"/>
          <w:color w:val="auto"/>
          <w:sz w:val="24"/>
          <w:highlight w:val="none"/>
          <w:lang w:eastAsia="zh-CN"/>
        </w:rPr>
        <w:t>按</w:t>
      </w:r>
      <w:r>
        <w:rPr>
          <w:color w:val="auto"/>
          <w:sz w:val="24"/>
          <w:highlight w:val="none"/>
          <w:lang w:eastAsia="zh-CN"/>
        </w:rPr>
        <w:t>需出场。</w:t>
      </w:r>
    </w:p>
    <w:p>
      <w:pPr>
        <w:pStyle w:val="11"/>
        <w:numPr>
          <w:ilvl w:val="2"/>
          <w:numId w:val="2"/>
        </w:numPr>
        <w:tabs>
          <w:tab w:val="left" w:pos="1353"/>
        </w:tabs>
        <w:spacing w:before="2" w:line="364" w:lineRule="auto"/>
        <w:ind w:left="212" w:right="275" w:firstLine="480"/>
        <w:rPr>
          <w:color w:val="auto"/>
          <w:sz w:val="24"/>
          <w:highlight w:val="none"/>
          <w:lang w:eastAsia="zh-CN"/>
        </w:rPr>
      </w:pPr>
      <w:r>
        <w:rPr>
          <w:color w:val="auto"/>
          <w:sz w:val="24"/>
          <w:highlight w:val="none"/>
          <w:lang w:eastAsia="zh-CN"/>
        </w:rPr>
        <w:t>承包人在本合同授权范围内行使合同规定的权利，履行相应的职责。当发包人发现服务人员不按合同履行职责，或与参建单位串通给发包人或项目造成损失的，发包人有权要求承包人更换服务人员，或终止合同，并要求承包人承担相应的赔偿责任或连带赔偿责 任。</w:t>
      </w:r>
    </w:p>
    <w:p>
      <w:pPr>
        <w:pStyle w:val="11"/>
        <w:numPr>
          <w:ilvl w:val="1"/>
          <w:numId w:val="3"/>
        </w:numPr>
        <w:tabs>
          <w:tab w:val="left" w:pos="1113"/>
        </w:tabs>
        <w:rPr>
          <w:color w:val="auto"/>
          <w:sz w:val="24"/>
          <w:highlight w:val="none"/>
        </w:rPr>
      </w:pPr>
      <w:r>
        <w:rPr>
          <w:color w:val="auto"/>
          <w:sz w:val="24"/>
          <w:highlight w:val="none"/>
        </w:rPr>
        <w:t>履行职责</w:t>
      </w:r>
    </w:p>
    <w:p>
      <w:pPr>
        <w:rPr>
          <w:color w:val="auto"/>
          <w:sz w:val="24"/>
          <w:highlight w:val="none"/>
          <w:lang w:eastAsia="zh-CN"/>
        </w:rPr>
        <w:sectPr>
          <w:pgSz w:w="11910" w:h="16840"/>
          <w:pgMar w:top="1080" w:right="900" w:bottom="1060" w:left="920" w:header="0" w:footer="858" w:gutter="0"/>
          <w:cols w:space="720" w:num="1"/>
        </w:sectPr>
      </w:pPr>
    </w:p>
    <w:p>
      <w:pPr>
        <w:pStyle w:val="5"/>
        <w:spacing w:before="56" w:line="362" w:lineRule="auto"/>
        <w:ind w:right="275" w:firstLine="480"/>
        <w:rPr>
          <w:color w:val="auto"/>
          <w:highlight w:val="none"/>
          <w:lang w:eastAsia="zh-CN"/>
        </w:rPr>
      </w:pPr>
      <w:r>
        <w:rPr>
          <w:color w:val="auto"/>
          <w:highlight w:val="none"/>
          <w:lang w:eastAsia="zh-CN"/>
        </w:rPr>
        <w:t>承包人应遵循职业道德准则和行为规范，严格按照法律法规、工程建设有关标准及本合同履行职责。</w:t>
      </w:r>
    </w:p>
    <w:p>
      <w:pPr>
        <w:pStyle w:val="11"/>
        <w:numPr>
          <w:ilvl w:val="2"/>
          <w:numId w:val="3"/>
        </w:numPr>
        <w:tabs>
          <w:tab w:val="left" w:pos="1353"/>
        </w:tabs>
        <w:spacing w:before="5" w:line="364" w:lineRule="auto"/>
        <w:ind w:right="275" w:firstLine="480"/>
        <w:jc w:val="both"/>
        <w:rPr>
          <w:color w:val="auto"/>
          <w:sz w:val="24"/>
          <w:highlight w:val="none"/>
          <w:lang w:eastAsia="zh-CN"/>
        </w:rPr>
      </w:pPr>
      <w:r>
        <w:rPr>
          <w:color w:val="auto"/>
          <w:sz w:val="24"/>
          <w:highlight w:val="none"/>
          <w:lang w:eastAsia="zh-CN"/>
        </w:rPr>
        <w:t>在本项目服务范围内，发包人和参建单位提出的意见和要求，承包人应及时提出处置意见。当发包人与参建单位之间发生合同争议时，承包人应协助发包人、参建单位协商解决。</w:t>
      </w:r>
    </w:p>
    <w:p>
      <w:pPr>
        <w:pStyle w:val="11"/>
        <w:numPr>
          <w:ilvl w:val="2"/>
          <w:numId w:val="3"/>
        </w:numPr>
        <w:tabs>
          <w:tab w:val="left" w:pos="1353"/>
        </w:tabs>
        <w:spacing w:line="364" w:lineRule="auto"/>
        <w:ind w:right="335" w:firstLine="480"/>
        <w:rPr>
          <w:color w:val="auto"/>
          <w:sz w:val="24"/>
          <w:highlight w:val="none"/>
          <w:lang w:eastAsia="zh-CN"/>
        </w:rPr>
      </w:pPr>
      <w:r>
        <w:rPr>
          <w:color w:val="auto"/>
          <w:sz w:val="24"/>
          <w:highlight w:val="none"/>
          <w:lang w:eastAsia="zh-CN"/>
        </w:rPr>
        <w:t>当发包人与参建单位之间的合同争议提交仲裁机构仲裁或人民法院审理时，承包人应提供必要的证明资料。</w:t>
      </w:r>
    </w:p>
    <w:p>
      <w:pPr>
        <w:pStyle w:val="11"/>
        <w:numPr>
          <w:ilvl w:val="2"/>
          <w:numId w:val="3"/>
        </w:numPr>
        <w:tabs>
          <w:tab w:val="left" w:pos="1353"/>
        </w:tabs>
        <w:spacing w:line="362" w:lineRule="auto"/>
        <w:ind w:right="335" w:firstLine="480"/>
        <w:rPr>
          <w:color w:val="auto"/>
          <w:sz w:val="24"/>
          <w:highlight w:val="none"/>
          <w:lang w:eastAsia="zh-CN"/>
        </w:rPr>
      </w:pPr>
      <w:r>
        <w:rPr>
          <w:color w:val="auto"/>
          <w:sz w:val="24"/>
          <w:highlight w:val="none"/>
          <w:lang w:eastAsia="zh-CN"/>
        </w:rPr>
        <w:t>承包人应在专用条款约定的授权范围内，处理发包人与参建单位所签订合同的变更事宜。如果变更超过授权范围，应以书面形式报发包人批准。</w:t>
      </w:r>
    </w:p>
    <w:p>
      <w:pPr>
        <w:pStyle w:val="5"/>
        <w:spacing w:before="1" w:line="364" w:lineRule="auto"/>
        <w:ind w:right="275" w:firstLine="480"/>
        <w:rPr>
          <w:color w:val="auto"/>
          <w:highlight w:val="none"/>
          <w:lang w:eastAsia="zh-CN"/>
        </w:rPr>
      </w:pPr>
      <w:r>
        <w:rPr>
          <w:color w:val="auto"/>
          <w:highlight w:val="none"/>
          <w:lang w:eastAsia="zh-CN"/>
        </w:rPr>
        <w:t>在紧急情况下，为了保护财产和人身安全，承包人所发出的指令未能事先报发包人批准时，应在发出指令后的 24 小时内以书面形式报发包人。</w:t>
      </w:r>
    </w:p>
    <w:p>
      <w:pPr>
        <w:pStyle w:val="11"/>
        <w:numPr>
          <w:ilvl w:val="2"/>
          <w:numId w:val="3"/>
        </w:numPr>
        <w:tabs>
          <w:tab w:val="left" w:pos="1353"/>
        </w:tabs>
        <w:spacing w:line="364" w:lineRule="auto"/>
        <w:ind w:right="575" w:firstLine="480"/>
        <w:rPr>
          <w:color w:val="auto"/>
          <w:sz w:val="24"/>
          <w:highlight w:val="none"/>
          <w:lang w:eastAsia="zh-CN"/>
        </w:rPr>
      </w:pPr>
      <w:r>
        <w:rPr>
          <w:color w:val="auto"/>
          <w:sz w:val="24"/>
          <w:highlight w:val="none"/>
          <w:lang w:eastAsia="zh-CN"/>
        </w:rPr>
        <w:t>承包人发现参建单位的人员不能胜任本职工作的，应将此情况及时反映给发包人，并建议参建单位予以调换。</w:t>
      </w:r>
    </w:p>
    <w:p>
      <w:pPr>
        <w:pStyle w:val="11"/>
        <w:numPr>
          <w:ilvl w:val="1"/>
          <w:numId w:val="3"/>
        </w:numPr>
        <w:tabs>
          <w:tab w:val="left" w:pos="1113"/>
        </w:tabs>
        <w:rPr>
          <w:color w:val="auto"/>
          <w:sz w:val="24"/>
          <w:highlight w:val="none"/>
        </w:rPr>
      </w:pPr>
      <w:r>
        <w:rPr>
          <w:color w:val="auto"/>
          <w:sz w:val="24"/>
          <w:highlight w:val="none"/>
        </w:rPr>
        <w:t>提交报告</w:t>
      </w:r>
    </w:p>
    <w:p>
      <w:pPr>
        <w:pStyle w:val="5"/>
        <w:spacing w:before="158" w:line="364" w:lineRule="auto"/>
        <w:ind w:right="275" w:firstLine="480"/>
        <w:rPr>
          <w:color w:val="auto"/>
          <w:highlight w:val="none"/>
          <w:lang w:eastAsia="zh-CN"/>
        </w:rPr>
      </w:pPr>
      <w:r>
        <w:rPr>
          <w:color w:val="auto"/>
          <w:highlight w:val="none"/>
          <w:lang w:eastAsia="zh-CN"/>
        </w:rPr>
        <w:t>承包人应按专用条款约定的种类、时间和份数向发包人提交项目建设管理、监理与相关服务的报告。</w:t>
      </w:r>
    </w:p>
    <w:p>
      <w:pPr>
        <w:pStyle w:val="11"/>
        <w:numPr>
          <w:ilvl w:val="1"/>
          <w:numId w:val="3"/>
        </w:numPr>
        <w:tabs>
          <w:tab w:val="left" w:pos="1113"/>
        </w:tabs>
        <w:spacing w:line="306" w:lineRule="exact"/>
        <w:rPr>
          <w:color w:val="auto"/>
          <w:sz w:val="24"/>
          <w:highlight w:val="none"/>
        </w:rPr>
      </w:pPr>
      <w:r>
        <w:rPr>
          <w:color w:val="auto"/>
          <w:sz w:val="24"/>
          <w:highlight w:val="none"/>
        </w:rPr>
        <w:t>文件资料</w:t>
      </w:r>
    </w:p>
    <w:p>
      <w:pPr>
        <w:pStyle w:val="5"/>
        <w:spacing w:before="160" w:line="364" w:lineRule="auto"/>
        <w:ind w:right="275" w:firstLine="480"/>
        <w:jc w:val="both"/>
        <w:rPr>
          <w:color w:val="auto"/>
          <w:highlight w:val="none"/>
          <w:lang w:eastAsia="zh-CN"/>
        </w:rPr>
      </w:pPr>
      <w:r>
        <w:rPr>
          <w:color w:val="auto"/>
          <w:highlight w:val="none"/>
          <w:lang w:eastAsia="zh-CN"/>
        </w:rPr>
        <w:t>在本合同履行期内，承包人应在现场保留工作所用的图纸、报告及记录监理及项目建设管理工作的相关文件。项目竣工后，应当按照档案管理规定将监理及项目建设管理有关文件归档。</w:t>
      </w:r>
    </w:p>
    <w:p>
      <w:pPr>
        <w:pStyle w:val="11"/>
        <w:numPr>
          <w:ilvl w:val="1"/>
          <w:numId w:val="3"/>
        </w:numPr>
        <w:tabs>
          <w:tab w:val="left" w:pos="1113"/>
        </w:tabs>
        <w:spacing w:line="304" w:lineRule="exact"/>
        <w:rPr>
          <w:color w:val="auto"/>
          <w:sz w:val="24"/>
          <w:highlight w:val="none"/>
        </w:rPr>
      </w:pPr>
      <w:r>
        <w:rPr>
          <w:color w:val="auto"/>
          <w:sz w:val="24"/>
          <w:highlight w:val="none"/>
        </w:rPr>
        <w:t>使用发包人的财产</w:t>
      </w:r>
    </w:p>
    <w:p>
      <w:pPr>
        <w:pStyle w:val="5"/>
        <w:spacing w:before="161" w:line="364" w:lineRule="auto"/>
        <w:ind w:right="275" w:firstLine="480"/>
        <w:jc w:val="both"/>
        <w:rPr>
          <w:color w:val="auto"/>
          <w:highlight w:val="none"/>
          <w:lang w:eastAsia="zh-CN"/>
        </w:rPr>
      </w:pPr>
      <w:r>
        <w:rPr>
          <w:color w:val="auto"/>
          <w:highlight w:val="none"/>
          <w:lang w:eastAsia="zh-CN"/>
        </w:rPr>
        <w:t>承包人无偿使用附录中由发包人提供的房屋、设备。发包人提供的房屋、设备属于发包人的财产，承包人应妥善使用和保管，避免有损坏或丢失等情况发生，项目完工后承包人将发包人财产全数完好地退还给发包人。</w:t>
      </w:r>
    </w:p>
    <w:p>
      <w:pPr>
        <w:pStyle w:val="11"/>
        <w:numPr>
          <w:ilvl w:val="1"/>
          <w:numId w:val="3"/>
        </w:numPr>
        <w:tabs>
          <w:tab w:val="left" w:pos="1113"/>
        </w:tabs>
        <w:spacing w:line="307" w:lineRule="exact"/>
        <w:rPr>
          <w:color w:val="auto"/>
          <w:sz w:val="24"/>
          <w:highlight w:val="none"/>
        </w:rPr>
      </w:pPr>
      <w:r>
        <w:rPr>
          <w:color w:val="auto"/>
          <w:sz w:val="24"/>
          <w:highlight w:val="none"/>
        </w:rPr>
        <w:t>履约担保</w:t>
      </w:r>
    </w:p>
    <w:p>
      <w:pPr>
        <w:pStyle w:val="5"/>
        <w:spacing w:before="158"/>
        <w:ind w:left="692"/>
        <w:rPr>
          <w:color w:val="auto"/>
          <w:highlight w:val="none"/>
          <w:lang w:eastAsia="zh-CN"/>
        </w:rPr>
      </w:pPr>
      <w:r>
        <w:rPr>
          <w:color w:val="auto"/>
          <w:highlight w:val="none"/>
          <w:lang w:eastAsia="zh-CN"/>
        </w:rPr>
        <w:t>发包人根据项目的需求，可以要求承包人出具履约担保。</w:t>
      </w:r>
    </w:p>
    <w:p>
      <w:pPr>
        <w:pStyle w:val="5"/>
        <w:spacing w:before="158"/>
        <w:ind w:left="692"/>
        <w:rPr>
          <w:color w:val="auto"/>
          <w:highlight w:val="none"/>
          <w:lang w:eastAsia="zh-CN"/>
        </w:rPr>
      </w:pPr>
      <w:r>
        <w:rPr>
          <w:color w:val="auto"/>
          <w:highlight w:val="none"/>
          <w:lang w:eastAsia="zh-CN"/>
        </w:rPr>
        <w:t>发包人要求承包人提供履约担保的，履约担保具体要求在专用条款约定。</w:t>
      </w:r>
    </w:p>
    <w:p>
      <w:pPr>
        <w:pStyle w:val="5"/>
        <w:spacing w:before="158"/>
        <w:ind w:left="692"/>
        <w:rPr>
          <w:color w:val="auto"/>
          <w:highlight w:val="none"/>
          <w:lang w:eastAsia="zh-CN"/>
        </w:rPr>
      </w:pPr>
    </w:p>
    <w:p>
      <w:pPr>
        <w:pStyle w:val="5"/>
        <w:spacing w:before="1"/>
        <w:rPr>
          <w:color w:val="auto"/>
          <w:highlight w:val="none"/>
        </w:rPr>
      </w:pPr>
      <w:r>
        <w:rPr>
          <w:color w:val="auto"/>
          <w:highlight w:val="none"/>
        </w:rPr>
        <w:t>3．发包人的义务</w:t>
      </w:r>
    </w:p>
    <w:p>
      <w:pPr>
        <w:pStyle w:val="11"/>
        <w:numPr>
          <w:ilvl w:val="1"/>
          <w:numId w:val="4"/>
        </w:numPr>
        <w:tabs>
          <w:tab w:val="left" w:pos="1113"/>
        </w:tabs>
        <w:spacing w:before="158"/>
        <w:rPr>
          <w:color w:val="auto"/>
          <w:sz w:val="24"/>
          <w:highlight w:val="none"/>
        </w:rPr>
      </w:pPr>
      <w:r>
        <w:rPr>
          <w:color w:val="auto"/>
          <w:sz w:val="24"/>
          <w:highlight w:val="none"/>
        </w:rPr>
        <w:t>告知</w:t>
      </w:r>
    </w:p>
    <w:p>
      <w:pPr>
        <w:rPr>
          <w:color w:val="auto"/>
          <w:sz w:val="24"/>
          <w:highlight w:val="none"/>
          <w:lang w:eastAsia="zh-CN"/>
        </w:rPr>
        <w:sectPr>
          <w:footerReference r:id="rId4" w:type="default"/>
          <w:pgSz w:w="11910" w:h="16840"/>
          <w:pgMar w:top="1080" w:right="900" w:bottom="1040" w:left="920" w:header="0" w:footer="858" w:gutter="0"/>
          <w:pgNumType w:start="10"/>
          <w:cols w:space="720" w:num="1"/>
        </w:sectPr>
      </w:pPr>
    </w:p>
    <w:p>
      <w:pPr>
        <w:pStyle w:val="5"/>
        <w:spacing w:before="56" w:line="362" w:lineRule="auto"/>
        <w:ind w:right="275" w:firstLine="480"/>
        <w:rPr>
          <w:color w:val="auto"/>
          <w:highlight w:val="none"/>
          <w:lang w:eastAsia="zh-CN"/>
        </w:rPr>
      </w:pPr>
      <w:r>
        <w:rPr>
          <w:color w:val="auto"/>
          <w:highlight w:val="none"/>
          <w:lang w:eastAsia="zh-CN"/>
        </w:rPr>
        <w:t>发包人应在发包人与参建单位签订的合同中明确承包人、项目总负责人、项目管理负责人、监理负责人和授予项目服务机构的权限。如有变更，应及时通知参建单位。</w:t>
      </w:r>
    </w:p>
    <w:p>
      <w:pPr>
        <w:pStyle w:val="11"/>
        <w:numPr>
          <w:ilvl w:val="1"/>
          <w:numId w:val="4"/>
        </w:numPr>
        <w:tabs>
          <w:tab w:val="left" w:pos="1113"/>
        </w:tabs>
        <w:spacing w:before="5"/>
        <w:rPr>
          <w:color w:val="auto"/>
          <w:sz w:val="24"/>
          <w:highlight w:val="none"/>
        </w:rPr>
      </w:pPr>
      <w:r>
        <w:rPr>
          <w:color w:val="auto"/>
          <w:sz w:val="24"/>
          <w:highlight w:val="none"/>
        </w:rPr>
        <w:t>提供资料</w:t>
      </w:r>
    </w:p>
    <w:p>
      <w:pPr>
        <w:pStyle w:val="5"/>
        <w:spacing w:before="158" w:line="364" w:lineRule="auto"/>
        <w:ind w:right="275" w:firstLine="480"/>
        <w:rPr>
          <w:color w:val="auto"/>
          <w:highlight w:val="none"/>
          <w:lang w:eastAsia="zh-CN"/>
        </w:rPr>
      </w:pPr>
      <w:r>
        <w:rPr>
          <w:color w:val="auto"/>
          <w:highlight w:val="none"/>
          <w:lang w:eastAsia="zh-CN"/>
        </w:rPr>
        <w:t>发包人应按照本合同附录约定，无偿向承包人提供项目有关的资料。在本合同履行过程中，发包人应及时向承包人提供最新的与项目有关的资料。</w:t>
      </w:r>
    </w:p>
    <w:p>
      <w:pPr>
        <w:pStyle w:val="11"/>
        <w:numPr>
          <w:ilvl w:val="1"/>
          <w:numId w:val="4"/>
        </w:numPr>
        <w:tabs>
          <w:tab w:val="left" w:pos="1113"/>
        </w:tabs>
        <w:spacing w:line="306" w:lineRule="exact"/>
        <w:rPr>
          <w:color w:val="auto"/>
          <w:sz w:val="24"/>
          <w:highlight w:val="none"/>
        </w:rPr>
      </w:pPr>
      <w:r>
        <w:rPr>
          <w:color w:val="auto"/>
          <w:sz w:val="24"/>
          <w:highlight w:val="none"/>
        </w:rPr>
        <w:t>提供工作条件</w:t>
      </w:r>
    </w:p>
    <w:p>
      <w:pPr>
        <w:pStyle w:val="5"/>
        <w:spacing w:before="160"/>
        <w:ind w:left="692"/>
        <w:rPr>
          <w:color w:val="auto"/>
          <w:highlight w:val="none"/>
          <w:lang w:eastAsia="zh-CN"/>
        </w:rPr>
      </w:pPr>
      <w:r>
        <w:rPr>
          <w:color w:val="auto"/>
          <w:highlight w:val="none"/>
          <w:lang w:eastAsia="zh-CN"/>
        </w:rPr>
        <w:t>发包人应为承包人完成项目建设管理、监理与相关服务提供必要的条件。</w:t>
      </w:r>
    </w:p>
    <w:p>
      <w:pPr>
        <w:pStyle w:val="11"/>
        <w:numPr>
          <w:ilvl w:val="2"/>
          <w:numId w:val="4"/>
        </w:numPr>
        <w:tabs>
          <w:tab w:val="left" w:pos="1353"/>
        </w:tabs>
        <w:spacing w:before="161" w:line="362" w:lineRule="auto"/>
        <w:ind w:right="575" w:firstLine="480"/>
        <w:rPr>
          <w:color w:val="auto"/>
          <w:sz w:val="24"/>
          <w:highlight w:val="none"/>
          <w:lang w:eastAsia="zh-CN"/>
        </w:rPr>
      </w:pPr>
      <w:r>
        <w:rPr>
          <w:color w:val="auto"/>
          <w:sz w:val="24"/>
          <w:highlight w:val="none"/>
          <w:lang w:eastAsia="zh-CN"/>
        </w:rPr>
        <w:t>发包人应按照附录约定，派遣相应的人员，提供房屋、设备，供承包人无偿使用。</w:t>
      </w:r>
    </w:p>
    <w:p>
      <w:pPr>
        <w:pStyle w:val="11"/>
        <w:numPr>
          <w:ilvl w:val="2"/>
          <w:numId w:val="4"/>
        </w:numPr>
        <w:tabs>
          <w:tab w:val="left" w:pos="1353"/>
        </w:tabs>
        <w:spacing w:before="2" w:line="364" w:lineRule="auto"/>
        <w:ind w:right="335" w:firstLine="480"/>
        <w:rPr>
          <w:color w:val="auto"/>
          <w:sz w:val="24"/>
          <w:highlight w:val="none"/>
          <w:lang w:eastAsia="zh-CN"/>
        </w:rPr>
      </w:pPr>
      <w:r>
        <w:rPr>
          <w:color w:val="auto"/>
          <w:sz w:val="24"/>
          <w:highlight w:val="none"/>
          <w:lang w:eastAsia="zh-CN"/>
        </w:rPr>
        <w:t>发包人应负责协调项目建设中所有外部关系，为承包人履行本合同提供必要的外部条件。</w:t>
      </w:r>
    </w:p>
    <w:p>
      <w:pPr>
        <w:pStyle w:val="11"/>
        <w:numPr>
          <w:ilvl w:val="1"/>
          <w:numId w:val="5"/>
        </w:numPr>
        <w:tabs>
          <w:tab w:val="left" w:pos="1113"/>
        </w:tabs>
        <w:spacing w:line="306" w:lineRule="exact"/>
        <w:rPr>
          <w:color w:val="auto"/>
          <w:sz w:val="24"/>
          <w:highlight w:val="none"/>
        </w:rPr>
      </w:pPr>
      <w:r>
        <w:rPr>
          <w:color w:val="auto"/>
          <w:sz w:val="24"/>
          <w:highlight w:val="none"/>
        </w:rPr>
        <w:t>发包人代表</w:t>
      </w:r>
    </w:p>
    <w:p>
      <w:pPr>
        <w:pStyle w:val="5"/>
        <w:spacing w:before="161" w:line="364" w:lineRule="auto"/>
        <w:ind w:right="275" w:firstLine="480"/>
        <w:rPr>
          <w:color w:val="auto"/>
          <w:highlight w:val="none"/>
          <w:lang w:eastAsia="zh-CN"/>
        </w:rPr>
      </w:pPr>
      <w:r>
        <w:rPr>
          <w:color w:val="auto"/>
          <w:highlight w:val="none"/>
          <w:lang w:eastAsia="zh-CN"/>
        </w:rPr>
        <w:t>发包人应授权一名熟悉项目情况的代表，负责与承包人联系。发包人应在双方签订本合同后 7 天内，</w:t>
      </w:r>
      <w:r>
        <w:rPr>
          <w:color w:val="auto"/>
          <w:spacing w:val="-2"/>
          <w:highlight w:val="none"/>
          <w:lang w:eastAsia="zh-CN"/>
        </w:rPr>
        <w:t xml:space="preserve">将发包人代表的姓名和职责书面告知承包人。当发包人更换发包人代表时，应提前 </w:t>
      </w:r>
      <w:r>
        <w:rPr>
          <w:color w:val="auto"/>
          <w:highlight w:val="none"/>
          <w:lang w:eastAsia="zh-CN"/>
        </w:rPr>
        <w:t>7</w:t>
      </w:r>
      <w:r>
        <w:rPr>
          <w:color w:val="auto"/>
          <w:spacing w:val="-30"/>
          <w:highlight w:val="none"/>
          <w:lang w:eastAsia="zh-CN"/>
        </w:rPr>
        <w:t xml:space="preserve"> 天通知承包人。</w:t>
      </w:r>
    </w:p>
    <w:p>
      <w:pPr>
        <w:pStyle w:val="11"/>
        <w:numPr>
          <w:ilvl w:val="1"/>
          <w:numId w:val="5"/>
        </w:numPr>
        <w:tabs>
          <w:tab w:val="left" w:pos="1113"/>
        </w:tabs>
        <w:spacing w:line="306" w:lineRule="exact"/>
        <w:rPr>
          <w:color w:val="auto"/>
          <w:sz w:val="24"/>
          <w:highlight w:val="none"/>
        </w:rPr>
      </w:pPr>
      <w:r>
        <w:rPr>
          <w:color w:val="auto"/>
          <w:sz w:val="24"/>
          <w:highlight w:val="none"/>
        </w:rPr>
        <w:t>发包人意见或要求</w:t>
      </w:r>
    </w:p>
    <w:p>
      <w:pPr>
        <w:pStyle w:val="5"/>
        <w:spacing w:before="159" w:line="362" w:lineRule="auto"/>
        <w:ind w:right="275" w:firstLine="480"/>
        <w:rPr>
          <w:color w:val="auto"/>
          <w:highlight w:val="none"/>
          <w:lang w:eastAsia="zh-CN"/>
        </w:rPr>
      </w:pPr>
      <w:r>
        <w:rPr>
          <w:color w:val="auto"/>
          <w:highlight w:val="none"/>
          <w:lang w:eastAsia="zh-CN"/>
        </w:rPr>
        <w:t>在本合同约定的项目建设管理、监理与相关服务工作范围内，发包人对参建单位的任何意见或要求应通知承包人，由承包人向参建单位发出相应指令。</w:t>
      </w:r>
    </w:p>
    <w:p>
      <w:pPr>
        <w:pStyle w:val="11"/>
        <w:numPr>
          <w:ilvl w:val="1"/>
          <w:numId w:val="5"/>
        </w:numPr>
        <w:tabs>
          <w:tab w:val="left" w:pos="1113"/>
        </w:tabs>
        <w:spacing w:before="5"/>
        <w:rPr>
          <w:color w:val="auto"/>
          <w:sz w:val="24"/>
          <w:highlight w:val="none"/>
        </w:rPr>
      </w:pPr>
      <w:r>
        <w:rPr>
          <w:color w:val="auto"/>
          <w:sz w:val="24"/>
          <w:highlight w:val="none"/>
        </w:rPr>
        <w:t>答复</w:t>
      </w:r>
    </w:p>
    <w:p>
      <w:pPr>
        <w:pStyle w:val="5"/>
        <w:spacing w:before="158"/>
        <w:ind w:left="692"/>
        <w:rPr>
          <w:color w:val="auto"/>
          <w:highlight w:val="none"/>
          <w:lang w:eastAsia="zh-CN"/>
        </w:rPr>
      </w:pPr>
      <w:r>
        <w:rPr>
          <w:color w:val="auto"/>
          <w:highlight w:val="none"/>
          <w:lang w:eastAsia="zh-CN"/>
        </w:rPr>
        <w:t>对承包人以书面形式提交并要求作出决定的事宜，发包人将给予书面答复。</w:t>
      </w:r>
    </w:p>
    <w:p>
      <w:pPr>
        <w:pStyle w:val="11"/>
        <w:numPr>
          <w:ilvl w:val="1"/>
          <w:numId w:val="5"/>
        </w:numPr>
        <w:tabs>
          <w:tab w:val="left" w:pos="1113"/>
        </w:tabs>
        <w:spacing w:before="161"/>
        <w:rPr>
          <w:color w:val="auto"/>
          <w:sz w:val="24"/>
          <w:highlight w:val="none"/>
        </w:rPr>
      </w:pPr>
      <w:r>
        <w:rPr>
          <w:color w:val="auto"/>
          <w:sz w:val="24"/>
          <w:highlight w:val="none"/>
        </w:rPr>
        <w:t>支付</w:t>
      </w:r>
    </w:p>
    <w:p>
      <w:pPr>
        <w:pStyle w:val="5"/>
        <w:spacing w:before="158"/>
        <w:ind w:left="692"/>
        <w:rPr>
          <w:color w:val="auto"/>
          <w:highlight w:val="none"/>
          <w:lang w:eastAsia="zh-CN"/>
        </w:rPr>
      </w:pPr>
      <w:r>
        <w:rPr>
          <w:color w:val="auto"/>
          <w:highlight w:val="none"/>
          <w:lang w:eastAsia="zh-CN"/>
        </w:rPr>
        <w:t>发包人应按本合同约定，向承包人支付酬金。</w:t>
      </w:r>
    </w:p>
    <w:p>
      <w:pPr>
        <w:pStyle w:val="5"/>
        <w:ind w:left="0"/>
        <w:rPr>
          <w:color w:val="auto"/>
          <w:sz w:val="25"/>
          <w:highlight w:val="none"/>
          <w:lang w:eastAsia="zh-CN"/>
        </w:rPr>
      </w:pPr>
    </w:p>
    <w:p>
      <w:pPr>
        <w:pStyle w:val="5"/>
        <w:spacing w:before="1"/>
        <w:rPr>
          <w:color w:val="auto"/>
          <w:highlight w:val="none"/>
        </w:rPr>
      </w:pPr>
      <w:r>
        <w:rPr>
          <w:color w:val="auto"/>
          <w:highlight w:val="none"/>
        </w:rPr>
        <w:t>4.违约责任</w:t>
      </w:r>
    </w:p>
    <w:p>
      <w:pPr>
        <w:pStyle w:val="11"/>
        <w:numPr>
          <w:ilvl w:val="1"/>
          <w:numId w:val="6"/>
        </w:numPr>
        <w:tabs>
          <w:tab w:val="left" w:pos="1113"/>
        </w:tabs>
        <w:spacing w:before="158"/>
        <w:rPr>
          <w:color w:val="auto"/>
          <w:sz w:val="24"/>
          <w:highlight w:val="none"/>
        </w:rPr>
      </w:pPr>
      <w:r>
        <w:rPr>
          <w:color w:val="auto"/>
          <w:sz w:val="24"/>
          <w:highlight w:val="none"/>
        </w:rPr>
        <w:t>承包人的违约</w:t>
      </w:r>
    </w:p>
    <w:p>
      <w:pPr>
        <w:pStyle w:val="5"/>
        <w:spacing w:before="158"/>
        <w:ind w:left="692"/>
        <w:rPr>
          <w:color w:val="auto"/>
          <w:highlight w:val="none"/>
          <w:lang w:eastAsia="zh-CN"/>
        </w:rPr>
      </w:pPr>
      <w:r>
        <w:rPr>
          <w:color w:val="auto"/>
          <w:highlight w:val="none"/>
          <w:lang w:eastAsia="zh-CN"/>
        </w:rPr>
        <w:t>承包人未履行本合同义务的，应承担相应的违约责任，违约责任在专用条款中约定。</w:t>
      </w:r>
    </w:p>
    <w:p>
      <w:pPr>
        <w:pStyle w:val="11"/>
        <w:numPr>
          <w:ilvl w:val="1"/>
          <w:numId w:val="6"/>
        </w:numPr>
        <w:tabs>
          <w:tab w:val="left" w:pos="1113"/>
        </w:tabs>
        <w:spacing w:before="160"/>
        <w:rPr>
          <w:color w:val="auto"/>
          <w:sz w:val="24"/>
          <w:highlight w:val="none"/>
        </w:rPr>
      </w:pPr>
      <w:r>
        <w:rPr>
          <w:color w:val="auto"/>
          <w:sz w:val="24"/>
          <w:highlight w:val="none"/>
        </w:rPr>
        <w:t>发包人的违约责任</w:t>
      </w:r>
    </w:p>
    <w:p>
      <w:pPr>
        <w:pStyle w:val="5"/>
        <w:spacing w:before="161"/>
        <w:ind w:left="692"/>
        <w:rPr>
          <w:color w:val="auto"/>
          <w:highlight w:val="none"/>
          <w:lang w:eastAsia="zh-CN"/>
        </w:rPr>
      </w:pPr>
      <w:r>
        <w:rPr>
          <w:color w:val="auto"/>
          <w:highlight w:val="none"/>
          <w:lang w:eastAsia="zh-CN"/>
        </w:rPr>
        <w:t>发包人未履行本合同义务的，应承担相应的违约责任，违约责任在专用条款中约定。</w:t>
      </w:r>
    </w:p>
    <w:p>
      <w:pPr>
        <w:pStyle w:val="11"/>
        <w:numPr>
          <w:ilvl w:val="1"/>
          <w:numId w:val="6"/>
        </w:numPr>
        <w:tabs>
          <w:tab w:val="left" w:pos="1113"/>
        </w:tabs>
        <w:spacing w:before="158"/>
        <w:rPr>
          <w:color w:val="auto"/>
          <w:sz w:val="24"/>
          <w:highlight w:val="none"/>
        </w:rPr>
      </w:pPr>
      <w:r>
        <w:rPr>
          <w:color w:val="auto"/>
          <w:sz w:val="24"/>
          <w:highlight w:val="none"/>
        </w:rPr>
        <w:t>除外责任</w:t>
      </w:r>
    </w:p>
    <w:p>
      <w:pPr>
        <w:rPr>
          <w:color w:val="auto"/>
          <w:sz w:val="24"/>
          <w:highlight w:val="none"/>
          <w:lang w:eastAsia="zh-CN"/>
        </w:rPr>
        <w:sectPr>
          <w:pgSz w:w="11910" w:h="16840"/>
          <w:pgMar w:top="1080" w:right="900" w:bottom="1060" w:left="920" w:header="0" w:footer="858" w:gutter="0"/>
          <w:cols w:space="720" w:num="1"/>
        </w:sectPr>
      </w:pPr>
    </w:p>
    <w:p>
      <w:pPr>
        <w:pStyle w:val="5"/>
        <w:spacing w:before="56" w:line="362" w:lineRule="auto"/>
        <w:ind w:right="275" w:firstLine="480"/>
        <w:rPr>
          <w:color w:val="auto"/>
          <w:highlight w:val="none"/>
          <w:lang w:eastAsia="zh-CN"/>
        </w:rPr>
      </w:pPr>
      <w:r>
        <w:rPr>
          <w:color w:val="auto"/>
          <w:highlight w:val="none"/>
          <w:lang w:eastAsia="zh-CN"/>
        </w:rPr>
        <w:t>因非承包人的原因，且承包人无过错，发生质量事故、安全事故、工期延误等造成的损失，承包人不承担赔偿责任。</w:t>
      </w:r>
    </w:p>
    <w:p>
      <w:pPr>
        <w:pStyle w:val="5"/>
        <w:spacing w:before="5" w:line="362" w:lineRule="auto"/>
        <w:ind w:right="275" w:firstLine="480"/>
        <w:rPr>
          <w:color w:val="auto"/>
          <w:highlight w:val="none"/>
          <w:lang w:eastAsia="zh-CN"/>
        </w:rPr>
      </w:pPr>
      <w:r>
        <w:rPr>
          <w:color w:val="auto"/>
          <w:highlight w:val="none"/>
          <w:lang w:eastAsia="zh-CN"/>
        </w:rPr>
        <w:t>因不可抗力导致本合同全部或部分不能履行时，双方各自承担其因此而造成的损失、损害。</w:t>
      </w:r>
    </w:p>
    <w:p>
      <w:pPr>
        <w:pStyle w:val="5"/>
        <w:spacing w:before="163"/>
        <w:rPr>
          <w:color w:val="auto"/>
          <w:highlight w:val="none"/>
        </w:rPr>
      </w:pPr>
      <w:r>
        <w:rPr>
          <w:color w:val="auto"/>
          <w:highlight w:val="none"/>
        </w:rPr>
        <w:t>5.支付</w:t>
      </w:r>
    </w:p>
    <w:p>
      <w:pPr>
        <w:pStyle w:val="11"/>
        <w:numPr>
          <w:ilvl w:val="1"/>
          <w:numId w:val="7"/>
        </w:numPr>
        <w:tabs>
          <w:tab w:val="left" w:pos="1113"/>
        </w:tabs>
        <w:spacing w:before="160"/>
        <w:rPr>
          <w:color w:val="auto"/>
          <w:sz w:val="24"/>
          <w:highlight w:val="none"/>
        </w:rPr>
      </w:pPr>
      <w:r>
        <w:rPr>
          <w:color w:val="auto"/>
          <w:sz w:val="24"/>
          <w:highlight w:val="none"/>
        </w:rPr>
        <w:t>支付货币</w:t>
      </w:r>
    </w:p>
    <w:p>
      <w:pPr>
        <w:pStyle w:val="5"/>
        <w:spacing w:before="161"/>
        <w:ind w:left="692"/>
        <w:rPr>
          <w:color w:val="auto"/>
          <w:highlight w:val="none"/>
          <w:lang w:eastAsia="zh-CN"/>
        </w:rPr>
      </w:pPr>
      <w:r>
        <w:rPr>
          <w:color w:val="auto"/>
          <w:highlight w:val="none"/>
          <w:lang w:eastAsia="zh-CN"/>
        </w:rPr>
        <w:t>发包人与承包人双方同意本合同酬金均以人民币支付。</w:t>
      </w:r>
    </w:p>
    <w:p>
      <w:pPr>
        <w:pStyle w:val="11"/>
        <w:numPr>
          <w:ilvl w:val="1"/>
          <w:numId w:val="7"/>
        </w:numPr>
        <w:tabs>
          <w:tab w:val="left" w:pos="1113"/>
        </w:tabs>
        <w:spacing w:before="158"/>
        <w:rPr>
          <w:color w:val="auto"/>
          <w:sz w:val="24"/>
          <w:highlight w:val="none"/>
        </w:rPr>
      </w:pPr>
      <w:r>
        <w:rPr>
          <w:color w:val="auto"/>
          <w:sz w:val="24"/>
          <w:highlight w:val="none"/>
        </w:rPr>
        <w:t>支付申请</w:t>
      </w:r>
    </w:p>
    <w:p>
      <w:pPr>
        <w:pStyle w:val="5"/>
        <w:spacing w:before="158" w:line="364" w:lineRule="auto"/>
        <w:ind w:right="275" w:firstLine="480"/>
        <w:rPr>
          <w:color w:val="auto"/>
          <w:highlight w:val="none"/>
          <w:lang w:eastAsia="zh-CN"/>
        </w:rPr>
      </w:pPr>
      <w:r>
        <w:rPr>
          <w:color w:val="auto"/>
          <w:highlight w:val="none"/>
          <w:lang w:eastAsia="zh-CN"/>
        </w:rPr>
        <w:t>承包人应在本合同约定的每次应付款时间前，向发包人提交支付申请书。支付申请书应当说明当期应付款总额，并列出当期应支付的款项及其金额。</w:t>
      </w:r>
    </w:p>
    <w:p>
      <w:pPr>
        <w:pStyle w:val="11"/>
        <w:numPr>
          <w:ilvl w:val="1"/>
          <w:numId w:val="7"/>
        </w:numPr>
        <w:tabs>
          <w:tab w:val="left" w:pos="1113"/>
        </w:tabs>
        <w:spacing w:line="306" w:lineRule="exact"/>
        <w:rPr>
          <w:color w:val="auto"/>
          <w:sz w:val="24"/>
          <w:highlight w:val="none"/>
        </w:rPr>
      </w:pPr>
      <w:r>
        <w:rPr>
          <w:color w:val="auto"/>
          <w:sz w:val="24"/>
          <w:highlight w:val="none"/>
        </w:rPr>
        <w:t>支付酬金</w:t>
      </w:r>
    </w:p>
    <w:p>
      <w:pPr>
        <w:pStyle w:val="5"/>
        <w:spacing w:before="161" w:line="364" w:lineRule="auto"/>
        <w:ind w:right="275" w:firstLine="480"/>
        <w:jc w:val="both"/>
        <w:rPr>
          <w:color w:val="auto"/>
          <w:highlight w:val="none"/>
          <w:lang w:eastAsia="zh-CN"/>
        </w:rPr>
      </w:pPr>
      <w:r>
        <w:rPr>
          <w:color w:val="auto"/>
          <w:highlight w:val="none"/>
          <w:lang w:eastAsia="zh-CN"/>
        </w:rPr>
        <w:t>酬金包括提供本合同项目管理、施工监理服务范围服务所需的直接成本、间接成本、利税等可预见费用和不可预见服务风险费用。酬金的最终结算方法和支付在合同专用条款中约定。</w:t>
      </w:r>
    </w:p>
    <w:p>
      <w:pPr>
        <w:pStyle w:val="11"/>
        <w:numPr>
          <w:ilvl w:val="1"/>
          <w:numId w:val="7"/>
        </w:numPr>
        <w:tabs>
          <w:tab w:val="left" w:pos="1113"/>
        </w:tabs>
        <w:spacing w:line="307" w:lineRule="exact"/>
        <w:rPr>
          <w:color w:val="auto"/>
          <w:sz w:val="24"/>
          <w:highlight w:val="none"/>
        </w:rPr>
      </w:pPr>
      <w:r>
        <w:rPr>
          <w:color w:val="auto"/>
          <w:sz w:val="24"/>
          <w:highlight w:val="none"/>
        </w:rPr>
        <w:t>有争议部分的付款</w:t>
      </w:r>
    </w:p>
    <w:p>
      <w:pPr>
        <w:pStyle w:val="5"/>
        <w:spacing w:before="158" w:line="364" w:lineRule="auto"/>
        <w:ind w:right="275" w:firstLine="480"/>
        <w:jc w:val="both"/>
        <w:rPr>
          <w:color w:val="auto"/>
          <w:highlight w:val="none"/>
          <w:lang w:eastAsia="zh-CN"/>
        </w:rPr>
      </w:pPr>
      <w:r>
        <w:rPr>
          <w:color w:val="auto"/>
          <w:highlight w:val="none"/>
          <w:lang w:eastAsia="zh-CN"/>
        </w:rPr>
        <w:t>发包人对承包人提交的支付申请书有异议时，应当在收到承包人提交的支付申请书后 7 天内，以书面形式向承包人发出异议通知。无异议部分的款项应按期支付，有异议部分的款项按第 7 条约定办理。</w:t>
      </w:r>
    </w:p>
    <w:p>
      <w:pPr>
        <w:pStyle w:val="5"/>
        <w:ind w:left="0"/>
        <w:rPr>
          <w:color w:val="auto"/>
          <w:highlight w:val="none"/>
          <w:lang w:eastAsia="zh-CN"/>
        </w:rPr>
      </w:pPr>
    </w:p>
    <w:p>
      <w:pPr>
        <w:pStyle w:val="5"/>
        <w:spacing w:before="157"/>
        <w:rPr>
          <w:color w:val="auto"/>
          <w:highlight w:val="none"/>
          <w:lang w:eastAsia="zh-CN"/>
        </w:rPr>
      </w:pPr>
      <w:r>
        <w:rPr>
          <w:color w:val="auto"/>
          <w:highlight w:val="none"/>
          <w:lang w:eastAsia="zh-CN"/>
        </w:rPr>
        <w:t>6.合同生效、变更、暂停、解除与终止</w:t>
      </w:r>
    </w:p>
    <w:p>
      <w:pPr>
        <w:pStyle w:val="11"/>
        <w:numPr>
          <w:ilvl w:val="1"/>
          <w:numId w:val="8"/>
        </w:numPr>
        <w:tabs>
          <w:tab w:val="left" w:pos="1113"/>
        </w:tabs>
        <w:spacing w:before="161"/>
        <w:rPr>
          <w:color w:val="auto"/>
          <w:sz w:val="24"/>
          <w:highlight w:val="none"/>
        </w:rPr>
      </w:pPr>
      <w:r>
        <w:rPr>
          <w:color w:val="auto"/>
          <w:sz w:val="24"/>
          <w:highlight w:val="none"/>
        </w:rPr>
        <w:t>生效</w:t>
      </w:r>
    </w:p>
    <w:p>
      <w:pPr>
        <w:pStyle w:val="5"/>
        <w:spacing w:before="158"/>
        <w:ind w:left="692"/>
        <w:rPr>
          <w:color w:val="auto"/>
          <w:highlight w:val="none"/>
          <w:lang w:eastAsia="zh-CN"/>
        </w:rPr>
      </w:pPr>
      <w:r>
        <w:rPr>
          <w:color w:val="auto"/>
          <w:highlight w:val="none"/>
          <w:lang w:eastAsia="zh-CN"/>
        </w:rPr>
        <w:t>发包人和承包人双方法定代表人在协议书上签字并加盖单位公章之日起本合同生效。</w:t>
      </w:r>
    </w:p>
    <w:p>
      <w:pPr>
        <w:pStyle w:val="11"/>
        <w:numPr>
          <w:ilvl w:val="1"/>
          <w:numId w:val="8"/>
        </w:numPr>
        <w:tabs>
          <w:tab w:val="left" w:pos="1113"/>
        </w:tabs>
        <w:spacing w:before="160"/>
        <w:rPr>
          <w:color w:val="auto"/>
          <w:sz w:val="24"/>
          <w:highlight w:val="none"/>
        </w:rPr>
      </w:pPr>
      <w:r>
        <w:rPr>
          <w:color w:val="auto"/>
          <w:sz w:val="24"/>
          <w:highlight w:val="none"/>
        </w:rPr>
        <w:t>变更</w:t>
      </w:r>
    </w:p>
    <w:p>
      <w:pPr>
        <w:pStyle w:val="5"/>
        <w:spacing w:before="161" w:line="362" w:lineRule="auto"/>
        <w:ind w:right="275" w:firstLine="480"/>
        <w:rPr>
          <w:color w:val="auto"/>
          <w:highlight w:val="none"/>
          <w:lang w:eastAsia="zh-CN"/>
        </w:rPr>
      </w:pPr>
      <w:r>
        <w:rPr>
          <w:color w:val="auto"/>
          <w:highlight w:val="none"/>
          <w:lang w:eastAsia="zh-CN"/>
        </w:rPr>
        <w:t>本项目的所有变更均须遵循“先审批、后变更”的原则，严格按照广州南沙区印发的工程变更管理办法或文件等规定执行。</w:t>
      </w:r>
    </w:p>
    <w:p>
      <w:pPr>
        <w:pStyle w:val="11"/>
        <w:numPr>
          <w:ilvl w:val="1"/>
          <w:numId w:val="8"/>
        </w:numPr>
        <w:tabs>
          <w:tab w:val="left" w:pos="1113"/>
        </w:tabs>
        <w:spacing w:before="2"/>
        <w:rPr>
          <w:color w:val="auto"/>
          <w:sz w:val="24"/>
          <w:highlight w:val="none"/>
        </w:rPr>
      </w:pPr>
      <w:r>
        <w:rPr>
          <w:color w:val="auto"/>
          <w:sz w:val="24"/>
          <w:highlight w:val="none"/>
        </w:rPr>
        <w:t>暂停与解除</w:t>
      </w:r>
    </w:p>
    <w:p>
      <w:pPr>
        <w:pStyle w:val="5"/>
        <w:spacing w:before="161" w:line="364" w:lineRule="auto"/>
        <w:ind w:right="275" w:firstLine="480"/>
        <w:rPr>
          <w:color w:val="auto"/>
          <w:highlight w:val="none"/>
          <w:lang w:eastAsia="zh-CN"/>
        </w:rPr>
      </w:pPr>
      <w:r>
        <w:rPr>
          <w:color w:val="auto"/>
          <w:highlight w:val="none"/>
          <w:lang w:eastAsia="zh-CN"/>
        </w:rPr>
        <w:t>除双方协商一致可以解除本合同外，当一方无正当理由未履行本合同约定的义务时，另一方可以根据本合同约定暂停履行本合同直至解除本合同。</w:t>
      </w:r>
    </w:p>
    <w:p>
      <w:pPr>
        <w:spacing w:line="364" w:lineRule="auto"/>
        <w:rPr>
          <w:color w:val="auto"/>
          <w:highlight w:val="none"/>
          <w:lang w:eastAsia="zh-CN"/>
        </w:rPr>
        <w:sectPr>
          <w:pgSz w:w="11910" w:h="16840"/>
          <w:pgMar w:top="1080" w:right="900" w:bottom="1060" w:left="920" w:header="0" w:footer="858" w:gutter="0"/>
          <w:cols w:space="720" w:num="1"/>
        </w:sectPr>
      </w:pPr>
    </w:p>
    <w:p>
      <w:pPr>
        <w:pStyle w:val="11"/>
        <w:numPr>
          <w:ilvl w:val="2"/>
          <w:numId w:val="8"/>
        </w:numPr>
        <w:tabs>
          <w:tab w:val="left" w:pos="1353"/>
        </w:tabs>
        <w:spacing w:before="56" w:line="364" w:lineRule="auto"/>
        <w:ind w:right="275" w:firstLine="480"/>
        <w:jc w:val="both"/>
        <w:rPr>
          <w:color w:val="auto"/>
          <w:sz w:val="24"/>
          <w:highlight w:val="none"/>
          <w:lang w:eastAsia="zh-CN"/>
        </w:rPr>
      </w:pPr>
      <w:r>
        <w:rPr>
          <w:color w:val="auto"/>
          <w:sz w:val="24"/>
          <w:highlight w:val="none"/>
          <w:lang w:eastAsia="zh-CN"/>
        </w:rPr>
        <w:t>在本合同有效期内，由于双方无法预见和控制的原因导致本合同全部或部分无法继续履行或继续履行已无意义，经双方协商一致，可以解除本合同或承包人的部分义务。在合同解除之前，承包人应作出合理安排，使开支减至最小。</w:t>
      </w:r>
    </w:p>
    <w:p>
      <w:pPr>
        <w:pStyle w:val="5"/>
        <w:spacing w:line="305" w:lineRule="exact"/>
        <w:ind w:left="692"/>
        <w:rPr>
          <w:color w:val="auto"/>
          <w:highlight w:val="none"/>
          <w:lang w:eastAsia="zh-CN"/>
        </w:rPr>
      </w:pPr>
      <w:r>
        <w:rPr>
          <w:color w:val="auto"/>
          <w:highlight w:val="none"/>
          <w:lang w:eastAsia="zh-CN"/>
        </w:rPr>
        <w:t>解除本合同的协议必须采取书面形式，协议未达成之前，本合同仍然有效。</w:t>
      </w:r>
    </w:p>
    <w:p>
      <w:pPr>
        <w:pStyle w:val="11"/>
        <w:numPr>
          <w:ilvl w:val="2"/>
          <w:numId w:val="8"/>
        </w:numPr>
        <w:tabs>
          <w:tab w:val="left" w:pos="1353"/>
        </w:tabs>
        <w:spacing w:before="160" w:line="362" w:lineRule="auto"/>
        <w:ind w:right="335" w:firstLine="480"/>
        <w:rPr>
          <w:color w:val="auto"/>
          <w:sz w:val="24"/>
          <w:highlight w:val="none"/>
          <w:lang w:eastAsia="zh-CN"/>
        </w:rPr>
      </w:pPr>
      <w:r>
        <w:rPr>
          <w:color w:val="auto"/>
          <w:sz w:val="24"/>
          <w:highlight w:val="none"/>
          <w:lang w:eastAsia="zh-CN"/>
        </w:rPr>
        <w:t>在本合同有效期内，因非承包人的原因导致项目全部或部分暂停，发包人可通知承包人要求暂停全部或部分工作。承包人应立即安排停止工作，并将开支减至最小。</w:t>
      </w:r>
    </w:p>
    <w:p>
      <w:pPr>
        <w:pStyle w:val="11"/>
        <w:numPr>
          <w:ilvl w:val="2"/>
          <w:numId w:val="8"/>
        </w:numPr>
        <w:tabs>
          <w:tab w:val="left" w:pos="1353"/>
        </w:tabs>
        <w:spacing w:before="5" w:line="364" w:lineRule="auto"/>
        <w:ind w:right="335" w:firstLine="480"/>
        <w:rPr>
          <w:color w:val="auto"/>
          <w:sz w:val="24"/>
          <w:highlight w:val="none"/>
          <w:lang w:eastAsia="zh-CN"/>
        </w:rPr>
      </w:pPr>
      <w:r>
        <w:rPr>
          <w:color w:val="auto"/>
          <w:sz w:val="24"/>
          <w:highlight w:val="none"/>
          <w:lang w:eastAsia="zh-CN"/>
        </w:rPr>
        <w:t>因不可抗力致使本合同部分或全部不能履行时，一方应立即通知另一方，可暂停或解除本合同。</w:t>
      </w:r>
    </w:p>
    <w:p>
      <w:pPr>
        <w:pStyle w:val="11"/>
        <w:numPr>
          <w:ilvl w:val="2"/>
          <w:numId w:val="8"/>
        </w:numPr>
        <w:tabs>
          <w:tab w:val="left" w:pos="1353"/>
        </w:tabs>
        <w:spacing w:line="306" w:lineRule="exact"/>
        <w:ind w:firstLine="480"/>
        <w:rPr>
          <w:color w:val="auto"/>
          <w:sz w:val="24"/>
          <w:highlight w:val="none"/>
          <w:lang w:eastAsia="zh-CN"/>
        </w:rPr>
      </w:pPr>
      <w:r>
        <w:rPr>
          <w:color w:val="auto"/>
          <w:sz w:val="24"/>
          <w:highlight w:val="none"/>
          <w:lang w:eastAsia="zh-CN"/>
        </w:rPr>
        <w:t>本合同解除后，本合同约定的有关结算、清理、争议解决方式的条件仍然有效。</w:t>
      </w:r>
    </w:p>
    <w:p>
      <w:pPr>
        <w:pStyle w:val="5"/>
        <w:spacing w:before="158"/>
        <w:ind w:left="692"/>
        <w:rPr>
          <w:color w:val="auto"/>
          <w:highlight w:val="none"/>
          <w:lang w:eastAsia="zh-CN"/>
        </w:rPr>
      </w:pPr>
      <w:r>
        <w:rPr>
          <w:color w:val="auto"/>
          <w:highlight w:val="none"/>
          <w:lang w:eastAsia="zh-CN"/>
        </w:rPr>
        <w:t>6.4 终止</w:t>
      </w:r>
    </w:p>
    <w:p>
      <w:pPr>
        <w:pStyle w:val="5"/>
        <w:spacing w:before="161"/>
        <w:ind w:left="692"/>
        <w:rPr>
          <w:color w:val="auto"/>
          <w:highlight w:val="none"/>
          <w:lang w:eastAsia="zh-CN"/>
        </w:rPr>
      </w:pPr>
      <w:r>
        <w:rPr>
          <w:color w:val="auto"/>
          <w:highlight w:val="none"/>
          <w:lang w:eastAsia="zh-CN"/>
        </w:rPr>
        <w:t>以下条件全部满足时，本合同即告终止：</w:t>
      </w:r>
    </w:p>
    <w:p>
      <w:pPr>
        <w:pStyle w:val="5"/>
        <w:spacing w:before="158"/>
        <w:ind w:left="692"/>
        <w:rPr>
          <w:color w:val="auto"/>
          <w:highlight w:val="none"/>
          <w:lang w:eastAsia="zh-CN"/>
        </w:rPr>
      </w:pPr>
      <w:r>
        <w:rPr>
          <w:color w:val="auto"/>
          <w:highlight w:val="none"/>
          <w:lang w:eastAsia="zh-CN"/>
        </w:rPr>
        <w:t>（1）承包人完成本合同约定的全部工作；</w:t>
      </w:r>
    </w:p>
    <w:p>
      <w:pPr>
        <w:pStyle w:val="5"/>
        <w:spacing w:before="161"/>
        <w:ind w:left="692"/>
        <w:rPr>
          <w:color w:val="auto"/>
          <w:highlight w:val="none"/>
          <w:lang w:eastAsia="zh-CN"/>
        </w:rPr>
      </w:pPr>
      <w:r>
        <w:rPr>
          <w:color w:val="auto"/>
          <w:highlight w:val="none"/>
          <w:lang w:eastAsia="zh-CN"/>
        </w:rPr>
        <w:t>（2）发包人与承包人结清并支付全部酬金。</w:t>
      </w:r>
    </w:p>
    <w:p>
      <w:pPr>
        <w:pStyle w:val="5"/>
        <w:spacing w:before="10"/>
        <w:ind w:left="0"/>
        <w:rPr>
          <w:color w:val="auto"/>
          <w:highlight w:val="none"/>
          <w:lang w:eastAsia="zh-CN"/>
        </w:rPr>
      </w:pPr>
    </w:p>
    <w:p>
      <w:pPr>
        <w:pStyle w:val="5"/>
        <w:spacing w:before="1"/>
        <w:rPr>
          <w:color w:val="auto"/>
          <w:highlight w:val="none"/>
        </w:rPr>
      </w:pPr>
      <w:r>
        <w:rPr>
          <w:color w:val="auto"/>
          <w:highlight w:val="none"/>
        </w:rPr>
        <w:t>7.争议解决</w:t>
      </w:r>
    </w:p>
    <w:p>
      <w:pPr>
        <w:pStyle w:val="11"/>
        <w:numPr>
          <w:ilvl w:val="1"/>
          <w:numId w:val="9"/>
        </w:numPr>
        <w:tabs>
          <w:tab w:val="left" w:pos="1113"/>
        </w:tabs>
        <w:spacing w:before="160"/>
        <w:rPr>
          <w:color w:val="auto"/>
          <w:sz w:val="24"/>
          <w:highlight w:val="none"/>
        </w:rPr>
      </w:pPr>
      <w:r>
        <w:rPr>
          <w:color w:val="auto"/>
          <w:sz w:val="24"/>
          <w:highlight w:val="none"/>
        </w:rPr>
        <w:t>协商</w:t>
      </w:r>
    </w:p>
    <w:p>
      <w:pPr>
        <w:pStyle w:val="5"/>
        <w:spacing w:before="158"/>
        <w:ind w:left="692"/>
        <w:rPr>
          <w:color w:val="auto"/>
          <w:highlight w:val="none"/>
          <w:lang w:eastAsia="zh-CN"/>
        </w:rPr>
      </w:pPr>
      <w:r>
        <w:rPr>
          <w:color w:val="auto"/>
          <w:highlight w:val="none"/>
          <w:lang w:eastAsia="zh-CN"/>
        </w:rPr>
        <w:t>双方应本着诚信原则协商解决彼此间的争议。</w:t>
      </w:r>
    </w:p>
    <w:p>
      <w:pPr>
        <w:pStyle w:val="11"/>
        <w:numPr>
          <w:ilvl w:val="1"/>
          <w:numId w:val="9"/>
        </w:numPr>
        <w:tabs>
          <w:tab w:val="left" w:pos="1113"/>
        </w:tabs>
        <w:spacing w:before="161"/>
        <w:rPr>
          <w:color w:val="auto"/>
          <w:sz w:val="24"/>
          <w:highlight w:val="none"/>
        </w:rPr>
      </w:pPr>
      <w:r>
        <w:rPr>
          <w:color w:val="auto"/>
          <w:sz w:val="24"/>
          <w:highlight w:val="none"/>
        </w:rPr>
        <w:t>调解</w:t>
      </w:r>
    </w:p>
    <w:p>
      <w:pPr>
        <w:pStyle w:val="5"/>
        <w:spacing w:before="158" w:line="364" w:lineRule="auto"/>
        <w:ind w:right="275" w:firstLine="480"/>
        <w:rPr>
          <w:color w:val="auto"/>
          <w:highlight w:val="none"/>
          <w:lang w:eastAsia="zh-CN"/>
        </w:rPr>
      </w:pPr>
      <w:r>
        <w:rPr>
          <w:color w:val="auto"/>
          <w:highlight w:val="none"/>
          <w:lang w:eastAsia="zh-CN"/>
        </w:rPr>
        <w:t>如果双方不能在 14 天内或双方商定的其他时间内解决本合同争议，可以将其提交给专用条款约定的或事后达成协议的调解人进行调解。</w:t>
      </w:r>
    </w:p>
    <w:p>
      <w:pPr>
        <w:pStyle w:val="11"/>
        <w:numPr>
          <w:ilvl w:val="1"/>
          <w:numId w:val="9"/>
        </w:numPr>
        <w:tabs>
          <w:tab w:val="left" w:pos="1113"/>
        </w:tabs>
        <w:spacing w:line="306" w:lineRule="exact"/>
        <w:rPr>
          <w:color w:val="auto"/>
          <w:sz w:val="24"/>
          <w:highlight w:val="none"/>
        </w:rPr>
      </w:pPr>
      <w:r>
        <w:rPr>
          <w:color w:val="auto"/>
          <w:sz w:val="24"/>
          <w:highlight w:val="none"/>
        </w:rPr>
        <w:t>仲裁或诉讼</w:t>
      </w:r>
    </w:p>
    <w:p>
      <w:pPr>
        <w:pStyle w:val="5"/>
        <w:spacing w:before="160" w:line="362" w:lineRule="auto"/>
        <w:ind w:right="275" w:firstLine="480"/>
        <w:rPr>
          <w:color w:val="auto"/>
          <w:highlight w:val="none"/>
          <w:lang w:eastAsia="zh-CN"/>
        </w:rPr>
      </w:pPr>
      <w:r>
        <w:rPr>
          <w:color w:val="auto"/>
          <w:highlight w:val="none"/>
          <w:lang w:eastAsia="zh-CN"/>
        </w:rPr>
        <w:t>双方均有权不经调解直接向专用条款约定的仲裁机构申请仲裁或向有管辖权的人民法院提起诉讼。</w:t>
      </w:r>
    </w:p>
    <w:p>
      <w:pPr>
        <w:pStyle w:val="5"/>
        <w:ind w:left="0"/>
        <w:rPr>
          <w:color w:val="auto"/>
          <w:highlight w:val="none"/>
          <w:lang w:eastAsia="zh-CN"/>
        </w:rPr>
      </w:pPr>
    </w:p>
    <w:p>
      <w:pPr>
        <w:pStyle w:val="5"/>
        <w:spacing w:before="166"/>
        <w:rPr>
          <w:color w:val="auto"/>
          <w:highlight w:val="none"/>
        </w:rPr>
      </w:pPr>
      <w:r>
        <w:rPr>
          <w:color w:val="auto"/>
          <w:highlight w:val="none"/>
        </w:rPr>
        <w:t>8.其他</w:t>
      </w:r>
    </w:p>
    <w:p>
      <w:pPr>
        <w:pStyle w:val="11"/>
        <w:numPr>
          <w:ilvl w:val="1"/>
          <w:numId w:val="10"/>
        </w:numPr>
        <w:tabs>
          <w:tab w:val="left" w:pos="1113"/>
        </w:tabs>
        <w:spacing w:before="158"/>
        <w:rPr>
          <w:color w:val="auto"/>
          <w:sz w:val="24"/>
          <w:highlight w:val="none"/>
        </w:rPr>
      </w:pPr>
      <w:r>
        <w:rPr>
          <w:color w:val="auto"/>
          <w:sz w:val="24"/>
          <w:highlight w:val="none"/>
        </w:rPr>
        <w:t>外出考察费用</w:t>
      </w:r>
    </w:p>
    <w:p>
      <w:pPr>
        <w:pStyle w:val="5"/>
        <w:spacing w:before="158"/>
        <w:ind w:left="692"/>
        <w:rPr>
          <w:color w:val="auto"/>
          <w:highlight w:val="none"/>
          <w:lang w:eastAsia="zh-CN"/>
        </w:rPr>
      </w:pPr>
      <w:r>
        <w:rPr>
          <w:color w:val="auto"/>
          <w:highlight w:val="none"/>
          <w:lang w:eastAsia="zh-CN"/>
        </w:rPr>
        <w:t>委托的项目所必要的人员出外考察，其费用支出承包人自行解决。</w:t>
      </w:r>
    </w:p>
    <w:p>
      <w:pPr>
        <w:pStyle w:val="11"/>
        <w:numPr>
          <w:ilvl w:val="1"/>
          <w:numId w:val="10"/>
        </w:numPr>
        <w:tabs>
          <w:tab w:val="left" w:pos="1113"/>
        </w:tabs>
        <w:spacing w:before="160"/>
        <w:rPr>
          <w:color w:val="auto"/>
          <w:sz w:val="24"/>
          <w:highlight w:val="none"/>
        </w:rPr>
      </w:pPr>
      <w:r>
        <w:rPr>
          <w:color w:val="auto"/>
          <w:sz w:val="24"/>
          <w:highlight w:val="none"/>
        </w:rPr>
        <w:t>材料设备复试费用</w:t>
      </w:r>
    </w:p>
    <w:p>
      <w:pPr>
        <w:pStyle w:val="5"/>
        <w:spacing w:before="161" w:line="362" w:lineRule="auto"/>
        <w:ind w:right="275" w:firstLine="480"/>
        <w:rPr>
          <w:color w:val="auto"/>
          <w:highlight w:val="none"/>
          <w:lang w:eastAsia="zh-CN"/>
        </w:rPr>
      </w:pPr>
      <w:r>
        <w:rPr>
          <w:color w:val="auto"/>
          <w:highlight w:val="none"/>
          <w:lang w:eastAsia="zh-CN"/>
        </w:rPr>
        <w:t>委托的项目所必要的材料设备复试，其费用支出经发包人同意的，在预算范围内向发包人实报实销。</w:t>
      </w:r>
    </w:p>
    <w:p>
      <w:pPr>
        <w:pStyle w:val="11"/>
        <w:numPr>
          <w:ilvl w:val="1"/>
          <w:numId w:val="10"/>
        </w:numPr>
        <w:tabs>
          <w:tab w:val="left" w:pos="1113"/>
        </w:tabs>
        <w:spacing w:before="5"/>
        <w:rPr>
          <w:color w:val="auto"/>
          <w:sz w:val="24"/>
          <w:highlight w:val="none"/>
        </w:rPr>
      </w:pPr>
      <w:r>
        <w:rPr>
          <w:color w:val="auto"/>
          <w:sz w:val="24"/>
          <w:highlight w:val="none"/>
        </w:rPr>
        <w:t>咨询费用</w:t>
      </w:r>
    </w:p>
    <w:p>
      <w:pPr>
        <w:rPr>
          <w:color w:val="auto"/>
          <w:sz w:val="24"/>
          <w:highlight w:val="none"/>
        </w:rPr>
        <w:sectPr>
          <w:pgSz w:w="11910" w:h="16840"/>
          <w:pgMar w:top="1080" w:right="900" w:bottom="1060" w:left="920" w:header="0" w:footer="858" w:gutter="0"/>
          <w:cols w:space="720" w:num="1"/>
        </w:sectPr>
      </w:pPr>
    </w:p>
    <w:p>
      <w:pPr>
        <w:pStyle w:val="5"/>
        <w:spacing w:before="56" w:line="362" w:lineRule="auto"/>
        <w:ind w:right="275" w:firstLine="480"/>
        <w:rPr>
          <w:color w:val="auto"/>
          <w:highlight w:val="none"/>
          <w:lang w:eastAsia="zh-CN"/>
        </w:rPr>
      </w:pPr>
      <w:r>
        <w:rPr>
          <w:color w:val="auto"/>
          <w:highlight w:val="none"/>
          <w:lang w:eastAsia="zh-CN"/>
        </w:rPr>
        <w:t>在项目管理、施工监理业务范围内，如需聘用专家咨询或协助，由承包人聘用的，其费用由承包人承担；由发包人聘用的，其费用由发包人承担。</w:t>
      </w:r>
    </w:p>
    <w:p>
      <w:pPr>
        <w:pStyle w:val="11"/>
        <w:numPr>
          <w:ilvl w:val="1"/>
          <w:numId w:val="10"/>
        </w:numPr>
        <w:tabs>
          <w:tab w:val="left" w:pos="1113"/>
        </w:tabs>
        <w:spacing w:before="5"/>
        <w:rPr>
          <w:color w:val="auto"/>
          <w:sz w:val="24"/>
          <w:highlight w:val="none"/>
        </w:rPr>
      </w:pPr>
      <w:r>
        <w:rPr>
          <w:color w:val="auto"/>
          <w:sz w:val="24"/>
          <w:highlight w:val="none"/>
        </w:rPr>
        <w:t>奖励</w:t>
      </w:r>
    </w:p>
    <w:p>
      <w:pPr>
        <w:pStyle w:val="5"/>
        <w:spacing w:before="158" w:line="364" w:lineRule="auto"/>
        <w:ind w:right="275" w:firstLine="480"/>
        <w:rPr>
          <w:color w:val="auto"/>
          <w:highlight w:val="none"/>
          <w:lang w:eastAsia="zh-CN"/>
        </w:rPr>
      </w:pPr>
      <w:r>
        <w:rPr>
          <w:color w:val="auto"/>
          <w:highlight w:val="none"/>
          <w:lang w:eastAsia="zh-CN"/>
        </w:rPr>
        <w:t>承包人在服务过程中提出的合理化建议，使发包人获得经济效益的，双方在专用条款中约定奖励金额的确定方法。</w:t>
      </w:r>
    </w:p>
    <w:p>
      <w:pPr>
        <w:pStyle w:val="11"/>
        <w:numPr>
          <w:ilvl w:val="1"/>
          <w:numId w:val="10"/>
        </w:numPr>
        <w:tabs>
          <w:tab w:val="left" w:pos="1113"/>
        </w:tabs>
        <w:spacing w:line="306" w:lineRule="exact"/>
        <w:rPr>
          <w:color w:val="auto"/>
          <w:sz w:val="24"/>
          <w:highlight w:val="none"/>
        </w:rPr>
      </w:pPr>
      <w:r>
        <w:rPr>
          <w:color w:val="auto"/>
          <w:sz w:val="24"/>
          <w:highlight w:val="none"/>
        </w:rPr>
        <w:t>守法诚信</w:t>
      </w:r>
    </w:p>
    <w:p>
      <w:pPr>
        <w:pStyle w:val="5"/>
        <w:spacing w:before="160"/>
        <w:ind w:left="692"/>
        <w:rPr>
          <w:color w:val="auto"/>
          <w:highlight w:val="none"/>
          <w:lang w:eastAsia="zh-CN"/>
        </w:rPr>
      </w:pPr>
      <w:r>
        <w:rPr>
          <w:color w:val="auto"/>
          <w:highlight w:val="none"/>
          <w:lang w:eastAsia="zh-CN"/>
        </w:rPr>
        <w:t>承包人及其工作人员不得从与实施项目有关的第三方处获得任何经济利益。</w:t>
      </w:r>
    </w:p>
    <w:p>
      <w:pPr>
        <w:pStyle w:val="11"/>
        <w:numPr>
          <w:ilvl w:val="1"/>
          <w:numId w:val="10"/>
        </w:numPr>
        <w:tabs>
          <w:tab w:val="left" w:pos="1113"/>
        </w:tabs>
        <w:spacing w:before="161"/>
        <w:rPr>
          <w:color w:val="auto"/>
          <w:sz w:val="24"/>
          <w:highlight w:val="none"/>
        </w:rPr>
      </w:pPr>
      <w:r>
        <w:rPr>
          <w:color w:val="auto"/>
          <w:sz w:val="24"/>
          <w:highlight w:val="none"/>
        </w:rPr>
        <w:t>保密</w:t>
      </w:r>
    </w:p>
    <w:p>
      <w:pPr>
        <w:pStyle w:val="5"/>
        <w:spacing w:before="158" w:line="362" w:lineRule="auto"/>
        <w:ind w:right="275" w:firstLine="480"/>
        <w:rPr>
          <w:color w:val="auto"/>
          <w:highlight w:val="none"/>
          <w:lang w:eastAsia="zh-CN"/>
        </w:rPr>
      </w:pPr>
      <w:r>
        <w:rPr>
          <w:color w:val="auto"/>
          <w:highlight w:val="none"/>
          <w:lang w:eastAsia="zh-CN"/>
        </w:rPr>
        <w:t>未经对方同意，任何一方当事人不得将有关文件、技术秘密、需要保密的资料和信息泄露给他人或公开发表与引用。</w:t>
      </w:r>
    </w:p>
    <w:p>
      <w:pPr>
        <w:pStyle w:val="11"/>
        <w:numPr>
          <w:ilvl w:val="1"/>
          <w:numId w:val="10"/>
        </w:numPr>
        <w:tabs>
          <w:tab w:val="left" w:pos="1113"/>
        </w:tabs>
        <w:spacing w:before="5"/>
        <w:rPr>
          <w:color w:val="auto"/>
          <w:sz w:val="24"/>
          <w:highlight w:val="none"/>
        </w:rPr>
      </w:pPr>
      <w:r>
        <w:rPr>
          <w:color w:val="auto"/>
          <w:sz w:val="24"/>
          <w:highlight w:val="none"/>
        </w:rPr>
        <w:t>通知</w:t>
      </w:r>
    </w:p>
    <w:p>
      <w:pPr>
        <w:pStyle w:val="5"/>
        <w:spacing w:before="158"/>
        <w:ind w:left="692"/>
        <w:rPr>
          <w:color w:val="auto"/>
          <w:highlight w:val="none"/>
          <w:lang w:eastAsia="zh-CN"/>
        </w:rPr>
      </w:pPr>
      <w:r>
        <w:rPr>
          <w:color w:val="auto"/>
          <w:highlight w:val="none"/>
          <w:lang w:eastAsia="zh-CN"/>
        </w:rPr>
        <w:t>本合同涉及的通知均应当采用书面形式，并在送达对方时生效，收件人应书面签收。</w:t>
      </w:r>
    </w:p>
    <w:p>
      <w:pPr>
        <w:pStyle w:val="11"/>
        <w:numPr>
          <w:ilvl w:val="1"/>
          <w:numId w:val="10"/>
        </w:numPr>
        <w:tabs>
          <w:tab w:val="left" w:pos="1113"/>
        </w:tabs>
        <w:spacing w:before="161"/>
        <w:rPr>
          <w:color w:val="auto"/>
          <w:sz w:val="24"/>
          <w:highlight w:val="none"/>
        </w:rPr>
      </w:pPr>
      <w:r>
        <w:rPr>
          <w:color w:val="auto"/>
          <w:sz w:val="24"/>
          <w:highlight w:val="none"/>
        </w:rPr>
        <w:t>著作权</w:t>
      </w:r>
    </w:p>
    <w:p>
      <w:pPr>
        <w:pStyle w:val="5"/>
        <w:spacing w:before="160"/>
        <w:ind w:left="692"/>
        <w:rPr>
          <w:color w:val="auto"/>
          <w:highlight w:val="none"/>
          <w:lang w:eastAsia="zh-CN"/>
        </w:rPr>
      </w:pPr>
      <w:r>
        <w:rPr>
          <w:color w:val="auto"/>
          <w:highlight w:val="none"/>
          <w:lang w:eastAsia="zh-CN"/>
        </w:rPr>
        <w:t>承包人对其编制的文件拥有著作权。</w:t>
      </w:r>
    </w:p>
    <w:p>
      <w:pPr>
        <w:pStyle w:val="5"/>
        <w:spacing w:before="158" w:line="364" w:lineRule="auto"/>
        <w:ind w:right="275" w:firstLine="480"/>
        <w:jc w:val="both"/>
        <w:rPr>
          <w:color w:val="auto"/>
          <w:highlight w:val="none"/>
          <w:lang w:eastAsia="zh-CN"/>
        </w:rPr>
      </w:pPr>
      <w:r>
        <w:rPr>
          <w:color w:val="auto"/>
          <w:highlight w:val="none"/>
          <w:lang w:eastAsia="zh-CN"/>
        </w:rPr>
        <w:t>承包人可单独或与他人联合出版有关项目建设管理、监理与相关服务的资料。除专用条款另有约定外，如果承包人在本合同履行期间及本合同终止后两年内出版涉及本项目的有关项目管理、施工监理与相关服务的资料，应当征得发包人的同意。</w:t>
      </w:r>
    </w:p>
    <w:p>
      <w:pPr>
        <w:spacing w:line="364" w:lineRule="auto"/>
        <w:jc w:val="both"/>
        <w:rPr>
          <w:color w:val="auto"/>
          <w:highlight w:val="none"/>
          <w:lang w:eastAsia="zh-CN"/>
        </w:rPr>
        <w:sectPr>
          <w:pgSz w:w="11910" w:h="16840"/>
          <w:pgMar w:top="1080" w:right="900" w:bottom="1060" w:left="920" w:header="0" w:footer="858" w:gutter="0"/>
          <w:cols w:space="720" w:num="1"/>
        </w:sectPr>
      </w:pPr>
    </w:p>
    <w:p>
      <w:pPr>
        <w:pStyle w:val="2"/>
        <w:spacing w:before="45"/>
        <w:rPr>
          <w:color w:val="auto"/>
          <w:highlight w:val="none"/>
          <w:lang w:eastAsia="zh-CN"/>
        </w:rPr>
      </w:pPr>
      <w:bookmarkStart w:id="4" w:name="_bookmark2"/>
      <w:bookmarkEnd w:id="4"/>
      <w:bookmarkStart w:id="5" w:name="第三部分_专用条款"/>
      <w:bookmarkEnd w:id="5"/>
      <w:r>
        <w:rPr>
          <w:color w:val="auto"/>
          <w:highlight w:val="none"/>
          <w:lang w:eastAsia="zh-CN"/>
        </w:rPr>
        <w:t>第三部分 专用条款</w:t>
      </w:r>
    </w:p>
    <w:p>
      <w:pPr>
        <w:pStyle w:val="5"/>
        <w:spacing w:before="199"/>
        <w:rPr>
          <w:color w:val="auto"/>
          <w:highlight w:val="none"/>
          <w:lang w:eastAsia="zh-CN"/>
        </w:rPr>
      </w:pPr>
      <w:r>
        <w:rPr>
          <w:color w:val="auto"/>
          <w:highlight w:val="none"/>
          <w:lang w:eastAsia="zh-CN"/>
        </w:rPr>
        <w:t>1.定义与解释</w:t>
      </w:r>
    </w:p>
    <w:p>
      <w:pPr>
        <w:pStyle w:val="11"/>
        <w:numPr>
          <w:ilvl w:val="1"/>
          <w:numId w:val="11"/>
        </w:numPr>
        <w:tabs>
          <w:tab w:val="left" w:pos="633"/>
        </w:tabs>
        <w:spacing w:before="161"/>
        <w:rPr>
          <w:color w:val="auto"/>
          <w:sz w:val="24"/>
          <w:highlight w:val="none"/>
        </w:rPr>
      </w:pPr>
      <w:r>
        <w:rPr>
          <w:color w:val="auto"/>
          <w:sz w:val="24"/>
          <w:highlight w:val="none"/>
        </w:rPr>
        <w:t>解释</w:t>
      </w:r>
    </w:p>
    <w:p>
      <w:pPr>
        <w:pStyle w:val="11"/>
        <w:numPr>
          <w:ilvl w:val="2"/>
          <w:numId w:val="11"/>
        </w:numPr>
        <w:tabs>
          <w:tab w:val="left" w:pos="1353"/>
        </w:tabs>
        <w:spacing w:before="158"/>
        <w:rPr>
          <w:color w:val="auto"/>
          <w:sz w:val="24"/>
          <w:highlight w:val="none"/>
          <w:lang w:eastAsia="zh-CN"/>
        </w:rPr>
      </w:pPr>
      <w:r>
        <w:rPr>
          <w:color w:val="auto"/>
          <w:sz w:val="24"/>
          <w:highlight w:val="none"/>
          <w:lang w:eastAsia="zh-CN"/>
        </w:rPr>
        <w:t>本合同文件除使用中文外，还可用</w:t>
      </w:r>
      <w:r>
        <w:rPr>
          <w:color w:val="auto"/>
          <w:spacing w:val="-1"/>
          <w:sz w:val="24"/>
          <w:highlight w:val="none"/>
          <w:u w:val="single"/>
          <w:lang w:eastAsia="zh-CN"/>
        </w:rPr>
        <w:t xml:space="preserve"> </w:t>
      </w:r>
      <w:r>
        <w:rPr>
          <w:color w:val="auto"/>
          <w:sz w:val="24"/>
          <w:highlight w:val="none"/>
          <w:u w:val="single"/>
          <w:lang w:eastAsia="zh-CN"/>
        </w:rPr>
        <w:t>/</w:t>
      </w:r>
      <w:r>
        <w:rPr>
          <w:color w:val="auto"/>
          <w:spacing w:val="-31"/>
          <w:sz w:val="24"/>
          <w:highlight w:val="none"/>
          <w:lang w:eastAsia="zh-CN"/>
        </w:rPr>
        <w:t xml:space="preserve"> 。</w:t>
      </w:r>
    </w:p>
    <w:p>
      <w:pPr>
        <w:pStyle w:val="11"/>
        <w:numPr>
          <w:ilvl w:val="2"/>
          <w:numId w:val="11"/>
        </w:numPr>
        <w:tabs>
          <w:tab w:val="left" w:pos="1353"/>
        </w:tabs>
        <w:spacing w:before="160"/>
        <w:rPr>
          <w:color w:val="auto"/>
          <w:sz w:val="24"/>
          <w:highlight w:val="none"/>
          <w:lang w:eastAsia="zh-CN"/>
        </w:rPr>
      </w:pPr>
      <w:r>
        <w:rPr>
          <w:color w:val="auto"/>
          <w:sz w:val="24"/>
          <w:highlight w:val="none"/>
          <w:lang w:eastAsia="zh-CN"/>
        </w:rPr>
        <w:t>约定本合同文件的解释顺序为：</w:t>
      </w:r>
      <w:r>
        <w:rPr>
          <w:color w:val="auto"/>
          <w:sz w:val="24"/>
          <w:highlight w:val="none"/>
          <w:u w:val="single"/>
          <w:lang w:eastAsia="zh-CN"/>
        </w:rPr>
        <w:t>按合同协议书第五条约定执行。</w:t>
      </w:r>
    </w:p>
    <w:p>
      <w:pPr>
        <w:pStyle w:val="5"/>
        <w:spacing w:before="66"/>
        <w:rPr>
          <w:color w:val="auto"/>
          <w:highlight w:val="none"/>
        </w:rPr>
      </w:pPr>
      <w:r>
        <w:rPr>
          <w:color w:val="auto"/>
          <w:highlight w:val="none"/>
        </w:rPr>
        <w:t>2.承包人义务</w:t>
      </w:r>
    </w:p>
    <w:p>
      <w:pPr>
        <w:pStyle w:val="11"/>
        <w:numPr>
          <w:ilvl w:val="1"/>
          <w:numId w:val="12"/>
        </w:numPr>
        <w:tabs>
          <w:tab w:val="left" w:pos="633"/>
        </w:tabs>
        <w:spacing w:before="161"/>
        <w:rPr>
          <w:color w:val="auto"/>
          <w:sz w:val="24"/>
          <w:highlight w:val="none"/>
        </w:rPr>
      </w:pPr>
      <w:r>
        <w:rPr>
          <w:color w:val="auto"/>
          <w:sz w:val="24"/>
          <w:highlight w:val="none"/>
        </w:rPr>
        <w:t>服务的范围和内容</w:t>
      </w:r>
    </w:p>
    <w:p>
      <w:pPr>
        <w:pStyle w:val="11"/>
        <w:numPr>
          <w:ilvl w:val="2"/>
          <w:numId w:val="12"/>
        </w:numPr>
        <w:tabs>
          <w:tab w:val="left" w:pos="1353"/>
        </w:tabs>
        <w:spacing w:before="160"/>
        <w:rPr>
          <w:color w:val="auto"/>
          <w:sz w:val="24"/>
          <w:highlight w:val="none"/>
        </w:rPr>
      </w:pPr>
      <w:r>
        <w:rPr>
          <w:color w:val="auto"/>
          <w:sz w:val="24"/>
          <w:highlight w:val="none"/>
        </w:rPr>
        <w:t>服务范围包括：</w:t>
      </w:r>
    </w:p>
    <w:p>
      <w:pPr>
        <w:pStyle w:val="5"/>
        <w:spacing w:before="158" w:line="364" w:lineRule="auto"/>
        <w:ind w:right="395" w:firstLine="480"/>
        <w:rPr>
          <w:color w:val="auto"/>
          <w:highlight w:val="none"/>
          <w:lang w:eastAsia="zh-CN"/>
        </w:rPr>
      </w:pPr>
      <w:r>
        <w:rPr>
          <w:color w:val="auto"/>
          <w:highlight w:val="none"/>
          <w:u w:val="single"/>
          <w:lang w:eastAsia="zh-CN"/>
        </w:rPr>
        <w:t>在服务期间，开展</w:t>
      </w:r>
      <w:r>
        <w:rPr>
          <w:rFonts w:hint="eastAsia"/>
          <w:bCs/>
          <w:color w:val="auto"/>
          <w:highlight w:val="none"/>
          <w:u w:val="single"/>
          <w:lang w:eastAsia="zh-CN"/>
        </w:rPr>
        <w:t>榄核镇东丫涌等53条河涌（道）整治工程</w:t>
      </w:r>
      <w:r>
        <w:rPr>
          <w:color w:val="auto"/>
          <w:highlight w:val="none"/>
          <w:u w:val="single"/>
          <w:lang w:eastAsia="zh-CN"/>
        </w:rPr>
        <w:t>全过程监督、管理工作，及时掌握和解决施工单位在项目实施过程中存在的问题，并提出合理的解决方</w:t>
      </w:r>
      <w:r>
        <w:rPr>
          <w:color w:val="auto"/>
          <w:spacing w:val="-127"/>
          <w:highlight w:val="none"/>
          <w:u w:val="single"/>
          <w:lang w:eastAsia="zh-CN"/>
        </w:rPr>
        <w:t>案</w:t>
      </w:r>
      <w:r>
        <w:rPr>
          <w:color w:val="auto"/>
          <w:highlight w:val="none"/>
          <w:u w:val="single"/>
          <w:lang w:eastAsia="zh-CN"/>
        </w:rPr>
        <w:t>。</w:t>
      </w:r>
    </w:p>
    <w:p>
      <w:pPr>
        <w:pStyle w:val="11"/>
        <w:numPr>
          <w:ilvl w:val="2"/>
          <w:numId w:val="12"/>
        </w:numPr>
        <w:tabs>
          <w:tab w:val="left" w:pos="1353"/>
        </w:tabs>
        <w:spacing w:line="307" w:lineRule="exact"/>
        <w:rPr>
          <w:color w:val="auto"/>
          <w:sz w:val="24"/>
          <w:szCs w:val="24"/>
          <w:highlight w:val="none"/>
          <w:lang w:eastAsia="zh-CN"/>
        </w:rPr>
      </w:pPr>
      <w:r>
        <w:rPr>
          <w:color w:val="auto"/>
          <w:sz w:val="24"/>
          <w:szCs w:val="24"/>
          <w:highlight w:val="none"/>
          <w:lang w:eastAsia="zh-CN"/>
        </w:rPr>
        <w:t>工作内容包括但不限于以下内容：</w:t>
      </w:r>
    </w:p>
    <w:p>
      <w:pPr>
        <w:pStyle w:val="5"/>
        <w:spacing w:before="161"/>
        <w:ind w:left="692"/>
        <w:rPr>
          <w:color w:val="auto"/>
          <w:highlight w:val="none"/>
          <w:lang w:eastAsia="zh-CN"/>
        </w:rPr>
      </w:pPr>
      <w:r>
        <w:rPr>
          <w:color w:val="auto"/>
          <w:highlight w:val="none"/>
          <w:lang w:eastAsia="zh-CN"/>
        </w:rPr>
        <w:t>2.1.2.1 项目管理工作内容</w:t>
      </w:r>
    </w:p>
    <w:p>
      <w:pPr>
        <w:pStyle w:val="5"/>
        <w:spacing w:before="158"/>
        <w:ind w:left="692"/>
        <w:rPr>
          <w:color w:val="auto"/>
          <w:highlight w:val="none"/>
          <w:lang w:eastAsia="zh-CN"/>
        </w:rPr>
      </w:pPr>
      <w:r>
        <w:rPr>
          <w:color w:val="auto"/>
          <w:highlight w:val="none"/>
          <w:lang w:eastAsia="zh-CN"/>
        </w:rPr>
        <w:t>（1）项目组织工作</w:t>
      </w:r>
    </w:p>
    <w:p>
      <w:pPr>
        <w:pStyle w:val="11"/>
        <w:numPr>
          <w:ilvl w:val="1"/>
          <w:numId w:val="13"/>
        </w:numPr>
        <w:tabs>
          <w:tab w:val="left" w:pos="1113"/>
        </w:tabs>
        <w:spacing w:before="158" w:line="364" w:lineRule="auto"/>
        <w:ind w:right="335" w:firstLine="480"/>
        <w:rPr>
          <w:color w:val="auto"/>
          <w:sz w:val="24"/>
          <w:szCs w:val="24"/>
          <w:highlight w:val="none"/>
          <w:lang w:eastAsia="zh-CN"/>
        </w:rPr>
      </w:pPr>
      <w:r>
        <w:rPr>
          <w:color w:val="auto"/>
          <w:sz w:val="24"/>
          <w:szCs w:val="24"/>
          <w:highlight w:val="none"/>
          <w:lang w:eastAsia="zh-CN"/>
        </w:rPr>
        <w:t>项目管理单位应当按发包人的要求，编制维修改造计划，并依据国家有关技术规范和标准来组织、监督施工单位进行</w:t>
      </w:r>
      <w:r>
        <w:rPr>
          <w:rFonts w:hint="eastAsia"/>
          <w:color w:val="auto"/>
          <w:sz w:val="24"/>
          <w:szCs w:val="24"/>
          <w:highlight w:val="none"/>
          <w:lang w:eastAsia="zh-CN"/>
        </w:rPr>
        <w:t>河涌</w:t>
      </w:r>
      <w:r>
        <w:rPr>
          <w:color w:val="auto"/>
          <w:sz w:val="24"/>
          <w:szCs w:val="24"/>
          <w:highlight w:val="none"/>
          <w:lang w:eastAsia="zh-CN"/>
        </w:rPr>
        <w:t>整治作业。</w:t>
      </w:r>
    </w:p>
    <w:p>
      <w:pPr>
        <w:pStyle w:val="11"/>
        <w:numPr>
          <w:ilvl w:val="1"/>
          <w:numId w:val="13"/>
        </w:numPr>
        <w:tabs>
          <w:tab w:val="left" w:pos="1113"/>
        </w:tabs>
        <w:spacing w:line="364" w:lineRule="auto"/>
        <w:ind w:right="395" w:firstLine="480"/>
        <w:rPr>
          <w:color w:val="auto"/>
          <w:sz w:val="24"/>
          <w:szCs w:val="24"/>
          <w:highlight w:val="none"/>
          <w:lang w:eastAsia="zh-CN"/>
        </w:rPr>
      </w:pPr>
      <w:r>
        <w:rPr>
          <w:color w:val="auto"/>
          <w:sz w:val="24"/>
          <w:szCs w:val="24"/>
          <w:highlight w:val="none"/>
          <w:lang w:eastAsia="zh-CN"/>
        </w:rPr>
        <w:t>项目管理单位必须建立</w:t>
      </w:r>
      <w:r>
        <w:rPr>
          <w:rFonts w:hint="eastAsia"/>
          <w:color w:val="auto"/>
          <w:sz w:val="24"/>
          <w:szCs w:val="24"/>
          <w:highlight w:val="none"/>
          <w:u w:val="single"/>
          <w:lang w:eastAsia="zh-CN"/>
        </w:rPr>
        <w:t xml:space="preserve">  </w:t>
      </w:r>
      <w:r>
        <w:rPr>
          <w:rFonts w:hint="eastAsia"/>
          <w:bCs/>
          <w:color w:val="auto"/>
          <w:sz w:val="24"/>
          <w:szCs w:val="24"/>
          <w:highlight w:val="none"/>
          <w:u w:val="single"/>
          <w:lang w:eastAsia="zh-CN"/>
        </w:rPr>
        <w:t>榄核镇东丫涌等53条河涌（道）整治工程</w:t>
      </w:r>
      <w:r>
        <w:rPr>
          <w:rFonts w:hint="eastAsia"/>
          <w:color w:val="auto"/>
          <w:sz w:val="24"/>
          <w:szCs w:val="24"/>
          <w:highlight w:val="none"/>
          <w:u w:val="single"/>
          <w:lang w:eastAsia="zh-CN"/>
        </w:rPr>
        <w:t xml:space="preserve"> </w:t>
      </w:r>
      <w:r>
        <w:rPr>
          <w:color w:val="auto"/>
          <w:sz w:val="24"/>
          <w:szCs w:val="24"/>
          <w:highlight w:val="none"/>
          <w:lang w:eastAsia="zh-CN"/>
        </w:rPr>
        <w:t>的巡视检查制度，督促施工单位履行职责，保障</w:t>
      </w:r>
      <w:r>
        <w:rPr>
          <w:rFonts w:hint="eastAsia"/>
          <w:color w:val="auto"/>
          <w:sz w:val="24"/>
          <w:szCs w:val="24"/>
          <w:highlight w:val="none"/>
          <w:u w:val="single"/>
          <w:lang w:eastAsia="zh-CN"/>
        </w:rPr>
        <w:t xml:space="preserve"> </w:t>
      </w:r>
      <w:r>
        <w:rPr>
          <w:rFonts w:hint="eastAsia"/>
          <w:bCs/>
          <w:color w:val="auto"/>
          <w:sz w:val="24"/>
          <w:szCs w:val="24"/>
          <w:highlight w:val="none"/>
          <w:u w:val="single"/>
          <w:lang w:eastAsia="zh-CN"/>
        </w:rPr>
        <w:t>榄核镇东丫涌等53条河涌（道）整治工程</w:t>
      </w:r>
      <w:r>
        <w:rPr>
          <w:rFonts w:hint="eastAsia"/>
          <w:color w:val="auto"/>
          <w:sz w:val="24"/>
          <w:szCs w:val="24"/>
          <w:highlight w:val="none"/>
          <w:u w:val="single"/>
          <w:lang w:eastAsia="zh-CN"/>
        </w:rPr>
        <w:t xml:space="preserve"> </w:t>
      </w:r>
      <w:r>
        <w:rPr>
          <w:color w:val="auto"/>
          <w:sz w:val="24"/>
          <w:szCs w:val="24"/>
          <w:highlight w:val="none"/>
          <w:lang w:eastAsia="zh-CN"/>
        </w:rPr>
        <w:t>的完好。</w:t>
      </w:r>
    </w:p>
    <w:p>
      <w:pPr>
        <w:pStyle w:val="11"/>
        <w:numPr>
          <w:ilvl w:val="1"/>
          <w:numId w:val="13"/>
        </w:numPr>
        <w:tabs>
          <w:tab w:val="left" w:pos="1113"/>
        </w:tabs>
        <w:spacing w:before="158"/>
        <w:ind w:firstLine="480"/>
        <w:rPr>
          <w:color w:val="auto"/>
          <w:sz w:val="24"/>
          <w:szCs w:val="24"/>
          <w:highlight w:val="none"/>
          <w:lang w:eastAsia="zh-CN"/>
        </w:rPr>
      </w:pPr>
      <w:r>
        <w:rPr>
          <w:color w:val="auto"/>
          <w:sz w:val="24"/>
          <w:szCs w:val="24"/>
          <w:highlight w:val="none"/>
          <w:lang w:eastAsia="zh-CN"/>
        </w:rPr>
        <w:t>项目管理单位应负责所管范围现场全部作业的安全。</w:t>
      </w:r>
    </w:p>
    <w:p>
      <w:pPr>
        <w:pStyle w:val="11"/>
        <w:numPr>
          <w:ilvl w:val="1"/>
          <w:numId w:val="13"/>
        </w:numPr>
        <w:tabs>
          <w:tab w:val="left" w:pos="1113"/>
        </w:tabs>
        <w:spacing w:before="161" w:line="362" w:lineRule="auto"/>
        <w:ind w:right="335" w:firstLine="480"/>
        <w:rPr>
          <w:color w:val="auto"/>
          <w:sz w:val="24"/>
          <w:szCs w:val="24"/>
          <w:highlight w:val="none"/>
          <w:lang w:eastAsia="zh-CN"/>
        </w:rPr>
      </w:pPr>
      <w:r>
        <w:rPr>
          <w:color w:val="auto"/>
          <w:sz w:val="24"/>
          <w:szCs w:val="24"/>
          <w:highlight w:val="none"/>
          <w:lang w:eastAsia="zh-CN"/>
        </w:rPr>
        <w:t>协助发包人对</w:t>
      </w:r>
      <w:r>
        <w:rPr>
          <w:rFonts w:hint="eastAsia"/>
          <w:bCs/>
          <w:color w:val="auto"/>
          <w:sz w:val="24"/>
          <w:szCs w:val="24"/>
          <w:highlight w:val="none"/>
          <w:u w:val="single"/>
          <w:lang w:eastAsia="zh-CN"/>
        </w:rPr>
        <w:t>榄核镇东丫涌等53条河涌（道）整治工程</w:t>
      </w:r>
      <w:r>
        <w:rPr>
          <w:color w:val="auto"/>
          <w:sz w:val="24"/>
          <w:szCs w:val="24"/>
          <w:highlight w:val="none"/>
          <w:lang w:eastAsia="zh-CN"/>
        </w:rPr>
        <w:t>的报批。积极协助设计方案的编制及组织相应的评审工作。</w:t>
      </w:r>
    </w:p>
    <w:p>
      <w:pPr>
        <w:pStyle w:val="11"/>
        <w:numPr>
          <w:ilvl w:val="1"/>
          <w:numId w:val="13"/>
        </w:numPr>
        <w:tabs>
          <w:tab w:val="left" w:pos="1113"/>
        </w:tabs>
        <w:spacing w:before="5" w:line="362" w:lineRule="auto"/>
        <w:ind w:right="455" w:firstLine="480"/>
        <w:rPr>
          <w:color w:val="auto"/>
          <w:sz w:val="24"/>
          <w:szCs w:val="24"/>
          <w:highlight w:val="none"/>
          <w:lang w:eastAsia="zh-CN"/>
        </w:rPr>
      </w:pPr>
      <w:r>
        <w:rPr>
          <w:color w:val="auto"/>
          <w:sz w:val="24"/>
          <w:szCs w:val="24"/>
          <w:highlight w:val="none"/>
          <w:lang w:eastAsia="zh-CN"/>
        </w:rPr>
        <w:t>负责制定和完善</w:t>
      </w:r>
      <w:r>
        <w:rPr>
          <w:rFonts w:hint="eastAsia"/>
          <w:bCs/>
          <w:color w:val="auto"/>
          <w:sz w:val="24"/>
          <w:szCs w:val="24"/>
          <w:highlight w:val="none"/>
          <w:u w:val="single"/>
          <w:lang w:eastAsia="zh-CN"/>
        </w:rPr>
        <w:t>榄核镇东丫涌等53条河涌（道）整治工程</w:t>
      </w:r>
      <w:r>
        <w:rPr>
          <w:color w:val="auto"/>
          <w:sz w:val="24"/>
          <w:szCs w:val="24"/>
          <w:highlight w:val="none"/>
          <w:lang w:eastAsia="zh-CN"/>
        </w:rPr>
        <w:t>总体计划及管理工作大纲。</w:t>
      </w:r>
    </w:p>
    <w:p>
      <w:pPr>
        <w:pStyle w:val="11"/>
        <w:numPr>
          <w:ilvl w:val="1"/>
          <w:numId w:val="13"/>
        </w:numPr>
        <w:tabs>
          <w:tab w:val="left" w:pos="1113"/>
        </w:tabs>
        <w:spacing w:before="4" w:line="362" w:lineRule="auto"/>
        <w:ind w:right="455" w:firstLine="480"/>
        <w:rPr>
          <w:color w:val="auto"/>
          <w:sz w:val="24"/>
          <w:szCs w:val="24"/>
          <w:highlight w:val="none"/>
          <w:lang w:eastAsia="zh-CN"/>
        </w:rPr>
      </w:pPr>
      <w:r>
        <w:rPr>
          <w:color w:val="auto"/>
          <w:sz w:val="24"/>
          <w:szCs w:val="24"/>
          <w:highlight w:val="none"/>
          <w:lang w:eastAsia="zh-CN"/>
        </w:rPr>
        <w:t>负责制定</w:t>
      </w:r>
      <w:r>
        <w:rPr>
          <w:rFonts w:hint="eastAsia"/>
          <w:bCs/>
          <w:color w:val="auto"/>
          <w:sz w:val="24"/>
          <w:szCs w:val="24"/>
          <w:highlight w:val="none"/>
          <w:u w:val="single"/>
          <w:lang w:eastAsia="zh-CN"/>
        </w:rPr>
        <w:t>榄核镇东丫涌等53条河涌（道）整治工程</w:t>
      </w:r>
      <w:r>
        <w:rPr>
          <w:color w:val="auto"/>
          <w:sz w:val="24"/>
          <w:szCs w:val="24"/>
          <w:highlight w:val="none"/>
          <w:lang w:eastAsia="zh-CN"/>
        </w:rPr>
        <w:t>设计工作管理规划和信息管理系统。</w:t>
      </w:r>
    </w:p>
    <w:p>
      <w:pPr>
        <w:pStyle w:val="11"/>
        <w:numPr>
          <w:ilvl w:val="1"/>
          <w:numId w:val="13"/>
        </w:numPr>
        <w:tabs>
          <w:tab w:val="left" w:pos="1113"/>
        </w:tabs>
        <w:spacing w:before="5" w:line="362" w:lineRule="auto"/>
        <w:ind w:right="455" w:firstLine="480"/>
        <w:rPr>
          <w:color w:val="auto"/>
          <w:sz w:val="24"/>
          <w:szCs w:val="24"/>
          <w:highlight w:val="none"/>
          <w:lang w:eastAsia="zh-CN"/>
        </w:rPr>
      </w:pPr>
      <w:r>
        <w:rPr>
          <w:color w:val="auto"/>
          <w:sz w:val="24"/>
          <w:szCs w:val="24"/>
          <w:highlight w:val="none"/>
          <w:lang w:eastAsia="zh-CN"/>
        </w:rPr>
        <w:t>负责制定、建立</w:t>
      </w:r>
      <w:r>
        <w:rPr>
          <w:rFonts w:hint="eastAsia"/>
          <w:bCs/>
          <w:color w:val="auto"/>
          <w:sz w:val="24"/>
          <w:szCs w:val="24"/>
          <w:highlight w:val="none"/>
          <w:u w:val="single"/>
          <w:lang w:eastAsia="zh-CN"/>
        </w:rPr>
        <w:t>榄核镇东丫涌等53条河涌（道）整治工程</w:t>
      </w:r>
      <w:r>
        <w:rPr>
          <w:color w:val="auto"/>
          <w:sz w:val="24"/>
          <w:szCs w:val="24"/>
          <w:highlight w:val="none"/>
          <w:lang w:eastAsia="zh-CN"/>
        </w:rPr>
        <w:t>档案及技术资料管理系统。</w:t>
      </w:r>
    </w:p>
    <w:p>
      <w:pPr>
        <w:pStyle w:val="5"/>
        <w:spacing w:before="5"/>
        <w:ind w:left="692"/>
        <w:rPr>
          <w:color w:val="auto"/>
          <w:highlight w:val="none"/>
          <w:lang w:eastAsia="zh-CN"/>
        </w:rPr>
      </w:pPr>
      <w:r>
        <w:rPr>
          <w:color w:val="auto"/>
          <w:highlight w:val="none"/>
          <w:lang w:eastAsia="zh-CN"/>
        </w:rPr>
        <w:t>（2）项目合同管理工作</w:t>
      </w:r>
    </w:p>
    <w:p>
      <w:pPr>
        <w:pStyle w:val="11"/>
        <w:numPr>
          <w:ilvl w:val="1"/>
          <w:numId w:val="14"/>
        </w:numPr>
        <w:tabs>
          <w:tab w:val="left" w:pos="1113"/>
        </w:tabs>
        <w:spacing w:before="56" w:line="362" w:lineRule="auto"/>
        <w:ind w:right="455" w:firstLine="480"/>
        <w:rPr>
          <w:color w:val="auto"/>
          <w:sz w:val="24"/>
          <w:szCs w:val="24"/>
          <w:highlight w:val="none"/>
          <w:lang w:eastAsia="zh-CN"/>
        </w:rPr>
      </w:pPr>
      <w:r>
        <w:rPr>
          <w:color w:val="auto"/>
          <w:sz w:val="24"/>
          <w:szCs w:val="24"/>
          <w:highlight w:val="none"/>
          <w:lang w:eastAsia="zh-CN"/>
        </w:rPr>
        <w:t>负责研究建立</w:t>
      </w:r>
      <w:r>
        <w:rPr>
          <w:rFonts w:hint="eastAsia"/>
          <w:bCs/>
          <w:color w:val="auto"/>
          <w:sz w:val="24"/>
          <w:szCs w:val="24"/>
          <w:highlight w:val="none"/>
          <w:u w:val="single"/>
          <w:lang w:eastAsia="zh-CN"/>
        </w:rPr>
        <w:t>榄核镇东丫涌等53条河涌（道）整治工程</w:t>
      </w:r>
      <w:r>
        <w:rPr>
          <w:color w:val="auto"/>
          <w:sz w:val="24"/>
          <w:szCs w:val="24"/>
          <w:highlight w:val="none"/>
          <w:lang w:eastAsia="zh-CN"/>
        </w:rPr>
        <w:t>的合同管理办法，并严格履行，使其发挥作用。</w:t>
      </w:r>
    </w:p>
    <w:p>
      <w:pPr>
        <w:pStyle w:val="11"/>
        <w:numPr>
          <w:ilvl w:val="1"/>
          <w:numId w:val="14"/>
        </w:numPr>
        <w:tabs>
          <w:tab w:val="left" w:pos="1113"/>
        </w:tabs>
        <w:spacing w:before="5" w:line="364" w:lineRule="auto"/>
        <w:ind w:right="275" w:firstLine="480"/>
        <w:rPr>
          <w:color w:val="auto"/>
          <w:sz w:val="24"/>
          <w:szCs w:val="24"/>
          <w:highlight w:val="none"/>
          <w:lang w:eastAsia="zh-CN"/>
        </w:rPr>
      </w:pPr>
      <w:r>
        <w:rPr>
          <w:color w:val="auto"/>
          <w:sz w:val="24"/>
          <w:szCs w:val="24"/>
          <w:highlight w:val="none"/>
          <w:lang w:eastAsia="zh-CN"/>
        </w:rPr>
        <w:t>负责编制各类</w:t>
      </w:r>
      <w:r>
        <w:rPr>
          <w:rFonts w:hint="eastAsia"/>
          <w:bCs/>
          <w:color w:val="auto"/>
          <w:sz w:val="24"/>
          <w:szCs w:val="24"/>
          <w:highlight w:val="none"/>
          <w:u w:val="single"/>
          <w:lang w:eastAsia="zh-CN"/>
        </w:rPr>
        <w:t>榄核镇东丫涌等53条河涌（道）整治工程</w:t>
      </w:r>
      <w:r>
        <w:rPr>
          <w:color w:val="auto"/>
          <w:sz w:val="24"/>
          <w:szCs w:val="24"/>
          <w:highlight w:val="none"/>
          <w:lang w:eastAsia="zh-CN"/>
        </w:rPr>
        <w:t>的设计、设计咨询、施工、监理、供货及其他相关的合同，维护业主的合法利益，规避合同风险。并作为项目管理单位方参与签订上述与本项目实施相关的各类项目合同。</w:t>
      </w:r>
    </w:p>
    <w:p>
      <w:pPr>
        <w:pStyle w:val="11"/>
        <w:numPr>
          <w:ilvl w:val="1"/>
          <w:numId w:val="14"/>
        </w:numPr>
        <w:tabs>
          <w:tab w:val="left" w:pos="1113"/>
        </w:tabs>
        <w:spacing w:line="305" w:lineRule="exact"/>
        <w:ind w:firstLine="480"/>
        <w:rPr>
          <w:color w:val="auto"/>
          <w:sz w:val="24"/>
          <w:szCs w:val="24"/>
          <w:highlight w:val="none"/>
          <w:lang w:eastAsia="zh-CN"/>
        </w:rPr>
      </w:pPr>
      <w:r>
        <w:rPr>
          <w:color w:val="auto"/>
          <w:sz w:val="24"/>
          <w:szCs w:val="24"/>
          <w:highlight w:val="none"/>
          <w:lang w:eastAsia="zh-CN"/>
        </w:rPr>
        <w:t>负责提交合理的合同付款方式给业主审批，审核签认付款凭证。</w:t>
      </w:r>
    </w:p>
    <w:p>
      <w:pPr>
        <w:pStyle w:val="11"/>
        <w:numPr>
          <w:ilvl w:val="1"/>
          <w:numId w:val="14"/>
        </w:numPr>
        <w:tabs>
          <w:tab w:val="left" w:pos="1113"/>
        </w:tabs>
        <w:spacing w:before="160"/>
        <w:ind w:firstLine="480"/>
        <w:rPr>
          <w:color w:val="auto"/>
          <w:sz w:val="24"/>
          <w:szCs w:val="24"/>
          <w:highlight w:val="none"/>
          <w:lang w:eastAsia="zh-CN"/>
        </w:rPr>
      </w:pPr>
      <w:r>
        <w:rPr>
          <w:color w:val="auto"/>
          <w:sz w:val="24"/>
          <w:szCs w:val="24"/>
          <w:highlight w:val="none"/>
          <w:lang w:eastAsia="zh-CN"/>
        </w:rPr>
        <w:t>跟踪和审查项目总投资的变动情况。</w:t>
      </w:r>
    </w:p>
    <w:p>
      <w:pPr>
        <w:pStyle w:val="11"/>
        <w:numPr>
          <w:ilvl w:val="1"/>
          <w:numId w:val="14"/>
        </w:numPr>
        <w:tabs>
          <w:tab w:val="left" w:pos="1113"/>
        </w:tabs>
        <w:spacing w:before="161"/>
        <w:ind w:firstLine="480"/>
        <w:rPr>
          <w:color w:val="auto"/>
          <w:sz w:val="24"/>
          <w:highlight w:val="none"/>
          <w:lang w:eastAsia="zh-CN"/>
        </w:rPr>
      </w:pPr>
      <w:r>
        <w:rPr>
          <w:color w:val="auto"/>
          <w:sz w:val="24"/>
          <w:szCs w:val="24"/>
          <w:highlight w:val="none"/>
          <w:lang w:eastAsia="zh-CN"/>
        </w:rPr>
        <w:t>负责有关合同的谈判、签订、履行、变更以及索赔等</w:t>
      </w:r>
      <w:r>
        <w:rPr>
          <w:color w:val="auto"/>
          <w:sz w:val="24"/>
          <w:highlight w:val="none"/>
          <w:lang w:eastAsia="zh-CN"/>
        </w:rPr>
        <w:t>合同管理工作。</w:t>
      </w:r>
    </w:p>
    <w:p>
      <w:pPr>
        <w:pStyle w:val="5"/>
        <w:spacing w:before="158"/>
        <w:ind w:left="692"/>
        <w:rPr>
          <w:color w:val="auto"/>
          <w:highlight w:val="none"/>
        </w:rPr>
      </w:pPr>
      <w:r>
        <w:rPr>
          <w:color w:val="auto"/>
          <w:highlight w:val="none"/>
        </w:rPr>
        <w:t>（3）项目实施阶段工作</w:t>
      </w:r>
    </w:p>
    <w:p>
      <w:pPr>
        <w:pStyle w:val="11"/>
        <w:numPr>
          <w:ilvl w:val="1"/>
          <w:numId w:val="15"/>
        </w:numPr>
        <w:tabs>
          <w:tab w:val="left" w:pos="1113"/>
        </w:tabs>
        <w:spacing w:before="158"/>
        <w:rPr>
          <w:color w:val="auto"/>
          <w:sz w:val="24"/>
          <w:highlight w:val="none"/>
          <w:lang w:eastAsia="zh-CN"/>
        </w:rPr>
      </w:pPr>
      <w:r>
        <w:rPr>
          <w:color w:val="auto"/>
          <w:sz w:val="24"/>
          <w:highlight w:val="none"/>
          <w:lang w:eastAsia="zh-CN"/>
        </w:rPr>
        <w:t>负责相应职责范围内项目实施阶段的投资控制。</w:t>
      </w:r>
    </w:p>
    <w:p>
      <w:pPr>
        <w:pStyle w:val="11"/>
        <w:numPr>
          <w:ilvl w:val="2"/>
          <w:numId w:val="15"/>
        </w:numPr>
        <w:tabs>
          <w:tab w:val="left" w:pos="1353"/>
        </w:tabs>
        <w:spacing w:before="161" w:line="362" w:lineRule="auto"/>
        <w:ind w:right="455" w:firstLine="480"/>
        <w:rPr>
          <w:color w:val="auto"/>
          <w:sz w:val="24"/>
          <w:szCs w:val="24"/>
          <w:highlight w:val="none"/>
          <w:lang w:eastAsia="zh-CN"/>
        </w:rPr>
      </w:pPr>
      <w:r>
        <w:rPr>
          <w:color w:val="auto"/>
          <w:sz w:val="24"/>
          <w:szCs w:val="24"/>
          <w:highlight w:val="none"/>
          <w:lang w:eastAsia="zh-CN"/>
        </w:rPr>
        <w:t>负责将</w:t>
      </w:r>
      <w:r>
        <w:rPr>
          <w:rFonts w:hint="eastAsia"/>
          <w:bCs/>
          <w:color w:val="auto"/>
          <w:sz w:val="24"/>
          <w:szCs w:val="24"/>
          <w:highlight w:val="none"/>
          <w:u w:val="single"/>
          <w:lang w:eastAsia="zh-CN"/>
        </w:rPr>
        <w:t>榄核镇东丫涌等53条河涌（道）整治工程</w:t>
      </w:r>
      <w:r>
        <w:rPr>
          <w:color w:val="auto"/>
          <w:sz w:val="24"/>
          <w:szCs w:val="24"/>
          <w:highlight w:val="none"/>
          <w:lang w:eastAsia="zh-CN"/>
        </w:rPr>
        <w:t>成本控制在目标成本内，负责相应职责范围内施工期间的变更事项管理。</w:t>
      </w:r>
    </w:p>
    <w:p>
      <w:pPr>
        <w:pStyle w:val="11"/>
        <w:numPr>
          <w:ilvl w:val="2"/>
          <w:numId w:val="15"/>
        </w:numPr>
        <w:tabs>
          <w:tab w:val="left" w:pos="1353"/>
        </w:tabs>
        <w:spacing w:before="4" w:line="364" w:lineRule="auto"/>
        <w:ind w:right="575" w:firstLine="480"/>
        <w:rPr>
          <w:color w:val="auto"/>
          <w:sz w:val="24"/>
          <w:szCs w:val="24"/>
          <w:highlight w:val="none"/>
          <w:lang w:eastAsia="zh-CN"/>
        </w:rPr>
      </w:pPr>
      <w:r>
        <w:rPr>
          <w:color w:val="auto"/>
          <w:sz w:val="24"/>
          <w:szCs w:val="24"/>
          <w:highlight w:val="none"/>
          <w:lang w:eastAsia="zh-CN"/>
        </w:rPr>
        <w:t>遵照业主及广州南沙区财政局有关财政资金集中支付规定的付款手续和审批程序，负责项目计量和项目款项支付的审核，并报业主最终核定。</w:t>
      </w:r>
    </w:p>
    <w:p>
      <w:pPr>
        <w:pStyle w:val="11"/>
        <w:numPr>
          <w:ilvl w:val="1"/>
          <w:numId w:val="16"/>
        </w:numPr>
        <w:tabs>
          <w:tab w:val="left" w:pos="1113"/>
        </w:tabs>
        <w:spacing w:line="306" w:lineRule="exact"/>
        <w:ind w:firstLine="480"/>
        <w:rPr>
          <w:color w:val="auto"/>
          <w:sz w:val="24"/>
          <w:szCs w:val="24"/>
          <w:highlight w:val="none"/>
          <w:lang w:eastAsia="zh-CN"/>
        </w:rPr>
      </w:pPr>
      <w:r>
        <w:rPr>
          <w:color w:val="auto"/>
          <w:sz w:val="24"/>
          <w:szCs w:val="24"/>
          <w:highlight w:val="none"/>
          <w:lang w:eastAsia="zh-CN"/>
        </w:rPr>
        <w:t>负责项目实施阶段的进度、计划控制。</w:t>
      </w:r>
    </w:p>
    <w:p>
      <w:pPr>
        <w:pStyle w:val="5"/>
        <w:spacing w:before="161" w:line="364" w:lineRule="auto"/>
        <w:ind w:right="275"/>
        <w:jc w:val="both"/>
        <w:rPr>
          <w:color w:val="auto"/>
          <w:highlight w:val="none"/>
          <w:lang w:eastAsia="zh-CN"/>
        </w:rPr>
      </w:pPr>
      <w:r>
        <w:rPr>
          <w:color w:val="auto"/>
          <w:highlight w:val="none"/>
          <w:lang w:eastAsia="zh-CN"/>
        </w:rPr>
        <w:t>制订项目实施计划和工作进度表，并在项目实施过程中不断加以完善、修正。指导和检查项目的进展情况和急需解决的问题，按计划组织实施，动态跟踪，及时纠偏，完成项目进度目标。</w:t>
      </w:r>
    </w:p>
    <w:p>
      <w:pPr>
        <w:pStyle w:val="11"/>
        <w:numPr>
          <w:ilvl w:val="1"/>
          <w:numId w:val="16"/>
        </w:numPr>
        <w:tabs>
          <w:tab w:val="left" w:pos="1113"/>
        </w:tabs>
        <w:spacing w:line="364" w:lineRule="auto"/>
        <w:ind w:right="395" w:firstLine="480"/>
        <w:jc w:val="both"/>
        <w:rPr>
          <w:color w:val="auto"/>
          <w:sz w:val="24"/>
          <w:szCs w:val="24"/>
          <w:highlight w:val="none"/>
          <w:lang w:eastAsia="zh-CN"/>
        </w:rPr>
      </w:pPr>
      <w:r>
        <w:rPr>
          <w:color w:val="auto"/>
          <w:sz w:val="24"/>
          <w:szCs w:val="24"/>
          <w:highlight w:val="none"/>
          <w:lang w:eastAsia="zh-CN"/>
        </w:rPr>
        <w:t>项目管理单位应对</w:t>
      </w:r>
      <w:r>
        <w:rPr>
          <w:rFonts w:hint="eastAsia"/>
          <w:bCs/>
          <w:color w:val="auto"/>
          <w:sz w:val="24"/>
          <w:szCs w:val="24"/>
          <w:highlight w:val="none"/>
          <w:u w:val="single"/>
          <w:lang w:eastAsia="zh-CN"/>
        </w:rPr>
        <w:t>榄核镇东丫涌等53条河涌（道）整治工程</w:t>
      </w:r>
      <w:r>
        <w:rPr>
          <w:color w:val="auto"/>
          <w:sz w:val="24"/>
          <w:szCs w:val="24"/>
          <w:highlight w:val="none"/>
          <w:lang w:eastAsia="zh-CN"/>
        </w:rPr>
        <w:t>定期进行巡检、普查。如发现</w:t>
      </w:r>
      <w:r>
        <w:rPr>
          <w:rFonts w:hint="eastAsia"/>
          <w:bCs/>
          <w:color w:val="auto"/>
          <w:sz w:val="24"/>
          <w:szCs w:val="24"/>
          <w:highlight w:val="none"/>
          <w:u w:val="single"/>
          <w:lang w:eastAsia="zh-CN"/>
        </w:rPr>
        <w:t>榄核镇东丫涌等53条河涌（道）整治工程</w:t>
      </w:r>
      <w:r>
        <w:rPr>
          <w:color w:val="auto"/>
          <w:sz w:val="24"/>
          <w:szCs w:val="24"/>
          <w:highlight w:val="none"/>
          <w:lang w:eastAsia="zh-CN"/>
        </w:rPr>
        <w:t>存在问题的，应当立即组织修正、落实。</w:t>
      </w:r>
    </w:p>
    <w:p>
      <w:pPr>
        <w:pStyle w:val="11"/>
        <w:numPr>
          <w:ilvl w:val="1"/>
          <w:numId w:val="16"/>
        </w:numPr>
        <w:tabs>
          <w:tab w:val="left" w:pos="1113"/>
        </w:tabs>
        <w:spacing w:line="307" w:lineRule="exact"/>
        <w:ind w:firstLine="480"/>
        <w:rPr>
          <w:color w:val="auto"/>
          <w:sz w:val="24"/>
          <w:szCs w:val="24"/>
          <w:highlight w:val="none"/>
          <w:lang w:eastAsia="zh-CN"/>
        </w:rPr>
      </w:pPr>
      <w:r>
        <w:rPr>
          <w:color w:val="auto"/>
          <w:sz w:val="24"/>
          <w:szCs w:val="24"/>
          <w:highlight w:val="none"/>
          <w:lang w:eastAsia="zh-CN"/>
        </w:rPr>
        <w:t>负责项目实施阶段的质量、安全控制。</w:t>
      </w:r>
    </w:p>
    <w:p>
      <w:pPr>
        <w:pStyle w:val="11"/>
        <w:numPr>
          <w:ilvl w:val="1"/>
          <w:numId w:val="16"/>
        </w:numPr>
        <w:tabs>
          <w:tab w:val="left" w:pos="1113"/>
        </w:tabs>
        <w:spacing w:before="155" w:line="364" w:lineRule="auto"/>
        <w:ind w:right="275" w:firstLine="480"/>
        <w:rPr>
          <w:color w:val="auto"/>
          <w:sz w:val="24"/>
          <w:highlight w:val="none"/>
          <w:lang w:eastAsia="zh-CN"/>
        </w:rPr>
      </w:pPr>
      <w:r>
        <w:rPr>
          <w:color w:val="auto"/>
          <w:sz w:val="24"/>
          <w:highlight w:val="none"/>
          <w:lang w:eastAsia="zh-CN"/>
        </w:rPr>
        <w:t>督促相关单位制定完善的质量、安全保证体系，并在项目实施过程中使之有效运 转；完成合同约定的项目质量、安全目标，与项目质量、安全有关的全部工作均应处于受控状态。</w:t>
      </w:r>
    </w:p>
    <w:p>
      <w:pPr>
        <w:pStyle w:val="11"/>
        <w:numPr>
          <w:ilvl w:val="2"/>
          <w:numId w:val="16"/>
        </w:numPr>
        <w:tabs>
          <w:tab w:val="left" w:pos="1353"/>
        </w:tabs>
        <w:spacing w:line="307" w:lineRule="exact"/>
        <w:ind w:firstLine="480"/>
        <w:rPr>
          <w:color w:val="auto"/>
          <w:sz w:val="24"/>
          <w:highlight w:val="none"/>
          <w:lang w:eastAsia="zh-CN"/>
        </w:rPr>
      </w:pPr>
      <w:r>
        <w:rPr>
          <w:color w:val="auto"/>
          <w:sz w:val="24"/>
          <w:highlight w:val="none"/>
          <w:lang w:eastAsia="zh-CN"/>
        </w:rPr>
        <w:t>督促承包单位办理项目质量安全监督申报手续。</w:t>
      </w:r>
    </w:p>
    <w:p>
      <w:pPr>
        <w:pStyle w:val="11"/>
        <w:numPr>
          <w:ilvl w:val="2"/>
          <w:numId w:val="16"/>
        </w:numPr>
        <w:tabs>
          <w:tab w:val="left" w:pos="1353"/>
        </w:tabs>
        <w:spacing w:before="158"/>
        <w:ind w:firstLine="480"/>
        <w:rPr>
          <w:color w:val="auto"/>
          <w:sz w:val="24"/>
          <w:highlight w:val="none"/>
          <w:lang w:eastAsia="zh-CN"/>
        </w:rPr>
      </w:pPr>
      <w:r>
        <w:rPr>
          <w:color w:val="auto"/>
          <w:sz w:val="24"/>
          <w:highlight w:val="none"/>
          <w:lang w:eastAsia="zh-CN"/>
        </w:rPr>
        <w:t>配合项目质量安全监督机构开展工作。</w:t>
      </w:r>
    </w:p>
    <w:p>
      <w:pPr>
        <w:pStyle w:val="11"/>
        <w:numPr>
          <w:ilvl w:val="2"/>
          <w:numId w:val="16"/>
        </w:numPr>
        <w:tabs>
          <w:tab w:val="left" w:pos="1353"/>
        </w:tabs>
        <w:spacing w:before="161" w:line="364" w:lineRule="auto"/>
        <w:ind w:right="335" w:firstLine="480"/>
        <w:rPr>
          <w:color w:val="auto"/>
          <w:sz w:val="24"/>
          <w:highlight w:val="none"/>
          <w:lang w:eastAsia="zh-CN"/>
        </w:rPr>
      </w:pPr>
      <w:r>
        <w:rPr>
          <w:color w:val="auto"/>
          <w:sz w:val="24"/>
          <w:highlight w:val="none"/>
          <w:lang w:eastAsia="zh-CN"/>
        </w:rPr>
        <w:t>督促承包单位制定组织机构、有关人员的岗位责任制、项目质量控制程序和质量责任制落实等书面管理制度。</w:t>
      </w:r>
    </w:p>
    <w:p>
      <w:pPr>
        <w:pStyle w:val="11"/>
        <w:numPr>
          <w:ilvl w:val="2"/>
          <w:numId w:val="16"/>
        </w:numPr>
        <w:tabs>
          <w:tab w:val="left" w:pos="1353"/>
        </w:tabs>
        <w:spacing w:line="306" w:lineRule="exact"/>
        <w:ind w:firstLine="480"/>
        <w:rPr>
          <w:color w:val="auto"/>
          <w:sz w:val="24"/>
          <w:highlight w:val="none"/>
          <w:lang w:eastAsia="zh-CN"/>
        </w:rPr>
      </w:pPr>
      <w:r>
        <w:rPr>
          <w:color w:val="auto"/>
          <w:sz w:val="24"/>
          <w:highlight w:val="none"/>
          <w:lang w:eastAsia="zh-CN"/>
        </w:rPr>
        <w:t>组织审查施工组织设计、监理大纲和监理细则。</w:t>
      </w:r>
    </w:p>
    <w:p>
      <w:pPr>
        <w:spacing w:line="306" w:lineRule="exact"/>
        <w:rPr>
          <w:color w:val="auto"/>
          <w:sz w:val="24"/>
          <w:highlight w:val="none"/>
          <w:lang w:eastAsia="zh-CN"/>
        </w:rPr>
        <w:sectPr>
          <w:pgSz w:w="11910" w:h="16840"/>
          <w:pgMar w:top="1080" w:right="900" w:bottom="1040" w:left="920" w:header="0" w:footer="858" w:gutter="0"/>
          <w:cols w:space="720" w:num="1"/>
        </w:sectPr>
      </w:pPr>
    </w:p>
    <w:p>
      <w:pPr>
        <w:pStyle w:val="11"/>
        <w:numPr>
          <w:ilvl w:val="2"/>
          <w:numId w:val="16"/>
        </w:numPr>
        <w:tabs>
          <w:tab w:val="left" w:pos="1353"/>
        </w:tabs>
        <w:spacing w:before="56" w:line="362" w:lineRule="auto"/>
        <w:ind w:right="335" w:firstLine="480"/>
        <w:jc w:val="both"/>
        <w:rPr>
          <w:color w:val="auto"/>
          <w:sz w:val="24"/>
          <w:highlight w:val="none"/>
          <w:lang w:eastAsia="zh-CN"/>
        </w:rPr>
      </w:pPr>
      <w:r>
        <w:rPr>
          <w:color w:val="auto"/>
          <w:sz w:val="24"/>
          <w:highlight w:val="none"/>
          <w:lang w:eastAsia="zh-CN"/>
        </w:rPr>
        <w:t>负责对各监理单位在项目实施过程中的监理质量进行控制，对监理工作制度的落实进行检查、监督。</w:t>
      </w:r>
    </w:p>
    <w:p>
      <w:pPr>
        <w:pStyle w:val="11"/>
        <w:numPr>
          <w:ilvl w:val="2"/>
          <w:numId w:val="16"/>
        </w:numPr>
        <w:tabs>
          <w:tab w:val="left" w:pos="1353"/>
        </w:tabs>
        <w:spacing w:before="5" w:line="362" w:lineRule="auto"/>
        <w:ind w:right="335" w:firstLine="480"/>
        <w:jc w:val="both"/>
        <w:rPr>
          <w:color w:val="auto"/>
          <w:sz w:val="24"/>
          <w:highlight w:val="none"/>
          <w:lang w:eastAsia="zh-CN"/>
        </w:rPr>
      </w:pPr>
      <w:r>
        <w:rPr>
          <w:color w:val="auto"/>
          <w:sz w:val="24"/>
          <w:highlight w:val="none"/>
          <w:lang w:eastAsia="zh-CN"/>
        </w:rPr>
        <w:t>负责对承包商施工过程中的质量进行全过程控制，加强对质量行为和质量责任制履行情况检查，加强对工程结构安全的质量检测和原材料的检测。</w:t>
      </w:r>
    </w:p>
    <w:p>
      <w:pPr>
        <w:pStyle w:val="11"/>
        <w:numPr>
          <w:ilvl w:val="2"/>
          <w:numId w:val="16"/>
        </w:numPr>
        <w:tabs>
          <w:tab w:val="left" w:pos="1353"/>
        </w:tabs>
        <w:spacing w:before="5" w:line="362" w:lineRule="auto"/>
        <w:ind w:right="335" w:firstLine="480"/>
        <w:jc w:val="both"/>
        <w:rPr>
          <w:color w:val="auto"/>
          <w:sz w:val="24"/>
          <w:highlight w:val="none"/>
          <w:lang w:eastAsia="zh-CN"/>
        </w:rPr>
      </w:pPr>
      <w:r>
        <w:rPr>
          <w:color w:val="auto"/>
          <w:sz w:val="24"/>
          <w:highlight w:val="none"/>
          <w:lang w:eastAsia="zh-CN"/>
        </w:rPr>
        <w:t>负责项目实施阶段的文明施工与安全生产工作，并根据《广州市建设工程施工安全责任制》（穗建筑[2001]75号）和《广州市建设工程现场文明施工管理办法》（穗建质</w:t>
      </w:r>
    </w:p>
    <w:p>
      <w:pPr>
        <w:pStyle w:val="5"/>
        <w:spacing w:before="5"/>
        <w:rPr>
          <w:color w:val="auto"/>
          <w:highlight w:val="none"/>
          <w:lang w:eastAsia="zh-CN"/>
        </w:rPr>
      </w:pPr>
      <w:r>
        <w:rPr>
          <w:color w:val="auto"/>
          <w:highlight w:val="none"/>
          <w:lang w:eastAsia="zh-CN"/>
        </w:rPr>
        <w:t>[2008]937号）对承包商的安全文明施工责任制度的落实贯彻进行检查监督与考核。</w:t>
      </w:r>
    </w:p>
    <w:p>
      <w:pPr>
        <w:pStyle w:val="11"/>
        <w:numPr>
          <w:ilvl w:val="1"/>
          <w:numId w:val="17"/>
        </w:numPr>
        <w:tabs>
          <w:tab w:val="left" w:pos="1113"/>
        </w:tabs>
        <w:spacing w:before="160" w:line="362" w:lineRule="auto"/>
        <w:ind w:right="335" w:firstLine="480"/>
        <w:jc w:val="both"/>
        <w:rPr>
          <w:color w:val="auto"/>
          <w:sz w:val="24"/>
          <w:highlight w:val="none"/>
          <w:lang w:eastAsia="zh-CN"/>
        </w:rPr>
      </w:pPr>
      <w:r>
        <w:rPr>
          <w:color w:val="auto"/>
          <w:sz w:val="24"/>
          <w:highlight w:val="none"/>
          <w:lang w:eastAsia="zh-CN"/>
        </w:rPr>
        <w:t>负责项目的实施管理与现场施工管理，并监督是否存在违法占用市政设施或者违法挖掘城市道路的情况，未经审批不得占用，及时做好协调管理工作。</w:t>
      </w:r>
    </w:p>
    <w:p>
      <w:pPr>
        <w:pStyle w:val="11"/>
        <w:numPr>
          <w:ilvl w:val="1"/>
          <w:numId w:val="17"/>
        </w:numPr>
        <w:tabs>
          <w:tab w:val="left" w:pos="1113"/>
        </w:tabs>
        <w:spacing w:before="3" w:line="364" w:lineRule="auto"/>
        <w:ind w:right="275" w:firstLine="480"/>
        <w:jc w:val="both"/>
        <w:rPr>
          <w:color w:val="auto"/>
          <w:sz w:val="24"/>
          <w:highlight w:val="none"/>
          <w:lang w:eastAsia="zh-CN"/>
        </w:rPr>
      </w:pPr>
      <w:r>
        <w:rPr>
          <w:color w:val="auto"/>
          <w:sz w:val="24"/>
          <w:highlight w:val="none"/>
          <w:lang w:eastAsia="zh-CN"/>
        </w:rPr>
        <w:t>做好资料的审核工作，确保资料的准确性才向发包人递交资料。如项目管理单位在报送各类报表、提供数据资料过程中有迟报、漏报、重报、错报现象，发包人有权对项目管理单位进行必要的经济处罚。</w:t>
      </w:r>
    </w:p>
    <w:p>
      <w:pPr>
        <w:pStyle w:val="11"/>
        <w:numPr>
          <w:ilvl w:val="1"/>
          <w:numId w:val="17"/>
        </w:numPr>
        <w:tabs>
          <w:tab w:val="left" w:pos="1113"/>
        </w:tabs>
        <w:spacing w:line="364" w:lineRule="auto"/>
        <w:ind w:right="275" w:firstLine="480"/>
        <w:jc w:val="both"/>
        <w:rPr>
          <w:color w:val="auto"/>
          <w:sz w:val="24"/>
          <w:highlight w:val="none"/>
          <w:lang w:eastAsia="zh-CN"/>
        </w:rPr>
      </w:pPr>
      <w:r>
        <w:rPr>
          <w:color w:val="auto"/>
          <w:sz w:val="24"/>
          <w:highlight w:val="none"/>
          <w:lang w:eastAsia="zh-CN"/>
        </w:rPr>
        <w:t>负责召开有关工程会议，负责项目实施各参与或相关单位、部门（含施工、监理、设计、实施现场相关企事业单位、交通等）之间的协调管理工作。负责协调施工期间交通组织等工作，确保交通顺畅。</w:t>
      </w:r>
    </w:p>
    <w:p>
      <w:pPr>
        <w:pStyle w:val="11"/>
        <w:numPr>
          <w:ilvl w:val="1"/>
          <w:numId w:val="17"/>
        </w:numPr>
        <w:tabs>
          <w:tab w:val="left" w:pos="1113"/>
        </w:tabs>
        <w:spacing w:line="307" w:lineRule="exact"/>
        <w:ind w:firstLine="480"/>
        <w:rPr>
          <w:color w:val="auto"/>
          <w:sz w:val="24"/>
          <w:highlight w:val="none"/>
          <w:lang w:eastAsia="zh-CN"/>
        </w:rPr>
      </w:pPr>
      <w:r>
        <w:rPr>
          <w:color w:val="auto"/>
          <w:sz w:val="24"/>
          <w:highlight w:val="none"/>
          <w:lang w:eastAsia="zh-CN"/>
        </w:rPr>
        <w:t>负责项目的档案和信息管理。</w:t>
      </w:r>
    </w:p>
    <w:p>
      <w:pPr>
        <w:pStyle w:val="5"/>
        <w:spacing w:before="157" w:line="364" w:lineRule="auto"/>
        <w:ind w:right="275" w:firstLine="480"/>
        <w:jc w:val="both"/>
        <w:rPr>
          <w:color w:val="auto"/>
          <w:highlight w:val="none"/>
          <w:lang w:eastAsia="zh-CN"/>
        </w:rPr>
      </w:pPr>
      <w:r>
        <w:rPr>
          <w:color w:val="auto"/>
          <w:highlight w:val="none"/>
          <w:lang w:eastAsia="zh-CN"/>
        </w:rPr>
        <w:t>在项目实施期间制定完善高效的项目实施信息的采集、分析、归纳、处理、共享、决策和反馈系统，以利于各方掌握最新的项目情况。项目实施后建立项目档案，为今后工作提供参考和决策依据。</w:t>
      </w:r>
    </w:p>
    <w:p>
      <w:pPr>
        <w:pStyle w:val="5"/>
        <w:spacing w:line="307" w:lineRule="exact"/>
        <w:ind w:left="692"/>
        <w:rPr>
          <w:color w:val="auto"/>
          <w:highlight w:val="none"/>
          <w:lang w:eastAsia="zh-CN"/>
        </w:rPr>
      </w:pPr>
      <w:r>
        <w:rPr>
          <w:color w:val="auto"/>
          <w:highlight w:val="none"/>
          <w:lang w:eastAsia="zh-CN"/>
        </w:rPr>
        <w:t>（4）项目的验收工作</w:t>
      </w:r>
    </w:p>
    <w:p>
      <w:pPr>
        <w:pStyle w:val="5"/>
        <w:spacing w:before="158" w:line="364" w:lineRule="auto"/>
        <w:ind w:right="275"/>
        <w:rPr>
          <w:color w:val="auto"/>
          <w:highlight w:val="none"/>
          <w:lang w:eastAsia="zh-CN"/>
        </w:rPr>
      </w:pPr>
      <w:r>
        <w:rPr>
          <w:color w:val="auto"/>
          <w:highlight w:val="none"/>
          <w:lang w:eastAsia="zh-CN"/>
        </w:rPr>
        <w:t>项目的竣工验收是全面检验建设管理单位及其承包商合同履行情况的重要考核标准。施工单位是项目竣工验收的主体单位，负责组织项目的验收。</w:t>
      </w:r>
    </w:p>
    <w:p>
      <w:pPr>
        <w:pStyle w:val="11"/>
        <w:numPr>
          <w:ilvl w:val="1"/>
          <w:numId w:val="18"/>
        </w:numPr>
        <w:tabs>
          <w:tab w:val="left" w:pos="1113"/>
        </w:tabs>
        <w:spacing w:line="306" w:lineRule="exact"/>
        <w:ind w:firstLine="480"/>
        <w:rPr>
          <w:color w:val="auto"/>
          <w:sz w:val="24"/>
          <w:highlight w:val="none"/>
        </w:rPr>
      </w:pPr>
      <w:r>
        <w:rPr>
          <w:color w:val="auto"/>
          <w:sz w:val="24"/>
          <w:highlight w:val="none"/>
        </w:rPr>
        <w:t>验收依据：</w:t>
      </w:r>
    </w:p>
    <w:p>
      <w:pPr>
        <w:pStyle w:val="5"/>
        <w:tabs>
          <w:tab w:val="left" w:pos="4412"/>
        </w:tabs>
        <w:spacing w:before="161"/>
        <w:ind w:left="692"/>
        <w:rPr>
          <w:color w:val="auto"/>
          <w:highlight w:val="none"/>
          <w:lang w:eastAsia="zh-CN"/>
        </w:rPr>
      </w:pPr>
      <w:r>
        <w:rPr>
          <w:color w:val="auto"/>
          <w:highlight w:val="none"/>
          <w:lang w:eastAsia="zh-CN"/>
        </w:rPr>
        <w:t>按照国家、广东省、广州市及</w:t>
      </w:r>
      <w:r>
        <w:rPr>
          <w:color w:val="auto"/>
          <w:highlight w:val="none"/>
          <w:u w:val="single"/>
          <w:lang w:eastAsia="zh-CN"/>
        </w:rPr>
        <w:t xml:space="preserve"> </w:t>
      </w:r>
      <w:r>
        <w:rPr>
          <w:rFonts w:hint="eastAsia"/>
          <w:color w:val="auto"/>
          <w:highlight w:val="none"/>
          <w:u w:val="single"/>
          <w:lang w:eastAsia="zh-CN"/>
        </w:rPr>
        <w:t xml:space="preserve">   </w:t>
      </w:r>
      <w:r>
        <w:rPr>
          <w:color w:val="auto"/>
          <w:highlight w:val="none"/>
          <w:u w:val="single"/>
          <w:lang w:eastAsia="zh-CN"/>
        </w:rPr>
        <w:tab/>
      </w:r>
      <w:r>
        <w:rPr>
          <w:color w:val="auto"/>
          <w:highlight w:val="none"/>
          <w:lang w:eastAsia="zh-CN"/>
        </w:rPr>
        <w:t>制定的有关验收规范与规定组织项目的验收。</w:t>
      </w:r>
    </w:p>
    <w:p>
      <w:pPr>
        <w:pStyle w:val="11"/>
        <w:numPr>
          <w:ilvl w:val="1"/>
          <w:numId w:val="18"/>
        </w:numPr>
        <w:tabs>
          <w:tab w:val="left" w:pos="1113"/>
        </w:tabs>
        <w:spacing w:before="160"/>
        <w:ind w:firstLine="480"/>
        <w:rPr>
          <w:color w:val="auto"/>
          <w:sz w:val="24"/>
          <w:highlight w:val="none"/>
        </w:rPr>
      </w:pPr>
      <w:r>
        <w:rPr>
          <w:color w:val="auto"/>
          <w:sz w:val="24"/>
          <w:highlight w:val="none"/>
        </w:rPr>
        <w:t>验收程序：</w:t>
      </w:r>
    </w:p>
    <w:p>
      <w:pPr>
        <w:pStyle w:val="5"/>
        <w:tabs>
          <w:tab w:val="left" w:pos="1892"/>
        </w:tabs>
        <w:spacing w:before="159"/>
        <w:ind w:left="692"/>
        <w:rPr>
          <w:color w:val="auto"/>
          <w:highlight w:val="none"/>
          <w:lang w:eastAsia="zh-CN"/>
        </w:rPr>
      </w:pPr>
      <w:r>
        <w:rPr>
          <w:color w:val="auto"/>
          <w:highlight w:val="none"/>
          <w:lang w:eastAsia="zh-CN"/>
        </w:rPr>
        <w:t>按照</w:t>
      </w:r>
      <w:r>
        <w:rPr>
          <w:color w:val="auto"/>
          <w:highlight w:val="none"/>
          <w:u w:val="single"/>
          <w:lang w:eastAsia="zh-CN"/>
        </w:rPr>
        <w:t xml:space="preserve"> </w:t>
      </w:r>
      <w:r>
        <w:rPr>
          <w:color w:val="auto"/>
          <w:highlight w:val="none"/>
          <w:u w:val="single"/>
          <w:lang w:eastAsia="zh-CN"/>
        </w:rPr>
        <w:tab/>
      </w:r>
      <w:r>
        <w:rPr>
          <w:color w:val="auto"/>
          <w:highlight w:val="none"/>
          <w:lang w:eastAsia="zh-CN"/>
        </w:rPr>
        <w:t>制定的有关验收规定与程序组织项目验收。</w:t>
      </w:r>
    </w:p>
    <w:p>
      <w:pPr>
        <w:pStyle w:val="11"/>
        <w:numPr>
          <w:ilvl w:val="1"/>
          <w:numId w:val="18"/>
        </w:numPr>
        <w:tabs>
          <w:tab w:val="left" w:pos="1113"/>
        </w:tabs>
        <w:spacing w:before="158"/>
        <w:ind w:firstLine="480"/>
        <w:rPr>
          <w:color w:val="auto"/>
          <w:sz w:val="24"/>
          <w:highlight w:val="none"/>
          <w:lang w:eastAsia="zh-CN"/>
        </w:rPr>
      </w:pPr>
      <w:r>
        <w:rPr>
          <w:color w:val="auto"/>
          <w:sz w:val="24"/>
          <w:highlight w:val="none"/>
          <w:lang w:eastAsia="zh-CN"/>
        </w:rPr>
        <w:t>负责提交项目验收报告，办理验收的一切相关手续，并向备案部门备案。</w:t>
      </w:r>
    </w:p>
    <w:p>
      <w:pPr>
        <w:pStyle w:val="11"/>
        <w:numPr>
          <w:ilvl w:val="1"/>
          <w:numId w:val="18"/>
        </w:numPr>
        <w:tabs>
          <w:tab w:val="left" w:pos="1113"/>
        </w:tabs>
        <w:spacing w:before="160" w:line="364" w:lineRule="auto"/>
        <w:ind w:right="335" w:firstLine="480"/>
        <w:jc w:val="both"/>
        <w:rPr>
          <w:color w:val="auto"/>
          <w:sz w:val="24"/>
          <w:highlight w:val="none"/>
          <w:lang w:eastAsia="zh-CN"/>
        </w:rPr>
      </w:pPr>
      <w:r>
        <w:rPr>
          <w:color w:val="auto"/>
          <w:sz w:val="24"/>
          <w:highlight w:val="none"/>
          <w:lang w:eastAsia="zh-CN"/>
        </w:rPr>
        <w:t>项目管理单位要确保完成合同中约定的各项内容，有关部门要求整改的质量问题由项目管理单位负责组织落实整改工作，使项目达到国家规定的验收标准。</w:t>
      </w:r>
    </w:p>
    <w:p>
      <w:pPr>
        <w:pStyle w:val="5"/>
        <w:spacing w:line="306" w:lineRule="exact"/>
        <w:ind w:left="211" w:leftChars="96" w:firstLine="480" w:firstLineChars="200"/>
        <w:rPr>
          <w:color w:val="auto"/>
          <w:highlight w:val="none"/>
          <w:lang w:eastAsia="zh-CN"/>
        </w:rPr>
      </w:pPr>
      <w:r>
        <w:rPr>
          <w:rFonts w:hint="eastAsia"/>
          <w:color w:val="auto"/>
          <w:highlight w:val="none"/>
          <w:lang w:eastAsia="zh-CN"/>
        </w:rPr>
        <w:t>（5）</w:t>
      </w:r>
      <w:r>
        <w:rPr>
          <w:color w:val="auto"/>
          <w:highlight w:val="none"/>
          <w:lang w:eastAsia="zh-CN"/>
        </w:rPr>
        <w:t>项目完成后的移交工作</w:t>
      </w:r>
    </w:p>
    <w:p>
      <w:pPr>
        <w:spacing w:line="306" w:lineRule="exact"/>
        <w:rPr>
          <w:color w:val="auto"/>
          <w:highlight w:val="none"/>
          <w:lang w:eastAsia="zh-CN"/>
        </w:rPr>
        <w:sectPr>
          <w:pgSz w:w="11910" w:h="16840"/>
          <w:pgMar w:top="1080" w:right="900" w:bottom="1040" w:left="920" w:header="0" w:footer="858" w:gutter="0"/>
          <w:cols w:space="720" w:num="1"/>
        </w:sectPr>
      </w:pPr>
    </w:p>
    <w:p>
      <w:pPr>
        <w:pStyle w:val="11"/>
        <w:numPr>
          <w:ilvl w:val="1"/>
          <w:numId w:val="19"/>
        </w:numPr>
        <w:tabs>
          <w:tab w:val="left" w:pos="1113"/>
        </w:tabs>
        <w:spacing w:before="56" w:line="362" w:lineRule="auto"/>
        <w:ind w:right="335" w:firstLine="480"/>
        <w:rPr>
          <w:color w:val="auto"/>
          <w:sz w:val="24"/>
          <w:szCs w:val="24"/>
          <w:highlight w:val="none"/>
          <w:lang w:eastAsia="zh-CN"/>
        </w:rPr>
      </w:pPr>
      <w:r>
        <w:rPr>
          <w:color w:val="auto"/>
          <w:sz w:val="24"/>
          <w:szCs w:val="24"/>
          <w:highlight w:val="none"/>
          <w:lang w:eastAsia="zh-CN"/>
        </w:rPr>
        <w:t>协助发包人委托的使用（或运营）单位进行运营调试，确保</w:t>
      </w:r>
      <w:r>
        <w:rPr>
          <w:rFonts w:hint="eastAsia"/>
          <w:bCs/>
          <w:color w:val="auto"/>
          <w:sz w:val="24"/>
          <w:szCs w:val="24"/>
          <w:highlight w:val="none"/>
          <w:u w:val="single"/>
          <w:lang w:eastAsia="zh-CN"/>
        </w:rPr>
        <w:t>榄核镇东丫涌等53条河涌（道）整治工程</w:t>
      </w:r>
      <w:r>
        <w:rPr>
          <w:color w:val="auto"/>
          <w:sz w:val="24"/>
          <w:szCs w:val="24"/>
          <w:highlight w:val="none"/>
          <w:lang w:eastAsia="zh-CN"/>
        </w:rPr>
        <w:t>安全、顺利地投入使用。</w:t>
      </w:r>
    </w:p>
    <w:p>
      <w:pPr>
        <w:pStyle w:val="11"/>
        <w:numPr>
          <w:ilvl w:val="1"/>
          <w:numId w:val="19"/>
        </w:numPr>
        <w:tabs>
          <w:tab w:val="left" w:pos="1113"/>
        </w:tabs>
        <w:spacing w:before="5" w:line="362" w:lineRule="auto"/>
        <w:ind w:right="335" w:firstLine="480"/>
        <w:rPr>
          <w:color w:val="auto"/>
          <w:sz w:val="24"/>
          <w:szCs w:val="24"/>
          <w:highlight w:val="none"/>
          <w:lang w:eastAsia="zh-CN"/>
        </w:rPr>
      </w:pPr>
      <w:r>
        <w:rPr>
          <w:color w:val="auto"/>
          <w:sz w:val="24"/>
          <w:szCs w:val="24"/>
          <w:highlight w:val="none"/>
          <w:lang w:eastAsia="zh-CN"/>
        </w:rPr>
        <w:t>作为国家规定的项目审计主体一方，应积极主动配合审计部门的工作，并承担合同约定的维护管理服务范围内的项目审计责任。</w:t>
      </w:r>
    </w:p>
    <w:p>
      <w:pPr>
        <w:pStyle w:val="11"/>
        <w:numPr>
          <w:ilvl w:val="1"/>
          <w:numId w:val="19"/>
        </w:numPr>
        <w:tabs>
          <w:tab w:val="left" w:pos="1113"/>
        </w:tabs>
        <w:spacing w:before="5" w:line="362" w:lineRule="auto"/>
        <w:ind w:right="455" w:firstLine="480"/>
        <w:rPr>
          <w:color w:val="auto"/>
          <w:sz w:val="24"/>
          <w:szCs w:val="24"/>
          <w:highlight w:val="none"/>
          <w:lang w:eastAsia="zh-CN"/>
        </w:rPr>
      </w:pPr>
      <w:r>
        <w:rPr>
          <w:color w:val="auto"/>
          <w:sz w:val="24"/>
          <w:szCs w:val="24"/>
          <w:highlight w:val="none"/>
          <w:lang w:eastAsia="zh-CN"/>
        </w:rPr>
        <w:t>负责组织本合同约定的</w:t>
      </w:r>
      <w:r>
        <w:rPr>
          <w:rFonts w:hint="eastAsia"/>
          <w:bCs/>
          <w:color w:val="auto"/>
          <w:sz w:val="24"/>
          <w:szCs w:val="24"/>
          <w:highlight w:val="none"/>
          <w:u w:val="single"/>
          <w:lang w:eastAsia="zh-CN"/>
        </w:rPr>
        <w:t>榄核镇东丫涌等53条河涌（道）整治工程</w:t>
      </w:r>
      <w:r>
        <w:rPr>
          <w:color w:val="auto"/>
          <w:sz w:val="24"/>
          <w:szCs w:val="24"/>
          <w:highlight w:val="none"/>
          <w:lang w:eastAsia="zh-CN"/>
        </w:rPr>
        <w:t>的完工结算，配合发包人的财务决算工作。</w:t>
      </w:r>
    </w:p>
    <w:p>
      <w:pPr>
        <w:pStyle w:val="11"/>
        <w:numPr>
          <w:ilvl w:val="1"/>
          <w:numId w:val="19"/>
        </w:numPr>
        <w:tabs>
          <w:tab w:val="left" w:pos="1113"/>
        </w:tabs>
        <w:spacing w:before="5"/>
        <w:ind w:firstLine="480"/>
        <w:rPr>
          <w:color w:val="auto"/>
          <w:sz w:val="24"/>
          <w:szCs w:val="24"/>
          <w:highlight w:val="none"/>
          <w:lang w:eastAsia="zh-CN"/>
        </w:rPr>
      </w:pPr>
      <w:r>
        <w:rPr>
          <w:color w:val="auto"/>
          <w:sz w:val="24"/>
          <w:szCs w:val="24"/>
          <w:highlight w:val="none"/>
          <w:lang w:eastAsia="zh-CN"/>
        </w:rPr>
        <w:t>负责项目档案的编制、存档与交付。</w:t>
      </w:r>
    </w:p>
    <w:p>
      <w:pPr>
        <w:pStyle w:val="11"/>
        <w:numPr>
          <w:ilvl w:val="2"/>
          <w:numId w:val="19"/>
        </w:numPr>
        <w:tabs>
          <w:tab w:val="left" w:pos="1353"/>
        </w:tabs>
        <w:spacing w:before="160" w:line="364" w:lineRule="auto"/>
        <w:ind w:right="275" w:firstLine="480"/>
        <w:rPr>
          <w:color w:val="auto"/>
          <w:sz w:val="24"/>
          <w:szCs w:val="24"/>
          <w:highlight w:val="none"/>
          <w:lang w:eastAsia="zh-CN"/>
        </w:rPr>
      </w:pPr>
      <w:r>
        <w:rPr>
          <w:color w:val="auto"/>
          <w:sz w:val="24"/>
          <w:szCs w:val="24"/>
          <w:highlight w:val="none"/>
          <w:lang w:eastAsia="zh-CN"/>
        </w:rPr>
        <w:t>项目管理单位应按照《建设工程质量管理条例》（国务院第279号令）、《城市建设档案管理规定》（建设部第90号令）、《建设工程文件归档整理规范》（GB/T50328-2001）、《广州市城市建设档案管理办法》（穗府[1996]87号）、《广州市建设工程档案编制指南》（试行，2002 年6月）的有关规定与要求，建立完整系统的工程档案， 全面负责档案规定资料的管理、编制、验收及移交工作。</w:t>
      </w:r>
    </w:p>
    <w:p>
      <w:pPr>
        <w:pStyle w:val="11"/>
        <w:numPr>
          <w:ilvl w:val="2"/>
          <w:numId w:val="19"/>
        </w:numPr>
        <w:tabs>
          <w:tab w:val="left" w:pos="1353"/>
        </w:tabs>
        <w:spacing w:line="364" w:lineRule="auto"/>
        <w:ind w:right="335" w:firstLine="480"/>
        <w:rPr>
          <w:color w:val="auto"/>
          <w:sz w:val="24"/>
          <w:szCs w:val="24"/>
          <w:highlight w:val="none"/>
          <w:lang w:eastAsia="zh-CN"/>
        </w:rPr>
      </w:pPr>
      <w:r>
        <w:rPr>
          <w:color w:val="auto"/>
          <w:sz w:val="24"/>
          <w:szCs w:val="24"/>
          <w:highlight w:val="none"/>
          <w:lang w:eastAsia="zh-CN"/>
        </w:rPr>
        <w:t>项目管理单位应建立档案管理网络，落实档案管理人员。应有一名技术负责人分管档案工作； 指定有责任心、懂专业技术的人员具体负责档案的收集、整理和归档工作。</w:t>
      </w:r>
    </w:p>
    <w:p>
      <w:pPr>
        <w:pStyle w:val="11"/>
        <w:numPr>
          <w:ilvl w:val="2"/>
          <w:numId w:val="19"/>
        </w:numPr>
        <w:tabs>
          <w:tab w:val="left" w:pos="1353"/>
        </w:tabs>
        <w:spacing w:line="364" w:lineRule="auto"/>
        <w:ind w:right="395" w:firstLine="480"/>
        <w:jc w:val="both"/>
        <w:rPr>
          <w:color w:val="auto"/>
          <w:sz w:val="24"/>
          <w:szCs w:val="24"/>
          <w:highlight w:val="none"/>
          <w:lang w:eastAsia="zh-CN"/>
        </w:rPr>
      </w:pPr>
      <w:r>
        <w:rPr>
          <w:color w:val="auto"/>
          <w:sz w:val="24"/>
          <w:szCs w:val="24"/>
          <w:highlight w:val="none"/>
          <w:lang w:eastAsia="zh-CN"/>
        </w:rPr>
        <w:t>项目管理单位应制定出</w:t>
      </w:r>
      <w:r>
        <w:rPr>
          <w:rFonts w:hint="eastAsia"/>
          <w:bCs/>
          <w:color w:val="auto"/>
          <w:sz w:val="24"/>
          <w:szCs w:val="24"/>
          <w:highlight w:val="none"/>
          <w:u w:val="single"/>
          <w:lang w:eastAsia="zh-CN"/>
        </w:rPr>
        <w:t>榄核镇东丫涌等53条河涌（道）整治工程</w:t>
      </w:r>
      <w:r>
        <w:rPr>
          <w:color w:val="auto"/>
          <w:sz w:val="24"/>
          <w:szCs w:val="24"/>
          <w:highlight w:val="none"/>
          <w:lang w:eastAsia="zh-CN"/>
        </w:rPr>
        <w:t>档案管理办法和实施措施，确保</w:t>
      </w:r>
      <w:r>
        <w:rPr>
          <w:rFonts w:hint="eastAsia"/>
          <w:bCs/>
          <w:color w:val="auto"/>
          <w:sz w:val="24"/>
          <w:szCs w:val="24"/>
          <w:highlight w:val="none"/>
          <w:u w:val="single"/>
          <w:lang w:eastAsia="zh-CN"/>
        </w:rPr>
        <w:t>榄核镇东丫涌等53条河涌（道）整治工程</w:t>
      </w:r>
      <w:r>
        <w:rPr>
          <w:color w:val="auto"/>
          <w:sz w:val="24"/>
          <w:szCs w:val="24"/>
          <w:highlight w:val="none"/>
          <w:lang w:eastAsia="zh-CN"/>
        </w:rPr>
        <w:t>档案的完整性、准确性、真实性与系统性。</w:t>
      </w:r>
    </w:p>
    <w:p>
      <w:pPr>
        <w:pStyle w:val="11"/>
        <w:numPr>
          <w:ilvl w:val="2"/>
          <w:numId w:val="19"/>
        </w:numPr>
        <w:tabs>
          <w:tab w:val="left" w:pos="1353"/>
        </w:tabs>
        <w:spacing w:line="362" w:lineRule="auto"/>
        <w:ind w:right="335" w:firstLine="480"/>
        <w:rPr>
          <w:color w:val="auto"/>
          <w:sz w:val="24"/>
          <w:szCs w:val="24"/>
          <w:highlight w:val="none"/>
          <w:lang w:eastAsia="zh-CN"/>
        </w:rPr>
      </w:pPr>
      <w:r>
        <w:rPr>
          <w:color w:val="auto"/>
          <w:sz w:val="24"/>
          <w:szCs w:val="24"/>
          <w:highlight w:val="none"/>
          <w:lang w:eastAsia="zh-CN"/>
        </w:rPr>
        <w:t>项目管理单位必须在与业主签订本合同后一个月内，向发包人提交</w:t>
      </w:r>
      <w:r>
        <w:rPr>
          <w:rFonts w:hint="eastAsia"/>
          <w:bCs/>
          <w:color w:val="auto"/>
          <w:sz w:val="24"/>
          <w:szCs w:val="24"/>
          <w:highlight w:val="none"/>
          <w:u w:val="single"/>
          <w:lang w:eastAsia="zh-CN"/>
        </w:rPr>
        <w:t>榄核镇东丫涌等53条河涌（道）整治工程</w:t>
      </w:r>
      <w:r>
        <w:rPr>
          <w:color w:val="auto"/>
          <w:sz w:val="24"/>
          <w:szCs w:val="24"/>
          <w:highlight w:val="none"/>
          <w:lang w:eastAsia="zh-CN"/>
        </w:rPr>
        <w:t>档案管理负责人、管理员名单和档案管理办法。</w:t>
      </w:r>
    </w:p>
    <w:p>
      <w:pPr>
        <w:pStyle w:val="11"/>
        <w:numPr>
          <w:ilvl w:val="1"/>
          <w:numId w:val="19"/>
        </w:numPr>
        <w:tabs>
          <w:tab w:val="left" w:pos="1113"/>
        </w:tabs>
        <w:ind w:firstLine="480"/>
        <w:rPr>
          <w:color w:val="auto"/>
          <w:sz w:val="24"/>
          <w:szCs w:val="24"/>
          <w:highlight w:val="none"/>
          <w:lang w:eastAsia="zh-CN"/>
        </w:rPr>
      </w:pPr>
      <w:r>
        <w:rPr>
          <w:color w:val="auto"/>
          <w:sz w:val="24"/>
          <w:szCs w:val="24"/>
          <w:highlight w:val="none"/>
          <w:lang w:eastAsia="zh-CN"/>
        </w:rPr>
        <w:t>完成本</w:t>
      </w:r>
      <w:r>
        <w:rPr>
          <w:rFonts w:hint="eastAsia"/>
          <w:bCs/>
          <w:color w:val="auto"/>
          <w:sz w:val="24"/>
          <w:szCs w:val="24"/>
          <w:highlight w:val="none"/>
          <w:u w:val="single"/>
          <w:lang w:eastAsia="zh-CN"/>
        </w:rPr>
        <w:t>榄核镇东丫涌等53条河涌（道）整治工程</w:t>
      </w:r>
      <w:r>
        <w:rPr>
          <w:color w:val="auto"/>
          <w:sz w:val="24"/>
          <w:szCs w:val="24"/>
          <w:highlight w:val="none"/>
          <w:lang w:eastAsia="zh-CN"/>
        </w:rPr>
        <w:t>的移交工作。</w:t>
      </w:r>
    </w:p>
    <w:p>
      <w:pPr>
        <w:pStyle w:val="5"/>
        <w:spacing w:before="157"/>
        <w:ind w:left="692"/>
        <w:rPr>
          <w:color w:val="auto"/>
          <w:highlight w:val="none"/>
        </w:rPr>
      </w:pPr>
      <w:r>
        <w:rPr>
          <w:color w:val="auto"/>
          <w:highlight w:val="none"/>
        </w:rPr>
        <w:t>（6）计划和统计工作</w:t>
      </w:r>
    </w:p>
    <w:p>
      <w:pPr>
        <w:pStyle w:val="11"/>
        <w:numPr>
          <w:ilvl w:val="1"/>
          <w:numId w:val="20"/>
        </w:numPr>
        <w:tabs>
          <w:tab w:val="left" w:pos="1113"/>
        </w:tabs>
        <w:spacing w:before="161" w:line="364" w:lineRule="auto"/>
        <w:ind w:right="455" w:firstLine="480"/>
        <w:rPr>
          <w:color w:val="auto"/>
          <w:sz w:val="24"/>
          <w:szCs w:val="24"/>
          <w:highlight w:val="none"/>
          <w:lang w:eastAsia="zh-CN"/>
        </w:rPr>
      </w:pPr>
      <w:r>
        <w:rPr>
          <w:color w:val="auto"/>
          <w:sz w:val="24"/>
          <w:szCs w:val="24"/>
          <w:highlight w:val="none"/>
          <w:lang w:eastAsia="zh-CN"/>
        </w:rPr>
        <w:t>做好本</w:t>
      </w:r>
      <w:r>
        <w:rPr>
          <w:rFonts w:hint="eastAsia"/>
          <w:bCs/>
          <w:color w:val="auto"/>
          <w:sz w:val="24"/>
          <w:szCs w:val="24"/>
          <w:highlight w:val="none"/>
          <w:u w:val="single"/>
          <w:lang w:eastAsia="zh-CN"/>
        </w:rPr>
        <w:t>榄核镇东丫涌等53条河涌（道）整治工程</w:t>
      </w:r>
      <w:r>
        <w:rPr>
          <w:color w:val="auto"/>
          <w:sz w:val="24"/>
          <w:szCs w:val="24"/>
          <w:highlight w:val="none"/>
          <w:lang w:eastAsia="zh-CN"/>
        </w:rPr>
        <w:t>所有资料的收集、保管、整理工作。对发包人所需的</w:t>
      </w:r>
      <w:r>
        <w:rPr>
          <w:rFonts w:hint="eastAsia"/>
          <w:bCs/>
          <w:color w:val="auto"/>
          <w:sz w:val="24"/>
          <w:szCs w:val="24"/>
          <w:highlight w:val="none"/>
          <w:u w:val="single"/>
          <w:lang w:eastAsia="zh-CN"/>
        </w:rPr>
        <w:t>榄核镇东丫涌等53条河涌（道）整治工程</w:t>
      </w:r>
      <w:r>
        <w:rPr>
          <w:color w:val="auto"/>
          <w:sz w:val="24"/>
          <w:szCs w:val="24"/>
          <w:highlight w:val="none"/>
          <w:lang w:eastAsia="zh-CN"/>
        </w:rPr>
        <w:t>资料，项目管理单位应及时提供，并对资料的真实性负责。</w:t>
      </w:r>
    </w:p>
    <w:p>
      <w:pPr>
        <w:pStyle w:val="11"/>
        <w:numPr>
          <w:ilvl w:val="1"/>
          <w:numId w:val="20"/>
        </w:numPr>
        <w:tabs>
          <w:tab w:val="left" w:pos="1113"/>
        </w:tabs>
        <w:spacing w:line="362" w:lineRule="auto"/>
        <w:ind w:right="335" w:firstLine="480"/>
        <w:rPr>
          <w:color w:val="auto"/>
          <w:sz w:val="24"/>
          <w:szCs w:val="24"/>
          <w:highlight w:val="none"/>
          <w:lang w:eastAsia="zh-CN"/>
        </w:rPr>
      </w:pPr>
      <w:r>
        <w:rPr>
          <w:color w:val="auto"/>
          <w:sz w:val="24"/>
          <w:szCs w:val="24"/>
          <w:highlight w:val="none"/>
          <w:lang w:eastAsia="zh-CN"/>
        </w:rPr>
        <w:t>按照规定的格式采用书面形式(附电子文档)向发包人报送与项目实施有关的信息与问题建议。建立项目实施的日常汇报制度。</w:t>
      </w:r>
    </w:p>
    <w:p>
      <w:pPr>
        <w:pStyle w:val="11"/>
        <w:numPr>
          <w:ilvl w:val="1"/>
          <w:numId w:val="20"/>
        </w:numPr>
        <w:tabs>
          <w:tab w:val="left" w:pos="1113"/>
        </w:tabs>
        <w:spacing w:before="2" w:line="364" w:lineRule="auto"/>
        <w:ind w:right="335" w:firstLine="480"/>
        <w:rPr>
          <w:color w:val="auto"/>
          <w:sz w:val="24"/>
          <w:szCs w:val="24"/>
          <w:highlight w:val="none"/>
          <w:lang w:eastAsia="zh-CN"/>
        </w:rPr>
      </w:pPr>
      <w:r>
        <w:rPr>
          <w:color w:val="auto"/>
          <w:sz w:val="24"/>
          <w:szCs w:val="24"/>
          <w:highlight w:val="none"/>
          <w:lang w:eastAsia="zh-CN"/>
        </w:rPr>
        <w:t>按有关部门要求，积极配合发包人编报有关计划统计报表和</w:t>
      </w:r>
      <w:r>
        <w:rPr>
          <w:rFonts w:hint="eastAsia"/>
          <w:bCs/>
          <w:color w:val="auto"/>
          <w:sz w:val="24"/>
          <w:szCs w:val="24"/>
          <w:highlight w:val="none"/>
          <w:u w:val="single"/>
          <w:lang w:eastAsia="zh-CN"/>
        </w:rPr>
        <w:t>榄核镇东丫涌等53条河涌（道）整治工程</w:t>
      </w:r>
      <w:r>
        <w:rPr>
          <w:color w:val="auto"/>
          <w:sz w:val="24"/>
          <w:szCs w:val="24"/>
          <w:highlight w:val="none"/>
          <w:lang w:eastAsia="zh-CN"/>
        </w:rPr>
        <w:t>资料。</w:t>
      </w:r>
    </w:p>
    <w:p>
      <w:pPr>
        <w:pStyle w:val="11"/>
        <w:numPr>
          <w:ilvl w:val="1"/>
          <w:numId w:val="20"/>
        </w:numPr>
        <w:tabs>
          <w:tab w:val="left" w:pos="1113"/>
        </w:tabs>
        <w:spacing w:before="1"/>
        <w:ind w:firstLine="480"/>
        <w:rPr>
          <w:color w:val="auto"/>
          <w:sz w:val="24"/>
          <w:szCs w:val="24"/>
          <w:highlight w:val="none"/>
          <w:lang w:eastAsia="zh-CN"/>
        </w:rPr>
      </w:pPr>
      <w:r>
        <w:rPr>
          <w:color w:val="auto"/>
          <w:sz w:val="24"/>
          <w:szCs w:val="24"/>
          <w:highlight w:val="none"/>
          <w:lang w:eastAsia="zh-CN"/>
        </w:rPr>
        <w:t>负责做好本项目的支付财务统计工作。</w:t>
      </w:r>
    </w:p>
    <w:p>
      <w:pPr>
        <w:pStyle w:val="5"/>
        <w:spacing w:before="158"/>
        <w:ind w:left="692"/>
        <w:rPr>
          <w:color w:val="auto"/>
          <w:highlight w:val="none"/>
        </w:rPr>
      </w:pPr>
      <w:r>
        <w:rPr>
          <w:color w:val="auto"/>
          <w:highlight w:val="none"/>
        </w:rPr>
        <w:t>（7）其它授权内容</w:t>
      </w:r>
    </w:p>
    <w:p>
      <w:pPr>
        <w:rPr>
          <w:color w:val="auto"/>
          <w:sz w:val="24"/>
          <w:szCs w:val="24"/>
          <w:highlight w:val="none"/>
        </w:rPr>
        <w:sectPr>
          <w:pgSz w:w="11910" w:h="16840"/>
          <w:pgMar w:top="1080" w:right="900" w:bottom="1040" w:left="920" w:header="0" w:footer="858" w:gutter="0"/>
          <w:cols w:space="720" w:num="1"/>
        </w:sectPr>
      </w:pPr>
    </w:p>
    <w:p>
      <w:pPr>
        <w:pStyle w:val="11"/>
        <w:numPr>
          <w:ilvl w:val="1"/>
          <w:numId w:val="21"/>
        </w:numPr>
        <w:tabs>
          <w:tab w:val="left" w:pos="1113"/>
        </w:tabs>
        <w:spacing w:before="56" w:line="362" w:lineRule="auto"/>
        <w:ind w:right="335" w:firstLine="480"/>
        <w:rPr>
          <w:color w:val="auto"/>
          <w:sz w:val="24"/>
          <w:szCs w:val="24"/>
          <w:highlight w:val="none"/>
          <w:lang w:eastAsia="zh-CN"/>
        </w:rPr>
      </w:pPr>
      <w:r>
        <w:rPr>
          <w:color w:val="auto"/>
          <w:sz w:val="24"/>
          <w:szCs w:val="24"/>
          <w:highlight w:val="none"/>
          <w:lang w:eastAsia="zh-CN"/>
        </w:rPr>
        <w:t>在规定的项目质保期限内，负责项目的质量状况，组织鉴定质量问题责任，督促责任单位维修。</w:t>
      </w:r>
    </w:p>
    <w:p>
      <w:pPr>
        <w:pStyle w:val="11"/>
        <w:numPr>
          <w:ilvl w:val="1"/>
          <w:numId w:val="21"/>
        </w:numPr>
        <w:tabs>
          <w:tab w:val="left" w:pos="1113"/>
        </w:tabs>
        <w:spacing w:before="5"/>
        <w:ind w:firstLine="480"/>
        <w:rPr>
          <w:color w:val="auto"/>
          <w:sz w:val="24"/>
          <w:szCs w:val="24"/>
          <w:highlight w:val="none"/>
          <w:lang w:eastAsia="zh-CN"/>
        </w:rPr>
      </w:pPr>
      <w:r>
        <w:rPr>
          <w:color w:val="auto"/>
          <w:sz w:val="24"/>
          <w:szCs w:val="24"/>
          <w:highlight w:val="none"/>
          <w:lang w:eastAsia="zh-CN"/>
        </w:rPr>
        <w:t>发包人委托的其他工作。</w:t>
      </w:r>
    </w:p>
    <w:p>
      <w:pPr>
        <w:pStyle w:val="5"/>
        <w:spacing w:before="158"/>
        <w:ind w:left="692"/>
        <w:rPr>
          <w:color w:val="auto"/>
          <w:highlight w:val="none"/>
          <w:lang w:eastAsia="zh-CN"/>
        </w:rPr>
      </w:pPr>
      <w:r>
        <w:rPr>
          <w:color w:val="auto"/>
          <w:highlight w:val="none"/>
          <w:lang w:eastAsia="zh-CN"/>
        </w:rPr>
        <w:t>7.2.1 施工监理工作内容</w:t>
      </w:r>
    </w:p>
    <w:p>
      <w:pPr>
        <w:pStyle w:val="5"/>
        <w:spacing w:before="160"/>
        <w:ind w:left="692"/>
        <w:rPr>
          <w:color w:val="auto"/>
          <w:highlight w:val="none"/>
          <w:lang w:eastAsia="zh-CN"/>
        </w:rPr>
      </w:pPr>
      <w:r>
        <w:rPr>
          <w:color w:val="auto"/>
          <w:highlight w:val="none"/>
          <w:lang w:eastAsia="zh-CN"/>
        </w:rPr>
        <w:t>（1）施工准备阶段的监理工作</w:t>
      </w:r>
    </w:p>
    <w:p>
      <w:pPr>
        <w:pStyle w:val="5"/>
        <w:spacing w:before="159" w:line="364" w:lineRule="auto"/>
        <w:ind w:right="515" w:firstLine="480"/>
        <w:rPr>
          <w:color w:val="auto"/>
          <w:highlight w:val="none"/>
          <w:lang w:eastAsia="zh-CN"/>
        </w:rPr>
      </w:pPr>
      <w:r>
        <w:rPr>
          <w:color w:val="auto"/>
          <w:highlight w:val="none"/>
          <w:lang w:eastAsia="zh-CN"/>
        </w:rPr>
        <w:t>监理单位应积极协助发包人开展项目开工前所有准备工作（包括各类施工许可证的报批）及开展以下监理工作内容，以便项目顺利开工：</w:t>
      </w:r>
    </w:p>
    <w:p>
      <w:pPr>
        <w:pStyle w:val="5"/>
        <w:spacing w:before="1" w:line="362" w:lineRule="auto"/>
        <w:ind w:right="395" w:firstLine="480"/>
        <w:rPr>
          <w:color w:val="auto"/>
          <w:highlight w:val="none"/>
          <w:lang w:eastAsia="zh-CN"/>
        </w:rPr>
      </w:pPr>
      <w:r>
        <w:rPr>
          <w:color w:val="auto"/>
          <w:highlight w:val="none"/>
          <w:lang w:eastAsia="zh-CN"/>
        </w:rPr>
        <w:t>1）在设计交底前，监理单位应熟悉设计文件，并对图纸中存在的问题通过发包人向设计单位提出书面意见和建议。</w:t>
      </w:r>
    </w:p>
    <w:p>
      <w:pPr>
        <w:pStyle w:val="5"/>
        <w:spacing w:before="2" w:line="364" w:lineRule="auto"/>
        <w:ind w:right="395" w:firstLine="480"/>
        <w:rPr>
          <w:color w:val="auto"/>
          <w:highlight w:val="none"/>
          <w:lang w:eastAsia="zh-CN"/>
        </w:rPr>
      </w:pPr>
      <w:r>
        <w:rPr>
          <w:color w:val="auto"/>
          <w:highlight w:val="none"/>
          <w:lang w:eastAsia="zh-CN"/>
        </w:rPr>
        <w:t>2）监理单位应参加由发包人组织的设计技术交底会，总监理工程师应组织人员编写设计技术交底会议纪要并提交给发包人。</w:t>
      </w:r>
    </w:p>
    <w:p>
      <w:pPr>
        <w:pStyle w:val="5"/>
        <w:spacing w:line="306" w:lineRule="exact"/>
        <w:ind w:left="692"/>
        <w:rPr>
          <w:color w:val="auto"/>
          <w:highlight w:val="none"/>
          <w:lang w:eastAsia="zh-CN"/>
        </w:rPr>
      </w:pPr>
      <w:r>
        <w:rPr>
          <w:color w:val="auto"/>
          <w:highlight w:val="none"/>
          <w:lang w:eastAsia="zh-CN"/>
        </w:rPr>
        <w:t>3）图纸会审由发包人组织，监理单位应做好图纸会审记录并提交给发包人。</w:t>
      </w:r>
    </w:p>
    <w:p>
      <w:pPr>
        <w:pStyle w:val="5"/>
        <w:spacing w:before="161" w:line="364" w:lineRule="auto"/>
        <w:ind w:right="635" w:firstLine="480"/>
        <w:rPr>
          <w:color w:val="auto"/>
          <w:highlight w:val="none"/>
          <w:lang w:eastAsia="zh-CN"/>
        </w:rPr>
      </w:pPr>
      <w:r>
        <w:rPr>
          <w:color w:val="auto"/>
          <w:highlight w:val="none"/>
          <w:lang w:eastAsia="zh-CN"/>
        </w:rPr>
        <w:t>4）项目开工前，监理单位应审查参建单位报送的施工组织设计(方案)和专项施工方案，提出审查意见，并经总监理工程师审核、签认后报发包人。</w:t>
      </w:r>
    </w:p>
    <w:p>
      <w:pPr>
        <w:pStyle w:val="5"/>
        <w:spacing w:line="364" w:lineRule="auto"/>
        <w:ind w:right="275" w:firstLine="480"/>
        <w:rPr>
          <w:color w:val="auto"/>
          <w:highlight w:val="none"/>
          <w:lang w:eastAsia="zh-CN"/>
        </w:rPr>
      </w:pPr>
      <w:r>
        <w:rPr>
          <w:color w:val="auto"/>
          <w:highlight w:val="none"/>
          <w:lang w:eastAsia="zh-CN"/>
        </w:rPr>
        <w:t>5）项目开工前，监理单位应审查参建单位现场项目管理机构的质量管理体系、环境管理体系和安全管理体系，在确保维修项目施工质量时予以确认。分包项目开工前，监理单位应审查参建单位报送的分包单位资格报审表和分包单位有关资质资料，符合有关规定后，由监理单位予以签认。</w:t>
      </w:r>
    </w:p>
    <w:p>
      <w:pPr>
        <w:pStyle w:val="5"/>
        <w:spacing w:line="364" w:lineRule="auto"/>
        <w:ind w:right="275" w:firstLine="480"/>
        <w:jc w:val="both"/>
        <w:rPr>
          <w:color w:val="auto"/>
          <w:highlight w:val="none"/>
          <w:lang w:eastAsia="zh-CN"/>
        </w:rPr>
      </w:pPr>
      <w:r>
        <w:rPr>
          <w:color w:val="auto"/>
          <w:highlight w:val="none"/>
          <w:lang w:eastAsia="zh-CN"/>
        </w:rPr>
        <w:t>6）监理单位协助发包人移交与项目施工有关的测量成果（包括控制网/点、放样点、地形图等）。监理单位审查参建单位提交的控制测量方案；施工进场前，监理单位需组织参建单位、发包人进行联合复（包括控制点、放样点的保护措施以及平面控制网、高程控制网和临时水准点、地形图等）。监理单位应对复测的结果真实性、准确性负责。</w:t>
      </w:r>
    </w:p>
    <w:p>
      <w:pPr>
        <w:pStyle w:val="5"/>
        <w:spacing w:line="364" w:lineRule="auto"/>
        <w:ind w:right="395" w:firstLine="480"/>
        <w:rPr>
          <w:color w:val="auto"/>
          <w:highlight w:val="none"/>
          <w:lang w:eastAsia="zh-CN"/>
        </w:rPr>
      </w:pPr>
      <w:r>
        <w:rPr>
          <w:color w:val="auto"/>
          <w:highlight w:val="none"/>
          <w:lang w:eastAsia="zh-CN"/>
        </w:rPr>
        <w:t>7）监理单位应审查参建单位报送的项目开工报审表及相关资料，具备开工条件时，由总监理工程师签发，并报发包人。</w:t>
      </w:r>
    </w:p>
    <w:p>
      <w:pPr>
        <w:pStyle w:val="5"/>
        <w:ind w:left="692"/>
        <w:rPr>
          <w:color w:val="auto"/>
          <w:highlight w:val="none"/>
          <w:lang w:eastAsia="zh-CN"/>
        </w:rPr>
      </w:pPr>
      <w:r>
        <w:rPr>
          <w:color w:val="auto"/>
          <w:highlight w:val="none"/>
          <w:lang w:eastAsia="zh-CN"/>
        </w:rPr>
        <w:t>8）项目开工前，监理单位应参加由发包人主持召开的第一次工地会议。</w:t>
      </w:r>
    </w:p>
    <w:p>
      <w:pPr>
        <w:pStyle w:val="5"/>
        <w:spacing w:before="153"/>
        <w:ind w:left="692"/>
        <w:rPr>
          <w:color w:val="auto"/>
          <w:highlight w:val="none"/>
          <w:lang w:eastAsia="zh-CN"/>
        </w:rPr>
      </w:pPr>
      <w:r>
        <w:rPr>
          <w:color w:val="auto"/>
          <w:highlight w:val="none"/>
          <w:lang w:eastAsia="zh-CN"/>
        </w:rPr>
        <w:t>9）制定监理规划。</w:t>
      </w:r>
    </w:p>
    <w:p>
      <w:pPr>
        <w:pStyle w:val="5"/>
        <w:spacing w:before="158"/>
        <w:ind w:left="692"/>
        <w:rPr>
          <w:color w:val="auto"/>
          <w:highlight w:val="none"/>
          <w:lang w:eastAsia="zh-CN"/>
        </w:rPr>
      </w:pPr>
      <w:r>
        <w:rPr>
          <w:color w:val="auto"/>
          <w:highlight w:val="none"/>
          <w:lang w:eastAsia="zh-CN"/>
        </w:rPr>
        <w:t>10）制定监理实施细则。</w:t>
      </w:r>
    </w:p>
    <w:p>
      <w:pPr>
        <w:pStyle w:val="5"/>
        <w:spacing w:before="161" w:line="364" w:lineRule="auto"/>
        <w:ind w:right="275" w:firstLine="480"/>
        <w:jc w:val="both"/>
        <w:rPr>
          <w:color w:val="auto"/>
          <w:highlight w:val="none"/>
          <w:lang w:eastAsia="zh-CN"/>
        </w:rPr>
      </w:pPr>
      <w:r>
        <w:rPr>
          <w:color w:val="auto"/>
          <w:highlight w:val="none"/>
          <w:lang w:eastAsia="zh-CN"/>
        </w:rPr>
        <w:t>11）对合同管理实施控制工作程序化、规范化，建立定期和不定期的协调会制度，根据合同文件的约定及发包人要求的图纸批准程序、项目变更程序、参建单位索赔程序、参建单位的计量支付审查程序、进度款支付的审查批准程序、项目问题的请示报告程序等制定相关表格。</w:t>
      </w:r>
    </w:p>
    <w:p>
      <w:pPr>
        <w:spacing w:line="364" w:lineRule="auto"/>
        <w:jc w:val="both"/>
        <w:rPr>
          <w:color w:val="auto"/>
          <w:sz w:val="24"/>
          <w:szCs w:val="24"/>
          <w:highlight w:val="none"/>
          <w:lang w:eastAsia="zh-CN"/>
        </w:rPr>
        <w:sectPr>
          <w:pgSz w:w="11910" w:h="16840"/>
          <w:pgMar w:top="1080" w:right="900" w:bottom="1040" w:left="920" w:header="0" w:footer="858" w:gutter="0"/>
          <w:cols w:space="720" w:num="1"/>
        </w:sectPr>
      </w:pPr>
    </w:p>
    <w:p>
      <w:pPr>
        <w:pStyle w:val="5"/>
        <w:spacing w:before="56" w:line="362" w:lineRule="auto"/>
        <w:ind w:right="515" w:firstLine="480"/>
        <w:rPr>
          <w:color w:val="auto"/>
          <w:highlight w:val="none"/>
          <w:lang w:eastAsia="zh-CN"/>
        </w:rPr>
      </w:pPr>
      <w:r>
        <w:rPr>
          <w:color w:val="auto"/>
          <w:highlight w:val="none"/>
          <w:lang w:eastAsia="zh-CN"/>
        </w:rPr>
        <w:t>12）督促参建单位落实国家、广东省、广州市及南沙区颁发的建设工程相关文件的要求。</w:t>
      </w:r>
    </w:p>
    <w:p>
      <w:pPr>
        <w:pStyle w:val="5"/>
        <w:spacing w:before="5"/>
        <w:ind w:left="692"/>
        <w:rPr>
          <w:color w:val="auto"/>
          <w:highlight w:val="none"/>
          <w:lang w:eastAsia="zh-CN"/>
        </w:rPr>
      </w:pPr>
      <w:r>
        <w:rPr>
          <w:color w:val="auto"/>
          <w:highlight w:val="none"/>
          <w:lang w:eastAsia="zh-CN"/>
        </w:rPr>
        <w:t xml:space="preserve">施工阶段的监理工作 </w:t>
      </w:r>
    </w:p>
    <w:p>
      <w:pPr>
        <w:pStyle w:val="5"/>
        <w:spacing w:before="158"/>
        <w:ind w:left="692"/>
        <w:rPr>
          <w:color w:val="auto"/>
          <w:highlight w:val="none"/>
          <w:lang w:eastAsia="zh-CN"/>
        </w:rPr>
      </w:pPr>
      <w:r>
        <w:rPr>
          <w:color w:val="auto"/>
          <w:highlight w:val="none"/>
          <w:lang w:eastAsia="zh-CN"/>
        </w:rPr>
        <w:t>1）施工阶段的质量控制</w:t>
      </w:r>
    </w:p>
    <w:p>
      <w:pPr>
        <w:pStyle w:val="5"/>
        <w:spacing w:before="160" w:line="362" w:lineRule="auto"/>
        <w:ind w:right="395" w:firstLine="480"/>
        <w:rPr>
          <w:color w:val="auto"/>
          <w:highlight w:val="none"/>
          <w:lang w:eastAsia="zh-CN"/>
        </w:rPr>
      </w:pPr>
      <w:r>
        <w:rPr>
          <w:color w:val="auto"/>
          <w:highlight w:val="none"/>
          <w:lang w:eastAsia="zh-CN"/>
        </w:rPr>
        <w:t>A、监理单位审查和批准施工组织设计，核实并签发施工必须遵循的设计要求、采用的技术标准、技术规程规范等质量文件；</w:t>
      </w:r>
    </w:p>
    <w:p>
      <w:pPr>
        <w:pStyle w:val="5"/>
        <w:spacing w:before="5" w:line="364" w:lineRule="auto"/>
        <w:ind w:right="395" w:firstLine="480"/>
        <w:rPr>
          <w:color w:val="auto"/>
          <w:highlight w:val="none"/>
          <w:lang w:eastAsia="zh-CN"/>
        </w:rPr>
      </w:pPr>
      <w:r>
        <w:rPr>
          <w:color w:val="auto"/>
          <w:highlight w:val="none"/>
          <w:lang w:eastAsia="zh-CN"/>
        </w:rPr>
        <w:t>B、在施工过程中，当参建单位对已批准的施工组织设计进行调整、补充或变动时，应经监理单位审查，并应由总监理工程师签认；</w:t>
      </w:r>
    </w:p>
    <w:p>
      <w:pPr>
        <w:pStyle w:val="5"/>
        <w:spacing w:line="306" w:lineRule="exact"/>
        <w:ind w:left="692"/>
        <w:rPr>
          <w:color w:val="auto"/>
          <w:highlight w:val="none"/>
          <w:lang w:eastAsia="zh-CN"/>
        </w:rPr>
      </w:pPr>
      <w:r>
        <w:rPr>
          <w:color w:val="auto"/>
          <w:highlight w:val="none"/>
          <w:lang w:eastAsia="zh-CN"/>
        </w:rPr>
        <w:t>C、监理单位审批项目单位项目、分部分项项目和检验批的划分，并依据监理规划分</w:t>
      </w:r>
    </w:p>
    <w:p>
      <w:pPr>
        <w:pStyle w:val="5"/>
        <w:spacing w:before="158" w:line="364" w:lineRule="auto"/>
        <w:ind w:right="275"/>
        <w:rPr>
          <w:color w:val="auto"/>
          <w:highlight w:val="none"/>
          <w:lang w:eastAsia="zh-CN"/>
        </w:rPr>
      </w:pPr>
      <w:r>
        <w:rPr>
          <w:color w:val="auto"/>
          <w:highlight w:val="none"/>
          <w:lang w:eastAsia="zh-CN"/>
        </w:rPr>
        <w:t>析、调整和确定质量控制重点、质量控制工作流程和监理措施，制定质量控制的各项实施细则、规定及其它管理制度；</w:t>
      </w:r>
    </w:p>
    <w:p>
      <w:pPr>
        <w:pStyle w:val="5"/>
        <w:spacing w:line="364" w:lineRule="auto"/>
        <w:ind w:right="395" w:firstLine="480"/>
        <w:rPr>
          <w:color w:val="auto"/>
          <w:highlight w:val="none"/>
          <w:lang w:eastAsia="zh-CN"/>
        </w:rPr>
      </w:pPr>
      <w:r>
        <w:rPr>
          <w:color w:val="auto"/>
          <w:highlight w:val="none"/>
          <w:lang w:eastAsia="zh-CN"/>
        </w:rPr>
        <w:t>D、监理单位应要求参建单位报送重点部位、关键工序的施工方案或作业指导书和确保项目质量的措施，审核同意后予以签认；</w:t>
      </w:r>
    </w:p>
    <w:p>
      <w:pPr>
        <w:pStyle w:val="5"/>
        <w:spacing w:line="362" w:lineRule="auto"/>
        <w:ind w:right="395" w:firstLine="480"/>
        <w:rPr>
          <w:color w:val="auto"/>
          <w:highlight w:val="none"/>
          <w:lang w:eastAsia="zh-CN"/>
        </w:rPr>
      </w:pPr>
      <w:r>
        <w:rPr>
          <w:color w:val="auto"/>
          <w:highlight w:val="none"/>
          <w:lang w:eastAsia="zh-CN"/>
        </w:rPr>
        <w:t>E、监理单位检查督促参建单位建立健全适合于本项目的质量管理体系，并能切实发挥作用，督促参建单位进行全面质量管理工作；</w:t>
      </w:r>
    </w:p>
    <w:p>
      <w:pPr>
        <w:pStyle w:val="5"/>
        <w:spacing w:before="5" w:line="362" w:lineRule="auto"/>
        <w:ind w:right="395" w:firstLine="480"/>
        <w:rPr>
          <w:color w:val="auto"/>
          <w:highlight w:val="none"/>
          <w:lang w:eastAsia="zh-CN"/>
        </w:rPr>
      </w:pPr>
      <w:r>
        <w:rPr>
          <w:color w:val="auto"/>
          <w:highlight w:val="none"/>
          <w:lang w:eastAsia="zh-CN"/>
        </w:rPr>
        <w:t>F、当参建单位采用新材料、新工艺、新技术、新设备时，监理单位应要求参建单位报送相应的施工工艺措施和证明材料，组织专题论证，经审定后予以签认；</w:t>
      </w:r>
    </w:p>
    <w:p>
      <w:pPr>
        <w:pStyle w:val="5"/>
        <w:spacing w:before="5" w:line="362" w:lineRule="auto"/>
        <w:ind w:right="395" w:firstLine="480"/>
        <w:rPr>
          <w:color w:val="auto"/>
          <w:highlight w:val="none"/>
          <w:lang w:eastAsia="zh-CN"/>
        </w:rPr>
      </w:pPr>
      <w:r>
        <w:rPr>
          <w:color w:val="auto"/>
          <w:highlight w:val="none"/>
          <w:lang w:eastAsia="zh-CN"/>
        </w:rPr>
        <w:t>G、协助发包人移交与项目施工有关的测量控制网点；审查参建单位提交的测量实施报告，并依据监理规范要求检查和复核有关测量成果；</w:t>
      </w:r>
    </w:p>
    <w:p>
      <w:pPr>
        <w:pStyle w:val="5"/>
        <w:spacing w:before="5" w:line="362" w:lineRule="auto"/>
        <w:ind w:right="395" w:firstLine="480"/>
        <w:rPr>
          <w:color w:val="auto"/>
          <w:highlight w:val="none"/>
          <w:lang w:eastAsia="zh-CN"/>
        </w:rPr>
      </w:pPr>
      <w:r>
        <w:rPr>
          <w:color w:val="auto"/>
          <w:highlight w:val="none"/>
          <w:lang w:eastAsia="zh-CN"/>
        </w:rPr>
        <w:t>H、审查参建单位自建的试验室或委托试验的试验室；审查批准参建单位按合同约定进行的材料、工艺试验及确定各项施工参数的试验；</w:t>
      </w:r>
    </w:p>
    <w:p>
      <w:pPr>
        <w:pStyle w:val="5"/>
        <w:spacing w:before="5" w:line="364" w:lineRule="auto"/>
        <w:ind w:right="275" w:firstLine="480"/>
        <w:rPr>
          <w:color w:val="auto"/>
          <w:highlight w:val="none"/>
          <w:lang w:eastAsia="zh-CN"/>
        </w:rPr>
      </w:pPr>
      <w:r>
        <w:rPr>
          <w:color w:val="auto"/>
          <w:highlight w:val="none"/>
          <w:lang w:eastAsia="zh-CN"/>
        </w:rPr>
        <w:t>I、监理单位应对材料、设备的进场验收负主要责任。监理单位应对参建单位报送的拟进场项目材料、构配件和设备的项目材料/构配件/设备报审表及其质量证明资料进行审核， 并对进场的实物按照委托监理合同约定或有关项目质量管理文件规定的比例采用平行检验或见证取样方式进行抽检。对未经监理人员验收或验收不合格的项目材料、构配件、设备，监理人员应拒绝签认，并应签发监理工程师通知单，书面通知参建单位限期将不合格的项目材料、构配件、设备撤出现场；</w:t>
      </w:r>
    </w:p>
    <w:p>
      <w:pPr>
        <w:pStyle w:val="5"/>
        <w:spacing w:line="364" w:lineRule="auto"/>
        <w:ind w:right="275" w:firstLine="480"/>
        <w:rPr>
          <w:color w:val="auto"/>
          <w:highlight w:val="none"/>
          <w:lang w:eastAsia="zh-CN"/>
        </w:rPr>
      </w:pPr>
      <w:r>
        <w:rPr>
          <w:color w:val="auto"/>
          <w:highlight w:val="none"/>
          <w:lang w:eastAsia="zh-CN"/>
        </w:rPr>
        <w:t>J、监理单位对施工质量进行全过程的监督管理，在加强现场管理工作的前提下对重点部位、隐蔽项目和关键工序应采取旁站监理；对施工质量情况及时做好记录和统计工作，对发现质量问题的施工现场及时进行拍照或录像；</w:t>
      </w:r>
    </w:p>
    <w:p>
      <w:pPr>
        <w:spacing w:line="364" w:lineRule="auto"/>
        <w:rPr>
          <w:color w:val="auto"/>
          <w:sz w:val="24"/>
          <w:szCs w:val="24"/>
          <w:highlight w:val="none"/>
          <w:lang w:eastAsia="zh-CN"/>
        </w:rPr>
        <w:sectPr>
          <w:footerReference r:id="rId5" w:type="default"/>
          <w:pgSz w:w="11910" w:h="16840"/>
          <w:pgMar w:top="1080" w:right="900" w:bottom="1040" w:left="920" w:header="0" w:footer="858" w:gutter="0"/>
          <w:pgNumType w:start="20"/>
          <w:cols w:space="720" w:num="1"/>
        </w:sectPr>
      </w:pPr>
    </w:p>
    <w:p>
      <w:pPr>
        <w:pStyle w:val="5"/>
        <w:spacing w:before="56" w:line="362" w:lineRule="auto"/>
        <w:ind w:right="395" w:firstLine="480"/>
        <w:rPr>
          <w:color w:val="auto"/>
          <w:highlight w:val="none"/>
          <w:lang w:eastAsia="zh-CN"/>
        </w:rPr>
      </w:pPr>
      <w:r>
        <w:rPr>
          <w:color w:val="auto"/>
          <w:highlight w:val="none"/>
          <w:lang w:eastAsia="zh-CN"/>
        </w:rPr>
        <w:t>K、对施工过程中出现的质量缺陷，监理单位应及时下达整改通知书，要求参建单位整改，并检查整改结果。</w:t>
      </w:r>
    </w:p>
    <w:p>
      <w:pPr>
        <w:pStyle w:val="5"/>
        <w:spacing w:before="5" w:line="364" w:lineRule="auto"/>
        <w:ind w:right="275" w:firstLine="480"/>
        <w:rPr>
          <w:color w:val="auto"/>
          <w:highlight w:val="none"/>
          <w:lang w:eastAsia="zh-CN"/>
        </w:rPr>
      </w:pPr>
      <w:r>
        <w:rPr>
          <w:color w:val="auto"/>
          <w:highlight w:val="none"/>
          <w:lang w:eastAsia="zh-CN"/>
        </w:rPr>
        <w:t>L、监理单位应在本合同项目的施工阶段开始之前向发包人提交质量事故处理程序。监理单位发现施工存在重大质量隐患，可能造成质量事故或已经造成质量事故时，应及时下达项目暂停令，要求参建单位停工整改。整改完毕并经监理单位复查，符合规定要求后，应及时签署项目复工报审表。监理单位下达项目暂停和签署项目复工报审表，应事先向发包人报告。</w:t>
      </w:r>
    </w:p>
    <w:p>
      <w:pPr>
        <w:pStyle w:val="5"/>
        <w:spacing w:line="362" w:lineRule="auto"/>
        <w:ind w:right="275" w:firstLine="480"/>
        <w:rPr>
          <w:color w:val="auto"/>
          <w:highlight w:val="none"/>
          <w:lang w:eastAsia="zh-CN"/>
        </w:rPr>
      </w:pPr>
      <w:r>
        <w:rPr>
          <w:color w:val="auto"/>
          <w:highlight w:val="none"/>
          <w:lang w:eastAsia="zh-CN"/>
        </w:rPr>
        <w:t>M、对需要返工处理或加固补强的质量事故，监理单位应责令参建单位报送质量故调查报告和经设计单位等相关单位认可的处理方案，监理单位应对质量事故的处理过程和处理结果进行跟踪检查和验收。</w:t>
      </w:r>
    </w:p>
    <w:p>
      <w:pPr>
        <w:pStyle w:val="5"/>
        <w:spacing w:before="4" w:line="362" w:lineRule="auto"/>
        <w:ind w:right="395" w:firstLine="480"/>
        <w:rPr>
          <w:color w:val="auto"/>
          <w:highlight w:val="none"/>
          <w:lang w:eastAsia="zh-CN"/>
        </w:rPr>
      </w:pPr>
      <w:r>
        <w:rPr>
          <w:color w:val="auto"/>
          <w:highlight w:val="none"/>
          <w:lang w:eastAsia="zh-CN"/>
        </w:rPr>
        <w:t>N、监理单位应及时向发包人提交有关质量事故的书面报告，并应将完整的质量事故处理记录整理归档。</w:t>
      </w:r>
    </w:p>
    <w:p>
      <w:pPr>
        <w:pStyle w:val="5"/>
        <w:spacing w:before="5" w:line="364" w:lineRule="auto"/>
        <w:ind w:right="395" w:firstLine="480"/>
        <w:rPr>
          <w:color w:val="auto"/>
          <w:highlight w:val="none"/>
          <w:lang w:eastAsia="zh-CN"/>
        </w:rPr>
      </w:pPr>
      <w:r>
        <w:rPr>
          <w:color w:val="auto"/>
          <w:highlight w:val="none"/>
          <w:lang w:eastAsia="zh-CN"/>
        </w:rPr>
        <w:t>O、监理单位组织并主持定期或不定期的质量检查会和分析会，分析、通报施工质量情况，协调有关单位间的施工活动，以消除影响质量的各种外部干扰因素；</w:t>
      </w:r>
    </w:p>
    <w:p>
      <w:pPr>
        <w:pStyle w:val="5"/>
        <w:spacing w:line="364" w:lineRule="auto"/>
        <w:ind w:right="395" w:firstLine="480"/>
        <w:rPr>
          <w:color w:val="auto"/>
          <w:highlight w:val="none"/>
          <w:lang w:eastAsia="zh-CN"/>
        </w:rPr>
      </w:pPr>
      <w:r>
        <w:rPr>
          <w:color w:val="auto"/>
          <w:highlight w:val="none"/>
          <w:lang w:eastAsia="zh-CN"/>
        </w:rPr>
        <w:t>P、监理单位对项目的检验批、分部分项项目、单位项目等及时进行施工质量验收和质量评定工作；</w:t>
      </w:r>
    </w:p>
    <w:p>
      <w:pPr>
        <w:pStyle w:val="5"/>
        <w:spacing w:line="306" w:lineRule="exact"/>
        <w:ind w:left="692"/>
        <w:rPr>
          <w:color w:val="auto"/>
          <w:highlight w:val="none"/>
          <w:lang w:eastAsia="zh-CN"/>
        </w:rPr>
      </w:pPr>
      <w:r>
        <w:rPr>
          <w:color w:val="auto"/>
          <w:highlight w:val="none"/>
          <w:lang w:eastAsia="zh-CN"/>
        </w:rPr>
        <w:t>Q、监理单位审查竣工资料，组织竣工预验收；</w:t>
      </w:r>
    </w:p>
    <w:p>
      <w:pPr>
        <w:pStyle w:val="5"/>
        <w:spacing w:before="160"/>
        <w:ind w:left="692"/>
        <w:rPr>
          <w:color w:val="auto"/>
          <w:highlight w:val="none"/>
          <w:lang w:eastAsia="zh-CN"/>
        </w:rPr>
      </w:pPr>
      <w:r>
        <w:rPr>
          <w:color w:val="auto"/>
          <w:highlight w:val="none"/>
          <w:lang w:eastAsia="zh-CN"/>
        </w:rPr>
        <w:t>I、监理单位参与发包人组织的竣工验收，提交质量评估报告。</w:t>
      </w:r>
    </w:p>
    <w:p>
      <w:pPr>
        <w:pStyle w:val="5"/>
        <w:spacing w:before="158"/>
        <w:ind w:left="692"/>
        <w:rPr>
          <w:color w:val="auto"/>
          <w:highlight w:val="none"/>
          <w:lang w:eastAsia="zh-CN"/>
        </w:rPr>
      </w:pPr>
      <w:r>
        <w:rPr>
          <w:color w:val="auto"/>
          <w:highlight w:val="none"/>
          <w:lang w:eastAsia="zh-CN"/>
        </w:rPr>
        <w:t>2）施工阶段的造价控制</w:t>
      </w:r>
    </w:p>
    <w:p>
      <w:pPr>
        <w:pStyle w:val="5"/>
        <w:spacing w:before="160"/>
        <w:ind w:left="692"/>
        <w:rPr>
          <w:color w:val="auto"/>
          <w:highlight w:val="none"/>
          <w:lang w:eastAsia="zh-CN"/>
        </w:rPr>
      </w:pPr>
      <w:r>
        <w:rPr>
          <w:color w:val="auto"/>
          <w:highlight w:val="none"/>
          <w:lang w:eastAsia="zh-CN"/>
        </w:rPr>
        <w:t>A、监理单位协助委托方审核招标文件和合同文件中有关造价的条款；</w:t>
      </w:r>
    </w:p>
    <w:p>
      <w:pPr>
        <w:pStyle w:val="5"/>
        <w:spacing w:before="158"/>
        <w:ind w:left="692"/>
        <w:rPr>
          <w:color w:val="auto"/>
          <w:highlight w:val="none"/>
          <w:lang w:eastAsia="zh-CN"/>
        </w:rPr>
      </w:pPr>
      <w:r>
        <w:rPr>
          <w:color w:val="auto"/>
          <w:highlight w:val="none"/>
          <w:lang w:eastAsia="zh-CN"/>
        </w:rPr>
        <w:t>B、监理单位审核施工阶段各年度、季度、月度资金使用计划并控制其执行；</w:t>
      </w:r>
    </w:p>
    <w:p>
      <w:pPr>
        <w:pStyle w:val="5"/>
        <w:spacing w:before="161" w:line="362" w:lineRule="auto"/>
        <w:ind w:right="395" w:firstLine="480"/>
        <w:rPr>
          <w:color w:val="auto"/>
          <w:highlight w:val="none"/>
          <w:lang w:eastAsia="zh-CN"/>
        </w:rPr>
      </w:pPr>
      <w:r>
        <w:rPr>
          <w:color w:val="auto"/>
          <w:highlight w:val="none"/>
          <w:lang w:eastAsia="zh-CN"/>
        </w:rPr>
        <w:t>C、监理单位应及时建立月完成工程量和工作量统计表，对实际完成量与计划完成量进行比较、分析，制定调整措施，并应在监理月报中向发包人报告；</w:t>
      </w:r>
    </w:p>
    <w:p>
      <w:pPr>
        <w:pStyle w:val="5"/>
        <w:spacing w:before="5" w:line="364" w:lineRule="auto"/>
        <w:ind w:right="395" w:firstLine="480"/>
        <w:jc w:val="both"/>
        <w:rPr>
          <w:color w:val="auto"/>
          <w:highlight w:val="none"/>
          <w:lang w:eastAsia="zh-CN"/>
        </w:rPr>
      </w:pPr>
      <w:r>
        <w:rPr>
          <w:color w:val="auto"/>
          <w:highlight w:val="none"/>
          <w:lang w:eastAsia="zh-CN"/>
        </w:rPr>
        <w:t>D、监理单位按施工合同约定的工程量计算规则和支付条款进行工程量计量和项目款支付，出具审核意见；监理单位应在收到参建单位提交的工程量报告后 5 天内完成对参建单位提交的工程量报表的审核并报送发包人。</w:t>
      </w:r>
    </w:p>
    <w:p>
      <w:pPr>
        <w:pStyle w:val="5"/>
        <w:spacing w:line="304" w:lineRule="exact"/>
        <w:ind w:left="692"/>
        <w:rPr>
          <w:color w:val="auto"/>
          <w:highlight w:val="none"/>
          <w:lang w:eastAsia="zh-CN"/>
        </w:rPr>
      </w:pPr>
      <w:r>
        <w:rPr>
          <w:color w:val="auto"/>
          <w:highlight w:val="none"/>
          <w:lang w:eastAsia="zh-CN"/>
        </w:rPr>
        <w:t>E、监理单位协助委托方审核及处理各项施工索赔中与资金有关的事宜；</w:t>
      </w:r>
    </w:p>
    <w:p>
      <w:pPr>
        <w:pStyle w:val="5"/>
        <w:spacing w:before="160" w:line="364" w:lineRule="auto"/>
        <w:ind w:right="395" w:firstLine="480"/>
        <w:rPr>
          <w:color w:val="auto"/>
          <w:highlight w:val="none"/>
          <w:lang w:eastAsia="zh-CN"/>
        </w:rPr>
      </w:pPr>
      <w:r>
        <w:rPr>
          <w:color w:val="auto"/>
          <w:highlight w:val="none"/>
          <w:lang w:eastAsia="zh-CN"/>
        </w:rPr>
        <w:t>F、监理单位依据施工合同有关条款、施工图，对项目造价目标进行风险分析，并应制定防范性对策；</w:t>
      </w:r>
    </w:p>
    <w:p>
      <w:pPr>
        <w:pStyle w:val="5"/>
        <w:spacing w:line="364" w:lineRule="auto"/>
        <w:ind w:right="395" w:firstLine="480"/>
        <w:rPr>
          <w:color w:val="auto"/>
          <w:highlight w:val="none"/>
          <w:lang w:eastAsia="zh-CN"/>
        </w:rPr>
      </w:pPr>
      <w:r>
        <w:rPr>
          <w:color w:val="auto"/>
          <w:highlight w:val="none"/>
          <w:lang w:eastAsia="zh-CN"/>
        </w:rPr>
        <w:t>G、监理单位从造价、项目的功能要求、质量和工期等方面审查项目变更的方案，并在项目变更实施前与发包人、参建单位协商确定项目变更的价款；</w:t>
      </w:r>
    </w:p>
    <w:p>
      <w:pPr>
        <w:spacing w:line="364" w:lineRule="auto"/>
        <w:rPr>
          <w:color w:val="auto"/>
          <w:highlight w:val="none"/>
          <w:lang w:eastAsia="zh-CN"/>
        </w:rPr>
        <w:sectPr>
          <w:pgSz w:w="11910" w:h="16840"/>
          <w:pgMar w:top="1080" w:right="900" w:bottom="1040" w:left="920" w:header="0" w:footer="858" w:gutter="0"/>
          <w:cols w:space="720" w:num="1"/>
        </w:sectPr>
      </w:pPr>
    </w:p>
    <w:p>
      <w:pPr>
        <w:pStyle w:val="5"/>
        <w:spacing w:before="56"/>
        <w:ind w:left="692"/>
        <w:rPr>
          <w:color w:val="auto"/>
          <w:highlight w:val="none"/>
          <w:lang w:eastAsia="zh-CN"/>
        </w:rPr>
      </w:pPr>
      <w:r>
        <w:rPr>
          <w:color w:val="auto"/>
          <w:highlight w:val="none"/>
          <w:lang w:eastAsia="zh-CN"/>
        </w:rPr>
        <w:t>H、监理单位按发包人维修项目签证管理的相关规定对项目的现场签证进行管理。</w:t>
      </w:r>
    </w:p>
    <w:p>
      <w:pPr>
        <w:pStyle w:val="5"/>
        <w:spacing w:before="158" w:line="364" w:lineRule="auto"/>
        <w:ind w:right="395" w:firstLine="480"/>
        <w:rPr>
          <w:color w:val="auto"/>
          <w:highlight w:val="none"/>
          <w:lang w:eastAsia="zh-CN"/>
        </w:rPr>
      </w:pPr>
      <w:r>
        <w:rPr>
          <w:color w:val="auto"/>
          <w:highlight w:val="none"/>
          <w:lang w:eastAsia="zh-CN"/>
        </w:rPr>
        <w:t>I、未经监理人员质量验收合格的工程量，或不符合施工合同规定的工程量，监理单位应拒绝计量和该部分的项目款支付申请。</w:t>
      </w:r>
    </w:p>
    <w:p>
      <w:pPr>
        <w:pStyle w:val="5"/>
        <w:spacing w:line="364" w:lineRule="auto"/>
        <w:ind w:left="692" w:right="4235"/>
        <w:rPr>
          <w:color w:val="auto"/>
          <w:highlight w:val="none"/>
          <w:lang w:eastAsia="zh-CN"/>
        </w:rPr>
      </w:pPr>
      <w:r>
        <w:rPr>
          <w:color w:val="auto"/>
          <w:highlight w:val="none"/>
          <w:lang w:eastAsia="zh-CN"/>
        </w:rPr>
        <w:t>施工阶段的进度控制                         A、熟悉招标文件和合同文件中有关进度的条款；</w:t>
      </w:r>
    </w:p>
    <w:p>
      <w:pPr>
        <w:pStyle w:val="5"/>
        <w:spacing w:line="364" w:lineRule="auto"/>
        <w:ind w:right="395" w:firstLine="480"/>
        <w:rPr>
          <w:color w:val="auto"/>
          <w:highlight w:val="none"/>
          <w:lang w:eastAsia="zh-CN"/>
        </w:rPr>
      </w:pPr>
      <w:r>
        <w:rPr>
          <w:color w:val="auto"/>
          <w:highlight w:val="none"/>
          <w:lang w:eastAsia="zh-CN"/>
        </w:rPr>
        <w:t>B、审核施工总进度计划，并在项目施工过程中控制其执行，必要时，及时调整施工总进度；</w:t>
      </w:r>
    </w:p>
    <w:p>
      <w:pPr>
        <w:pStyle w:val="5"/>
        <w:ind w:left="692"/>
        <w:rPr>
          <w:color w:val="auto"/>
          <w:highlight w:val="none"/>
          <w:lang w:eastAsia="zh-CN"/>
        </w:rPr>
      </w:pPr>
      <w:r>
        <w:rPr>
          <w:color w:val="auto"/>
          <w:highlight w:val="none"/>
          <w:lang w:eastAsia="zh-CN"/>
        </w:rPr>
        <w:t>C、审核项目施工各阶段、年、季、月度的进度计划，并控制其执行，必要时作调整；</w:t>
      </w:r>
    </w:p>
    <w:p>
      <w:pPr>
        <w:pStyle w:val="5"/>
        <w:spacing w:before="157" w:line="362" w:lineRule="auto"/>
        <w:ind w:right="395" w:firstLine="480"/>
        <w:rPr>
          <w:color w:val="auto"/>
          <w:highlight w:val="none"/>
          <w:lang w:eastAsia="zh-CN"/>
        </w:rPr>
      </w:pPr>
      <w:r>
        <w:rPr>
          <w:color w:val="auto"/>
          <w:highlight w:val="none"/>
          <w:lang w:eastAsia="zh-CN"/>
        </w:rPr>
        <w:t>D、在项目实施过程中，当实际进度滞后于计划进度时，监理单位应书面通知参建单位采取纠偏措施并监督实施。</w:t>
      </w:r>
    </w:p>
    <w:p>
      <w:pPr>
        <w:pStyle w:val="5"/>
        <w:spacing w:before="5" w:line="362" w:lineRule="auto"/>
        <w:ind w:right="395" w:firstLine="480"/>
        <w:rPr>
          <w:color w:val="auto"/>
          <w:highlight w:val="none"/>
          <w:lang w:eastAsia="zh-CN"/>
        </w:rPr>
      </w:pPr>
      <w:r>
        <w:rPr>
          <w:color w:val="auto"/>
          <w:highlight w:val="none"/>
          <w:lang w:eastAsia="zh-CN"/>
        </w:rPr>
        <w:t>E、依据施工合同有关条款、施工图及经过批准的施工组织设计制定进度控制方案，对进度目标进行风险分析，制定防范性对策，经监理单位审定后报送发包人。</w:t>
      </w:r>
    </w:p>
    <w:p>
      <w:pPr>
        <w:pStyle w:val="5"/>
        <w:spacing w:before="5"/>
        <w:ind w:left="692"/>
        <w:rPr>
          <w:color w:val="auto"/>
          <w:highlight w:val="none"/>
          <w:lang w:eastAsia="zh-CN"/>
        </w:rPr>
      </w:pPr>
      <w:r>
        <w:rPr>
          <w:color w:val="auto"/>
          <w:highlight w:val="none"/>
          <w:lang w:eastAsia="zh-CN"/>
        </w:rPr>
        <w:t>项目职业健康安全控制工作</w:t>
      </w:r>
    </w:p>
    <w:p>
      <w:pPr>
        <w:pStyle w:val="5"/>
        <w:spacing w:before="160" w:line="362" w:lineRule="auto"/>
        <w:ind w:right="395" w:firstLine="480"/>
        <w:rPr>
          <w:color w:val="auto"/>
          <w:highlight w:val="none"/>
          <w:lang w:eastAsia="zh-CN"/>
        </w:rPr>
      </w:pPr>
      <w:r>
        <w:rPr>
          <w:color w:val="auto"/>
          <w:highlight w:val="none"/>
          <w:lang w:eastAsia="zh-CN"/>
        </w:rPr>
        <w:t>A、编制安全监理实施细则，对施工中人的不安全行为、物的不安全状态、作业环境的不安全因素和管理缺陷进行相应的安全控制。</w:t>
      </w:r>
    </w:p>
    <w:p>
      <w:pPr>
        <w:pStyle w:val="5"/>
        <w:spacing w:before="5"/>
        <w:ind w:left="692"/>
        <w:rPr>
          <w:color w:val="auto"/>
          <w:highlight w:val="none"/>
          <w:lang w:eastAsia="zh-CN"/>
        </w:rPr>
      </w:pPr>
      <w:r>
        <w:rPr>
          <w:color w:val="auto"/>
          <w:highlight w:val="none"/>
          <w:lang w:eastAsia="zh-CN"/>
        </w:rPr>
        <w:t>B、检查项目施工安全目标的要求配置的资源是否满足需要。</w:t>
      </w:r>
    </w:p>
    <w:p>
      <w:pPr>
        <w:pStyle w:val="5"/>
        <w:spacing w:before="158" w:line="364" w:lineRule="auto"/>
        <w:ind w:right="395" w:firstLine="480"/>
        <w:rPr>
          <w:color w:val="auto"/>
          <w:highlight w:val="none"/>
          <w:lang w:eastAsia="zh-CN"/>
        </w:rPr>
      </w:pPr>
      <w:r>
        <w:rPr>
          <w:color w:val="auto"/>
          <w:highlight w:val="none"/>
          <w:lang w:eastAsia="zh-CN"/>
        </w:rPr>
        <w:t>C、要求参建单位对结构复杂、施工难度大、专业性强的项目和达到一定规模的危险性较大的分部分项项目编制专项施工方案，必要时，组织专家进行论证、审查。</w:t>
      </w:r>
    </w:p>
    <w:p>
      <w:pPr>
        <w:pStyle w:val="5"/>
        <w:spacing w:line="364" w:lineRule="auto"/>
        <w:ind w:right="395" w:firstLine="480"/>
        <w:rPr>
          <w:color w:val="auto"/>
          <w:highlight w:val="none"/>
          <w:lang w:eastAsia="zh-CN"/>
        </w:rPr>
      </w:pPr>
      <w:r>
        <w:rPr>
          <w:color w:val="auto"/>
          <w:highlight w:val="none"/>
          <w:lang w:eastAsia="zh-CN"/>
        </w:rPr>
        <w:t>D、定期组织安全控制计划的执行情况并进行检查考核和评价，对施工中存在的不安全行为和隐患，分析原因并制定相应整改防范措施。</w:t>
      </w:r>
    </w:p>
    <w:p>
      <w:pPr>
        <w:pStyle w:val="5"/>
        <w:spacing w:line="364" w:lineRule="auto"/>
        <w:ind w:right="635" w:firstLine="480"/>
        <w:rPr>
          <w:color w:val="auto"/>
          <w:highlight w:val="none"/>
          <w:lang w:eastAsia="zh-CN"/>
        </w:rPr>
      </w:pPr>
      <w:r>
        <w:rPr>
          <w:color w:val="auto"/>
          <w:highlight w:val="none"/>
          <w:lang w:eastAsia="zh-CN"/>
        </w:rPr>
        <w:t>E、采取随机抽样、现场观察、实地检测相结合的方法进行安全检查，并记录检测结果。对现场管理人员的违章指挥和操作人员的违章作业行为应进行纠正。</w:t>
      </w:r>
    </w:p>
    <w:p>
      <w:pPr>
        <w:pStyle w:val="5"/>
        <w:spacing w:line="364" w:lineRule="auto"/>
        <w:ind w:right="395" w:firstLine="480"/>
        <w:rPr>
          <w:color w:val="auto"/>
          <w:highlight w:val="none"/>
          <w:lang w:eastAsia="zh-CN"/>
        </w:rPr>
      </w:pPr>
      <w:r>
        <w:rPr>
          <w:color w:val="auto"/>
          <w:highlight w:val="none"/>
          <w:lang w:eastAsia="zh-CN"/>
        </w:rPr>
        <w:t>F、对检查出的隐患立即发出安全隐患整改通知单。受检单位应对安全隐患原因进行分析，制定和落实纠正和预防指施。</w:t>
      </w:r>
    </w:p>
    <w:p>
      <w:pPr>
        <w:pStyle w:val="5"/>
        <w:ind w:left="692"/>
        <w:rPr>
          <w:color w:val="auto"/>
          <w:highlight w:val="none"/>
          <w:lang w:eastAsia="zh-CN"/>
        </w:rPr>
      </w:pPr>
      <w:r>
        <w:rPr>
          <w:color w:val="auto"/>
          <w:highlight w:val="none"/>
          <w:lang w:eastAsia="zh-CN"/>
        </w:rPr>
        <w:t>G、对纠正预防措施的实施过程和实施效果应进行跟踪检查，保存验证记录。</w:t>
      </w:r>
    </w:p>
    <w:p>
      <w:pPr>
        <w:pStyle w:val="5"/>
        <w:spacing w:before="156"/>
        <w:ind w:left="692"/>
        <w:rPr>
          <w:color w:val="auto"/>
          <w:highlight w:val="none"/>
          <w:lang w:eastAsia="zh-CN"/>
        </w:rPr>
      </w:pPr>
      <w:r>
        <w:rPr>
          <w:color w:val="auto"/>
          <w:highlight w:val="none"/>
          <w:lang w:eastAsia="zh-CN"/>
        </w:rPr>
        <w:t>H、职业健康安全质量事故的处理</w:t>
      </w:r>
    </w:p>
    <w:p>
      <w:pPr>
        <w:pStyle w:val="5"/>
        <w:spacing w:before="158" w:line="364" w:lineRule="auto"/>
        <w:ind w:right="275" w:firstLine="480"/>
        <w:rPr>
          <w:color w:val="auto"/>
          <w:highlight w:val="none"/>
          <w:lang w:eastAsia="zh-CN"/>
        </w:rPr>
      </w:pPr>
      <w:r>
        <w:rPr>
          <w:color w:val="auto"/>
          <w:highlight w:val="none"/>
          <w:lang w:eastAsia="zh-CN"/>
        </w:rPr>
        <w:t>对于发生的安全质量事故，监理单位应及时向发包人及政府相关部门报告，同时应积极保护事故现场，收集相关的原始资料。监理单位在调查事故情况并分析原因、责任后，并将事故调查分析报告提交发包人及政府相关部门。监理单位同时应提交相应的防范措施建议 书，以防止同类事故再次发生。</w:t>
      </w:r>
    </w:p>
    <w:p>
      <w:pPr>
        <w:pStyle w:val="5"/>
        <w:ind w:left="692"/>
        <w:rPr>
          <w:color w:val="auto"/>
          <w:highlight w:val="none"/>
          <w:lang w:eastAsia="zh-CN"/>
        </w:rPr>
      </w:pPr>
      <w:r>
        <w:rPr>
          <w:color w:val="auto"/>
          <w:highlight w:val="none"/>
          <w:lang w:eastAsia="zh-CN"/>
        </w:rPr>
        <w:t>施工阶段的合同管理</w:t>
      </w:r>
    </w:p>
    <w:p>
      <w:pPr>
        <w:rPr>
          <w:color w:val="auto"/>
          <w:highlight w:val="none"/>
          <w:lang w:eastAsia="zh-CN"/>
        </w:rPr>
        <w:sectPr>
          <w:pgSz w:w="11910" w:h="16840"/>
          <w:pgMar w:top="1080" w:right="900" w:bottom="1040" w:left="920" w:header="0" w:footer="858" w:gutter="0"/>
          <w:cols w:space="720" w:num="1"/>
        </w:sectPr>
      </w:pPr>
    </w:p>
    <w:p>
      <w:pPr>
        <w:pStyle w:val="5"/>
        <w:spacing w:before="56" w:line="362" w:lineRule="auto"/>
        <w:ind w:right="395" w:firstLine="480"/>
        <w:rPr>
          <w:color w:val="auto"/>
          <w:highlight w:val="none"/>
          <w:lang w:eastAsia="zh-CN"/>
        </w:rPr>
      </w:pPr>
      <w:r>
        <w:rPr>
          <w:color w:val="auto"/>
          <w:highlight w:val="none"/>
          <w:lang w:eastAsia="zh-CN"/>
        </w:rPr>
        <w:t>A、建立合同管理文档系统。建立与之相适应的编码系统和文档系统，便于各种合同资料的保存与查询；</w:t>
      </w:r>
    </w:p>
    <w:p>
      <w:pPr>
        <w:pStyle w:val="5"/>
        <w:spacing w:before="5" w:line="362" w:lineRule="auto"/>
        <w:ind w:right="395" w:firstLine="480"/>
        <w:rPr>
          <w:color w:val="auto"/>
          <w:highlight w:val="none"/>
          <w:lang w:eastAsia="zh-CN"/>
        </w:rPr>
      </w:pPr>
      <w:r>
        <w:rPr>
          <w:color w:val="auto"/>
          <w:highlight w:val="none"/>
          <w:lang w:eastAsia="zh-CN"/>
        </w:rPr>
        <w:t>B、建立合同文件沟通方式。参建单位和发包人、监理工程师、分包人之间的有关合同的文件沟通都应以书面形式进行；</w:t>
      </w:r>
    </w:p>
    <w:p>
      <w:pPr>
        <w:pStyle w:val="5"/>
        <w:spacing w:before="5" w:line="362" w:lineRule="auto"/>
        <w:ind w:right="395" w:firstLine="480"/>
        <w:rPr>
          <w:color w:val="auto"/>
          <w:highlight w:val="none"/>
          <w:lang w:eastAsia="zh-CN"/>
        </w:rPr>
      </w:pPr>
      <w:r>
        <w:rPr>
          <w:color w:val="auto"/>
          <w:highlight w:val="none"/>
          <w:lang w:eastAsia="zh-CN"/>
        </w:rPr>
        <w:t>C、合同实施监督。包括：监督总包单位、分包人严格执行合同，并做好各分包人的协调和管理工作。同时也应督促发包人执行其合同义务，以保证项目顺利进行；</w:t>
      </w:r>
    </w:p>
    <w:p>
      <w:pPr>
        <w:pStyle w:val="5"/>
        <w:spacing w:before="5"/>
        <w:ind w:left="692"/>
        <w:rPr>
          <w:color w:val="auto"/>
          <w:highlight w:val="none"/>
          <w:lang w:eastAsia="zh-CN"/>
        </w:rPr>
      </w:pPr>
      <w:r>
        <w:rPr>
          <w:color w:val="auto"/>
          <w:highlight w:val="none"/>
          <w:lang w:eastAsia="zh-CN"/>
        </w:rPr>
        <w:t>D、合同跟踪和诊断：</w:t>
      </w:r>
    </w:p>
    <w:p>
      <w:pPr>
        <w:pStyle w:val="5"/>
        <w:spacing w:before="160" w:line="362" w:lineRule="auto"/>
        <w:ind w:right="395" w:firstLine="480"/>
        <w:rPr>
          <w:color w:val="auto"/>
          <w:highlight w:val="none"/>
          <w:lang w:eastAsia="zh-CN"/>
        </w:rPr>
      </w:pPr>
      <w:r>
        <w:rPr>
          <w:color w:val="auto"/>
          <w:highlight w:val="none"/>
          <w:lang w:eastAsia="zh-CN"/>
        </w:rPr>
        <w:t>a、全面收集并分析合同实施的信息与项目资料，将合同实施情况与合同分析资料进行对比分析，找出其中的偏离；</w:t>
      </w:r>
    </w:p>
    <w:p>
      <w:pPr>
        <w:pStyle w:val="5"/>
        <w:spacing w:before="3" w:line="364" w:lineRule="auto"/>
        <w:ind w:right="395" w:firstLine="480"/>
        <w:rPr>
          <w:color w:val="auto"/>
          <w:highlight w:val="none"/>
          <w:lang w:eastAsia="zh-CN"/>
        </w:rPr>
      </w:pPr>
      <w:r>
        <w:rPr>
          <w:color w:val="auto"/>
          <w:highlight w:val="none"/>
          <w:lang w:eastAsia="zh-CN"/>
        </w:rPr>
        <w:t>b、对合同履行情况做出诊断。合同诊断包括：合同执行差异的原因分析、合同差异责任分析、合同实施趋向预测；提出合同实施方面的意见、建议；</w:t>
      </w:r>
    </w:p>
    <w:p>
      <w:pPr>
        <w:pStyle w:val="5"/>
        <w:spacing w:line="306" w:lineRule="exact"/>
        <w:ind w:left="692"/>
        <w:rPr>
          <w:color w:val="auto"/>
          <w:highlight w:val="none"/>
          <w:lang w:eastAsia="zh-CN"/>
        </w:rPr>
      </w:pPr>
      <w:r>
        <w:rPr>
          <w:color w:val="auto"/>
          <w:highlight w:val="none"/>
          <w:lang w:eastAsia="zh-CN"/>
        </w:rPr>
        <w:t>c、对于发现的问题，及时采取对应的管理措施，防止问题的扩大和重复发生；</w:t>
      </w:r>
    </w:p>
    <w:p>
      <w:pPr>
        <w:pStyle w:val="5"/>
        <w:spacing w:before="160" w:line="364" w:lineRule="auto"/>
        <w:ind w:right="395" w:firstLine="480"/>
        <w:rPr>
          <w:color w:val="auto"/>
          <w:highlight w:val="none"/>
          <w:lang w:eastAsia="zh-CN"/>
        </w:rPr>
      </w:pPr>
      <w:r>
        <w:rPr>
          <w:color w:val="auto"/>
          <w:highlight w:val="none"/>
          <w:lang w:eastAsia="zh-CN"/>
        </w:rPr>
        <w:t>E、严格合同变更管理。包括：变更谈判、变更的处理程序，落实变更的措施，修改变更相关的资料，检查变更措施的落实情况；</w:t>
      </w:r>
    </w:p>
    <w:p>
      <w:pPr>
        <w:pStyle w:val="5"/>
        <w:spacing w:line="364" w:lineRule="auto"/>
        <w:ind w:right="395" w:firstLine="480"/>
        <w:rPr>
          <w:color w:val="auto"/>
          <w:highlight w:val="none"/>
          <w:lang w:eastAsia="zh-CN"/>
        </w:rPr>
      </w:pPr>
      <w:r>
        <w:rPr>
          <w:color w:val="auto"/>
          <w:highlight w:val="none"/>
          <w:lang w:eastAsia="zh-CN"/>
        </w:rPr>
        <w:t>F、监理单位应按发包人的要求对相关合同及施工组织设计等文件进行审核，确定可能引起争议的合同条款等内容，向发包人提交关于合同执行过程的可能存在的索赔风险的报告。对收到的参建单位的索赔报告应进行审查分析，收集索赔的客观事实证据，复核索赔值；如具备反索赔条件，应及时提示发包人进行反索赔，并附上相关证据；</w:t>
      </w:r>
    </w:p>
    <w:p>
      <w:pPr>
        <w:pStyle w:val="5"/>
        <w:spacing w:line="364" w:lineRule="auto"/>
        <w:ind w:right="275" w:firstLine="480"/>
        <w:rPr>
          <w:color w:val="auto"/>
          <w:highlight w:val="none"/>
          <w:lang w:eastAsia="zh-CN"/>
        </w:rPr>
      </w:pPr>
      <w:r>
        <w:rPr>
          <w:color w:val="auto"/>
          <w:highlight w:val="none"/>
          <w:lang w:eastAsia="zh-CN"/>
        </w:rPr>
        <w:t>G、合同终止和后评价工作，包括：合同按约定履行结束后，合同即告终止。监理单位应及时进行合同后评价，总结合同签订和执行过程中的利弊得失、经验教训，作为改进以后项目合同管理工作的借鉴；</w:t>
      </w:r>
    </w:p>
    <w:p>
      <w:pPr>
        <w:pStyle w:val="5"/>
        <w:spacing w:line="362" w:lineRule="auto"/>
        <w:ind w:right="395" w:firstLine="480"/>
        <w:rPr>
          <w:color w:val="auto"/>
          <w:highlight w:val="none"/>
          <w:lang w:eastAsia="zh-CN"/>
        </w:rPr>
      </w:pPr>
      <w:r>
        <w:rPr>
          <w:color w:val="auto"/>
          <w:highlight w:val="none"/>
          <w:lang w:eastAsia="zh-CN"/>
        </w:rPr>
        <w:t>H、合同管理中的其它工作，包括：费用索赔的处理、合同争议的调解和合同解除的相关工作。</w:t>
      </w:r>
    </w:p>
    <w:p>
      <w:pPr>
        <w:pStyle w:val="5"/>
        <w:spacing w:before="1"/>
        <w:ind w:left="812"/>
        <w:rPr>
          <w:color w:val="auto"/>
          <w:highlight w:val="none"/>
          <w:lang w:eastAsia="zh-CN"/>
        </w:rPr>
      </w:pPr>
      <w:r>
        <w:rPr>
          <w:color w:val="auto"/>
          <w:highlight w:val="none"/>
          <w:lang w:eastAsia="zh-CN"/>
        </w:rPr>
        <w:t>6）施工阶段的信息管理</w:t>
      </w:r>
    </w:p>
    <w:p>
      <w:pPr>
        <w:pStyle w:val="5"/>
        <w:spacing w:before="161"/>
        <w:ind w:left="692"/>
        <w:rPr>
          <w:color w:val="auto"/>
          <w:highlight w:val="none"/>
          <w:lang w:eastAsia="zh-CN"/>
        </w:rPr>
      </w:pPr>
      <w:r>
        <w:rPr>
          <w:color w:val="auto"/>
          <w:highlight w:val="none"/>
          <w:lang w:eastAsia="zh-CN"/>
        </w:rPr>
        <w:t>A、全面掌握信息源，灵活运用信息处理工具，收集相关信息资料；</w:t>
      </w:r>
    </w:p>
    <w:p>
      <w:pPr>
        <w:pStyle w:val="5"/>
        <w:spacing w:before="158" w:line="362" w:lineRule="auto"/>
        <w:ind w:right="395" w:firstLine="480"/>
        <w:rPr>
          <w:color w:val="auto"/>
          <w:highlight w:val="none"/>
          <w:lang w:eastAsia="zh-CN"/>
        </w:rPr>
      </w:pPr>
      <w:r>
        <w:rPr>
          <w:color w:val="auto"/>
          <w:highlight w:val="none"/>
          <w:lang w:eastAsia="zh-CN"/>
        </w:rPr>
        <w:t>B、建立信息管理制度，严格信息采集、编排、查阅、归档保存的管理办法，由专人实施；</w:t>
      </w:r>
    </w:p>
    <w:p>
      <w:pPr>
        <w:pStyle w:val="5"/>
        <w:spacing w:before="5"/>
        <w:ind w:left="692"/>
        <w:rPr>
          <w:color w:val="auto"/>
          <w:highlight w:val="none"/>
          <w:lang w:eastAsia="zh-CN"/>
        </w:rPr>
      </w:pPr>
      <w:r>
        <w:rPr>
          <w:color w:val="auto"/>
          <w:highlight w:val="none"/>
          <w:lang w:eastAsia="zh-CN"/>
        </w:rPr>
        <w:t>C、计算机信息管理；</w:t>
      </w:r>
    </w:p>
    <w:p>
      <w:pPr>
        <w:pStyle w:val="5"/>
        <w:spacing w:before="160" w:line="362" w:lineRule="auto"/>
        <w:ind w:right="635" w:firstLine="480"/>
        <w:rPr>
          <w:color w:val="auto"/>
          <w:highlight w:val="none"/>
          <w:lang w:eastAsia="zh-CN"/>
        </w:rPr>
      </w:pPr>
      <w:r>
        <w:rPr>
          <w:color w:val="auto"/>
          <w:highlight w:val="none"/>
          <w:lang w:eastAsia="zh-CN"/>
        </w:rPr>
        <w:t>D、对所收集的信息必须进行分析，确保其准确、全面、来源可靠，且要求为正式资料；</w:t>
      </w:r>
    </w:p>
    <w:p>
      <w:pPr>
        <w:pStyle w:val="5"/>
        <w:spacing w:before="5"/>
        <w:ind w:left="692"/>
        <w:rPr>
          <w:color w:val="auto"/>
          <w:highlight w:val="none"/>
          <w:lang w:eastAsia="zh-CN"/>
        </w:rPr>
      </w:pPr>
      <w:r>
        <w:rPr>
          <w:color w:val="auto"/>
          <w:highlight w:val="none"/>
          <w:lang w:eastAsia="zh-CN"/>
        </w:rPr>
        <w:t>E、及时将采集到的信息进行筛选分类，分别通报给有关人员。</w:t>
      </w:r>
    </w:p>
    <w:p>
      <w:pPr>
        <w:rPr>
          <w:color w:val="auto"/>
          <w:highlight w:val="none"/>
          <w:lang w:eastAsia="zh-CN"/>
        </w:rPr>
        <w:sectPr>
          <w:pgSz w:w="11910" w:h="16840"/>
          <w:pgMar w:top="1080" w:right="900" w:bottom="1040" w:left="920" w:header="0" w:footer="858" w:gutter="0"/>
          <w:cols w:space="720" w:num="1"/>
        </w:sectPr>
      </w:pPr>
    </w:p>
    <w:p>
      <w:pPr>
        <w:pStyle w:val="5"/>
        <w:spacing w:before="56" w:line="362" w:lineRule="auto"/>
        <w:ind w:right="395" w:firstLine="480"/>
        <w:rPr>
          <w:color w:val="auto"/>
          <w:highlight w:val="none"/>
          <w:lang w:eastAsia="zh-CN"/>
        </w:rPr>
      </w:pPr>
      <w:r>
        <w:rPr>
          <w:color w:val="auto"/>
          <w:highlight w:val="none"/>
          <w:lang w:eastAsia="zh-CN"/>
        </w:rPr>
        <w:t>F、建立主体数据库系统结构，及时对信息分类保存、要求列名事件、题目、来源、概要、经办人或其他基本情况；</w:t>
      </w:r>
    </w:p>
    <w:p>
      <w:pPr>
        <w:pStyle w:val="5"/>
        <w:spacing w:before="5"/>
        <w:ind w:left="692"/>
        <w:rPr>
          <w:color w:val="auto"/>
          <w:highlight w:val="none"/>
          <w:lang w:eastAsia="zh-CN"/>
        </w:rPr>
      </w:pPr>
      <w:r>
        <w:rPr>
          <w:color w:val="auto"/>
          <w:highlight w:val="none"/>
          <w:lang w:eastAsia="zh-CN"/>
        </w:rPr>
        <w:t>G、对信息资料收集和反馈进行跟踪，对信息进行动态管理；</w:t>
      </w:r>
    </w:p>
    <w:p>
      <w:pPr>
        <w:pStyle w:val="5"/>
        <w:spacing w:before="158" w:line="364" w:lineRule="auto"/>
        <w:ind w:right="395" w:firstLine="480"/>
        <w:rPr>
          <w:color w:val="auto"/>
          <w:highlight w:val="none"/>
          <w:lang w:eastAsia="zh-CN"/>
        </w:rPr>
      </w:pPr>
      <w:r>
        <w:rPr>
          <w:color w:val="auto"/>
          <w:highlight w:val="none"/>
          <w:lang w:eastAsia="zh-CN"/>
        </w:rPr>
        <w:t>H、涉及国家机密或各单位商业秘密的信息资料保管工作应制订保密管理细则，防止机密泄漏，避免造成经济损失和政治影响；</w:t>
      </w:r>
    </w:p>
    <w:p>
      <w:pPr>
        <w:pStyle w:val="5"/>
        <w:spacing w:line="306" w:lineRule="exact"/>
        <w:ind w:left="692"/>
        <w:rPr>
          <w:color w:val="auto"/>
          <w:highlight w:val="none"/>
          <w:lang w:eastAsia="zh-CN"/>
        </w:rPr>
      </w:pPr>
      <w:r>
        <w:rPr>
          <w:color w:val="auto"/>
          <w:highlight w:val="none"/>
          <w:lang w:eastAsia="zh-CN"/>
        </w:rPr>
        <w:t>I、项目结束后，按有关规定进行信息整理存档、移交，并办理好移交签收手续。</w:t>
      </w:r>
    </w:p>
    <w:p>
      <w:pPr>
        <w:pStyle w:val="5"/>
        <w:spacing w:before="160"/>
        <w:ind w:left="692"/>
        <w:rPr>
          <w:color w:val="auto"/>
          <w:highlight w:val="none"/>
          <w:lang w:eastAsia="zh-CN"/>
        </w:rPr>
      </w:pPr>
      <w:r>
        <w:rPr>
          <w:color w:val="auto"/>
          <w:highlight w:val="none"/>
          <w:lang w:eastAsia="zh-CN"/>
        </w:rPr>
        <w:t>7）施工阶段的组织与协调</w:t>
      </w:r>
    </w:p>
    <w:p>
      <w:pPr>
        <w:pStyle w:val="5"/>
        <w:spacing w:before="161" w:line="362" w:lineRule="auto"/>
        <w:ind w:right="275" w:firstLine="480"/>
        <w:rPr>
          <w:color w:val="auto"/>
          <w:highlight w:val="none"/>
          <w:lang w:eastAsia="zh-CN"/>
        </w:rPr>
      </w:pPr>
      <w:r>
        <w:rPr>
          <w:color w:val="auto"/>
          <w:highlight w:val="none"/>
          <w:lang w:eastAsia="zh-CN"/>
        </w:rPr>
        <w:t>A、负责对整个项目内各专项的统一规划、统一调度、统一协调。协调各参建单位（包括总包与分包单位）项目同步建设，对参建单位项目进度统一调控，以使参建单位施工期间能够做到井然有序，不相互干扰、制约。</w:t>
      </w:r>
    </w:p>
    <w:p>
      <w:pPr>
        <w:pStyle w:val="5"/>
        <w:spacing w:before="6" w:line="364" w:lineRule="auto"/>
        <w:ind w:right="275" w:firstLine="480"/>
        <w:rPr>
          <w:color w:val="auto"/>
          <w:highlight w:val="none"/>
          <w:lang w:eastAsia="zh-CN"/>
        </w:rPr>
      </w:pPr>
      <w:r>
        <w:rPr>
          <w:color w:val="auto"/>
          <w:highlight w:val="none"/>
          <w:lang w:eastAsia="zh-CN"/>
        </w:rPr>
        <w:t>B、建立项目沟通与协调管理系统，健全各项制度，并本着“严格守法、遵守公德”的原则，以维护各相关方的利益为前提，应用先进、实用的方法和手段，有效解决项目实施过程中的问题；</w:t>
      </w:r>
    </w:p>
    <w:p>
      <w:pPr>
        <w:pStyle w:val="5"/>
        <w:spacing w:line="307" w:lineRule="exact"/>
        <w:ind w:left="692"/>
        <w:rPr>
          <w:color w:val="auto"/>
          <w:highlight w:val="none"/>
          <w:lang w:eastAsia="zh-CN"/>
        </w:rPr>
      </w:pPr>
      <w:r>
        <w:rPr>
          <w:color w:val="auto"/>
          <w:highlight w:val="none"/>
          <w:lang w:eastAsia="zh-CN"/>
        </w:rPr>
        <w:t>C、制定项目沟通管理计划，按内容划分主要有：施工进度、质量、安全、成本、资</w:t>
      </w:r>
    </w:p>
    <w:p>
      <w:pPr>
        <w:pStyle w:val="5"/>
        <w:spacing w:before="158" w:line="364" w:lineRule="auto"/>
        <w:ind w:right="275"/>
        <w:jc w:val="both"/>
        <w:rPr>
          <w:color w:val="auto"/>
          <w:highlight w:val="none"/>
          <w:lang w:eastAsia="zh-CN"/>
        </w:rPr>
      </w:pPr>
      <w:r>
        <w:rPr>
          <w:color w:val="auto"/>
          <w:highlight w:val="none"/>
          <w:lang w:eastAsia="zh-CN"/>
        </w:rPr>
        <w:t>金、环保、设计变更、索赔、材料供应、设备使用、人力资源、文明工地建设等；按时间划分主要有：项目管理实施规划、年度计划、半年计划、季度计划、月计划、旬计划、周计划等；</w:t>
      </w:r>
    </w:p>
    <w:p>
      <w:pPr>
        <w:pStyle w:val="5"/>
        <w:spacing w:line="362" w:lineRule="auto"/>
        <w:ind w:right="395" w:firstLine="480"/>
        <w:rPr>
          <w:color w:val="auto"/>
          <w:highlight w:val="none"/>
          <w:lang w:eastAsia="zh-CN"/>
        </w:rPr>
      </w:pPr>
      <w:r>
        <w:rPr>
          <w:color w:val="auto"/>
          <w:highlight w:val="none"/>
          <w:lang w:eastAsia="zh-CN"/>
        </w:rPr>
        <w:t>D、项目沟通管理计划明确沟通的具体内容、对象、方式、目标、责任人、完成时间、奖罚措施等，并定期或不定期地进行检查、考核和评价，确保沟通计划落到实处；</w:t>
      </w:r>
    </w:p>
    <w:p>
      <w:pPr>
        <w:pStyle w:val="5"/>
        <w:spacing w:before="5" w:line="364" w:lineRule="auto"/>
        <w:ind w:right="275" w:firstLine="480"/>
        <w:rPr>
          <w:color w:val="auto"/>
          <w:highlight w:val="none"/>
          <w:lang w:eastAsia="zh-CN"/>
        </w:rPr>
      </w:pPr>
      <w:r>
        <w:rPr>
          <w:color w:val="auto"/>
          <w:highlight w:val="none"/>
          <w:lang w:eastAsia="zh-CN"/>
        </w:rPr>
        <w:t>E、对项目实施各阶段出现的矛盾和问题，根据沟通与协调的进展情况和结果，按程序要求通过各种方式及时将信息反馈给各相关方，实现共享，提高沟通与协调的效果。通过有效地计划、组织和协调，监督相关各方履行各自的职责，协调参与项目建设各方关系，充分利用各方优势为本合同项目建设服务；</w:t>
      </w:r>
    </w:p>
    <w:p>
      <w:pPr>
        <w:pStyle w:val="5"/>
        <w:spacing w:line="364" w:lineRule="auto"/>
        <w:ind w:right="275" w:firstLine="480"/>
        <w:rPr>
          <w:color w:val="auto"/>
          <w:highlight w:val="none"/>
          <w:lang w:eastAsia="zh-CN"/>
        </w:rPr>
      </w:pPr>
      <w:r>
        <w:rPr>
          <w:color w:val="auto"/>
          <w:highlight w:val="none"/>
          <w:lang w:eastAsia="zh-CN"/>
        </w:rPr>
        <w:t>F、定期组织召开建设单位、设计、监理、质监站、技术咨询、施工单位参加的工地现场会，协调施工过程中出现的各种矛盾和问题，会前一天，就质量、安全、进度、资金、技术、材料等需要协调的问题等议题征求意见，分送有关单位，以便会前做好充分准备，会后写出会议纪要发与会各单位，并督促执行；</w:t>
      </w:r>
    </w:p>
    <w:p>
      <w:pPr>
        <w:pStyle w:val="5"/>
        <w:spacing w:line="364" w:lineRule="auto"/>
        <w:ind w:right="275" w:firstLine="480"/>
        <w:rPr>
          <w:color w:val="auto"/>
          <w:highlight w:val="none"/>
          <w:lang w:eastAsia="zh-CN"/>
        </w:rPr>
      </w:pPr>
      <w:r>
        <w:rPr>
          <w:color w:val="auto"/>
          <w:highlight w:val="none"/>
          <w:lang w:eastAsia="zh-CN"/>
        </w:rPr>
        <w:t>G、妥善处理各分项项目之间的施工配合，要求各参建单位提出需要配合的问题，如施工场地的要求、施工用水、用电、交叉作业的相互影响，施工收口处理、建筑成品保护要求及需要采取的配合措施等。</w:t>
      </w:r>
    </w:p>
    <w:p>
      <w:pPr>
        <w:pStyle w:val="5"/>
        <w:spacing w:line="307" w:lineRule="exact"/>
        <w:ind w:left="692"/>
        <w:rPr>
          <w:color w:val="auto"/>
          <w:highlight w:val="none"/>
          <w:lang w:eastAsia="zh-CN"/>
        </w:rPr>
      </w:pPr>
      <w:r>
        <w:rPr>
          <w:color w:val="auto"/>
          <w:highlight w:val="none"/>
          <w:lang w:eastAsia="zh-CN"/>
        </w:rPr>
        <w:t>8）环境管理工作</w:t>
      </w:r>
    </w:p>
    <w:p>
      <w:pPr>
        <w:spacing w:line="307" w:lineRule="exact"/>
        <w:rPr>
          <w:color w:val="auto"/>
          <w:highlight w:val="none"/>
          <w:lang w:eastAsia="zh-CN"/>
        </w:rPr>
        <w:sectPr>
          <w:pgSz w:w="11910" w:h="16840"/>
          <w:pgMar w:top="1080" w:right="900" w:bottom="1040" w:left="920" w:header="0" w:footer="858" w:gutter="0"/>
          <w:cols w:space="720" w:num="1"/>
        </w:sectPr>
      </w:pPr>
    </w:p>
    <w:p>
      <w:pPr>
        <w:pStyle w:val="5"/>
        <w:spacing w:before="56" w:line="362" w:lineRule="auto"/>
        <w:ind w:right="275" w:firstLine="480"/>
        <w:rPr>
          <w:color w:val="auto"/>
          <w:highlight w:val="none"/>
          <w:lang w:eastAsia="zh-CN"/>
        </w:rPr>
      </w:pPr>
      <w:r>
        <w:rPr>
          <w:color w:val="auto"/>
          <w:highlight w:val="none"/>
          <w:lang w:eastAsia="zh-CN"/>
        </w:rPr>
        <w:t>监理单位应对施工过程中影响环境的活动进行监督管理，以满足相关的法律法规对环境保护的要求。监理单位环境管理工作的主要工作内容如下：</w:t>
      </w:r>
    </w:p>
    <w:p>
      <w:pPr>
        <w:pStyle w:val="5"/>
        <w:spacing w:before="5"/>
        <w:ind w:left="692"/>
        <w:rPr>
          <w:color w:val="auto"/>
          <w:highlight w:val="none"/>
          <w:lang w:eastAsia="zh-CN"/>
        </w:rPr>
      </w:pPr>
      <w:r>
        <w:rPr>
          <w:color w:val="auto"/>
          <w:highlight w:val="none"/>
          <w:lang w:eastAsia="zh-CN"/>
        </w:rPr>
        <w:t>A、制定相关的监督检查工作的程序及制度提交发包人及政府相关部门核准；</w:t>
      </w:r>
    </w:p>
    <w:p>
      <w:pPr>
        <w:pStyle w:val="5"/>
        <w:spacing w:before="158" w:line="364" w:lineRule="auto"/>
        <w:ind w:right="275" w:firstLine="480"/>
        <w:rPr>
          <w:color w:val="auto"/>
          <w:highlight w:val="none"/>
          <w:lang w:eastAsia="zh-CN"/>
        </w:rPr>
      </w:pPr>
      <w:r>
        <w:rPr>
          <w:color w:val="auto"/>
          <w:highlight w:val="none"/>
          <w:lang w:eastAsia="zh-CN"/>
        </w:rPr>
        <w:t>B、根据相关的法律、法规、制度及程序等，对项目建设过程中污染环境、破坏生态的行为进行监督管理，如噪声、废气、污水等污染物排放应达标、粉尘控制达标、减少水土流失和生态环境破坏；</w:t>
      </w:r>
    </w:p>
    <w:p>
      <w:pPr>
        <w:pStyle w:val="5"/>
        <w:spacing w:line="364" w:lineRule="auto"/>
        <w:ind w:right="395" w:firstLine="480"/>
        <w:rPr>
          <w:color w:val="auto"/>
          <w:highlight w:val="none"/>
          <w:lang w:eastAsia="zh-CN"/>
        </w:rPr>
      </w:pPr>
      <w:r>
        <w:rPr>
          <w:color w:val="auto"/>
          <w:highlight w:val="none"/>
          <w:lang w:eastAsia="zh-CN"/>
        </w:rPr>
        <w:t>C、对配套的环保项目进行施工监理，如对水处理设施、声屏障、绿化项目、水源护区的保护等进行监理。</w:t>
      </w:r>
    </w:p>
    <w:p>
      <w:pPr>
        <w:pStyle w:val="5"/>
        <w:spacing w:line="306" w:lineRule="exact"/>
        <w:ind w:left="692"/>
        <w:rPr>
          <w:color w:val="auto"/>
          <w:highlight w:val="none"/>
          <w:lang w:eastAsia="zh-CN"/>
        </w:rPr>
      </w:pPr>
      <w:r>
        <w:rPr>
          <w:color w:val="auto"/>
          <w:highlight w:val="none"/>
          <w:lang w:eastAsia="zh-CN"/>
        </w:rPr>
        <w:t>施工阶段的现场安全、文明管理</w:t>
      </w:r>
    </w:p>
    <w:p>
      <w:pPr>
        <w:pStyle w:val="5"/>
        <w:spacing w:before="157" w:line="364" w:lineRule="auto"/>
        <w:ind w:right="275" w:firstLine="480"/>
        <w:rPr>
          <w:color w:val="auto"/>
          <w:highlight w:val="none"/>
          <w:lang w:eastAsia="zh-CN"/>
        </w:rPr>
      </w:pPr>
      <w:r>
        <w:rPr>
          <w:color w:val="auto"/>
          <w:highlight w:val="none"/>
          <w:lang w:eastAsia="zh-CN"/>
        </w:rPr>
        <w:t>A、监理单位应根据《建设工程安全生产管理条例》等相关规定，按照项目建设的强制性标准、《建设工程监理规范》和相关行业监理规范的要求，编制包括安全监理内容的项目监理规划，明确安全监理的范围、内容、工作程序和制度措施，以及人员配备计划和职责等；</w:t>
      </w:r>
    </w:p>
    <w:p>
      <w:pPr>
        <w:pStyle w:val="5"/>
        <w:spacing w:line="362" w:lineRule="auto"/>
        <w:ind w:right="395" w:firstLine="480"/>
        <w:rPr>
          <w:color w:val="auto"/>
          <w:highlight w:val="none"/>
          <w:lang w:eastAsia="zh-CN"/>
        </w:rPr>
      </w:pPr>
      <w:r>
        <w:rPr>
          <w:color w:val="auto"/>
          <w:highlight w:val="none"/>
          <w:lang w:eastAsia="zh-CN"/>
        </w:rPr>
        <w:t>B、对危险性较大的分部分项，监理单位应当编制监理实施细则。实施细则应当明确安全监理的方法、措施和控制要点，以及对参建单位安全技术措施的检查方案；</w:t>
      </w:r>
    </w:p>
    <w:p>
      <w:pPr>
        <w:pStyle w:val="5"/>
        <w:spacing w:before="5" w:line="362" w:lineRule="auto"/>
        <w:ind w:right="395" w:firstLine="480"/>
        <w:rPr>
          <w:color w:val="auto"/>
          <w:highlight w:val="none"/>
          <w:lang w:eastAsia="zh-CN"/>
        </w:rPr>
      </w:pPr>
      <w:r>
        <w:rPr>
          <w:color w:val="auto"/>
          <w:highlight w:val="none"/>
          <w:lang w:eastAsia="zh-CN"/>
        </w:rPr>
        <w:t>C、审查参建单位编制的施工组织设计中的安全技术措施和危险性较大的分部分项安全专项施工方案是否符合项目建设强制性标准要求。审查的主要内容应当包括但不限于：</w:t>
      </w:r>
    </w:p>
    <w:p>
      <w:pPr>
        <w:pStyle w:val="5"/>
        <w:spacing w:before="5"/>
        <w:ind w:left="692"/>
        <w:rPr>
          <w:color w:val="auto"/>
          <w:highlight w:val="none"/>
          <w:lang w:eastAsia="zh-CN"/>
        </w:rPr>
      </w:pPr>
      <w:r>
        <w:rPr>
          <w:color w:val="auto"/>
          <w:highlight w:val="none"/>
          <w:lang w:eastAsia="zh-CN"/>
        </w:rPr>
        <w:t>a、参建单位编制的地下管线保护措施方案是否符合强制性标准要求；</w:t>
      </w:r>
    </w:p>
    <w:p>
      <w:pPr>
        <w:pStyle w:val="5"/>
        <w:spacing w:before="158" w:line="364" w:lineRule="auto"/>
        <w:ind w:right="395" w:firstLine="480"/>
        <w:rPr>
          <w:color w:val="auto"/>
          <w:highlight w:val="none"/>
          <w:lang w:eastAsia="zh-CN"/>
        </w:rPr>
      </w:pPr>
      <w:r>
        <w:rPr>
          <w:color w:val="auto"/>
          <w:highlight w:val="none"/>
          <w:lang w:eastAsia="zh-CN"/>
        </w:rPr>
        <w:t>b、基坑支护与降水、土方开挖与边坡防护、模板、起重吊装、脚手架、拆除、爆破等分部分项项目的专项施工方案是否符合强制性标准要求；</w:t>
      </w:r>
    </w:p>
    <w:p>
      <w:pPr>
        <w:pStyle w:val="5"/>
        <w:spacing w:line="364" w:lineRule="auto"/>
        <w:ind w:right="395" w:firstLine="480"/>
        <w:rPr>
          <w:color w:val="auto"/>
          <w:highlight w:val="none"/>
          <w:lang w:eastAsia="zh-CN"/>
        </w:rPr>
      </w:pPr>
      <w:r>
        <w:rPr>
          <w:color w:val="auto"/>
          <w:highlight w:val="none"/>
          <w:lang w:eastAsia="zh-CN"/>
        </w:rPr>
        <w:t>c、施工现场临时用电施工组织设计或者安全用电技术措施和电气防火措施是否符合强制性标准要求；</w:t>
      </w:r>
    </w:p>
    <w:p>
      <w:pPr>
        <w:pStyle w:val="5"/>
        <w:spacing w:line="306" w:lineRule="exact"/>
        <w:ind w:left="692"/>
        <w:rPr>
          <w:color w:val="auto"/>
          <w:highlight w:val="none"/>
          <w:lang w:eastAsia="zh-CN"/>
        </w:rPr>
      </w:pPr>
      <w:r>
        <w:rPr>
          <w:color w:val="auto"/>
          <w:highlight w:val="none"/>
          <w:lang w:eastAsia="zh-CN"/>
        </w:rPr>
        <w:t>d、冬季、雨季等季节性施工方案的制定是否符合强制性标准要求；</w:t>
      </w:r>
    </w:p>
    <w:p>
      <w:pPr>
        <w:pStyle w:val="5"/>
        <w:spacing w:before="160" w:line="364" w:lineRule="auto"/>
        <w:ind w:right="395" w:firstLine="480"/>
        <w:rPr>
          <w:color w:val="auto"/>
          <w:highlight w:val="none"/>
          <w:lang w:eastAsia="zh-CN"/>
        </w:rPr>
      </w:pPr>
      <w:r>
        <w:rPr>
          <w:color w:val="auto"/>
          <w:highlight w:val="none"/>
          <w:lang w:eastAsia="zh-CN"/>
        </w:rPr>
        <w:t>e、施工总平面布置图是否合理并符合安全生产要求，办公、宿舍、食堂、道路等临时设施设置以及排水、防火措施是否符合强制性标准要求。</w:t>
      </w:r>
    </w:p>
    <w:p>
      <w:pPr>
        <w:pStyle w:val="5"/>
        <w:spacing w:line="362" w:lineRule="auto"/>
        <w:ind w:right="395" w:firstLine="480"/>
        <w:rPr>
          <w:color w:val="auto"/>
          <w:highlight w:val="none"/>
          <w:lang w:eastAsia="zh-CN"/>
        </w:rPr>
      </w:pPr>
      <w:r>
        <w:rPr>
          <w:color w:val="auto"/>
          <w:highlight w:val="none"/>
          <w:lang w:eastAsia="zh-CN"/>
        </w:rPr>
        <w:t>D、检查参建单位在项目上的安全生产规章制度和安全监管机构的建立、健全及专职安全生产管理人员配备情况，督促参建单位检查各分包商的安全生产规章制度的建立情况；</w:t>
      </w:r>
    </w:p>
    <w:p>
      <w:pPr>
        <w:pStyle w:val="5"/>
        <w:spacing w:before="3"/>
        <w:ind w:left="692"/>
        <w:rPr>
          <w:color w:val="auto"/>
          <w:highlight w:val="none"/>
          <w:lang w:eastAsia="zh-CN"/>
        </w:rPr>
      </w:pPr>
      <w:r>
        <w:rPr>
          <w:color w:val="auto"/>
          <w:highlight w:val="none"/>
          <w:lang w:eastAsia="zh-CN"/>
        </w:rPr>
        <w:t>E、审查参建单位的施工资质和安全生产许可证是否合法有效；</w:t>
      </w:r>
    </w:p>
    <w:p>
      <w:pPr>
        <w:pStyle w:val="5"/>
        <w:spacing w:before="161" w:line="362" w:lineRule="auto"/>
        <w:ind w:right="395" w:firstLine="480"/>
        <w:rPr>
          <w:color w:val="auto"/>
          <w:highlight w:val="none"/>
          <w:lang w:eastAsia="zh-CN"/>
        </w:rPr>
      </w:pPr>
      <w:r>
        <w:rPr>
          <w:color w:val="auto"/>
          <w:highlight w:val="none"/>
          <w:lang w:eastAsia="zh-CN"/>
        </w:rPr>
        <w:t>F、审查参建单位的项目经理（建造师）和专职安全生产管理人员是否具备合法资格， 专职安全生产管理人员数量是否符合要求；</w:t>
      </w:r>
    </w:p>
    <w:p>
      <w:pPr>
        <w:pStyle w:val="5"/>
        <w:spacing w:before="5"/>
        <w:ind w:left="692"/>
        <w:rPr>
          <w:color w:val="auto"/>
          <w:highlight w:val="none"/>
          <w:lang w:eastAsia="zh-CN"/>
        </w:rPr>
      </w:pPr>
      <w:r>
        <w:rPr>
          <w:color w:val="auto"/>
          <w:highlight w:val="none"/>
          <w:lang w:eastAsia="zh-CN"/>
        </w:rPr>
        <w:t>G、审核参建单位特种作业人员的特种作业操作资格证书是否合法有效；</w:t>
      </w:r>
    </w:p>
    <w:p>
      <w:pPr>
        <w:rPr>
          <w:color w:val="auto"/>
          <w:highlight w:val="none"/>
          <w:lang w:eastAsia="zh-CN"/>
        </w:rPr>
        <w:sectPr>
          <w:pgSz w:w="11910" w:h="16840"/>
          <w:pgMar w:top="1080" w:right="900" w:bottom="1040" w:left="920" w:header="0" w:footer="858" w:gutter="0"/>
          <w:cols w:space="720" w:num="1"/>
        </w:sectPr>
      </w:pPr>
    </w:p>
    <w:p>
      <w:pPr>
        <w:pStyle w:val="5"/>
        <w:spacing w:before="56" w:line="362" w:lineRule="auto"/>
        <w:ind w:right="395" w:firstLine="480"/>
        <w:rPr>
          <w:color w:val="auto"/>
          <w:highlight w:val="none"/>
          <w:lang w:eastAsia="zh-CN"/>
        </w:rPr>
      </w:pPr>
      <w:r>
        <w:rPr>
          <w:color w:val="auto"/>
          <w:highlight w:val="none"/>
          <w:lang w:eastAsia="zh-CN"/>
        </w:rPr>
        <w:t>H、审核参建单位应急救援预案和安全防护措施费用使用计划，监督安全防护措施费用的使用；</w:t>
      </w:r>
    </w:p>
    <w:p>
      <w:pPr>
        <w:pStyle w:val="5"/>
        <w:spacing w:before="5" w:line="362" w:lineRule="auto"/>
        <w:ind w:right="395" w:firstLine="480"/>
        <w:rPr>
          <w:color w:val="auto"/>
          <w:highlight w:val="none"/>
          <w:lang w:eastAsia="zh-CN"/>
        </w:rPr>
      </w:pPr>
      <w:r>
        <w:rPr>
          <w:color w:val="auto"/>
          <w:highlight w:val="none"/>
          <w:lang w:eastAsia="zh-CN"/>
        </w:rPr>
        <w:t>I、监督参建单位按照施工组织设计中的安全技术措施和安全专项施工方案组织施工， 及时制止违规的施工作业；</w:t>
      </w:r>
    </w:p>
    <w:p>
      <w:pPr>
        <w:pStyle w:val="5"/>
        <w:spacing w:before="5"/>
        <w:ind w:left="692"/>
        <w:rPr>
          <w:color w:val="auto"/>
          <w:highlight w:val="none"/>
          <w:lang w:eastAsia="zh-CN"/>
        </w:rPr>
      </w:pPr>
      <w:r>
        <w:rPr>
          <w:color w:val="auto"/>
          <w:highlight w:val="none"/>
          <w:lang w:eastAsia="zh-CN"/>
        </w:rPr>
        <w:t>J、定期巡视检查施工过程中的危险性较大的项目作业情况；</w:t>
      </w:r>
    </w:p>
    <w:p>
      <w:pPr>
        <w:pStyle w:val="5"/>
        <w:spacing w:before="158" w:line="364" w:lineRule="auto"/>
        <w:ind w:right="395" w:firstLine="480"/>
        <w:rPr>
          <w:color w:val="auto"/>
          <w:highlight w:val="none"/>
          <w:lang w:eastAsia="zh-CN"/>
        </w:rPr>
      </w:pPr>
      <w:r>
        <w:rPr>
          <w:color w:val="auto"/>
          <w:highlight w:val="none"/>
          <w:lang w:eastAsia="zh-CN"/>
        </w:rPr>
        <w:t>K、核查施工现场施工起重机械、整体提升脚手架、模板等自升式架设设施和安全设施的验收手续；</w:t>
      </w:r>
    </w:p>
    <w:p>
      <w:pPr>
        <w:pStyle w:val="5"/>
        <w:spacing w:before="1" w:line="362" w:lineRule="auto"/>
        <w:ind w:right="395" w:firstLine="480"/>
        <w:rPr>
          <w:color w:val="auto"/>
          <w:highlight w:val="none"/>
          <w:lang w:eastAsia="zh-CN"/>
        </w:rPr>
      </w:pPr>
      <w:r>
        <w:rPr>
          <w:color w:val="auto"/>
          <w:highlight w:val="none"/>
          <w:lang w:eastAsia="zh-CN"/>
        </w:rPr>
        <w:t>L、检查施工现场各种安全标志和安全防护设施是否符合强制性标准要求，并检查安全生产费用的使用情况；</w:t>
      </w:r>
    </w:p>
    <w:p>
      <w:pPr>
        <w:pStyle w:val="5"/>
        <w:spacing w:before="3" w:line="364" w:lineRule="auto"/>
        <w:ind w:right="395" w:firstLine="480"/>
        <w:rPr>
          <w:color w:val="auto"/>
          <w:highlight w:val="none"/>
          <w:lang w:eastAsia="zh-CN"/>
        </w:rPr>
      </w:pPr>
      <w:r>
        <w:rPr>
          <w:color w:val="auto"/>
          <w:highlight w:val="none"/>
          <w:lang w:eastAsia="zh-CN"/>
        </w:rPr>
        <w:t>M、督促参建单位进行安全自查工作，并对参建单位自查情况进行抽查，参加发包人组织的安全生产专项检查；</w:t>
      </w:r>
    </w:p>
    <w:p>
      <w:pPr>
        <w:pStyle w:val="5"/>
        <w:spacing w:line="306" w:lineRule="exact"/>
        <w:ind w:left="692"/>
        <w:rPr>
          <w:color w:val="auto"/>
          <w:highlight w:val="none"/>
          <w:lang w:eastAsia="zh-CN"/>
        </w:rPr>
      </w:pPr>
      <w:r>
        <w:rPr>
          <w:color w:val="auto"/>
          <w:highlight w:val="none"/>
          <w:lang w:eastAsia="zh-CN"/>
        </w:rPr>
        <w:t>N、监理单位应派专人对施工现场安全生产情况进行巡视检查，对发现的各类安全隐</w:t>
      </w:r>
    </w:p>
    <w:p>
      <w:pPr>
        <w:pStyle w:val="5"/>
        <w:spacing w:before="160" w:line="364" w:lineRule="auto"/>
        <w:ind w:right="275"/>
        <w:jc w:val="both"/>
        <w:rPr>
          <w:color w:val="auto"/>
          <w:highlight w:val="none"/>
          <w:lang w:eastAsia="zh-CN"/>
        </w:rPr>
      </w:pPr>
      <w:r>
        <w:rPr>
          <w:color w:val="auto"/>
          <w:highlight w:val="none"/>
          <w:lang w:eastAsia="zh-CN"/>
        </w:rPr>
        <w:t>患，应书面通知参建单位，并督促其立即整改；情况严重的，监理单位应及时下达项目暂停令，要求参建单位停工整改，并同时报告发包人。安全事故隐患消除后，监理单位应检查整改结果，签署复查或复工意见。参建单位拒不整改或不停工整改的，监理单位应当及时向项目所在地建设行政主管部门或项目的行业主管部门报告，以电话形式报告的，应当有通话记录。检查、整改、复查、报告等情况应当记载在监理日记、监理月报中；</w:t>
      </w:r>
    </w:p>
    <w:p>
      <w:pPr>
        <w:pStyle w:val="5"/>
        <w:spacing w:line="362" w:lineRule="auto"/>
        <w:ind w:right="395" w:firstLine="480"/>
        <w:rPr>
          <w:color w:val="auto"/>
          <w:highlight w:val="none"/>
          <w:lang w:eastAsia="zh-CN"/>
        </w:rPr>
      </w:pPr>
      <w:r>
        <w:rPr>
          <w:color w:val="auto"/>
          <w:highlight w:val="none"/>
          <w:lang w:eastAsia="zh-CN"/>
        </w:rPr>
        <w:t>O、监理单位应核查参建单位提交的施工起重机械、整体提升脚手架、模板等自升式架设设施和安全设施等验收记录，并由监理单位签收备案；</w:t>
      </w:r>
    </w:p>
    <w:p>
      <w:pPr>
        <w:pStyle w:val="5"/>
        <w:spacing w:before="3"/>
        <w:ind w:left="692"/>
        <w:rPr>
          <w:color w:val="auto"/>
          <w:highlight w:val="none"/>
          <w:lang w:eastAsia="zh-CN"/>
        </w:rPr>
      </w:pPr>
      <w:r>
        <w:rPr>
          <w:color w:val="auto"/>
          <w:highlight w:val="none"/>
          <w:lang w:eastAsia="zh-CN"/>
        </w:rPr>
        <w:t>P、督促施工单位履行施工安全、文明保障义务；</w:t>
      </w:r>
    </w:p>
    <w:p>
      <w:pPr>
        <w:pStyle w:val="5"/>
        <w:spacing w:before="158"/>
        <w:ind w:left="692"/>
        <w:rPr>
          <w:color w:val="auto"/>
          <w:highlight w:val="none"/>
          <w:lang w:eastAsia="zh-CN"/>
        </w:rPr>
      </w:pPr>
      <w:r>
        <w:rPr>
          <w:color w:val="auto"/>
          <w:highlight w:val="none"/>
          <w:lang w:eastAsia="zh-CN"/>
        </w:rPr>
        <w:t>Q、组织工地卫生及文明施工检查；</w:t>
      </w:r>
    </w:p>
    <w:p>
      <w:pPr>
        <w:pStyle w:val="5"/>
        <w:spacing w:before="161"/>
        <w:ind w:left="692"/>
        <w:rPr>
          <w:color w:val="auto"/>
          <w:highlight w:val="none"/>
          <w:lang w:eastAsia="zh-CN"/>
        </w:rPr>
      </w:pPr>
      <w:r>
        <w:rPr>
          <w:color w:val="auto"/>
          <w:highlight w:val="none"/>
          <w:lang w:eastAsia="zh-CN"/>
        </w:rPr>
        <w:t>R、落实国家、广东省、广州市、南沙区相关行政监管部门文件的要求。</w:t>
      </w:r>
    </w:p>
    <w:p>
      <w:pPr>
        <w:pStyle w:val="5"/>
        <w:spacing w:before="158"/>
        <w:ind w:left="692"/>
        <w:rPr>
          <w:color w:val="auto"/>
          <w:highlight w:val="none"/>
          <w:lang w:eastAsia="zh-CN"/>
        </w:rPr>
      </w:pPr>
      <w:r>
        <w:rPr>
          <w:color w:val="auto"/>
          <w:highlight w:val="none"/>
          <w:lang w:eastAsia="zh-CN"/>
        </w:rPr>
        <w:t>（3）项目收尾阶段的监理工作</w:t>
      </w:r>
    </w:p>
    <w:p>
      <w:pPr>
        <w:pStyle w:val="5"/>
        <w:spacing w:before="160" w:line="364" w:lineRule="auto"/>
        <w:ind w:right="395" w:firstLine="480"/>
        <w:rPr>
          <w:color w:val="auto"/>
          <w:highlight w:val="none"/>
          <w:lang w:eastAsia="zh-CN"/>
        </w:rPr>
      </w:pPr>
      <w:r>
        <w:rPr>
          <w:color w:val="auto"/>
          <w:highlight w:val="none"/>
          <w:lang w:eastAsia="zh-CN"/>
        </w:rPr>
        <w:t>1）项目收尾阶段包括竣工收尾、验收、整改、移交、结算、考核评价等方面的管理。监理单位应制定工作计划，提出各项管理要求。项目收尾阶段管理应包括以下内容：</w:t>
      </w:r>
    </w:p>
    <w:p>
      <w:pPr>
        <w:pStyle w:val="5"/>
        <w:spacing w:line="306" w:lineRule="exact"/>
        <w:ind w:left="692"/>
        <w:rPr>
          <w:color w:val="auto"/>
          <w:highlight w:val="none"/>
          <w:lang w:eastAsia="zh-CN"/>
        </w:rPr>
      </w:pPr>
      <w:r>
        <w:rPr>
          <w:color w:val="auto"/>
          <w:highlight w:val="none"/>
          <w:lang w:eastAsia="zh-CN"/>
        </w:rPr>
        <w:t>A、项目的竣工收尾；</w:t>
      </w:r>
    </w:p>
    <w:p>
      <w:pPr>
        <w:pStyle w:val="5"/>
        <w:spacing w:before="159"/>
        <w:ind w:left="692"/>
        <w:rPr>
          <w:color w:val="auto"/>
          <w:highlight w:val="none"/>
          <w:lang w:eastAsia="zh-CN"/>
        </w:rPr>
      </w:pPr>
      <w:r>
        <w:rPr>
          <w:color w:val="auto"/>
          <w:highlight w:val="none"/>
          <w:lang w:eastAsia="zh-CN"/>
        </w:rPr>
        <w:t>B、项目的竣工验收、整改及移交；</w:t>
      </w:r>
    </w:p>
    <w:p>
      <w:pPr>
        <w:pStyle w:val="5"/>
        <w:spacing w:before="160"/>
        <w:ind w:left="692"/>
        <w:rPr>
          <w:color w:val="auto"/>
          <w:highlight w:val="none"/>
          <w:lang w:eastAsia="zh-CN"/>
        </w:rPr>
      </w:pPr>
      <w:r>
        <w:rPr>
          <w:color w:val="auto"/>
          <w:highlight w:val="none"/>
          <w:lang w:eastAsia="zh-CN"/>
        </w:rPr>
        <w:t>C.项目的竣工结算；</w:t>
      </w:r>
    </w:p>
    <w:p>
      <w:pPr>
        <w:pStyle w:val="5"/>
        <w:spacing w:before="161"/>
        <w:ind w:left="692"/>
        <w:rPr>
          <w:color w:val="auto"/>
          <w:highlight w:val="none"/>
          <w:lang w:eastAsia="zh-CN"/>
        </w:rPr>
      </w:pPr>
      <w:r>
        <w:rPr>
          <w:color w:val="auto"/>
          <w:highlight w:val="none"/>
          <w:lang w:eastAsia="zh-CN"/>
        </w:rPr>
        <w:t>D、项目的回访维护；</w:t>
      </w:r>
    </w:p>
    <w:p>
      <w:pPr>
        <w:pStyle w:val="5"/>
        <w:spacing w:before="158"/>
        <w:ind w:left="692"/>
        <w:rPr>
          <w:color w:val="auto"/>
          <w:highlight w:val="none"/>
          <w:lang w:eastAsia="zh-CN"/>
        </w:rPr>
      </w:pPr>
      <w:r>
        <w:rPr>
          <w:color w:val="auto"/>
          <w:highlight w:val="none"/>
          <w:lang w:eastAsia="zh-CN"/>
        </w:rPr>
        <w:t>E、项目的考核评价。</w:t>
      </w:r>
    </w:p>
    <w:p>
      <w:pPr>
        <w:pStyle w:val="5"/>
        <w:spacing w:before="160"/>
        <w:ind w:left="692"/>
        <w:rPr>
          <w:color w:val="auto"/>
          <w:highlight w:val="none"/>
          <w:lang w:eastAsia="zh-CN"/>
        </w:rPr>
      </w:pPr>
      <w:r>
        <w:rPr>
          <w:color w:val="auto"/>
          <w:highlight w:val="none"/>
          <w:lang w:eastAsia="zh-CN"/>
        </w:rPr>
        <w:t>2）竣工验收</w:t>
      </w:r>
    </w:p>
    <w:p>
      <w:pPr>
        <w:rPr>
          <w:color w:val="auto"/>
          <w:highlight w:val="none"/>
          <w:lang w:eastAsia="zh-CN"/>
        </w:rPr>
        <w:sectPr>
          <w:pgSz w:w="11910" w:h="16840"/>
          <w:pgMar w:top="1080" w:right="900" w:bottom="1040" w:left="920" w:header="0" w:footer="858" w:gutter="0"/>
          <w:cols w:space="720" w:num="1"/>
        </w:sectPr>
      </w:pPr>
    </w:p>
    <w:p>
      <w:pPr>
        <w:pStyle w:val="5"/>
        <w:spacing w:before="56" w:line="364" w:lineRule="auto"/>
        <w:ind w:right="275" w:firstLine="480"/>
        <w:rPr>
          <w:color w:val="auto"/>
          <w:highlight w:val="none"/>
          <w:lang w:eastAsia="zh-CN"/>
        </w:rPr>
      </w:pPr>
      <w:r>
        <w:rPr>
          <w:color w:val="auto"/>
          <w:highlight w:val="none"/>
          <w:lang w:eastAsia="zh-CN"/>
        </w:rPr>
        <w:t>A、依据有关法律、法规、工程建设强制性标准、设计文件及施工合同，监理单位对参建单位报送的竣工资料进行审查，并对项目质量进行竣工预验收。对存在的问题，应及时要求参建单位整改。整改完毕，监理单位提出项目质量评估报告。</w:t>
      </w:r>
    </w:p>
    <w:p>
      <w:pPr>
        <w:pStyle w:val="5"/>
        <w:spacing w:line="364" w:lineRule="auto"/>
        <w:ind w:right="275" w:firstLine="480"/>
        <w:rPr>
          <w:color w:val="auto"/>
          <w:highlight w:val="none"/>
          <w:lang w:eastAsia="zh-CN"/>
        </w:rPr>
      </w:pPr>
      <w:r>
        <w:rPr>
          <w:color w:val="auto"/>
          <w:highlight w:val="none"/>
          <w:lang w:eastAsia="zh-CN"/>
        </w:rPr>
        <w:t>B、监理单位应负责组织系统联动调试、试运行及各专项验收及检测。监理单位应参加由发包人组织的竣工验收，并提供相关监理资料。对验收中提出的整改问题，监理单位应要求参建单位进行整改。项目质量符合要求，监理单位签署竣工验收报告。</w:t>
      </w:r>
    </w:p>
    <w:p>
      <w:pPr>
        <w:pStyle w:val="5"/>
        <w:spacing w:line="307" w:lineRule="exact"/>
        <w:ind w:left="692"/>
        <w:rPr>
          <w:color w:val="auto"/>
          <w:highlight w:val="none"/>
          <w:lang w:eastAsia="zh-CN"/>
        </w:rPr>
      </w:pPr>
      <w:r>
        <w:rPr>
          <w:color w:val="auto"/>
          <w:highlight w:val="none"/>
          <w:lang w:eastAsia="zh-CN"/>
        </w:rPr>
        <w:t>C、组织或协助发包人、参建单位和产权管理单位对项目进行移交。</w:t>
      </w:r>
    </w:p>
    <w:p>
      <w:pPr>
        <w:pStyle w:val="5"/>
        <w:spacing w:before="157" w:line="362" w:lineRule="auto"/>
        <w:ind w:right="395" w:firstLine="480"/>
        <w:rPr>
          <w:color w:val="auto"/>
          <w:highlight w:val="none"/>
          <w:lang w:eastAsia="zh-CN"/>
        </w:rPr>
      </w:pPr>
      <w:r>
        <w:rPr>
          <w:color w:val="auto"/>
          <w:highlight w:val="none"/>
          <w:lang w:eastAsia="zh-CN"/>
        </w:rPr>
        <w:t>D、根据现场的实际竣工情况对参建单位提交的竣工图纸（包括设备移交资料等）进行复核确认。</w:t>
      </w:r>
    </w:p>
    <w:p>
      <w:pPr>
        <w:pStyle w:val="5"/>
        <w:spacing w:before="3"/>
        <w:ind w:left="692"/>
        <w:rPr>
          <w:color w:val="auto"/>
          <w:highlight w:val="none"/>
          <w:lang w:eastAsia="zh-CN"/>
        </w:rPr>
      </w:pPr>
      <w:r>
        <w:rPr>
          <w:color w:val="auto"/>
          <w:highlight w:val="none"/>
          <w:lang w:eastAsia="zh-CN"/>
        </w:rPr>
        <w:t>E、组织隐蔽项目、分部分项、整体项目的验收、备案、移交等工作。</w:t>
      </w:r>
    </w:p>
    <w:p>
      <w:pPr>
        <w:pStyle w:val="5"/>
        <w:spacing w:before="160"/>
        <w:ind w:left="692"/>
        <w:rPr>
          <w:color w:val="auto"/>
          <w:highlight w:val="none"/>
          <w:lang w:eastAsia="zh-CN"/>
        </w:rPr>
      </w:pPr>
      <w:r>
        <w:rPr>
          <w:color w:val="auto"/>
          <w:highlight w:val="none"/>
          <w:lang w:eastAsia="zh-CN"/>
        </w:rPr>
        <w:t>3）竣工结算</w:t>
      </w:r>
    </w:p>
    <w:p>
      <w:pPr>
        <w:pStyle w:val="5"/>
        <w:spacing w:before="159" w:line="364" w:lineRule="auto"/>
        <w:ind w:right="275" w:firstLine="480"/>
        <w:rPr>
          <w:color w:val="auto"/>
          <w:highlight w:val="none"/>
          <w:lang w:eastAsia="zh-CN"/>
        </w:rPr>
      </w:pPr>
      <w:r>
        <w:rPr>
          <w:color w:val="auto"/>
          <w:highlight w:val="none"/>
          <w:lang w:eastAsia="zh-CN"/>
        </w:rPr>
        <w:t>监理单位应根据项目进展的实际情况，编制项目竣工结算计划报发包人批准后实施。监理单位负责组织有关单位按核准的结算计划中的时间要求提交竣工结算书及竣工结算资料。监理单位须根据发包人的要求审核参建单位提交的项目结算书，确保项目结算资料的完整 性，并对其提交给发包人的结算审核结果负责。项目结算以单个施工合同为结算对象，监理单位应在完成全部合同结算的审核后形成结算汇总。监理单位应对由其审核的结算金额的准确性负责。</w:t>
      </w:r>
    </w:p>
    <w:p>
      <w:pPr>
        <w:pStyle w:val="5"/>
        <w:spacing w:line="306" w:lineRule="exact"/>
        <w:ind w:left="692"/>
        <w:rPr>
          <w:color w:val="auto"/>
          <w:highlight w:val="none"/>
          <w:lang w:eastAsia="zh-CN"/>
        </w:rPr>
      </w:pPr>
      <w:r>
        <w:rPr>
          <w:color w:val="auto"/>
          <w:highlight w:val="none"/>
          <w:lang w:eastAsia="zh-CN"/>
        </w:rPr>
        <w:t>（4）项目质量保修期的监理工作</w:t>
      </w:r>
    </w:p>
    <w:p>
      <w:pPr>
        <w:pStyle w:val="5"/>
        <w:spacing w:before="158" w:line="364" w:lineRule="auto"/>
        <w:ind w:right="395" w:firstLine="480"/>
        <w:rPr>
          <w:color w:val="auto"/>
          <w:highlight w:val="none"/>
          <w:lang w:eastAsia="zh-CN"/>
        </w:rPr>
      </w:pPr>
      <w:r>
        <w:rPr>
          <w:color w:val="auto"/>
          <w:highlight w:val="none"/>
          <w:lang w:eastAsia="zh-CN"/>
        </w:rPr>
        <w:t>1）监理单位应依据委托合同约定的项目质量保修期监理工作的时间、范围和内容开展工作。提交保修方案与人员名单。</w:t>
      </w:r>
    </w:p>
    <w:p>
      <w:pPr>
        <w:pStyle w:val="5"/>
        <w:spacing w:line="364" w:lineRule="auto"/>
        <w:ind w:right="395" w:firstLine="480"/>
        <w:rPr>
          <w:color w:val="auto"/>
          <w:highlight w:val="none"/>
          <w:lang w:eastAsia="zh-CN"/>
        </w:rPr>
      </w:pPr>
      <w:r>
        <w:rPr>
          <w:color w:val="auto"/>
          <w:highlight w:val="none"/>
          <w:lang w:eastAsia="zh-CN"/>
        </w:rPr>
        <w:t>2）承担质量保修期监理工作时，监理单位应安排监理人员对发包人提出的项目质量缺陷进行检查和记录，对参建单位进行修复的项目质量进行验收，合格后予以签认。</w:t>
      </w:r>
    </w:p>
    <w:p>
      <w:pPr>
        <w:pStyle w:val="5"/>
        <w:spacing w:line="364" w:lineRule="auto"/>
        <w:ind w:right="395" w:firstLine="480"/>
        <w:rPr>
          <w:color w:val="auto"/>
          <w:highlight w:val="none"/>
          <w:lang w:eastAsia="zh-CN"/>
        </w:rPr>
      </w:pPr>
      <w:r>
        <w:rPr>
          <w:color w:val="auto"/>
          <w:highlight w:val="none"/>
          <w:lang w:eastAsia="zh-CN"/>
        </w:rPr>
        <w:t>3）监理人员应对项目质量缺陷原因进行调查分析并确定责任归属，对非参建单位原因造成的项目质量缺陷，监理人员应核实修复项目的费用和签署项目款支付证书，并报发包人。</w:t>
      </w:r>
    </w:p>
    <w:p>
      <w:pPr>
        <w:pStyle w:val="5"/>
        <w:spacing w:line="307" w:lineRule="exact"/>
        <w:ind w:left="692"/>
        <w:rPr>
          <w:color w:val="auto"/>
          <w:highlight w:val="none"/>
          <w:lang w:eastAsia="zh-CN"/>
        </w:rPr>
      </w:pPr>
      <w:r>
        <w:rPr>
          <w:color w:val="auto"/>
          <w:highlight w:val="none"/>
          <w:lang w:eastAsia="zh-CN"/>
        </w:rPr>
        <w:t>（5）其它监理工作</w:t>
      </w:r>
    </w:p>
    <w:p>
      <w:pPr>
        <w:pStyle w:val="5"/>
        <w:spacing w:before="155"/>
        <w:ind w:left="692"/>
        <w:rPr>
          <w:color w:val="auto"/>
          <w:highlight w:val="none"/>
          <w:lang w:eastAsia="zh-CN"/>
        </w:rPr>
      </w:pPr>
      <w:r>
        <w:rPr>
          <w:color w:val="auto"/>
          <w:highlight w:val="none"/>
          <w:lang w:eastAsia="zh-CN"/>
        </w:rPr>
        <w:t>1）负责总平面统筹规划管理。</w:t>
      </w:r>
    </w:p>
    <w:p>
      <w:pPr>
        <w:pStyle w:val="5"/>
        <w:spacing w:before="161"/>
        <w:ind w:left="692"/>
        <w:rPr>
          <w:color w:val="auto"/>
          <w:highlight w:val="none"/>
          <w:lang w:eastAsia="zh-CN"/>
        </w:rPr>
      </w:pPr>
      <w:r>
        <w:rPr>
          <w:color w:val="auto"/>
          <w:highlight w:val="none"/>
          <w:lang w:eastAsia="zh-CN"/>
        </w:rPr>
        <w:t>2）协助施工期间的报建报批。</w:t>
      </w:r>
    </w:p>
    <w:p>
      <w:pPr>
        <w:pStyle w:val="5"/>
        <w:spacing w:before="160" w:line="362" w:lineRule="auto"/>
        <w:ind w:right="395" w:firstLine="480"/>
        <w:rPr>
          <w:color w:val="auto"/>
          <w:highlight w:val="none"/>
          <w:lang w:eastAsia="zh-CN"/>
        </w:rPr>
      </w:pPr>
      <w:r>
        <w:rPr>
          <w:color w:val="auto"/>
          <w:highlight w:val="none"/>
          <w:lang w:eastAsia="zh-CN"/>
        </w:rPr>
        <w:t>3）审查设计图纸、文件的经济合理性、安全性（含使用功能）、可靠性，以专题报告的形式提出优化建议；负责竣工图的审核。</w:t>
      </w:r>
    </w:p>
    <w:p>
      <w:pPr>
        <w:spacing w:line="362" w:lineRule="auto"/>
        <w:rPr>
          <w:color w:val="auto"/>
          <w:highlight w:val="none"/>
          <w:lang w:eastAsia="zh-CN"/>
        </w:rPr>
        <w:sectPr>
          <w:pgSz w:w="11910" w:h="16840"/>
          <w:pgMar w:top="1080" w:right="900" w:bottom="1040" w:left="920" w:header="0" w:footer="858" w:gutter="0"/>
          <w:cols w:space="720" w:num="1"/>
        </w:sectPr>
      </w:pPr>
    </w:p>
    <w:p>
      <w:pPr>
        <w:pStyle w:val="5"/>
        <w:spacing w:before="56" w:line="362" w:lineRule="auto"/>
        <w:ind w:right="635" w:firstLine="480"/>
        <w:rPr>
          <w:color w:val="auto"/>
          <w:highlight w:val="none"/>
          <w:lang w:eastAsia="zh-CN"/>
        </w:rPr>
      </w:pPr>
      <w:r>
        <w:rPr>
          <w:color w:val="auto"/>
          <w:highlight w:val="none"/>
          <w:lang w:eastAsia="zh-CN"/>
        </w:rPr>
        <w:t>4）协助发包人审查施工图、二次深化设计等设计文件，发现问题，及时向发包人提出；</w:t>
      </w:r>
    </w:p>
    <w:p>
      <w:pPr>
        <w:pStyle w:val="5"/>
        <w:spacing w:before="5"/>
        <w:ind w:left="692"/>
        <w:rPr>
          <w:color w:val="auto"/>
          <w:highlight w:val="none"/>
          <w:lang w:eastAsia="zh-CN"/>
        </w:rPr>
      </w:pPr>
      <w:r>
        <w:rPr>
          <w:color w:val="auto"/>
          <w:highlight w:val="none"/>
          <w:lang w:eastAsia="zh-CN"/>
        </w:rPr>
        <w:t>5）协助发包人审查变更设计图纸和设计文件，确保设计在技术上可行，在经济上合</w:t>
      </w:r>
    </w:p>
    <w:p>
      <w:pPr>
        <w:pStyle w:val="5"/>
        <w:spacing w:before="158" w:line="364" w:lineRule="auto"/>
        <w:ind w:right="275"/>
        <w:rPr>
          <w:color w:val="auto"/>
          <w:highlight w:val="none"/>
          <w:lang w:eastAsia="zh-CN"/>
        </w:rPr>
      </w:pPr>
      <w:r>
        <w:rPr>
          <w:color w:val="auto"/>
          <w:highlight w:val="none"/>
          <w:lang w:eastAsia="zh-CN"/>
        </w:rPr>
        <w:t>理，使用功能上安全。对设计变更进行技术经济合理性分析，并按照规定的程序办理设计变更手续。施工图预算的审核。</w:t>
      </w:r>
    </w:p>
    <w:p>
      <w:pPr>
        <w:pStyle w:val="5"/>
        <w:spacing w:line="306" w:lineRule="exact"/>
        <w:ind w:left="692"/>
        <w:rPr>
          <w:color w:val="auto"/>
          <w:highlight w:val="none"/>
          <w:lang w:eastAsia="zh-CN"/>
        </w:rPr>
      </w:pPr>
      <w:r>
        <w:rPr>
          <w:color w:val="auto"/>
          <w:highlight w:val="none"/>
          <w:lang w:eastAsia="zh-CN"/>
        </w:rPr>
        <w:t>6）负责本项目检测方案编制，报发包人审核。</w:t>
      </w:r>
    </w:p>
    <w:p>
      <w:pPr>
        <w:pStyle w:val="5"/>
        <w:spacing w:before="160" w:line="364" w:lineRule="auto"/>
        <w:ind w:right="395" w:firstLine="480"/>
        <w:rPr>
          <w:color w:val="auto"/>
          <w:highlight w:val="none"/>
          <w:lang w:eastAsia="zh-CN"/>
        </w:rPr>
      </w:pPr>
      <w:r>
        <w:rPr>
          <w:color w:val="auto"/>
          <w:highlight w:val="none"/>
          <w:lang w:eastAsia="zh-CN"/>
        </w:rPr>
        <w:t>7）协助发包人组织项目征地拆迁的管理与协调工作，负责项目实施所需的管线迁移及绿化迁移的监理工作，费用含在签约酬金中，发包人不另行支付。</w:t>
      </w:r>
    </w:p>
    <w:p>
      <w:pPr>
        <w:pStyle w:val="5"/>
        <w:spacing w:line="362" w:lineRule="auto"/>
        <w:ind w:right="335" w:firstLine="480"/>
        <w:rPr>
          <w:color w:val="auto"/>
          <w:highlight w:val="none"/>
          <w:lang w:eastAsia="zh-CN"/>
        </w:rPr>
      </w:pPr>
      <w:r>
        <w:rPr>
          <w:color w:val="auto"/>
          <w:highlight w:val="none"/>
          <w:lang w:eastAsia="zh-CN"/>
        </w:rPr>
        <w:t>2.1.3</w:t>
      </w:r>
      <w:r>
        <w:rPr>
          <w:color w:val="auto"/>
          <w:spacing w:val="-8"/>
          <w:highlight w:val="none"/>
          <w:lang w:eastAsia="zh-CN"/>
        </w:rPr>
        <w:t xml:space="preserve"> 其他相关服务内容：</w:t>
      </w:r>
      <w:r>
        <w:rPr>
          <w:color w:val="auto"/>
          <w:highlight w:val="none"/>
          <w:u w:val="single"/>
          <w:lang w:eastAsia="zh-CN"/>
        </w:rPr>
        <w:t>包括但不限于在服务期间协助发包人对</w:t>
      </w:r>
      <w:r>
        <w:rPr>
          <w:rFonts w:hint="eastAsia"/>
          <w:bCs/>
          <w:color w:val="auto"/>
          <w:highlight w:val="none"/>
          <w:u w:val="single"/>
          <w:lang w:eastAsia="zh-CN"/>
        </w:rPr>
        <w:t>榄核镇东丫涌等53条河涌（道）整治工程</w:t>
      </w:r>
      <w:r>
        <w:rPr>
          <w:color w:val="auto"/>
          <w:highlight w:val="none"/>
          <w:u w:val="single"/>
          <w:lang w:eastAsia="zh-CN"/>
        </w:rPr>
        <w:t>进行监督和技术指导工作及本合同约定的工作内容。</w:t>
      </w:r>
    </w:p>
    <w:p>
      <w:pPr>
        <w:pStyle w:val="11"/>
        <w:numPr>
          <w:ilvl w:val="1"/>
          <w:numId w:val="22"/>
        </w:numPr>
        <w:tabs>
          <w:tab w:val="left" w:pos="633"/>
        </w:tabs>
        <w:spacing w:before="4"/>
        <w:rPr>
          <w:color w:val="auto"/>
          <w:sz w:val="24"/>
          <w:highlight w:val="none"/>
        </w:rPr>
      </w:pPr>
      <w:r>
        <w:rPr>
          <w:color w:val="auto"/>
          <w:sz w:val="24"/>
          <w:highlight w:val="none"/>
        </w:rPr>
        <w:t>服务依据</w:t>
      </w:r>
    </w:p>
    <w:p>
      <w:pPr>
        <w:pStyle w:val="11"/>
        <w:numPr>
          <w:ilvl w:val="2"/>
          <w:numId w:val="22"/>
        </w:numPr>
        <w:tabs>
          <w:tab w:val="left" w:pos="1353"/>
        </w:tabs>
        <w:spacing w:before="158"/>
        <w:ind w:firstLine="480"/>
        <w:rPr>
          <w:color w:val="auto"/>
          <w:sz w:val="24"/>
          <w:highlight w:val="none"/>
          <w:lang w:eastAsia="zh-CN"/>
        </w:rPr>
      </w:pPr>
      <w:r>
        <w:rPr>
          <w:color w:val="auto"/>
          <w:sz w:val="24"/>
          <w:highlight w:val="none"/>
          <w:lang w:eastAsia="zh-CN"/>
        </w:rPr>
        <w:t>项目建设管理及监理服务依据包括：</w:t>
      </w:r>
      <w:r>
        <w:rPr>
          <w:color w:val="auto"/>
          <w:sz w:val="24"/>
          <w:highlight w:val="none"/>
          <w:u w:val="single"/>
          <w:lang w:eastAsia="zh-CN"/>
        </w:rPr>
        <w:t>按合同通用条款执行</w:t>
      </w:r>
      <w:r>
        <w:rPr>
          <w:color w:val="auto"/>
          <w:sz w:val="24"/>
          <w:highlight w:val="none"/>
          <w:lang w:eastAsia="zh-CN"/>
        </w:rPr>
        <w:t>。</w:t>
      </w:r>
    </w:p>
    <w:p>
      <w:pPr>
        <w:pStyle w:val="11"/>
        <w:numPr>
          <w:ilvl w:val="2"/>
          <w:numId w:val="22"/>
        </w:numPr>
        <w:tabs>
          <w:tab w:val="left" w:pos="1353"/>
        </w:tabs>
        <w:spacing w:before="161" w:line="364" w:lineRule="auto"/>
        <w:ind w:right="335" w:firstLine="480"/>
        <w:rPr>
          <w:color w:val="auto"/>
          <w:sz w:val="24"/>
          <w:highlight w:val="none"/>
          <w:lang w:eastAsia="zh-CN"/>
        </w:rPr>
      </w:pPr>
      <w:r>
        <w:rPr>
          <w:color w:val="auto"/>
          <w:sz w:val="24"/>
          <w:highlight w:val="none"/>
          <w:lang w:eastAsia="zh-CN"/>
        </w:rPr>
        <w:t>相关服务依据包括：</w:t>
      </w:r>
      <w:r>
        <w:rPr>
          <w:color w:val="auto"/>
          <w:sz w:val="24"/>
          <w:highlight w:val="none"/>
          <w:u w:val="single"/>
          <w:lang w:eastAsia="zh-CN"/>
        </w:rPr>
        <w:t>国家、广东省、广州市、南沙区相关部门颁发的与本项目相</w:t>
      </w:r>
      <w:r>
        <w:rPr>
          <w:color w:val="auto"/>
          <w:spacing w:val="-240"/>
          <w:sz w:val="24"/>
          <w:highlight w:val="none"/>
          <w:u w:val="single"/>
          <w:lang w:eastAsia="zh-CN"/>
        </w:rPr>
        <w:t>关</w:t>
      </w:r>
      <w:r>
        <w:rPr>
          <w:color w:val="auto"/>
          <w:sz w:val="24"/>
          <w:highlight w:val="none"/>
          <w:u w:val="single"/>
          <w:lang w:eastAsia="zh-CN"/>
        </w:rPr>
        <w:t>的法律、法规、 规范等文件</w:t>
      </w:r>
      <w:r>
        <w:rPr>
          <w:color w:val="auto"/>
          <w:sz w:val="24"/>
          <w:highlight w:val="none"/>
          <w:lang w:eastAsia="zh-CN"/>
        </w:rPr>
        <w:t>。</w:t>
      </w:r>
    </w:p>
    <w:p>
      <w:pPr>
        <w:pStyle w:val="11"/>
        <w:numPr>
          <w:ilvl w:val="1"/>
          <w:numId w:val="22"/>
        </w:numPr>
        <w:tabs>
          <w:tab w:val="left" w:pos="633"/>
        </w:tabs>
        <w:spacing w:line="306" w:lineRule="exact"/>
        <w:rPr>
          <w:color w:val="auto"/>
          <w:sz w:val="24"/>
          <w:highlight w:val="none"/>
        </w:rPr>
      </w:pPr>
      <w:r>
        <w:rPr>
          <w:color w:val="auto"/>
          <w:sz w:val="24"/>
          <w:highlight w:val="none"/>
        </w:rPr>
        <w:t>项目服务机构和人员</w:t>
      </w:r>
    </w:p>
    <w:p>
      <w:pPr>
        <w:pStyle w:val="11"/>
        <w:numPr>
          <w:ilvl w:val="2"/>
          <w:numId w:val="22"/>
        </w:numPr>
        <w:tabs>
          <w:tab w:val="left" w:pos="1353"/>
        </w:tabs>
        <w:spacing w:before="160"/>
        <w:ind w:left="1352"/>
        <w:rPr>
          <w:color w:val="auto"/>
          <w:sz w:val="24"/>
          <w:highlight w:val="none"/>
          <w:lang w:eastAsia="zh-CN"/>
        </w:rPr>
      </w:pPr>
      <w:r>
        <w:rPr>
          <w:color w:val="auto"/>
          <w:sz w:val="24"/>
          <w:highlight w:val="none"/>
          <w:lang w:eastAsia="zh-CN"/>
        </w:rPr>
        <w:t>更换人员的其他情形：</w:t>
      </w:r>
      <w:r>
        <w:rPr>
          <w:color w:val="auto"/>
          <w:spacing w:val="-1"/>
          <w:sz w:val="24"/>
          <w:highlight w:val="none"/>
          <w:u w:val="single"/>
          <w:lang w:eastAsia="zh-CN"/>
        </w:rPr>
        <w:t xml:space="preserve"> </w:t>
      </w:r>
      <w:r>
        <w:rPr>
          <w:color w:val="auto"/>
          <w:sz w:val="24"/>
          <w:highlight w:val="none"/>
          <w:u w:val="single"/>
          <w:lang w:eastAsia="zh-CN"/>
        </w:rPr>
        <w:t>/</w:t>
      </w:r>
      <w:r>
        <w:rPr>
          <w:color w:val="auto"/>
          <w:spacing w:val="-1"/>
          <w:sz w:val="24"/>
          <w:highlight w:val="none"/>
          <w:lang w:eastAsia="zh-CN"/>
        </w:rPr>
        <w:t xml:space="preserve"> 。</w:t>
      </w:r>
    </w:p>
    <w:p>
      <w:pPr>
        <w:pStyle w:val="11"/>
        <w:numPr>
          <w:ilvl w:val="1"/>
          <w:numId w:val="22"/>
        </w:numPr>
        <w:tabs>
          <w:tab w:val="left" w:pos="633"/>
        </w:tabs>
        <w:spacing w:before="158"/>
        <w:rPr>
          <w:color w:val="auto"/>
          <w:sz w:val="24"/>
          <w:highlight w:val="none"/>
        </w:rPr>
      </w:pPr>
      <w:r>
        <w:rPr>
          <w:color w:val="auto"/>
          <w:sz w:val="24"/>
          <w:highlight w:val="none"/>
        </w:rPr>
        <w:t>履行职责</w:t>
      </w:r>
    </w:p>
    <w:p>
      <w:pPr>
        <w:pStyle w:val="11"/>
        <w:numPr>
          <w:ilvl w:val="2"/>
          <w:numId w:val="22"/>
        </w:numPr>
        <w:tabs>
          <w:tab w:val="left" w:pos="1353"/>
        </w:tabs>
        <w:spacing w:before="161"/>
        <w:ind w:left="1352"/>
        <w:rPr>
          <w:color w:val="auto"/>
          <w:sz w:val="24"/>
          <w:highlight w:val="none"/>
        </w:rPr>
      </w:pPr>
      <w:r>
        <w:rPr>
          <w:color w:val="auto"/>
          <w:sz w:val="24"/>
          <w:highlight w:val="none"/>
        </w:rPr>
        <w:t>对承包人的授权范围</w:t>
      </w:r>
    </w:p>
    <w:p>
      <w:pPr>
        <w:pStyle w:val="5"/>
        <w:spacing w:before="158"/>
        <w:ind w:left="692"/>
        <w:rPr>
          <w:color w:val="auto"/>
          <w:highlight w:val="none"/>
          <w:lang w:eastAsia="zh-CN"/>
        </w:rPr>
      </w:pPr>
      <w:r>
        <w:rPr>
          <w:color w:val="auto"/>
          <w:highlight w:val="none"/>
          <w:lang w:eastAsia="zh-CN"/>
        </w:rPr>
        <w:t>（1）按合同约定的服务范围及工作内容。</w:t>
      </w:r>
    </w:p>
    <w:p>
      <w:pPr>
        <w:pStyle w:val="5"/>
        <w:spacing w:before="161"/>
        <w:ind w:left="692"/>
        <w:rPr>
          <w:color w:val="auto"/>
          <w:highlight w:val="none"/>
          <w:lang w:eastAsia="zh-CN"/>
        </w:rPr>
      </w:pPr>
      <w:r>
        <w:rPr>
          <w:color w:val="auto"/>
          <w:highlight w:val="none"/>
          <w:lang w:eastAsia="zh-CN"/>
        </w:rPr>
        <w:t>（2）工期争议的界定。</w:t>
      </w:r>
    </w:p>
    <w:p>
      <w:pPr>
        <w:pStyle w:val="5"/>
        <w:spacing w:before="158"/>
        <w:ind w:left="692"/>
        <w:rPr>
          <w:color w:val="auto"/>
          <w:highlight w:val="none"/>
          <w:lang w:eastAsia="zh-CN"/>
        </w:rPr>
      </w:pPr>
      <w:r>
        <w:rPr>
          <w:color w:val="auto"/>
          <w:highlight w:val="none"/>
          <w:lang w:eastAsia="zh-CN"/>
        </w:rPr>
        <w:t>（3）参建单位投入管理人员能力的界定。</w:t>
      </w:r>
    </w:p>
    <w:p>
      <w:pPr>
        <w:pStyle w:val="5"/>
        <w:spacing w:before="160" w:line="362" w:lineRule="auto"/>
        <w:ind w:right="395" w:firstLine="480"/>
        <w:rPr>
          <w:color w:val="auto"/>
          <w:highlight w:val="none"/>
          <w:lang w:eastAsia="zh-CN"/>
        </w:rPr>
      </w:pPr>
      <w:r>
        <w:rPr>
          <w:color w:val="auto"/>
          <w:highlight w:val="none"/>
          <w:lang w:eastAsia="zh-CN"/>
        </w:rPr>
        <w:t>（4）在规定的项目服务期限内，负责检查项目质量状况，组织鉴定质量问题责任，督促责任单位维修。</w:t>
      </w:r>
    </w:p>
    <w:p>
      <w:pPr>
        <w:pStyle w:val="5"/>
        <w:spacing w:before="5"/>
        <w:ind w:left="692"/>
        <w:rPr>
          <w:color w:val="auto"/>
          <w:highlight w:val="none"/>
          <w:lang w:eastAsia="zh-CN"/>
        </w:rPr>
      </w:pPr>
      <w:r>
        <w:rPr>
          <w:color w:val="auto"/>
          <w:highlight w:val="none"/>
          <w:lang w:eastAsia="zh-CN"/>
        </w:rPr>
        <w:t>（5）发包人授权承包人行使的其他职权。</w:t>
      </w:r>
    </w:p>
    <w:p>
      <w:pPr>
        <w:pStyle w:val="5"/>
        <w:spacing w:before="161" w:line="362" w:lineRule="auto"/>
        <w:ind w:right="395" w:firstLine="480"/>
        <w:rPr>
          <w:color w:val="auto"/>
          <w:highlight w:val="none"/>
          <w:lang w:eastAsia="zh-CN"/>
        </w:rPr>
      </w:pPr>
      <w:r>
        <w:rPr>
          <w:color w:val="auto"/>
          <w:highlight w:val="none"/>
          <w:lang w:eastAsia="zh-CN"/>
        </w:rPr>
        <w:t>（6）本合同中约定的承包人的权利应当理解为发包人赋予承包人的职权，承包人必须履行。</w:t>
      </w:r>
    </w:p>
    <w:p>
      <w:pPr>
        <w:pStyle w:val="11"/>
        <w:numPr>
          <w:ilvl w:val="1"/>
          <w:numId w:val="22"/>
        </w:numPr>
        <w:tabs>
          <w:tab w:val="left" w:pos="633"/>
        </w:tabs>
        <w:spacing w:before="2"/>
        <w:rPr>
          <w:color w:val="auto"/>
          <w:sz w:val="24"/>
          <w:highlight w:val="none"/>
        </w:rPr>
      </w:pPr>
      <w:r>
        <w:rPr>
          <w:color w:val="auto"/>
          <w:sz w:val="24"/>
          <w:highlight w:val="none"/>
        </w:rPr>
        <w:t>提交报告</w:t>
      </w:r>
    </w:p>
    <w:p>
      <w:pPr>
        <w:pStyle w:val="5"/>
        <w:spacing w:before="161" w:line="364" w:lineRule="auto"/>
        <w:ind w:right="275" w:firstLine="480"/>
        <w:rPr>
          <w:color w:val="auto"/>
          <w:highlight w:val="none"/>
          <w:lang w:eastAsia="zh-CN"/>
        </w:rPr>
      </w:pPr>
      <w:r>
        <w:rPr>
          <w:color w:val="auto"/>
          <w:highlight w:val="none"/>
          <w:lang w:eastAsia="zh-CN"/>
        </w:rPr>
        <w:t>发包人有权要求承包人提交项目建设管理及监理工作日报告、周报告、月度报告及服务范围内的专项报告。</w:t>
      </w:r>
    </w:p>
    <w:p>
      <w:pPr>
        <w:pStyle w:val="11"/>
        <w:numPr>
          <w:ilvl w:val="2"/>
          <w:numId w:val="22"/>
        </w:numPr>
        <w:tabs>
          <w:tab w:val="left" w:pos="1353"/>
        </w:tabs>
        <w:spacing w:line="306" w:lineRule="exact"/>
        <w:ind w:left="1352"/>
        <w:rPr>
          <w:color w:val="auto"/>
          <w:sz w:val="24"/>
          <w:highlight w:val="none"/>
          <w:lang w:eastAsia="zh-CN"/>
        </w:rPr>
      </w:pPr>
      <w:r>
        <w:rPr>
          <w:color w:val="auto"/>
          <w:sz w:val="24"/>
          <w:highlight w:val="none"/>
          <w:lang w:eastAsia="zh-CN"/>
        </w:rPr>
        <w:t>日报告，包括但不限于以下内容：</w:t>
      </w:r>
    </w:p>
    <w:p>
      <w:pPr>
        <w:pStyle w:val="5"/>
        <w:spacing w:before="160"/>
        <w:ind w:left="692"/>
        <w:rPr>
          <w:color w:val="auto"/>
          <w:highlight w:val="none"/>
          <w:lang w:eastAsia="zh-CN"/>
        </w:rPr>
      </w:pPr>
      <w:r>
        <w:rPr>
          <w:color w:val="auto"/>
          <w:highlight w:val="none"/>
          <w:lang w:eastAsia="zh-CN"/>
        </w:rPr>
        <w:t>（1）进展情况记录（作业项目、劳动力人数、进展状况）；</w:t>
      </w:r>
    </w:p>
    <w:p>
      <w:pPr>
        <w:rPr>
          <w:color w:val="auto"/>
          <w:highlight w:val="none"/>
          <w:lang w:eastAsia="zh-CN"/>
        </w:rPr>
        <w:sectPr>
          <w:pgSz w:w="11910" w:h="16840"/>
          <w:pgMar w:top="1080" w:right="900" w:bottom="1040" w:left="920" w:header="0" w:footer="858" w:gutter="0"/>
          <w:cols w:space="720" w:num="1"/>
        </w:sectPr>
      </w:pPr>
    </w:p>
    <w:p>
      <w:pPr>
        <w:pStyle w:val="5"/>
        <w:spacing w:before="56"/>
        <w:ind w:left="692"/>
        <w:rPr>
          <w:color w:val="auto"/>
          <w:highlight w:val="none"/>
          <w:lang w:eastAsia="zh-CN"/>
        </w:rPr>
      </w:pPr>
      <w:r>
        <w:rPr>
          <w:color w:val="auto"/>
          <w:highlight w:val="none"/>
          <w:lang w:eastAsia="zh-CN"/>
        </w:rPr>
        <w:t>（2）检查工作记录（检查/验收项目、缺陷状况、整改情况、复检情况）；</w:t>
      </w:r>
    </w:p>
    <w:p>
      <w:pPr>
        <w:pStyle w:val="5"/>
        <w:spacing w:before="158"/>
        <w:ind w:left="692"/>
        <w:rPr>
          <w:color w:val="auto"/>
          <w:highlight w:val="none"/>
          <w:lang w:eastAsia="zh-CN"/>
        </w:rPr>
      </w:pPr>
      <w:r>
        <w:rPr>
          <w:color w:val="auto"/>
          <w:highlight w:val="none"/>
          <w:lang w:eastAsia="zh-CN"/>
        </w:rPr>
        <w:t>（3）巡查工作记录(巡查线路、巡查施工项目、特别质量/进度/安全问题记录)；</w:t>
      </w:r>
    </w:p>
    <w:p>
      <w:pPr>
        <w:pStyle w:val="5"/>
        <w:spacing w:before="160"/>
        <w:ind w:left="692"/>
        <w:rPr>
          <w:color w:val="auto"/>
          <w:highlight w:val="none"/>
          <w:lang w:eastAsia="zh-CN"/>
        </w:rPr>
      </w:pPr>
      <w:r>
        <w:rPr>
          <w:color w:val="auto"/>
          <w:highlight w:val="none"/>
          <w:lang w:eastAsia="zh-CN"/>
        </w:rPr>
        <w:t>（4）旁站工作记录(旁站监察项目、时间记录、过程记录、问题处理记录)；</w:t>
      </w:r>
    </w:p>
    <w:p>
      <w:pPr>
        <w:pStyle w:val="5"/>
        <w:spacing w:before="159" w:line="364" w:lineRule="auto"/>
        <w:ind w:right="395" w:firstLine="480"/>
        <w:rPr>
          <w:color w:val="auto"/>
          <w:highlight w:val="none"/>
          <w:lang w:eastAsia="zh-CN"/>
        </w:rPr>
      </w:pPr>
      <w:r>
        <w:rPr>
          <w:color w:val="auto"/>
          <w:highlight w:val="none"/>
          <w:lang w:eastAsia="zh-CN"/>
        </w:rPr>
        <w:t>（5）特别事项记录(会议、协调工作、技术/设计问题、气象及其他特别事项、简要记录)。</w:t>
      </w:r>
    </w:p>
    <w:p>
      <w:pPr>
        <w:pStyle w:val="11"/>
        <w:numPr>
          <w:ilvl w:val="2"/>
          <w:numId w:val="22"/>
        </w:numPr>
        <w:tabs>
          <w:tab w:val="left" w:pos="1353"/>
        </w:tabs>
        <w:spacing w:line="306" w:lineRule="exact"/>
        <w:ind w:left="1352"/>
        <w:rPr>
          <w:color w:val="auto"/>
          <w:sz w:val="24"/>
          <w:highlight w:val="none"/>
          <w:lang w:eastAsia="zh-CN"/>
        </w:rPr>
      </w:pPr>
      <w:r>
        <w:rPr>
          <w:color w:val="auto"/>
          <w:sz w:val="24"/>
          <w:highlight w:val="none"/>
          <w:lang w:eastAsia="zh-CN"/>
        </w:rPr>
        <w:t>周报告及月度报告，包括但不限于以下内容：</w:t>
      </w:r>
    </w:p>
    <w:p>
      <w:pPr>
        <w:pStyle w:val="5"/>
        <w:spacing w:before="160"/>
        <w:ind w:left="692"/>
        <w:rPr>
          <w:color w:val="auto"/>
          <w:highlight w:val="none"/>
          <w:lang w:eastAsia="zh-CN"/>
        </w:rPr>
      </w:pPr>
      <w:r>
        <w:rPr>
          <w:color w:val="auto"/>
          <w:highlight w:val="none"/>
          <w:lang w:eastAsia="zh-CN"/>
        </w:rPr>
        <w:t>（1）简要进度状况；</w:t>
      </w:r>
    </w:p>
    <w:p>
      <w:pPr>
        <w:pStyle w:val="5"/>
        <w:spacing w:before="161"/>
        <w:ind w:left="692"/>
        <w:rPr>
          <w:color w:val="auto"/>
          <w:highlight w:val="none"/>
          <w:lang w:eastAsia="zh-CN"/>
        </w:rPr>
      </w:pPr>
      <w:r>
        <w:rPr>
          <w:color w:val="auto"/>
          <w:highlight w:val="none"/>
          <w:lang w:eastAsia="zh-CN"/>
        </w:rPr>
        <w:t>（ 2）未完成计划项目清单；</w:t>
      </w:r>
    </w:p>
    <w:p>
      <w:pPr>
        <w:pStyle w:val="5"/>
        <w:spacing w:before="158"/>
        <w:ind w:left="692"/>
        <w:rPr>
          <w:color w:val="auto"/>
          <w:highlight w:val="none"/>
          <w:lang w:eastAsia="zh-CN"/>
        </w:rPr>
      </w:pPr>
      <w:r>
        <w:rPr>
          <w:color w:val="auto"/>
          <w:highlight w:val="none"/>
          <w:lang w:eastAsia="zh-CN"/>
        </w:rPr>
        <w:t>（3）未完成或滞后项目原因分析；</w:t>
      </w:r>
    </w:p>
    <w:p>
      <w:pPr>
        <w:pStyle w:val="5"/>
        <w:spacing w:before="158"/>
        <w:ind w:left="692"/>
        <w:rPr>
          <w:color w:val="auto"/>
          <w:highlight w:val="none"/>
          <w:lang w:eastAsia="zh-CN"/>
        </w:rPr>
      </w:pPr>
      <w:r>
        <w:rPr>
          <w:color w:val="auto"/>
          <w:highlight w:val="none"/>
          <w:lang w:eastAsia="zh-CN"/>
        </w:rPr>
        <w:t>（4）简要检查/巡查/旁站记录；</w:t>
      </w:r>
    </w:p>
    <w:p>
      <w:pPr>
        <w:pStyle w:val="5"/>
        <w:spacing w:before="160"/>
        <w:ind w:left="692"/>
        <w:rPr>
          <w:color w:val="auto"/>
          <w:highlight w:val="none"/>
          <w:lang w:eastAsia="zh-CN"/>
        </w:rPr>
      </w:pPr>
      <w:r>
        <w:rPr>
          <w:color w:val="auto"/>
          <w:highlight w:val="none"/>
          <w:lang w:eastAsia="zh-CN"/>
        </w:rPr>
        <w:t>（5）主要质量问题及原因；</w:t>
      </w:r>
    </w:p>
    <w:p>
      <w:pPr>
        <w:pStyle w:val="5"/>
        <w:spacing w:before="158"/>
        <w:ind w:left="692"/>
        <w:rPr>
          <w:color w:val="auto"/>
          <w:highlight w:val="none"/>
          <w:lang w:eastAsia="zh-CN"/>
        </w:rPr>
      </w:pPr>
      <w:r>
        <w:rPr>
          <w:color w:val="auto"/>
          <w:highlight w:val="none"/>
          <w:lang w:eastAsia="zh-CN"/>
        </w:rPr>
        <w:t>（6）整改处理情况；</w:t>
      </w:r>
    </w:p>
    <w:p>
      <w:pPr>
        <w:pStyle w:val="5"/>
        <w:spacing w:before="161"/>
        <w:ind w:left="692"/>
        <w:rPr>
          <w:color w:val="auto"/>
          <w:highlight w:val="none"/>
          <w:lang w:eastAsia="zh-CN"/>
        </w:rPr>
      </w:pPr>
      <w:r>
        <w:rPr>
          <w:color w:val="auto"/>
          <w:highlight w:val="none"/>
          <w:lang w:eastAsia="zh-CN"/>
        </w:rPr>
        <w:t>（7）其他主要问题及处理记录；</w:t>
      </w:r>
    </w:p>
    <w:p>
      <w:pPr>
        <w:pStyle w:val="5"/>
        <w:spacing w:before="160"/>
        <w:ind w:left="692"/>
        <w:rPr>
          <w:color w:val="auto"/>
          <w:highlight w:val="none"/>
          <w:lang w:eastAsia="zh-CN"/>
        </w:rPr>
      </w:pPr>
      <w:r>
        <w:rPr>
          <w:color w:val="auto"/>
          <w:highlight w:val="none"/>
          <w:lang w:eastAsia="zh-CN"/>
        </w:rPr>
        <w:t>（8）施工单位人员履约情况。</w:t>
      </w:r>
    </w:p>
    <w:p>
      <w:pPr>
        <w:pStyle w:val="5"/>
        <w:spacing w:before="157"/>
        <w:ind w:left="211" w:leftChars="96"/>
        <w:rPr>
          <w:color w:val="auto"/>
          <w:highlight w:val="none"/>
        </w:rPr>
      </w:pPr>
      <w:r>
        <w:rPr>
          <w:color w:val="auto"/>
          <w:highlight w:val="none"/>
        </w:rPr>
        <w:t>3.发包人义务</w:t>
      </w:r>
    </w:p>
    <w:p>
      <w:pPr>
        <w:pStyle w:val="11"/>
        <w:numPr>
          <w:ilvl w:val="1"/>
          <w:numId w:val="23"/>
        </w:numPr>
        <w:tabs>
          <w:tab w:val="left" w:pos="1173"/>
        </w:tabs>
        <w:spacing w:before="159"/>
        <w:rPr>
          <w:color w:val="auto"/>
          <w:sz w:val="24"/>
          <w:highlight w:val="none"/>
        </w:rPr>
      </w:pPr>
      <w:r>
        <w:rPr>
          <w:color w:val="auto"/>
          <w:sz w:val="24"/>
          <w:highlight w:val="none"/>
        </w:rPr>
        <w:t>发包人代表</w:t>
      </w:r>
    </w:p>
    <w:p>
      <w:pPr>
        <w:pStyle w:val="5"/>
        <w:tabs>
          <w:tab w:val="left" w:pos="3572"/>
          <w:tab w:val="left" w:pos="5852"/>
        </w:tabs>
        <w:spacing w:before="160" w:line="364" w:lineRule="auto"/>
        <w:ind w:left="692" w:right="3875"/>
        <w:rPr>
          <w:color w:val="auto"/>
          <w:highlight w:val="none"/>
          <w:lang w:eastAsia="zh-CN"/>
        </w:rPr>
      </w:pPr>
      <w:r>
        <w:rPr>
          <w:color w:val="auto"/>
          <w:highlight w:val="none"/>
          <w:lang w:eastAsia="zh-CN"/>
        </w:rPr>
        <w:t>发包人代表为：</w:t>
      </w:r>
      <w:r>
        <w:rPr>
          <w:color w:val="auto"/>
          <w:highlight w:val="none"/>
          <w:u w:val="single"/>
          <w:lang w:eastAsia="zh-CN"/>
        </w:rPr>
        <w:t xml:space="preserve"> </w:t>
      </w:r>
      <w:r>
        <w:rPr>
          <w:color w:val="auto"/>
          <w:highlight w:val="none"/>
          <w:u w:val="single"/>
          <w:lang w:eastAsia="zh-CN"/>
        </w:rPr>
        <w:tab/>
      </w:r>
      <w:r>
        <w:rPr>
          <w:color w:val="auto"/>
          <w:highlight w:val="none"/>
          <w:lang w:eastAsia="zh-CN"/>
        </w:rPr>
        <w:t>，联系电话：</w:t>
      </w:r>
      <w:r>
        <w:rPr>
          <w:color w:val="auto"/>
          <w:highlight w:val="none"/>
          <w:u w:val="single"/>
          <w:lang w:eastAsia="zh-CN"/>
        </w:rPr>
        <w:t xml:space="preserve"> </w:t>
      </w:r>
      <w:r>
        <w:rPr>
          <w:color w:val="auto"/>
          <w:highlight w:val="none"/>
          <w:u w:val="single"/>
          <w:lang w:eastAsia="zh-CN"/>
        </w:rPr>
        <w:tab/>
      </w:r>
      <w:r>
        <w:rPr>
          <w:color w:val="auto"/>
          <w:highlight w:val="none"/>
          <w:lang w:eastAsia="zh-CN"/>
        </w:rPr>
        <w:t>。发包人需要更换发包人代表的，将书面通知承包人。</w:t>
      </w:r>
    </w:p>
    <w:p>
      <w:pPr>
        <w:pStyle w:val="5"/>
        <w:spacing w:before="56"/>
        <w:ind w:left="0" w:firstLine="240" w:firstLineChars="100"/>
        <w:rPr>
          <w:color w:val="auto"/>
          <w:highlight w:val="none"/>
        </w:rPr>
      </w:pPr>
      <w:r>
        <w:rPr>
          <w:rFonts w:hint="eastAsia"/>
          <w:color w:val="auto"/>
          <w:highlight w:val="none"/>
          <w:lang w:eastAsia="zh-CN"/>
        </w:rPr>
        <w:t>4</w:t>
      </w:r>
      <w:r>
        <w:rPr>
          <w:color w:val="auto"/>
          <w:highlight w:val="none"/>
        </w:rPr>
        <w:t>.违约责任</w:t>
      </w:r>
    </w:p>
    <w:p>
      <w:pPr>
        <w:pStyle w:val="11"/>
        <w:numPr>
          <w:ilvl w:val="1"/>
          <w:numId w:val="24"/>
        </w:numPr>
        <w:tabs>
          <w:tab w:val="left" w:pos="1113"/>
        </w:tabs>
        <w:spacing w:before="158"/>
        <w:rPr>
          <w:color w:val="auto"/>
          <w:sz w:val="24"/>
          <w:highlight w:val="none"/>
        </w:rPr>
      </w:pPr>
      <w:r>
        <w:rPr>
          <w:color w:val="auto"/>
          <w:sz w:val="24"/>
          <w:highlight w:val="none"/>
        </w:rPr>
        <w:t>承包人的违约</w:t>
      </w:r>
    </w:p>
    <w:p>
      <w:pPr>
        <w:pStyle w:val="11"/>
        <w:numPr>
          <w:ilvl w:val="2"/>
          <w:numId w:val="24"/>
        </w:numPr>
        <w:tabs>
          <w:tab w:val="left" w:pos="1353"/>
        </w:tabs>
        <w:spacing w:before="160"/>
        <w:ind w:firstLine="480"/>
        <w:rPr>
          <w:color w:val="auto"/>
          <w:sz w:val="24"/>
          <w:highlight w:val="none"/>
        </w:rPr>
      </w:pPr>
      <w:r>
        <w:rPr>
          <w:color w:val="auto"/>
          <w:sz w:val="24"/>
          <w:highlight w:val="none"/>
        </w:rPr>
        <w:t>承包人的违约责任</w:t>
      </w:r>
    </w:p>
    <w:p>
      <w:pPr>
        <w:pStyle w:val="5"/>
        <w:spacing w:before="159" w:line="364" w:lineRule="auto"/>
        <w:ind w:right="275" w:firstLine="480"/>
        <w:rPr>
          <w:color w:val="auto"/>
          <w:highlight w:val="none"/>
          <w:lang w:eastAsia="zh-CN"/>
        </w:rPr>
      </w:pPr>
      <w:r>
        <w:rPr>
          <w:color w:val="auto"/>
          <w:highlight w:val="none"/>
          <w:lang w:eastAsia="zh-CN"/>
        </w:rPr>
        <w:t>（1）承包人违约或因承包人管理不力导致施工单位违约的，发包人有权根据具体情况对承包人发出书面警告限期整改、扣分、扣除全过程咨询服务费</w:t>
      </w:r>
      <w:r>
        <w:rPr>
          <w:rFonts w:hint="eastAsia"/>
          <w:color w:val="auto"/>
          <w:highlight w:val="none"/>
          <w:lang w:eastAsia="zh-CN"/>
        </w:rPr>
        <w:t>（所有因违约而扣除的金额累计不超过合同酬金10%），</w:t>
      </w:r>
      <w:r>
        <w:rPr>
          <w:color w:val="auto"/>
          <w:highlight w:val="none"/>
          <w:lang w:eastAsia="zh-CN"/>
        </w:rPr>
        <w:t>将承包人违约行为向相关部门通报、解除合同等。承包人还应承担采取整改措施所发生的费用，赔偿因违约给发包人造成的损失</w:t>
      </w:r>
      <w:r>
        <w:rPr>
          <w:rFonts w:hint="eastAsia"/>
          <w:color w:val="auto"/>
          <w:highlight w:val="none"/>
          <w:lang w:eastAsia="zh-CN"/>
        </w:rPr>
        <w:t>。</w:t>
      </w:r>
    </w:p>
    <w:p>
      <w:pPr>
        <w:pStyle w:val="5"/>
        <w:spacing w:line="362" w:lineRule="auto"/>
        <w:ind w:right="395" w:firstLine="480"/>
        <w:rPr>
          <w:color w:val="auto"/>
          <w:highlight w:val="none"/>
          <w:lang w:eastAsia="zh-CN"/>
        </w:rPr>
      </w:pPr>
      <w:r>
        <w:rPr>
          <w:color w:val="auto"/>
          <w:highlight w:val="none"/>
          <w:lang w:eastAsia="zh-CN"/>
        </w:rPr>
        <w:t>（2）承包人不得随意更换项目总负责人、项目管理负责人、监理负责人。承包人未经发包人批准擅自更换上述人员的，承包人承担违约金 1</w:t>
      </w:r>
      <w:r>
        <w:rPr>
          <w:rFonts w:hint="eastAsia"/>
          <w:color w:val="auto"/>
          <w:highlight w:val="none"/>
          <w:lang w:eastAsia="zh-CN"/>
        </w:rPr>
        <w:t xml:space="preserve"> </w:t>
      </w:r>
      <w:r>
        <w:rPr>
          <w:color w:val="auto"/>
          <w:highlight w:val="none"/>
          <w:lang w:eastAsia="zh-CN"/>
        </w:rPr>
        <w:t>万元/次。</w:t>
      </w:r>
    </w:p>
    <w:p>
      <w:pPr>
        <w:pStyle w:val="5"/>
        <w:spacing w:before="2" w:line="364" w:lineRule="auto"/>
        <w:ind w:left="0" w:right="275" w:firstLine="480"/>
        <w:rPr>
          <w:color w:val="auto"/>
          <w:highlight w:val="none"/>
          <w:lang w:eastAsia="zh-CN"/>
        </w:rPr>
      </w:pPr>
      <w:r>
        <w:rPr>
          <w:color w:val="auto"/>
          <w:highlight w:val="none"/>
          <w:lang w:eastAsia="zh-CN"/>
        </w:rPr>
        <w:t>（3）项目总负责人、项目管理负责人、监理负责人应专职在岗，不得擅自离岗。施工实施过程中，经发包人检查发现项目总负责人、项目管理负责人、监理负责人未经同意擅自离开施工现场的，发包人将书面告知限期整改；此种情况出现第 2 次承包人承担违约金 1 万元/次；出现第 3 次，承包人必须承担违约金 2 万元/次，此后，每出现 1 次，承包人应承担违约金 2 万元/次。</w:t>
      </w:r>
    </w:p>
    <w:p>
      <w:pPr>
        <w:pStyle w:val="5"/>
        <w:spacing w:before="158" w:line="364" w:lineRule="auto"/>
        <w:ind w:right="395" w:firstLine="480"/>
        <w:jc w:val="both"/>
        <w:rPr>
          <w:color w:val="auto"/>
          <w:highlight w:val="none"/>
          <w:lang w:eastAsia="zh-CN"/>
        </w:rPr>
      </w:pPr>
      <w:r>
        <w:rPr>
          <w:color w:val="auto"/>
          <w:highlight w:val="none"/>
          <w:lang w:eastAsia="zh-CN"/>
        </w:rPr>
        <w:t xml:space="preserve">（4）承包人未能按合同约定投入人员或投入人员工作不称职，经发包人检查发现的， 发包人将书面告知限期整改,承包人应按期整改；承包人未在期限内整改或整改后再次出现类似情况的，承包人除限期整改外，承包人还须承担违约金 </w:t>
      </w:r>
      <w:r>
        <w:rPr>
          <w:rFonts w:hint="eastAsia"/>
          <w:color w:val="auto"/>
          <w:highlight w:val="none"/>
          <w:lang w:eastAsia="zh-CN"/>
        </w:rPr>
        <w:t>1</w:t>
      </w:r>
      <w:r>
        <w:rPr>
          <w:color w:val="auto"/>
          <w:highlight w:val="none"/>
          <w:lang w:eastAsia="zh-CN"/>
        </w:rPr>
        <w:t xml:space="preserve"> 万元/次。</w:t>
      </w:r>
    </w:p>
    <w:p>
      <w:pPr>
        <w:pStyle w:val="5"/>
        <w:spacing w:line="364" w:lineRule="auto"/>
        <w:ind w:right="275" w:firstLine="480"/>
        <w:jc w:val="both"/>
        <w:rPr>
          <w:color w:val="auto"/>
          <w:highlight w:val="none"/>
          <w:lang w:eastAsia="zh-CN"/>
        </w:rPr>
      </w:pPr>
      <w:r>
        <w:rPr>
          <w:color w:val="auto"/>
          <w:highlight w:val="none"/>
          <w:lang w:eastAsia="zh-CN"/>
        </w:rPr>
        <w:t>（5）承包人未能积极主动地履行本合同约定或发包人要求的工作，发包人将书面告知限期整改,承包人应采取积极补救措施按期整改；承包人未在期限内整改或整改后再次出现类似情况的，承包人除限期改正外，视情节严重程度，承包人还须承担违约金 1 万元/次～</w:t>
      </w:r>
    </w:p>
    <w:p>
      <w:pPr>
        <w:pStyle w:val="5"/>
        <w:spacing w:line="304" w:lineRule="exact"/>
        <w:rPr>
          <w:color w:val="auto"/>
          <w:highlight w:val="none"/>
          <w:lang w:eastAsia="zh-CN"/>
        </w:rPr>
      </w:pPr>
      <w:r>
        <w:rPr>
          <w:rFonts w:hint="eastAsia"/>
          <w:color w:val="auto"/>
          <w:highlight w:val="none"/>
          <w:lang w:eastAsia="zh-CN"/>
        </w:rPr>
        <w:t>3</w:t>
      </w:r>
      <w:r>
        <w:rPr>
          <w:color w:val="auto"/>
          <w:highlight w:val="none"/>
          <w:lang w:eastAsia="zh-CN"/>
        </w:rPr>
        <w:t>万元/次。</w:t>
      </w:r>
    </w:p>
    <w:p>
      <w:pPr>
        <w:pStyle w:val="5"/>
        <w:spacing w:before="160" w:line="364" w:lineRule="auto"/>
        <w:ind w:right="275" w:firstLine="480"/>
        <w:rPr>
          <w:color w:val="auto"/>
          <w:highlight w:val="none"/>
          <w:lang w:eastAsia="zh-CN"/>
        </w:rPr>
      </w:pPr>
      <w:r>
        <w:rPr>
          <w:color w:val="auto"/>
          <w:highlight w:val="none"/>
          <w:lang w:eastAsia="zh-CN"/>
        </w:rPr>
        <w:t>（6）承包人应设立专职安全管理人员，督促参建单位建立安全生产保障体系，将安全责任制度落实到人。承包人应定期或不定期组织安全文明施工大检查，并将检查结果向发包人报告。参建单位对安全隐患整改不力或文明施工投入不足、不符合要求的，承包人未及时发现、不督促参建单位进行整改，不作及时处理，不及时向发包人报告，被发包人发现后， 发包人将书面告知限期整改,承包人应采取积极补救措施督促参建单位按期整改；承包人未在期限内整改或整改后再次出现类似情况的，承包人除限期整改外，承包人还须承担违约金</w:t>
      </w:r>
    </w:p>
    <w:p>
      <w:pPr>
        <w:pStyle w:val="5"/>
        <w:spacing w:line="360" w:lineRule="auto"/>
        <w:ind w:right="275"/>
        <w:jc w:val="both"/>
        <w:rPr>
          <w:color w:val="auto"/>
          <w:highlight w:val="none"/>
          <w:lang w:eastAsia="zh-CN"/>
        </w:rPr>
      </w:pPr>
      <w:r>
        <w:rPr>
          <w:color w:val="auto"/>
          <w:highlight w:val="none"/>
          <w:lang w:eastAsia="zh-CN"/>
        </w:rPr>
        <w:t>3 万元/次。在相关部门组织的安全生产检查中，被发现存在严重的安全隐患的，施工场地被评为不合格工地，或被通报批评，或被新闻媒体曝光造成不良影响的，承包人除应采取措施消除相关影响外，还应承担违约金 5 万元/次；由此发生安全生产事故的，除按国家相关</w:t>
      </w:r>
    </w:p>
    <w:p>
      <w:pPr>
        <w:pStyle w:val="5"/>
        <w:spacing w:line="360" w:lineRule="auto"/>
        <w:ind w:left="-141" w:leftChars="-64" w:firstLine="424" w:firstLineChars="177"/>
        <w:rPr>
          <w:color w:val="auto"/>
          <w:highlight w:val="none"/>
          <w:lang w:eastAsia="zh-CN"/>
        </w:rPr>
      </w:pPr>
      <w:r>
        <w:rPr>
          <w:color w:val="auto"/>
          <w:highlight w:val="none"/>
          <w:lang w:eastAsia="zh-CN"/>
        </w:rPr>
        <w:t xml:space="preserve">法律法规规定由相关行政主管部门处罚外，视情节严重程度，承包人还须承担违约金 </w:t>
      </w:r>
      <w:r>
        <w:rPr>
          <w:rFonts w:hint="eastAsia"/>
          <w:color w:val="auto"/>
          <w:highlight w:val="none"/>
          <w:lang w:eastAsia="zh-CN"/>
        </w:rPr>
        <w:t>1</w:t>
      </w:r>
      <w:r>
        <w:rPr>
          <w:color w:val="auto"/>
          <w:highlight w:val="none"/>
          <w:lang w:eastAsia="zh-CN"/>
        </w:rPr>
        <w:t xml:space="preserve"> 万</w:t>
      </w:r>
    </w:p>
    <w:p>
      <w:pPr>
        <w:pStyle w:val="5"/>
        <w:spacing w:before="56" w:line="360" w:lineRule="auto"/>
        <w:ind w:left="240" w:leftChars="109" w:right="395"/>
        <w:rPr>
          <w:color w:val="auto"/>
          <w:highlight w:val="none"/>
          <w:lang w:eastAsia="zh-CN"/>
        </w:rPr>
      </w:pPr>
      <w:r>
        <w:rPr>
          <w:color w:val="auto"/>
          <w:highlight w:val="none"/>
          <w:lang w:eastAsia="zh-CN"/>
        </w:rPr>
        <w:t>元/次～</w:t>
      </w:r>
      <w:r>
        <w:rPr>
          <w:rFonts w:hint="eastAsia"/>
          <w:color w:val="auto"/>
          <w:highlight w:val="none"/>
          <w:lang w:eastAsia="zh-CN"/>
        </w:rPr>
        <w:t>3</w:t>
      </w:r>
      <w:r>
        <w:rPr>
          <w:color w:val="auto"/>
          <w:highlight w:val="none"/>
          <w:lang w:eastAsia="zh-CN"/>
        </w:rPr>
        <w:t xml:space="preserve"> 万元/次，发包人有权暂停承包人参与发包人组织的建设项目投标资格，且发包人有权解除合同。</w:t>
      </w:r>
    </w:p>
    <w:p>
      <w:pPr>
        <w:pStyle w:val="5"/>
        <w:spacing w:before="160" w:line="364" w:lineRule="auto"/>
        <w:ind w:right="275" w:firstLine="480"/>
        <w:rPr>
          <w:color w:val="auto"/>
          <w:highlight w:val="none"/>
          <w:lang w:eastAsia="zh-CN"/>
        </w:rPr>
      </w:pPr>
      <w:r>
        <w:rPr>
          <w:color w:val="auto"/>
          <w:highlight w:val="none"/>
          <w:lang w:eastAsia="zh-CN"/>
        </w:rPr>
        <w:t>（</w:t>
      </w:r>
      <w:r>
        <w:rPr>
          <w:rFonts w:hint="eastAsia"/>
          <w:color w:val="auto"/>
          <w:highlight w:val="none"/>
          <w:lang w:eastAsia="zh-CN"/>
        </w:rPr>
        <w:t>7</w:t>
      </w:r>
      <w:r>
        <w:rPr>
          <w:color w:val="auto"/>
          <w:highlight w:val="none"/>
          <w:lang w:eastAsia="zh-CN"/>
        </w:rPr>
        <w:t>）由于承包人管理不力，发生参建单位因未建立、落实工人工资支付专用账户制度导致发生拖欠或未按时发放工人工资及其他工资支付纠纷争议，导致工人集体上访或其他群体性事件，造成恶劣影响的或造成区级及以上层面上访维稳事件，或被区级及以上部门通 报、媒体曝光、督察整改的，发包人将书面告知限期整改,承包人应采取积极补救措施按期整改；承包人未在期限内整改或整改后再次出现类似情况的，承包人除限期改正外，视情节严重程度，承包人还须承担违约金 1 万元/次～</w:t>
      </w:r>
      <w:r>
        <w:rPr>
          <w:rFonts w:hint="eastAsia"/>
          <w:color w:val="auto"/>
          <w:highlight w:val="none"/>
          <w:lang w:eastAsia="zh-CN"/>
        </w:rPr>
        <w:t>3</w:t>
      </w:r>
      <w:r>
        <w:rPr>
          <w:color w:val="auto"/>
          <w:highlight w:val="none"/>
          <w:lang w:eastAsia="zh-CN"/>
        </w:rPr>
        <w:t>万元/次。</w:t>
      </w:r>
    </w:p>
    <w:p>
      <w:pPr>
        <w:pStyle w:val="5"/>
        <w:spacing w:line="305" w:lineRule="exact"/>
        <w:ind w:left="692"/>
        <w:rPr>
          <w:color w:val="auto"/>
          <w:highlight w:val="none"/>
          <w:lang w:eastAsia="zh-CN"/>
        </w:rPr>
      </w:pPr>
      <w:r>
        <w:rPr>
          <w:color w:val="auto"/>
          <w:highlight w:val="none"/>
          <w:lang w:eastAsia="zh-CN"/>
        </w:rPr>
        <w:t>（</w:t>
      </w:r>
      <w:r>
        <w:rPr>
          <w:rFonts w:hint="eastAsia"/>
          <w:color w:val="auto"/>
          <w:highlight w:val="none"/>
          <w:lang w:eastAsia="zh-CN"/>
        </w:rPr>
        <w:t>8</w:t>
      </w:r>
      <w:r>
        <w:rPr>
          <w:color w:val="auto"/>
          <w:highlight w:val="none"/>
          <w:lang w:eastAsia="zh-CN"/>
        </w:rPr>
        <w:t>）项目管理违约责任：</w:t>
      </w:r>
    </w:p>
    <w:p>
      <w:pPr>
        <w:pStyle w:val="5"/>
        <w:spacing w:before="157" w:line="362" w:lineRule="auto"/>
        <w:ind w:right="275" w:firstLine="480"/>
        <w:rPr>
          <w:color w:val="auto"/>
          <w:highlight w:val="none"/>
          <w:lang w:eastAsia="zh-CN"/>
        </w:rPr>
      </w:pPr>
      <w:r>
        <w:rPr>
          <w:color w:val="auto"/>
          <w:highlight w:val="none"/>
          <w:lang w:eastAsia="zh-CN"/>
        </w:rPr>
        <w:t>1.淤泥的运输、处理处置工作参建单位未按照《广州市河涌清淤及淤泥处理处置全流程工作指引（试行）》要求，做好淤泥的运输、处理处置工作的</w:t>
      </w:r>
    </w:p>
    <w:p>
      <w:pPr>
        <w:pStyle w:val="5"/>
        <w:spacing w:before="5"/>
        <w:ind w:left="692"/>
        <w:rPr>
          <w:color w:val="auto"/>
          <w:highlight w:val="none"/>
          <w:lang w:eastAsia="zh-CN"/>
        </w:rPr>
      </w:pPr>
      <w:r>
        <w:rPr>
          <w:color w:val="auto"/>
          <w:highlight w:val="none"/>
          <w:lang w:eastAsia="zh-CN"/>
        </w:rPr>
        <w:t>2.按规定必须检验的单元工程未经检验合格而私自覆盖的。</w:t>
      </w:r>
    </w:p>
    <w:p>
      <w:pPr>
        <w:pStyle w:val="5"/>
        <w:spacing w:before="158"/>
        <w:ind w:left="692"/>
        <w:rPr>
          <w:color w:val="auto"/>
          <w:highlight w:val="none"/>
          <w:lang w:eastAsia="zh-CN"/>
        </w:rPr>
      </w:pPr>
      <w:r>
        <w:rPr>
          <w:color w:val="auto"/>
          <w:highlight w:val="none"/>
          <w:lang w:eastAsia="zh-CN"/>
        </w:rPr>
        <w:t>3.</w:t>
      </w:r>
      <w:r>
        <w:rPr>
          <w:rFonts w:hint="eastAsia"/>
          <w:color w:val="auto"/>
          <w:highlight w:val="none"/>
          <w:lang w:eastAsia="zh-CN"/>
        </w:rPr>
        <w:t>河涌</w:t>
      </w:r>
      <w:r>
        <w:rPr>
          <w:color w:val="auto"/>
          <w:highlight w:val="none"/>
          <w:lang w:eastAsia="zh-CN"/>
        </w:rPr>
        <w:t>开挖弃土不按设计要求在阶地上平整的。</w:t>
      </w:r>
    </w:p>
    <w:p>
      <w:pPr>
        <w:pStyle w:val="5"/>
        <w:spacing w:before="160" w:line="364" w:lineRule="auto"/>
        <w:ind w:right="275" w:firstLine="480"/>
        <w:rPr>
          <w:color w:val="auto"/>
          <w:highlight w:val="none"/>
          <w:lang w:eastAsia="zh-CN"/>
        </w:rPr>
      </w:pPr>
      <w:r>
        <w:rPr>
          <w:color w:val="auto"/>
          <w:highlight w:val="none"/>
          <w:lang w:eastAsia="zh-CN"/>
        </w:rPr>
        <w:t>4.因未调查施工作业区的电力、通信线路、水底电缆管道等设施，施工造成以上设施损坏的。</w:t>
      </w:r>
    </w:p>
    <w:p>
      <w:pPr>
        <w:pStyle w:val="5"/>
        <w:spacing w:line="306" w:lineRule="exact"/>
        <w:ind w:left="692"/>
        <w:rPr>
          <w:color w:val="auto"/>
          <w:highlight w:val="none"/>
          <w:lang w:eastAsia="zh-CN"/>
        </w:rPr>
      </w:pPr>
      <w:r>
        <w:rPr>
          <w:color w:val="auto"/>
          <w:highlight w:val="none"/>
          <w:lang w:eastAsia="zh-CN"/>
        </w:rPr>
        <w:t>5.参建单位的报送给发包人的工程量清单存在虚假情形的。</w:t>
      </w:r>
    </w:p>
    <w:p>
      <w:pPr>
        <w:pStyle w:val="5"/>
        <w:spacing w:before="158"/>
        <w:ind w:left="692"/>
        <w:rPr>
          <w:color w:val="auto"/>
          <w:highlight w:val="none"/>
          <w:lang w:eastAsia="zh-CN"/>
        </w:rPr>
      </w:pPr>
      <w:r>
        <w:rPr>
          <w:color w:val="auto"/>
          <w:highlight w:val="none"/>
          <w:lang w:eastAsia="zh-CN"/>
        </w:rPr>
        <w:t>若因承包人管理不力而出现上述情况的，发包人按以下规定进行处罚：</w:t>
      </w:r>
    </w:p>
    <w:p>
      <w:pPr>
        <w:pStyle w:val="5"/>
        <w:spacing w:before="161"/>
        <w:ind w:left="692"/>
        <w:rPr>
          <w:color w:val="auto"/>
          <w:highlight w:val="none"/>
          <w:lang w:eastAsia="zh-CN"/>
        </w:rPr>
      </w:pPr>
      <w:r>
        <w:rPr>
          <w:color w:val="auto"/>
          <w:highlight w:val="none"/>
          <w:lang w:eastAsia="zh-CN"/>
        </w:rPr>
        <w:t xml:space="preserve">①上述行为发生时，承包人未及时发现而发包人先行发现的，按 </w:t>
      </w:r>
      <w:r>
        <w:rPr>
          <w:rFonts w:hint="eastAsia"/>
          <w:color w:val="auto"/>
          <w:highlight w:val="none"/>
          <w:lang w:eastAsia="zh-CN"/>
        </w:rPr>
        <w:t>5000元</w:t>
      </w:r>
      <w:r>
        <w:rPr>
          <w:color w:val="auto"/>
          <w:highlight w:val="none"/>
          <w:lang w:eastAsia="zh-CN"/>
        </w:rPr>
        <w:t>/宗进行处罚，每</w:t>
      </w:r>
    </w:p>
    <w:p>
      <w:pPr>
        <w:pStyle w:val="5"/>
        <w:spacing w:before="160"/>
        <w:jc w:val="both"/>
        <w:rPr>
          <w:color w:val="auto"/>
          <w:highlight w:val="none"/>
          <w:lang w:eastAsia="zh-CN"/>
        </w:rPr>
      </w:pPr>
      <w:r>
        <w:rPr>
          <w:color w:val="auto"/>
          <w:highlight w:val="none"/>
          <w:lang w:eastAsia="zh-CN"/>
        </w:rPr>
        <w:t>次处罚最多 2 万元；并在支付给承包人的服务费中直接扣除对应的罚金。</w:t>
      </w:r>
    </w:p>
    <w:p>
      <w:pPr>
        <w:pStyle w:val="5"/>
        <w:spacing w:before="158"/>
        <w:ind w:left="692"/>
        <w:rPr>
          <w:color w:val="auto"/>
          <w:highlight w:val="none"/>
          <w:lang w:eastAsia="zh-CN"/>
        </w:rPr>
      </w:pPr>
      <w:r>
        <w:rPr>
          <w:color w:val="auto"/>
          <w:highlight w:val="none"/>
          <w:lang w:eastAsia="zh-CN"/>
        </w:rPr>
        <w:t>②上述行为发生时，承包人未及时发现而被监管部门发现或新闻媒体报道发现的，按</w:t>
      </w:r>
      <w:r>
        <w:rPr>
          <w:rFonts w:hint="eastAsia"/>
          <w:color w:val="auto"/>
          <w:highlight w:val="none"/>
          <w:lang w:eastAsia="zh-CN"/>
        </w:rPr>
        <w:t>1</w:t>
      </w:r>
      <w:r>
        <w:rPr>
          <w:color w:val="auto"/>
          <w:highlight w:val="none"/>
          <w:lang w:eastAsia="zh-CN"/>
        </w:rPr>
        <w:t xml:space="preserve"> 万</w:t>
      </w:r>
    </w:p>
    <w:p>
      <w:pPr>
        <w:pStyle w:val="5"/>
        <w:spacing w:before="161"/>
        <w:jc w:val="both"/>
        <w:rPr>
          <w:color w:val="auto"/>
          <w:highlight w:val="none"/>
          <w:lang w:eastAsia="zh-CN"/>
        </w:rPr>
      </w:pPr>
      <w:r>
        <w:rPr>
          <w:color w:val="auto"/>
          <w:highlight w:val="none"/>
          <w:lang w:eastAsia="zh-CN"/>
        </w:rPr>
        <w:t>/宗进行处罚，每次处罚最多</w:t>
      </w:r>
      <w:r>
        <w:rPr>
          <w:rFonts w:hint="eastAsia"/>
          <w:color w:val="auto"/>
          <w:highlight w:val="none"/>
          <w:lang w:eastAsia="zh-CN"/>
        </w:rPr>
        <w:t>5</w:t>
      </w:r>
      <w:r>
        <w:rPr>
          <w:color w:val="auto"/>
          <w:highlight w:val="none"/>
          <w:lang w:eastAsia="zh-CN"/>
        </w:rPr>
        <w:t>万元；并在支付给承包人的服务费中直接扣除对应的罚金。</w:t>
      </w:r>
    </w:p>
    <w:p>
      <w:pPr>
        <w:pStyle w:val="5"/>
        <w:spacing w:before="160" w:line="364" w:lineRule="auto"/>
        <w:ind w:left="240" w:leftChars="109" w:right="275" w:firstLine="468" w:firstLineChars="195"/>
        <w:rPr>
          <w:color w:val="auto"/>
          <w:highlight w:val="none"/>
          <w:lang w:eastAsia="zh-CN"/>
        </w:rPr>
      </w:pPr>
      <w:r>
        <w:rPr>
          <w:color w:val="auto"/>
          <w:highlight w:val="none"/>
          <w:lang w:eastAsia="zh-CN"/>
        </w:rPr>
        <w:t>③要发生上述行为的，均由承包人负责恢复原状并承担相关费用，恢复工作须在发包人的违约责任通知书发出之日起五个</w:t>
      </w:r>
      <w:r>
        <w:rPr>
          <w:rFonts w:hint="eastAsia"/>
          <w:color w:val="auto"/>
          <w:highlight w:val="none"/>
          <w:lang w:eastAsia="zh-CN"/>
        </w:rPr>
        <w:t>工作日</w:t>
      </w:r>
      <w:r>
        <w:rPr>
          <w:color w:val="auto"/>
          <w:highlight w:val="none"/>
          <w:lang w:eastAsia="zh-CN"/>
        </w:rPr>
        <w:t>内恢复原状，并向发包人报送恢复情况。十个</w:t>
      </w:r>
      <w:r>
        <w:rPr>
          <w:rFonts w:hint="eastAsia"/>
          <w:color w:val="auto"/>
          <w:highlight w:val="none"/>
          <w:lang w:eastAsia="zh-CN"/>
        </w:rPr>
        <w:t>工作日</w:t>
      </w:r>
      <w:r>
        <w:rPr>
          <w:color w:val="auto"/>
          <w:spacing w:val="-2"/>
          <w:highlight w:val="none"/>
          <w:lang w:eastAsia="zh-CN"/>
        </w:rPr>
        <w:t>内未能恢复原状的，在上述①②项处罚基础上，从第十一</w:t>
      </w:r>
      <w:r>
        <w:rPr>
          <w:rFonts w:hint="eastAsia"/>
          <w:color w:val="auto"/>
          <w:spacing w:val="-2"/>
          <w:highlight w:val="none"/>
          <w:lang w:eastAsia="zh-CN"/>
        </w:rPr>
        <w:t>个</w:t>
      </w:r>
      <w:r>
        <w:rPr>
          <w:color w:val="auto"/>
          <w:spacing w:val="-2"/>
          <w:highlight w:val="none"/>
          <w:lang w:eastAsia="zh-CN"/>
        </w:rPr>
        <w:t xml:space="preserve">工作日起每天处罚 </w:t>
      </w:r>
      <w:r>
        <w:rPr>
          <w:color w:val="auto"/>
          <w:highlight w:val="none"/>
          <w:lang w:eastAsia="zh-CN"/>
        </w:rPr>
        <w:t>10000</w:t>
      </w:r>
      <w:r>
        <w:rPr>
          <w:color w:val="auto"/>
          <w:spacing w:val="-12"/>
          <w:highlight w:val="none"/>
          <w:lang w:eastAsia="zh-CN"/>
        </w:rPr>
        <w:t xml:space="preserve"> 元违约金，直至恢复原状为止，并在支付给承包人的服务费中直接扣除对应的罚金。</w:t>
      </w:r>
    </w:p>
    <w:p>
      <w:pPr>
        <w:pStyle w:val="5"/>
        <w:spacing w:line="305" w:lineRule="exact"/>
        <w:ind w:left="692"/>
        <w:rPr>
          <w:color w:val="auto"/>
          <w:highlight w:val="none"/>
          <w:lang w:eastAsia="zh-CN"/>
        </w:rPr>
      </w:pPr>
      <w:r>
        <w:rPr>
          <w:color w:val="auto"/>
          <w:highlight w:val="none"/>
          <w:lang w:eastAsia="zh-CN"/>
        </w:rPr>
        <w:t>（11）其他违约责任：</w:t>
      </w:r>
    </w:p>
    <w:p>
      <w:pPr>
        <w:pStyle w:val="5"/>
        <w:spacing w:before="161" w:line="362" w:lineRule="auto"/>
        <w:ind w:right="395" w:firstLine="480"/>
        <w:rPr>
          <w:color w:val="auto"/>
          <w:highlight w:val="none"/>
          <w:lang w:eastAsia="zh-CN"/>
        </w:rPr>
      </w:pPr>
      <w:r>
        <w:rPr>
          <w:color w:val="auto"/>
          <w:spacing w:val="-3"/>
          <w:highlight w:val="none"/>
          <w:lang w:eastAsia="zh-CN"/>
        </w:rPr>
        <w:t xml:space="preserve">①由于承包人原因造成工期延误，每延误工期一天处罚 </w:t>
      </w:r>
      <w:r>
        <w:rPr>
          <w:color w:val="auto"/>
          <w:highlight w:val="none"/>
          <w:lang w:eastAsia="zh-CN"/>
        </w:rPr>
        <w:t>2000</w:t>
      </w:r>
      <w:r>
        <w:rPr>
          <w:color w:val="auto"/>
          <w:spacing w:val="-8"/>
          <w:highlight w:val="none"/>
          <w:lang w:eastAsia="zh-CN"/>
        </w:rPr>
        <w:t xml:space="preserve"> 元，累计不超过单项工程</w:t>
      </w:r>
      <w:r>
        <w:rPr>
          <w:color w:val="auto"/>
          <w:spacing w:val="-26"/>
          <w:highlight w:val="none"/>
          <w:lang w:eastAsia="zh-CN"/>
        </w:rPr>
        <w:t xml:space="preserve">费的 </w:t>
      </w:r>
      <w:r>
        <w:rPr>
          <w:rFonts w:hint="eastAsia"/>
          <w:color w:val="auto"/>
          <w:highlight w:val="none"/>
          <w:lang w:eastAsia="zh-CN"/>
        </w:rPr>
        <w:t>5</w:t>
      </w:r>
      <w:r>
        <w:rPr>
          <w:color w:val="auto"/>
          <w:highlight w:val="none"/>
          <w:lang w:eastAsia="zh-CN"/>
        </w:rPr>
        <w:t>%，并在支付给承包人的服务费中直接扣除。</w:t>
      </w:r>
    </w:p>
    <w:p>
      <w:pPr>
        <w:pStyle w:val="5"/>
        <w:spacing w:before="3"/>
        <w:ind w:left="692"/>
        <w:rPr>
          <w:color w:val="auto"/>
          <w:highlight w:val="none"/>
          <w:lang w:eastAsia="zh-CN"/>
        </w:rPr>
      </w:pPr>
      <w:r>
        <w:rPr>
          <w:color w:val="auto"/>
          <w:highlight w:val="none"/>
          <w:lang w:eastAsia="zh-CN"/>
        </w:rPr>
        <w:t>②因项目实施不合理或蓄意破坏而造成项目损坏扩大或引起安全事故的，发包人按每次</w:t>
      </w:r>
    </w:p>
    <w:p>
      <w:pPr>
        <w:pStyle w:val="5"/>
        <w:spacing w:before="160"/>
        <w:rPr>
          <w:color w:val="auto"/>
          <w:highlight w:val="none"/>
          <w:lang w:eastAsia="zh-CN"/>
        </w:rPr>
      </w:pPr>
      <w:r>
        <w:rPr>
          <w:rFonts w:hint="eastAsia"/>
          <w:color w:val="auto"/>
          <w:highlight w:val="none"/>
          <w:lang w:eastAsia="zh-CN"/>
        </w:rPr>
        <w:t>5000</w:t>
      </w:r>
      <w:r>
        <w:rPr>
          <w:color w:val="auto"/>
          <w:highlight w:val="none"/>
          <w:lang w:eastAsia="zh-CN"/>
        </w:rPr>
        <w:t>元标准进行处罚，并在支付给承包人的服务费中直接扣除。</w:t>
      </w:r>
    </w:p>
    <w:p>
      <w:pPr>
        <w:pStyle w:val="5"/>
        <w:spacing w:before="158" w:line="364" w:lineRule="auto"/>
        <w:ind w:right="275" w:firstLine="480"/>
        <w:rPr>
          <w:color w:val="auto"/>
          <w:highlight w:val="none"/>
          <w:lang w:eastAsia="zh-CN"/>
        </w:rPr>
      </w:pPr>
      <w:r>
        <w:rPr>
          <w:color w:val="auto"/>
          <w:highlight w:val="none"/>
          <w:lang w:eastAsia="zh-CN"/>
        </w:rPr>
        <w:t>③出现以下情况的，发包人可解除合同，没收其履约保证金，取消其今后对发包人负责的招标项目的投标资格：</w:t>
      </w:r>
    </w:p>
    <w:p>
      <w:pPr>
        <w:pStyle w:val="5"/>
        <w:spacing w:before="1"/>
        <w:ind w:left="692"/>
        <w:rPr>
          <w:color w:val="auto"/>
          <w:highlight w:val="none"/>
          <w:lang w:eastAsia="zh-CN"/>
        </w:rPr>
      </w:pPr>
      <w:r>
        <w:rPr>
          <w:color w:val="auto"/>
          <w:highlight w:val="none"/>
          <w:lang w:eastAsia="zh-CN"/>
        </w:rPr>
        <w:t>（1）竣工验收不</w:t>
      </w:r>
      <w:r>
        <w:rPr>
          <w:rFonts w:hint="eastAsia"/>
          <w:color w:val="auto"/>
          <w:highlight w:val="none"/>
          <w:lang w:eastAsia="zh-CN"/>
        </w:rPr>
        <w:t>合</w:t>
      </w:r>
      <w:r>
        <w:rPr>
          <w:color w:val="auto"/>
          <w:highlight w:val="none"/>
          <w:lang w:eastAsia="zh-CN"/>
        </w:rPr>
        <w:t>格。</w:t>
      </w:r>
    </w:p>
    <w:p>
      <w:pPr>
        <w:pStyle w:val="5"/>
        <w:spacing w:before="158" w:line="364" w:lineRule="auto"/>
        <w:ind w:right="395" w:firstLine="480"/>
        <w:rPr>
          <w:color w:val="auto"/>
          <w:highlight w:val="none"/>
          <w:lang w:eastAsia="zh-CN"/>
        </w:rPr>
      </w:pPr>
      <w:r>
        <w:rPr>
          <w:color w:val="auto"/>
          <w:highlight w:val="none"/>
          <w:lang w:eastAsia="zh-CN"/>
        </w:rPr>
        <w:t>（2）因管理不力导致设计工作迟缓或施工延误，不合理或蓄意消极怠工，引起安全事故的。</w:t>
      </w:r>
    </w:p>
    <w:p>
      <w:pPr>
        <w:pStyle w:val="5"/>
        <w:spacing w:line="306" w:lineRule="exact"/>
        <w:ind w:left="692"/>
        <w:rPr>
          <w:color w:val="auto"/>
          <w:highlight w:val="none"/>
          <w:lang w:eastAsia="zh-CN"/>
        </w:rPr>
      </w:pPr>
      <w:r>
        <w:rPr>
          <w:color w:val="auto"/>
          <w:highlight w:val="none"/>
          <w:lang w:eastAsia="zh-CN"/>
        </w:rPr>
        <w:t>（3）拒不执行发包人发出的与项目实施相关的指示的。</w:t>
      </w:r>
    </w:p>
    <w:p>
      <w:pPr>
        <w:pStyle w:val="5"/>
        <w:spacing w:before="161"/>
        <w:ind w:left="692"/>
        <w:rPr>
          <w:color w:val="auto"/>
          <w:highlight w:val="none"/>
          <w:lang w:eastAsia="zh-CN"/>
        </w:rPr>
      </w:pPr>
      <w:r>
        <w:rPr>
          <w:color w:val="auto"/>
          <w:highlight w:val="none"/>
          <w:lang w:eastAsia="zh-CN"/>
        </w:rPr>
        <w:t>（4）因管理不力导致出现安全生产事故致使一人或以上（含一人）人员死亡的，</w:t>
      </w:r>
    </w:p>
    <w:p>
      <w:pPr>
        <w:pStyle w:val="5"/>
        <w:spacing w:before="158"/>
        <w:ind w:left="692"/>
        <w:rPr>
          <w:color w:val="auto"/>
          <w:highlight w:val="none"/>
          <w:lang w:eastAsia="zh-CN"/>
        </w:rPr>
      </w:pPr>
      <w:r>
        <w:rPr>
          <w:color w:val="auto"/>
          <w:highlight w:val="none"/>
          <w:lang w:eastAsia="zh-CN"/>
        </w:rPr>
        <w:t>（5）其他严重违约行为的。</w:t>
      </w:r>
    </w:p>
    <w:p>
      <w:pPr>
        <w:pStyle w:val="11"/>
        <w:numPr>
          <w:ilvl w:val="2"/>
          <w:numId w:val="24"/>
        </w:numPr>
        <w:tabs>
          <w:tab w:val="left" w:pos="1353"/>
        </w:tabs>
        <w:spacing w:before="161"/>
        <w:ind w:firstLine="480"/>
        <w:rPr>
          <w:color w:val="auto"/>
          <w:sz w:val="24"/>
          <w:highlight w:val="none"/>
          <w:lang w:eastAsia="zh-CN"/>
        </w:rPr>
      </w:pPr>
      <w:r>
        <w:rPr>
          <w:color w:val="auto"/>
          <w:sz w:val="24"/>
          <w:highlight w:val="none"/>
          <w:lang w:eastAsia="zh-CN"/>
        </w:rPr>
        <w:t>承包人违约责任的认定方式及送达程序</w:t>
      </w:r>
    </w:p>
    <w:p>
      <w:pPr>
        <w:pStyle w:val="5"/>
        <w:spacing w:before="158" w:line="364" w:lineRule="auto"/>
        <w:ind w:right="395" w:firstLine="480"/>
        <w:rPr>
          <w:color w:val="auto"/>
          <w:highlight w:val="none"/>
          <w:lang w:eastAsia="zh-CN"/>
        </w:rPr>
      </w:pPr>
      <w:r>
        <w:rPr>
          <w:color w:val="auto"/>
          <w:highlight w:val="none"/>
          <w:lang w:eastAsia="zh-CN"/>
        </w:rPr>
        <w:t>（1）认定方式：发包人依据整改通知单、督办通知单、通知、通报、会议纪要等书面文件，向承包人发出《违约处理决定书》，违约处理决定以发包人出具的《违约处理决定书》确定的内容为准。</w:t>
      </w:r>
    </w:p>
    <w:p>
      <w:pPr>
        <w:pStyle w:val="5"/>
        <w:spacing w:line="307" w:lineRule="exact"/>
        <w:ind w:left="692"/>
        <w:rPr>
          <w:color w:val="auto"/>
          <w:highlight w:val="none"/>
          <w:lang w:eastAsia="zh-CN"/>
        </w:rPr>
      </w:pPr>
      <w:r>
        <w:rPr>
          <w:color w:val="auto"/>
          <w:highlight w:val="none"/>
          <w:lang w:eastAsia="zh-CN"/>
        </w:rPr>
        <w:t>（2）送达程序：发包人以下列方式之一将书面违约处理决定书送达承包人：</w:t>
      </w:r>
    </w:p>
    <w:p>
      <w:pPr>
        <w:pStyle w:val="5"/>
        <w:spacing w:before="160"/>
        <w:ind w:left="692"/>
        <w:rPr>
          <w:color w:val="auto"/>
          <w:highlight w:val="none"/>
          <w:lang w:eastAsia="zh-CN"/>
        </w:rPr>
      </w:pPr>
      <w:r>
        <w:rPr>
          <w:color w:val="auto"/>
          <w:highlight w:val="none"/>
          <w:lang w:eastAsia="zh-CN"/>
        </w:rPr>
        <w:t>①承包人现场管理机构工作人员签收；</w:t>
      </w:r>
    </w:p>
    <w:p>
      <w:pPr>
        <w:pStyle w:val="5"/>
        <w:spacing w:before="158"/>
        <w:ind w:left="692"/>
        <w:rPr>
          <w:color w:val="auto"/>
          <w:highlight w:val="none"/>
          <w:lang w:eastAsia="zh-CN"/>
        </w:rPr>
      </w:pPr>
      <w:r>
        <w:rPr>
          <w:color w:val="auto"/>
          <w:highlight w:val="none"/>
          <w:lang w:eastAsia="zh-CN"/>
        </w:rPr>
        <w:t>②承包人其他工作人员签收；</w:t>
      </w:r>
    </w:p>
    <w:p>
      <w:pPr>
        <w:pStyle w:val="5"/>
        <w:spacing w:before="158"/>
        <w:ind w:left="692"/>
        <w:rPr>
          <w:color w:val="auto"/>
          <w:highlight w:val="none"/>
          <w:lang w:eastAsia="zh-CN"/>
        </w:rPr>
      </w:pPr>
      <w:r>
        <w:rPr>
          <w:color w:val="auto"/>
          <w:highlight w:val="none"/>
          <w:lang w:eastAsia="zh-CN"/>
        </w:rPr>
        <w:t>③发包人邮寄送达。</w:t>
      </w:r>
    </w:p>
    <w:p>
      <w:pPr>
        <w:pStyle w:val="5"/>
        <w:spacing w:before="161" w:line="364" w:lineRule="auto"/>
        <w:ind w:right="395" w:firstLine="480"/>
        <w:rPr>
          <w:color w:val="auto"/>
          <w:highlight w:val="none"/>
          <w:lang w:eastAsia="zh-CN"/>
        </w:rPr>
      </w:pPr>
      <w:r>
        <w:rPr>
          <w:color w:val="auto"/>
          <w:highlight w:val="none"/>
          <w:lang w:eastAsia="zh-CN"/>
        </w:rPr>
        <w:t>（3）发包人发出的《违约处理决定书》一经送达承包人立即生效。承包人如有足够证据证明不应由其承担违约责任的，应在收到违约处理决定后 3 天内以书面形式向发包人提</w:t>
      </w:r>
    </w:p>
    <w:p>
      <w:pPr>
        <w:pStyle w:val="5"/>
        <w:spacing w:line="364" w:lineRule="auto"/>
        <w:ind w:right="275"/>
        <w:rPr>
          <w:color w:val="auto"/>
          <w:highlight w:val="none"/>
          <w:lang w:eastAsia="zh-CN"/>
        </w:rPr>
      </w:pPr>
      <w:r>
        <w:rPr>
          <w:color w:val="auto"/>
          <w:highlight w:val="none"/>
          <w:lang w:eastAsia="zh-CN"/>
        </w:rPr>
        <w:t>出异议并附上有关证据；发包人在收到承包人的异议后 15 个工作日内审核完毕且作出书面决定并通知承包人。</w:t>
      </w:r>
    </w:p>
    <w:p>
      <w:pPr>
        <w:pStyle w:val="5"/>
        <w:spacing w:line="364" w:lineRule="auto"/>
        <w:ind w:left="211" w:leftChars="96" w:right="275" w:firstLine="480" w:firstLineChars="200"/>
        <w:rPr>
          <w:color w:val="auto"/>
          <w:highlight w:val="none"/>
          <w:lang w:eastAsia="zh-CN"/>
        </w:rPr>
      </w:pPr>
      <w:r>
        <w:rPr>
          <w:rFonts w:hint="eastAsia"/>
          <w:color w:val="auto"/>
          <w:highlight w:val="none"/>
          <w:lang w:eastAsia="zh-CN"/>
        </w:rPr>
        <w:t>4.1.3</w:t>
      </w:r>
      <w:r>
        <w:rPr>
          <w:color w:val="auto"/>
          <w:highlight w:val="none"/>
          <w:lang w:eastAsia="zh-CN"/>
        </w:rPr>
        <w:t>在任何索赔和争议期间，不论索赔是否有据，均不能免除承包人按合同约定履行义务，承包人不得以此拒不履行或拖延合同的履行，否则，导致发包人实际损失的，发包人有权解除合同并保留向承包人的追索权。</w:t>
      </w:r>
    </w:p>
    <w:p>
      <w:pPr>
        <w:pStyle w:val="11"/>
        <w:numPr>
          <w:ilvl w:val="1"/>
          <w:numId w:val="25"/>
        </w:numPr>
        <w:tabs>
          <w:tab w:val="left" w:pos="1113"/>
        </w:tabs>
        <w:spacing w:before="157"/>
        <w:rPr>
          <w:color w:val="auto"/>
          <w:sz w:val="24"/>
          <w:highlight w:val="none"/>
        </w:rPr>
      </w:pPr>
      <w:r>
        <w:rPr>
          <w:color w:val="auto"/>
          <w:sz w:val="24"/>
          <w:highlight w:val="none"/>
        </w:rPr>
        <w:t>发包人的违约责任</w:t>
      </w:r>
    </w:p>
    <w:p>
      <w:pPr>
        <w:pStyle w:val="11"/>
        <w:numPr>
          <w:ilvl w:val="2"/>
          <w:numId w:val="25"/>
        </w:numPr>
        <w:tabs>
          <w:tab w:val="left" w:pos="1353"/>
        </w:tabs>
        <w:spacing w:before="159" w:line="364" w:lineRule="auto"/>
        <w:ind w:right="335" w:firstLine="480"/>
        <w:rPr>
          <w:color w:val="auto"/>
          <w:sz w:val="24"/>
          <w:highlight w:val="none"/>
          <w:lang w:eastAsia="zh-CN"/>
        </w:rPr>
      </w:pPr>
      <w:r>
        <w:rPr>
          <w:color w:val="auto"/>
          <w:sz w:val="24"/>
          <w:highlight w:val="none"/>
          <w:lang w:eastAsia="zh-CN"/>
        </w:rPr>
        <w:t>如因发包人原因未能按合同约定支付酬金的，发包人应积极协调财政部门支付服务酬金，具体以财政部门集中支付为准。</w:t>
      </w:r>
    </w:p>
    <w:p>
      <w:pPr>
        <w:pStyle w:val="11"/>
        <w:numPr>
          <w:ilvl w:val="2"/>
          <w:numId w:val="25"/>
        </w:numPr>
        <w:tabs>
          <w:tab w:val="left" w:pos="1353"/>
        </w:tabs>
        <w:spacing w:before="1" w:line="362" w:lineRule="auto"/>
        <w:ind w:right="335" w:firstLine="480"/>
        <w:rPr>
          <w:color w:val="auto"/>
          <w:sz w:val="24"/>
          <w:highlight w:val="none"/>
          <w:lang w:eastAsia="zh-CN"/>
        </w:rPr>
      </w:pPr>
      <w:r>
        <w:rPr>
          <w:color w:val="auto"/>
          <w:sz w:val="24"/>
          <w:highlight w:val="none"/>
          <w:lang w:eastAsia="zh-CN"/>
        </w:rPr>
        <w:t>如发生发包人未能履行合同中约定的其它责任和义务情况的，承包人应当积极配合发包人采取有效措施予以纠正，如对关键路径、环节造成实质性影响，除合同另有约定外，发包人原则上仅以工期顺延的方式承担违约责任。</w:t>
      </w:r>
    </w:p>
    <w:p>
      <w:pPr>
        <w:pStyle w:val="5"/>
        <w:spacing w:before="164"/>
        <w:rPr>
          <w:color w:val="auto"/>
          <w:highlight w:val="none"/>
          <w:lang w:eastAsia="zh-CN"/>
        </w:rPr>
      </w:pPr>
      <w:r>
        <w:rPr>
          <w:color w:val="auto"/>
          <w:highlight w:val="none"/>
          <w:lang w:eastAsia="zh-CN"/>
        </w:rPr>
        <w:t>5.支付</w:t>
      </w:r>
    </w:p>
    <w:p>
      <w:pPr>
        <w:pStyle w:val="5"/>
        <w:spacing w:before="161"/>
        <w:ind w:left="692"/>
        <w:rPr>
          <w:color w:val="auto"/>
          <w:highlight w:val="none"/>
          <w:lang w:eastAsia="zh-CN"/>
        </w:rPr>
      </w:pPr>
      <w:r>
        <w:rPr>
          <w:color w:val="auto"/>
          <w:highlight w:val="none"/>
          <w:lang w:eastAsia="zh-CN"/>
        </w:rPr>
        <w:t>5.1 支付货币</w:t>
      </w:r>
    </w:p>
    <w:p>
      <w:pPr>
        <w:pStyle w:val="5"/>
        <w:spacing w:before="160"/>
        <w:ind w:left="692"/>
        <w:rPr>
          <w:color w:val="auto"/>
          <w:highlight w:val="none"/>
          <w:lang w:eastAsia="zh-CN"/>
        </w:rPr>
      </w:pPr>
      <w:r>
        <w:rPr>
          <w:color w:val="auto"/>
          <w:highlight w:val="none"/>
          <w:lang w:eastAsia="zh-CN"/>
        </w:rPr>
        <w:t>发包人与承包人双方同意用人民币支付本合同涉及的相关款项。</w:t>
      </w:r>
    </w:p>
    <w:p>
      <w:pPr>
        <w:pStyle w:val="5"/>
        <w:spacing w:before="158"/>
        <w:ind w:left="692"/>
        <w:rPr>
          <w:color w:val="auto"/>
          <w:highlight w:val="none"/>
          <w:lang w:eastAsia="zh-CN"/>
        </w:rPr>
      </w:pPr>
      <w:r>
        <w:rPr>
          <w:color w:val="auto"/>
          <w:highlight w:val="none"/>
          <w:lang w:eastAsia="zh-CN"/>
        </w:rPr>
        <w:t>5.3 服务费用结算原则</w:t>
      </w:r>
    </w:p>
    <w:p>
      <w:pPr>
        <w:pStyle w:val="5"/>
        <w:tabs>
          <w:tab w:val="left" w:pos="2372"/>
          <w:tab w:val="left" w:pos="7352"/>
        </w:tabs>
        <w:spacing w:before="161" w:line="364" w:lineRule="auto"/>
        <w:ind w:right="275" w:firstLine="480"/>
        <w:jc w:val="both"/>
        <w:rPr>
          <w:color w:val="auto"/>
          <w:highlight w:val="none"/>
          <w:lang w:eastAsia="zh-CN"/>
        </w:rPr>
      </w:pPr>
      <w:r>
        <w:rPr>
          <w:color w:val="auto"/>
          <w:highlight w:val="none"/>
          <w:lang w:eastAsia="zh-CN"/>
        </w:rPr>
        <w:t>全过程咨询（含项目管理、监理）正常服务酬金暂定为</w:t>
      </w:r>
      <w:r>
        <w:rPr>
          <w:color w:val="auto"/>
          <w:highlight w:val="none"/>
          <w:u w:val="single"/>
          <w:lang w:eastAsia="zh-CN"/>
        </w:rPr>
        <w:t xml:space="preserve"> </w:t>
      </w:r>
      <w:r>
        <w:rPr>
          <w:color w:val="auto"/>
          <w:highlight w:val="none"/>
          <w:u w:val="single"/>
          <w:lang w:eastAsia="zh-CN"/>
        </w:rPr>
        <w:tab/>
      </w:r>
      <w:r>
        <w:rPr>
          <w:color w:val="auto"/>
          <w:highlight w:val="none"/>
          <w:lang w:eastAsia="zh-CN"/>
        </w:rPr>
        <w:t>元（其中项目管理费为元；监理费为</w:t>
      </w:r>
      <w:r>
        <w:rPr>
          <w:color w:val="auto"/>
          <w:highlight w:val="none"/>
          <w:u w:val="single"/>
          <w:lang w:eastAsia="zh-CN"/>
        </w:rPr>
        <w:t xml:space="preserve"> </w:t>
      </w:r>
      <w:r>
        <w:rPr>
          <w:color w:val="auto"/>
          <w:highlight w:val="none"/>
          <w:u w:val="single"/>
          <w:lang w:eastAsia="zh-CN"/>
        </w:rPr>
        <w:tab/>
      </w:r>
      <w:r>
        <w:rPr>
          <w:color w:val="auto"/>
          <w:highlight w:val="none"/>
          <w:lang w:eastAsia="zh-CN"/>
        </w:rPr>
        <w:t>元）。最终结算价以财政审定的金额为准。</w:t>
      </w:r>
    </w:p>
    <w:p>
      <w:pPr>
        <w:pStyle w:val="11"/>
        <w:numPr>
          <w:ilvl w:val="3"/>
          <w:numId w:val="26"/>
        </w:numPr>
        <w:tabs>
          <w:tab w:val="left" w:pos="1593"/>
        </w:tabs>
        <w:spacing w:line="364" w:lineRule="auto"/>
        <w:ind w:right="335" w:firstLine="480"/>
        <w:jc w:val="both"/>
        <w:rPr>
          <w:color w:val="auto"/>
          <w:sz w:val="24"/>
          <w:highlight w:val="none"/>
          <w:lang w:eastAsia="zh-CN"/>
        </w:rPr>
      </w:pPr>
      <w:r>
        <w:rPr>
          <w:color w:val="auto"/>
          <w:sz w:val="24"/>
          <w:highlight w:val="none"/>
          <w:lang w:eastAsia="zh-CN"/>
        </w:rPr>
        <w:t>项目管理费最终以财政评审审定项目总投资（不含监理费、项目管理费）为计费额，按照《基本建设项目建设成本管理规定》的通知（财建[2016]504</w:t>
      </w:r>
      <w:r>
        <w:rPr>
          <w:color w:val="auto"/>
          <w:spacing w:val="-30"/>
          <w:sz w:val="24"/>
          <w:highlight w:val="none"/>
          <w:lang w:eastAsia="zh-CN"/>
        </w:rPr>
        <w:t xml:space="preserve"> 号</w:t>
      </w:r>
      <w:r>
        <w:rPr>
          <w:color w:val="auto"/>
          <w:sz w:val="24"/>
          <w:highlight w:val="none"/>
          <w:lang w:eastAsia="zh-CN"/>
        </w:rPr>
        <w:t>）的收费标准计算基准价，再按中标人所报的下浮率进行结算，即结算价=基准价×（1-投标下浮率）。</w:t>
      </w:r>
    </w:p>
    <w:p>
      <w:pPr>
        <w:pStyle w:val="11"/>
        <w:numPr>
          <w:ilvl w:val="3"/>
          <w:numId w:val="26"/>
        </w:numPr>
        <w:tabs>
          <w:tab w:val="left" w:pos="1593"/>
        </w:tabs>
        <w:spacing w:line="364" w:lineRule="auto"/>
        <w:ind w:right="455" w:firstLine="480"/>
        <w:rPr>
          <w:color w:val="auto"/>
          <w:sz w:val="24"/>
          <w:highlight w:val="none"/>
          <w:lang w:eastAsia="zh-CN"/>
        </w:rPr>
      </w:pPr>
      <w:r>
        <w:rPr>
          <w:color w:val="auto"/>
          <w:sz w:val="24"/>
          <w:highlight w:val="none"/>
          <w:lang w:eastAsia="zh-CN"/>
        </w:rPr>
        <w:t>监理费最终以财政部门审定的项目预算建安费为计费额，按照国家发展改革委、国家建设部(发改价格[2007] 670</w:t>
      </w:r>
      <w:r>
        <w:rPr>
          <w:color w:val="auto"/>
          <w:spacing w:val="-8"/>
          <w:sz w:val="24"/>
          <w:highlight w:val="none"/>
          <w:lang w:eastAsia="zh-CN"/>
        </w:rPr>
        <w:t xml:space="preserve"> 号)文件规定的收费标准计算基准价，再按中标人所报的下浮率进行结算，即结算价=基准价×（1-投标下浮率）。</w:t>
      </w:r>
    </w:p>
    <w:p>
      <w:pPr>
        <w:pStyle w:val="5"/>
        <w:spacing w:line="307" w:lineRule="exact"/>
        <w:ind w:left="692"/>
        <w:rPr>
          <w:color w:val="auto"/>
          <w:highlight w:val="none"/>
          <w:lang w:eastAsia="zh-CN"/>
        </w:rPr>
      </w:pPr>
      <w:r>
        <w:rPr>
          <w:color w:val="auto"/>
          <w:highlight w:val="none"/>
          <w:lang w:eastAsia="zh-CN"/>
        </w:rPr>
        <w:t xml:space="preserve">注：专业调整系数为 0.9；工程复杂程度调整系数为 0.85；高程调整系数为 1.0 </w:t>
      </w:r>
    </w:p>
    <w:p>
      <w:pPr>
        <w:pStyle w:val="11"/>
        <w:numPr>
          <w:ilvl w:val="3"/>
          <w:numId w:val="26"/>
        </w:numPr>
        <w:tabs>
          <w:tab w:val="left" w:pos="1593"/>
        </w:tabs>
        <w:spacing w:before="154" w:line="362" w:lineRule="auto"/>
        <w:ind w:right="335" w:firstLine="480"/>
        <w:rPr>
          <w:color w:val="auto"/>
          <w:sz w:val="24"/>
          <w:highlight w:val="none"/>
          <w:lang w:eastAsia="zh-CN"/>
        </w:rPr>
      </w:pPr>
      <w:r>
        <w:rPr>
          <w:color w:val="auto"/>
          <w:sz w:val="24"/>
          <w:highlight w:val="none"/>
          <w:lang w:eastAsia="zh-CN"/>
        </w:rPr>
        <w:t>最终结算价以财政审定的金额为准。</w:t>
      </w:r>
    </w:p>
    <w:p>
      <w:pPr>
        <w:pStyle w:val="5"/>
        <w:spacing w:before="5"/>
        <w:ind w:left="692"/>
        <w:rPr>
          <w:color w:val="auto"/>
          <w:highlight w:val="none"/>
          <w:lang w:eastAsia="zh-CN"/>
        </w:rPr>
      </w:pPr>
      <w:r>
        <w:rPr>
          <w:color w:val="auto"/>
          <w:highlight w:val="none"/>
          <w:lang w:eastAsia="zh-CN"/>
        </w:rPr>
        <w:t>5.4 合同的支付方式：</w:t>
      </w:r>
    </w:p>
    <w:p>
      <w:pPr>
        <w:pStyle w:val="5"/>
        <w:spacing w:before="161"/>
        <w:ind w:left="692"/>
        <w:rPr>
          <w:color w:val="auto"/>
          <w:highlight w:val="none"/>
          <w:lang w:eastAsia="zh-CN"/>
        </w:rPr>
      </w:pPr>
      <w:r>
        <w:rPr>
          <w:color w:val="auto"/>
          <w:highlight w:val="none"/>
          <w:lang w:eastAsia="zh-CN"/>
        </w:rPr>
        <w:t xml:space="preserve">5.4.1 </w:t>
      </w:r>
      <w:r>
        <w:rPr>
          <w:color w:val="auto"/>
          <w:highlight w:val="none"/>
          <w:lang w:eastAsia="zh-CN"/>
        </w:rPr>
        <w:t>项目管理、监理服务费：</w:t>
      </w:r>
    </w:p>
    <w:p>
      <w:pPr>
        <w:pStyle w:val="5"/>
        <w:spacing w:before="161"/>
        <w:ind w:left="692"/>
        <w:rPr>
          <w:color w:val="auto"/>
          <w:highlight w:val="none"/>
          <w:lang w:eastAsia="zh-CN"/>
        </w:rPr>
      </w:pPr>
      <w:r>
        <w:rPr>
          <w:rFonts w:hint="eastAsia"/>
          <w:color w:val="auto"/>
          <w:highlight w:val="none"/>
          <w:lang w:eastAsia="zh-CN"/>
        </w:rPr>
        <w:t>A、项目管理费</w:t>
      </w:r>
    </w:p>
    <w:p>
      <w:pPr>
        <w:pStyle w:val="5"/>
        <w:spacing w:before="161" w:line="360" w:lineRule="auto"/>
        <w:ind w:left="692"/>
        <w:rPr>
          <w:color w:val="auto"/>
          <w:highlight w:val="none"/>
          <w:lang w:eastAsia="zh-CN"/>
        </w:rPr>
      </w:pPr>
      <w:r>
        <w:rPr>
          <w:rFonts w:hint="eastAsia"/>
          <w:color w:val="auto"/>
          <w:highlight w:val="none"/>
          <w:lang w:eastAsia="zh-CN"/>
        </w:rPr>
        <w:t>一、项目管理费按工程实施阶段分配比例如下：</w:t>
      </w:r>
    </w:p>
    <w:p>
      <w:pPr>
        <w:pStyle w:val="5"/>
        <w:spacing w:before="161" w:line="360" w:lineRule="auto"/>
        <w:ind w:left="692"/>
        <w:rPr>
          <w:color w:val="auto"/>
          <w:highlight w:val="none"/>
          <w:lang w:eastAsia="zh-CN"/>
        </w:rPr>
      </w:pPr>
      <w:r>
        <w:rPr>
          <w:color w:val="auto"/>
          <w:highlight w:val="none"/>
          <w:lang w:eastAsia="zh-CN"/>
        </w:rPr>
        <w:t>1、从立项阶段委托建设管理业务的，项目立项阶段占 10%，项目初步设计阶段占 10%，项目招投标阶段占 10%，项目施工及收尾阶段占 70%。</w:t>
      </w:r>
    </w:p>
    <w:p>
      <w:pPr>
        <w:pStyle w:val="5"/>
        <w:spacing w:before="161" w:line="360" w:lineRule="auto"/>
        <w:ind w:left="692"/>
        <w:rPr>
          <w:color w:val="auto"/>
          <w:highlight w:val="none"/>
          <w:lang w:eastAsia="zh-CN"/>
        </w:rPr>
      </w:pPr>
      <w:r>
        <w:rPr>
          <w:color w:val="auto"/>
          <w:highlight w:val="none"/>
          <w:lang w:eastAsia="zh-CN"/>
        </w:rPr>
        <w:t>2、从初步设计阶段委托建设管理业务的，项目初步设计阶段占 20%，项目招投标阶段占 10%，项目施工及收尾阶段占 70%。无招标阶段的，则项目初步设计阶段</w:t>
      </w:r>
      <w:r>
        <w:rPr>
          <w:rFonts w:hint="eastAsia"/>
          <w:color w:val="auto"/>
          <w:highlight w:val="none"/>
          <w:lang w:eastAsia="zh-CN"/>
        </w:rPr>
        <w:t>占</w:t>
      </w:r>
      <w:r>
        <w:rPr>
          <w:color w:val="auto"/>
          <w:highlight w:val="none"/>
          <w:lang w:eastAsia="zh-CN"/>
        </w:rPr>
        <w:t xml:space="preserve"> 30%，项目施工及收尾阶段占 70%。</w:t>
      </w:r>
    </w:p>
    <w:p>
      <w:pPr>
        <w:pStyle w:val="5"/>
        <w:spacing w:before="161" w:line="360" w:lineRule="auto"/>
        <w:ind w:left="692"/>
        <w:rPr>
          <w:color w:val="auto"/>
          <w:highlight w:val="none"/>
          <w:lang w:eastAsia="zh-CN"/>
        </w:rPr>
      </w:pPr>
      <w:r>
        <w:rPr>
          <w:color w:val="auto"/>
          <w:highlight w:val="none"/>
          <w:lang w:eastAsia="zh-CN"/>
        </w:rPr>
        <w:t>3、从招投标阶段委托建设管理业务的，项目招投标阶段占 20%，项目施工及收尾阶段占 80%。</w:t>
      </w:r>
    </w:p>
    <w:p>
      <w:pPr>
        <w:pStyle w:val="5"/>
        <w:spacing w:before="161" w:line="360" w:lineRule="auto"/>
        <w:ind w:left="692"/>
        <w:rPr>
          <w:color w:val="auto"/>
          <w:highlight w:val="none"/>
          <w:lang w:eastAsia="zh-CN"/>
        </w:rPr>
      </w:pPr>
      <w:r>
        <w:rPr>
          <w:color w:val="auto"/>
          <w:highlight w:val="none"/>
          <w:lang w:eastAsia="zh-CN"/>
        </w:rPr>
        <w:t>4、从施工阶段委托建设管理业务的，项目施工及收尾阶段占 100%。</w:t>
      </w:r>
    </w:p>
    <w:p>
      <w:pPr>
        <w:pStyle w:val="5"/>
        <w:spacing w:before="161" w:line="360" w:lineRule="auto"/>
        <w:ind w:left="692"/>
        <w:rPr>
          <w:color w:val="auto"/>
          <w:highlight w:val="none"/>
          <w:lang w:eastAsia="zh-CN"/>
        </w:rPr>
      </w:pPr>
      <w:r>
        <w:rPr>
          <w:color w:val="auto"/>
          <w:highlight w:val="none"/>
          <w:lang w:eastAsia="zh-CN"/>
        </w:rPr>
        <w:t>二、</w:t>
      </w:r>
      <w:r>
        <w:rPr>
          <w:rFonts w:hint="eastAsia"/>
          <w:color w:val="auto"/>
          <w:highlight w:val="none"/>
          <w:lang w:eastAsia="zh-CN"/>
        </w:rPr>
        <w:t>项目管理费</w:t>
      </w:r>
      <w:r>
        <w:rPr>
          <w:color w:val="auto"/>
          <w:highlight w:val="none"/>
          <w:lang w:eastAsia="zh-CN"/>
        </w:rPr>
        <w:t>正常服务酬金支付方法</w:t>
      </w:r>
    </w:p>
    <w:p>
      <w:pPr>
        <w:pStyle w:val="5"/>
        <w:spacing w:before="161" w:line="360" w:lineRule="auto"/>
        <w:ind w:left="692"/>
        <w:rPr>
          <w:rFonts w:hint="eastAsia"/>
          <w:color w:val="auto"/>
          <w:highlight w:val="none"/>
          <w:lang w:eastAsia="zh-CN"/>
        </w:rPr>
      </w:pPr>
      <w:r>
        <w:rPr>
          <w:color w:val="auto"/>
          <w:highlight w:val="none"/>
          <w:lang w:eastAsia="zh-CN"/>
        </w:rPr>
        <w:t>1、</w:t>
      </w:r>
      <w:r>
        <w:rPr>
          <w:rFonts w:hint="eastAsia"/>
          <w:color w:val="auto"/>
          <w:highlight w:val="none"/>
          <w:lang w:eastAsia="zh-CN"/>
        </w:rPr>
        <w:t>完成</w:t>
      </w:r>
      <w:r>
        <w:rPr>
          <w:color w:val="auto"/>
          <w:highlight w:val="none"/>
          <w:lang w:eastAsia="zh-CN"/>
        </w:rPr>
        <w:t>施工招标后</w:t>
      </w:r>
      <w:r>
        <w:rPr>
          <w:rFonts w:hint="eastAsia"/>
          <w:color w:val="auto"/>
          <w:highlight w:val="none"/>
          <w:lang w:eastAsia="zh-CN"/>
        </w:rPr>
        <w:t>，</w:t>
      </w:r>
      <w:r>
        <w:rPr>
          <w:color w:val="auto"/>
          <w:highlight w:val="none"/>
          <w:lang w:eastAsia="zh-CN"/>
        </w:rPr>
        <w:t>支付至合同建设管理服务费的</w:t>
      </w:r>
      <w:r>
        <w:rPr>
          <w:rFonts w:hint="eastAsia"/>
          <w:color w:val="auto"/>
          <w:highlight w:val="none"/>
          <w:lang w:eastAsia="zh-CN"/>
        </w:rPr>
        <w:t>20%。</w:t>
      </w:r>
    </w:p>
    <w:p>
      <w:pPr>
        <w:pStyle w:val="5"/>
        <w:spacing w:before="161" w:line="360" w:lineRule="auto"/>
        <w:ind w:left="692"/>
        <w:rPr>
          <w:color w:val="auto"/>
          <w:highlight w:val="none"/>
          <w:lang w:eastAsia="zh-CN"/>
        </w:rPr>
      </w:pPr>
      <w:r>
        <w:rPr>
          <w:rFonts w:hint="eastAsia"/>
          <w:color w:val="auto"/>
          <w:highlight w:val="none"/>
          <w:lang w:eastAsia="zh-CN"/>
        </w:rPr>
        <w:t>2、按照工程的进度支付：在工程完成50%时，支付至</w:t>
      </w:r>
      <w:r>
        <w:rPr>
          <w:color w:val="auto"/>
          <w:highlight w:val="none"/>
          <w:lang w:eastAsia="zh-CN"/>
        </w:rPr>
        <w:t>合同建设管理服务费的</w:t>
      </w:r>
      <w:r>
        <w:rPr>
          <w:rFonts w:hint="eastAsia"/>
          <w:color w:val="auto"/>
          <w:highlight w:val="none"/>
          <w:lang w:eastAsia="zh-CN"/>
        </w:rPr>
        <w:t>30%；工程完成80%时，支付至</w:t>
      </w:r>
      <w:r>
        <w:rPr>
          <w:color w:val="auto"/>
          <w:highlight w:val="none"/>
          <w:lang w:eastAsia="zh-CN"/>
        </w:rPr>
        <w:t>合同建设管理服务费的</w:t>
      </w:r>
      <w:r>
        <w:rPr>
          <w:rFonts w:hint="eastAsia"/>
          <w:color w:val="auto"/>
          <w:highlight w:val="none"/>
          <w:lang w:val="en-US" w:eastAsia="zh-CN"/>
        </w:rPr>
        <w:t>60</w:t>
      </w:r>
      <w:r>
        <w:rPr>
          <w:rFonts w:hint="eastAsia"/>
          <w:color w:val="auto"/>
          <w:highlight w:val="none"/>
          <w:lang w:eastAsia="zh-CN"/>
        </w:rPr>
        <w:t>%。</w:t>
      </w:r>
    </w:p>
    <w:p>
      <w:pPr>
        <w:pStyle w:val="5"/>
        <w:spacing w:before="161" w:line="480" w:lineRule="auto"/>
        <w:ind w:left="692"/>
        <w:rPr>
          <w:color w:val="auto"/>
          <w:highlight w:val="none"/>
          <w:lang w:eastAsia="zh-CN"/>
        </w:rPr>
      </w:pPr>
      <w:r>
        <w:rPr>
          <w:color w:val="auto"/>
          <w:highlight w:val="none"/>
          <w:lang w:eastAsia="zh-CN"/>
        </w:rPr>
        <w:t>3、工程</w:t>
      </w:r>
      <w:r>
        <w:rPr>
          <w:rFonts w:hint="eastAsia"/>
          <w:color w:val="auto"/>
          <w:highlight w:val="none"/>
          <w:lang w:eastAsia="zh-CN"/>
        </w:rPr>
        <w:t>完工验收</w:t>
      </w:r>
      <w:r>
        <w:rPr>
          <w:color w:val="auto"/>
          <w:highlight w:val="none"/>
          <w:lang w:eastAsia="zh-CN"/>
        </w:rPr>
        <w:t>后，建设管理服务费支付至的</w:t>
      </w:r>
      <w:r>
        <w:rPr>
          <w:rFonts w:hint="eastAsia"/>
          <w:color w:val="auto"/>
          <w:highlight w:val="none"/>
          <w:lang w:eastAsia="zh-CN"/>
        </w:rPr>
        <w:t>8</w:t>
      </w:r>
      <w:r>
        <w:rPr>
          <w:rFonts w:hint="eastAsia"/>
          <w:color w:val="auto"/>
          <w:highlight w:val="none"/>
          <w:lang w:val="en-US" w:eastAsia="zh-CN"/>
        </w:rPr>
        <w:t>0</w:t>
      </w:r>
      <w:r>
        <w:rPr>
          <w:color w:val="auto"/>
          <w:highlight w:val="none"/>
          <w:lang w:eastAsia="zh-CN"/>
        </w:rPr>
        <w:t>%。</w:t>
      </w:r>
    </w:p>
    <w:p>
      <w:pPr>
        <w:spacing w:line="360" w:lineRule="auto"/>
        <w:ind w:firstLine="660" w:firstLineChars="300"/>
        <w:rPr>
          <w:color w:val="auto"/>
          <w:sz w:val="24"/>
          <w:highlight w:val="none"/>
          <w:lang w:eastAsia="zh-CN"/>
        </w:rPr>
      </w:pPr>
      <w:r>
        <w:rPr>
          <w:color w:val="auto"/>
          <w:highlight w:val="none"/>
          <w:lang w:eastAsia="zh-CN"/>
        </w:rPr>
        <w:t>4、</w:t>
      </w:r>
      <w:r>
        <w:rPr>
          <w:color w:val="auto"/>
          <w:sz w:val="24"/>
          <w:highlight w:val="none"/>
          <w:lang w:eastAsia="zh-CN"/>
        </w:rPr>
        <w:t>经财政局审定且结算办理完毕后，累计支付至</w:t>
      </w:r>
      <w:r>
        <w:rPr>
          <w:color w:val="auto"/>
          <w:highlight w:val="none"/>
          <w:lang w:eastAsia="zh-CN"/>
        </w:rPr>
        <w:t>合同建设管理服务费</w:t>
      </w:r>
      <w:r>
        <w:rPr>
          <w:color w:val="auto"/>
          <w:sz w:val="24"/>
          <w:highlight w:val="none"/>
          <w:lang w:eastAsia="zh-CN"/>
        </w:rPr>
        <w:t>的</w:t>
      </w:r>
      <w:r>
        <w:rPr>
          <w:rFonts w:hint="eastAsia"/>
          <w:color w:val="auto"/>
          <w:sz w:val="24"/>
          <w:highlight w:val="none"/>
          <w:lang w:eastAsia="zh-CN"/>
        </w:rPr>
        <w:t>100</w:t>
      </w:r>
      <w:r>
        <w:rPr>
          <w:color w:val="auto"/>
          <w:sz w:val="24"/>
          <w:highlight w:val="none"/>
          <w:lang w:eastAsia="zh-CN"/>
        </w:rPr>
        <w:t>%。</w:t>
      </w:r>
    </w:p>
    <w:p>
      <w:pPr>
        <w:pStyle w:val="5"/>
        <w:spacing w:before="161" w:line="480" w:lineRule="auto"/>
        <w:ind w:left="692"/>
        <w:rPr>
          <w:color w:val="auto"/>
          <w:highlight w:val="none"/>
          <w:lang w:eastAsia="zh-CN"/>
        </w:rPr>
      </w:pPr>
      <w:r>
        <w:rPr>
          <w:rFonts w:hint="eastAsia"/>
          <w:color w:val="auto"/>
          <w:highlight w:val="none"/>
          <w:lang w:eastAsia="zh-CN"/>
        </w:rPr>
        <w:t>5</w:t>
      </w:r>
      <w:r>
        <w:rPr>
          <w:color w:val="auto"/>
          <w:highlight w:val="none"/>
          <w:lang w:eastAsia="zh-CN"/>
        </w:rPr>
        <w:t>、由于南沙区实行工程款集中支付，委托人不承担非委托人原因引起的支</w:t>
      </w:r>
      <w:r>
        <w:rPr>
          <w:rFonts w:hint="eastAsia"/>
          <w:color w:val="auto"/>
          <w:highlight w:val="none"/>
          <w:lang w:eastAsia="zh-CN"/>
        </w:rPr>
        <w:t>付延误责任。</w:t>
      </w:r>
    </w:p>
    <w:p>
      <w:pPr>
        <w:pStyle w:val="5"/>
        <w:spacing w:before="161" w:line="360" w:lineRule="auto"/>
        <w:ind w:left="692"/>
        <w:rPr>
          <w:color w:val="auto"/>
          <w:highlight w:val="none"/>
          <w:lang w:eastAsia="zh-CN"/>
        </w:rPr>
      </w:pPr>
      <w:r>
        <w:rPr>
          <w:rFonts w:hint="eastAsia"/>
          <w:color w:val="auto"/>
          <w:highlight w:val="none"/>
          <w:lang w:eastAsia="zh-CN"/>
        </w:rPr>
        <w:t>6</w:t>
      </w:r>
      <w:r>
        <w:rPr>
          <w:color w:val="auto"/>
          <w:highlight w:val="none"/>
          <w:lang w:eastAsia="zh-CN"/>
        </w:rPr>
        <w:t>、其他支付约定在合同专用条款中明确。</w:t>
      </w:r>
    </w:p>
    <w:p>
      <w:pPr>
        <w:pStyle w:val="5"/>
        <w:spacing w:before="161" w:line="360" w:lineRule="auto"/>
        <w:ind w:left="692"/>
        <w:rPr>
          <w:rFonts w:hint="eastAsia"/>
          <w:color w:val="auto"/>
          <w:highlight w:val="none"/>
          <w:lang w:val="en-US" w:eastAsia="zh-CN"/>
        </w:rPr>
      </w:pPr>
      <w:r>
        <w:rPr>
          <w:rFonts w:hint="eastAsia"/>
          <w:color w:val="auto"/>
          <w:highlight w:val="none"/>
          <w:lang w:val="en-US" w:eastAsia="zh-CN"/>
        </w:rPr>
        <w:t>7、若区下拨金额不足以支付合同进度款，则按区下拨实际金额比例进行动态调整。</w:t>
      </w:r>
    </w:p>
    <w:p>
      <w:pPr>
        <w:pStyle w:val="5"/>
        <w:spacing w:before="161" w:line="360" w:lineRule="auto"/>
        <w:ind w:left="692"/>
        <w:rPr>
          <w:color w:val="auto"/>
          <w:highlight w:val="none"/>
          <w:lang w:eastAsia="zh-CN"/>
        </w:rPr>
      </w:pPr>
    </w:p>
    <w:p>
      <w:pPr>
        <w:pStyle w:val="5"/>
        <w:spacing w:before="161" w:line="360" w:lineRule="auto"/>
        <w:ind w:left="692"/>
        <w:rPr>
          <w:color w:val="auto"/>
          <w:highlight w:val="none"/>
          <w:lang w:eastAsia="zh-CN"/>
        </w:rPr>
      </w:pPr>
      <w:r>
        <w:rPr>
          <w:rFonts w:hint="eastAsia"/>
          <w:color w:val="auto"/>
          <w:highlight w:val="none"/>
          <w:lang w:eastAsia="zh-CN"/>
        </w:rPr>
        <w:t>B、监理服务费</w:t>
      </w:r>
    </w:p>
    <w:p>
      <w:pPr>
        <w:pStyle w:val="5"/>
        <w:spacing w:before="161" w:line="360" w:lineRule="auto"/>
        <w:ind w:left="692"/>
        <w:rPr>
          <w:color w:val="auto"/>
          <w:highlight w:val="none"/>
          <w:lang w:eastAsia="zh-CN"/>
        </w:rPr>
      </w:pPr>
      <w:r>
        <w:rPr>
          <w:rFonts w:hint="eastAsia"/>
          <w:color w:val="auto"/>
          <w:highlight w:val="none"/>
          <w:lang w:eastAsia="zh-CN"/>
        </w:rPr>
        <w:t>一、监理服务费支付：</w:t>
      </w:r>
    </w:p>
    <w:p>
      <w:pPr>
        <w:pStyle w:val="5"/>
        <w:spacing w:before="161" w:line="480" w:lineRule="auto"/>
        <w:ind w:left="211" w:leftChars="96" w:firstLine="240" w:firstLineChars="100"/>
        <w:rPr>
          <w:rFonts w:hint="eastAsia"/>
          <w:color w:val="auto"/>
          <w:highlight w:val="none"/>
          <w:lang w:eastAsia="zh-CN"/>
        </w:rPr>
      </w:pPr>
      <w:r>
        <w:rPr>
          <w:color w:val="auto"/>
          <w:highlight w:val="none"/>
          <w:lang w:eastAsia="zh-CN"/>
        </w:rPr>
        <w:t>1、本合同签订后</w:t>
      </w:r>
      <w:r>
        <w:rPr>
          <w:rFonts w:hint="eastAsia"/>
          <w:color w:val="auto"/>
          <w:highlight w:val="none"/>
          <w:lang w:val="en-US" w:eastAsia="zh-CN"/>
        </w:rPr>
        <w:t>30</w:t>
      </w:r>
      <w:r>
        <w:rPr>
          <w:rFonts w:hint="eastAsia"/>
          <w:color w:val="auto"/>
          <w:highlight w:val="none"/>
          <w:lang w:eastAsia="zh-CN"/>
        </w:rPr>
        <w:t>天内，第一次支付监理服务酬金为监理服务费的的20%。</w:t>
      </w:r>
    </w:p>
    <w:p>
      <w:pPr>
        <w:pStyle w:val="5"/>
        <w:spacing w:before="161" w:line="480" w:lineRule="auto"/>
        <w:ind w:left="211" w:leftChars="96" w:firstLine="240" w:firstLineChars="100"/>
        <w:rPr>
          <w:color w:val="auto"/>
          <w:highlight w:val="none"/>
          <w:lang w:eastAsia="zh-CN"/>
        </w:rPr>
      </w:pPr>
      <w:r>
        <w:rPr>
          <w:rFonts w:hint="eastAsia"/>
          <w:color w:val="auto"/>
          <w:szCs w:val="22"/>
          <w:highlight w:val="none"/>
          <w:lang w:eastAsia="zh-CN"/>
        </w:rPr>
        <w:t>2、</w:t>
      </w:r>
      <w:r>
        <w:rPr>
          <w:rFonts w:hint="eastAsia"/>
          <w:color w:val="auto"/>
          <w:highlight w:val="none"/>
          <w:lang w:eastAsia="zh-CN"/>
        </w:rPr>
        <w:t>按照工程的进度支付：在工程完成40%时，支付至监理费</w:t>
      </w:r>
      <w:r>
        <w:rPr>
          <w:color w:val="auto"/>
          <w:highlight w:val="none"/>
          <w:lang w:eastAsia="zh-CN"/>
        </w:rPr>
        <w:t>的</w:t>
      </w:r>
      <w:r>
        <w:rPr>
          <w:rFonts w:hint="eastAsia"/>
          <w:color w:val="auto"/>
          <w:highlight w:val="none"/>
          <w:lang w:eastAsia="zh-CN"/>
        </w:rPr>
        <w:t>30%；工程完成80%时，支付至监理费</w:t>
      </w:r>
      <w:r>
        <w:rPr>
          <w:color w:val="auto"/>
          <w:highlight w:val="none"/>
          <w:lang w:eastAsia="zh-CN"/>
        </w:rPr>
        <w:t>的</w:t>
      </w:r>
      <w:r>
        <w:rPr>
          <w:rFonts w:hint="eastAsia"/>
          <w:color w:val="auto"/>
          <w:highlight w:val="none"/>
          <w:lang w:eastAsia="zh-CN"/>
        </w:rPr>
        <w:t>70%。</w:t>
      </w:r>
    </w:p>
    <w:p>
      <w:pPr>
        <w:pStyle w:val="5"/>
        <w:spacing w:before="161" w:line="480" w:lineRule="auto"/>
        <w:ind w:left="211" w:leftChars="96" w:firstLine="240" w:firstLineChars="100"/>
        <w:rPr>
          <w:color w:val="auto"/>
          <w:highlight w:val="none"/>
          <w:lang w:eastAsia="zh-CN"/>
        </w:rPr>
      </w:pPr>
      <w:r>
        <w:rPr>
          <w:color w:val="auto"/>
          <w:highlight w:val="none"/>
          <w:lang w:eastAsia="zh-CN"/>
        </w:rPr>
        <w:t>3、工程</w:t>
      </w:r>
      <w:r>
        <w:rPr>
          <w:rFonts w:hint="eastAsia"/>
          <w:color w:val="auto"/>
          <w:highlight w:val="none"/>
          <w:lang w:eastAsia="zh-CN"/>
        </w:rPr>
        <w:t>完工验收</w:t>
      </w:r>
      <w:r>
        <w:rPr>
          <w:color w:val="auto"/>
          <w:highlight w:val="none"/>
          <w:lang w:eastAsia="zh-CN"/>
        </w:rPr>
        <w:t>后，付至合同</w:t>
      </w:r>
      <w:r>
        <w:rPr>
          <w:rFonts w:hint="eastAsia"/>
          <w:color w:val="auto"/>
          <w:highlight w:val="none"/>
          <w:lang w:eastAsia="zh-CN"/>
        </w:rPr>
        <w:t>监理费</w:t>
      </w:r>
      <w:r>
        <w:rPr>
          <w:color w:val="auto"/>
          <w:highlight w:val="none"/>
          <w:lang w:eastAsia="zh-CN"/>
        </w:rPr>
        <w:t>的</w:t>
      </w:r>
      <w:r>
        <w:rPr>
          <w:rFonts w:hint="eastAsia"/>
          <w:color w:val="auto"/>
          <w:highlight w:val="none"/>
          <w:lang w:eastAsia="zh-CN"/>
        </w:rPr>
        <w:t>8</w:t>
      </w:r>
      <w:r>
        <w:rPr>
          <w:rFonts w:hint="eastAsia"/>
          <w:color w:val="auto"/>
          <w:highlight w:val="none"/>
          <w:lang w:val="en-US" w:eastAsia="zh-CN"/>
        </w:rPr>
        <w:t>0</w:t>
      </w:r>
      <w:r>
        <w:rPr>
          <w:color w:val="auto"/>
          <w:highlight w:val="none"/>
          <w:lang w:eastAsia="zh-CN"/>
        </w:rPr>
        <w:t>%。</w:t>
      </w:r>
    </w:p>
    <w:p>
      <w:pPr>
        <w:spacing w:line="480" w:lineRule="auto"/>
        <w:ind w:firstLine="440" w:firstLineChars="200"/>
        <w:rPr>
          <w:rFonts w:hint="eastAsia"/>
          <w:color w:val="auto"/>
          <w:sz w:val="24"/>
          <w:highlight w:val="none"/>
          <w:lang w:eastAsia="zh-CN"/>
        </w:rPr>
      </w:pPr>
      <w:r>
        <w:rPr>
          <w:color w:val="auto"/>
          <w:highlight w:val="none"/>
          <w:lang w:eastAsia="zh-CN"/>
        </w:rPr>
        <w:t>4、</w:t>
      </w:r>
      <w:r>
        <w:rPr>
          <w:color w:val="auto"/>
          <w:sz w:val="24"/>
          <w:highlight w:val="none"/>
          <w:lang w:eastAsia="zh-CN"/>
        </w:rPr>
        <w:t>经财政局审定且结算办理完毕后，累计支付至监理费的</w:t>
      </w:r>
      <w:r>
        <w:rPr>
          <w:rFonts w:hint="eastAsia"/>
          <w:color w:val="auto"/>
          <w:sz w:val="24"/>
          <w:highlight w:val="none"/>
          <w:lang w:eastAsia="zh-CN"/>
        </w:rPr>
        <w:t>100</w:t>
      </w:r>
      <w:r>
        <w:rPr>
          <w:color w:val="auto"/>
          <w:sz w:val="24"/>
          <w:highlight w:val="none"/>
          <w:lang w:eastAsia="zh-CN"/>
        </w:rPr>
        <w:t>%。</w:t>
      </w:r>
    </w:p>
    <w:p>
      <w:pPr>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5</w:t>
      </w:r>
      <w:r>
        <w:rPr>
          <w:color w:val="auto"/>
          <w:sz w:val="24"/>
          <w:szCs w:val="24"/>
          <w:highlight w:val="none"/>
          <w:lang w:eastAsia="zh-CN"/>
        </w:rPr>
        <w:t>、由于南沙区实行工程款集中支付，委托人不承担非委托人原因引起的支</w:t>
      </w:r>
      <w:r>
        <w:rPr>
          <w:rFonts w:hint="eastAsia"/>
          <w:color w:val="auto"/>
          <w:sz w:val="24"/>
          <w:szCs w:val="24"/>
          <w:highlight w:val="none"/>
          <w:lang w:eastAsia="zh-CN"/>
        </w:rPr>
        <w:t>付延误责任。</w:t>
      </w:r>
    </w:p>
    <w:p>
      <w:pPr>
        <w:pStyle w:val="5"/>
        <w:spacing w:before="161" w:line="360" w:lineRule="auto"/>
        <w:ind w:left="211" w:leftChars="96" w:firstLine="240" w:firstLineChars="100"/>
        <w:rPr>
          <w:color w:val="auto"/>
          <w:highlight w:val="none"/>
          <w:lang w:eastAsia="zh-CN"/>
        </w:rPr>
      </w:pPr>
      <w:r>
        <w:rPr>
          <w:rFonts w:hint="eastAsia"/>
          <w:color w:val="auto"/>
          <w:highlight w:val="none"/>
          <w:lang w:eastAsia="zh-CN"/>
        </w:rPr>
        <w:t>6</w:t>
      </w:r>
      <w:r>
        <w:rPr>
          <w:color w:val="auto"/>
          <w:highlight w:val="none"/>
          <w:lang w:eastAsia="zh-CN"/>
        </w:rPr>
        <w:t>、其他支付约定在合同专用条款中明确。</w:t>
      </w:r>
    </w:p>
    <w:p>
      <w:pPr>
        <w:pStyle w:val="5"/>
        <w:spacing w:before="161" w:line="360" w:lineRule="auto"/>
        <w:ind w:firstLine="240" w:firstLineChars="100"/>
        <w:rPr>
          <w:rFonts w:hint="eastAsia" w:eastAsia="宋体"/>
          <w:color w:val="auto"/>
          <w:highlight w:val="none"/>
          <w:lang w:val="en-US" w:eastAsia="zh-CN"/>
        </w:rPr>
      </w:pPr>
      <w:r>
        <w:rPr>
          <w:rFonts w:hint="eastAsia"/>
          <w:color w:val="auto"/>
          <w:highlight w:val="none"/>
          <w:lang w:val="en-US" w:eastAsia="zh-CN"/>
        </w:rPr>
        <w:t>7、若区下拨金额不足以支付合同进度款，则按区下拨实际金额比例进行动态调整。</w:t>
      </w:r>
      <w:r>
        <w:rPr>
          <w:rFonts w:hint="eastAsia"/>
          <w:color w:val="auto"/>
          <w:kern w:val="0"/>
          <w:sz w:val="24"/>
          <w:szCs w:val="24"/>
          <w:highlight w:val="none"/>
          <w:lang w:val="en-US" w:eastAsia="zh-CN"/>
        </w:rPr>
        <w:t xml:space="preserve"> </w:t>
      </w:r>
    </w:p>
    <w:p>
      <w:pPr>
        <w:pStyle w:val="11"/>
        <w:numPr>
          <w:ilvl w:val="1"/>
          <w:numId w:val="27"/>
        </w:numPr>
        <w:tabs>
          <w:tab w:val="left" w:pos="1113"/>
        </w:tabs>
        <w:spacing w:before="5" w:line="362" w:lineRule="auto"/>
        <w:ind w:right="575" w:firstLine="480"/>
        <w:rPr>
          <w:color w:val="auto"/>
          <w:sz w:val="24"/>
          <w:highlight w:val="none"/>
          <w:lang w:eastAsia="zh-CN"/>
        </w:rPr>
      </w:pPr>
      <w:r>
        <w:rPr>
          <w:color w:val="auto"/>
          <w:sz w:val="24"/>
          <w:highlight w:val="none"/>
          <w:lang w:eastAsia="zh-CN"/>
        </w:rPr>
        <w:t>办公设备、办公用品、仪器、车辆、就餐、住宿、现场踏勘、差旅费、驻场人员费、专家评审费、税费等一切支出由承包人自行解决，费用已包含在合同价款内。</w:t>
      </w:r>
    </w:p>
    <w:p>
      <w:pPr>
        <w:pStyle w:val="11"/>
        <w:numPr>
          <w:ilvl w:val="1"/>
          <w:numId w:val="27"/>
        </w:numPr>
        <w:tabs>
          <w:tab w:val="left" w:pos="1113"/>
        </w:tabs>
        <w:spacing w:before="5" w:line="362" w:lineRule="auto"/>
        <w:ind w:right="335" w:firstLine="480"/>
        <w:rPr>
          <w:color w:val="auto"/>
          <w:sz w:val="24"/>
          <w:highlight w:val="none"/>
          <w:lang w:eastAsia="zh-CN"/>
        </w:rPr>
      </w:pPr>
      <w:r>
        <w:rPr>
          <w:color w:val="auto"/>
          <w:sz w:val="24"/>
          <w:highlight w:val="none"/>
          <w:lang w:eastAsia="zh-CN"/>
        </w:rPr>
        <w:t>每次支付前，应由承包人提交支付申请，经发包人审核同意后按发包人要求及《南沙开发区基本建设项目财政资金集中支付暂行办法》等相关程序支付。</w:t>
      </w:r>
    </w:p>
    <w:p>
      <w:pPr>
        <w:pStyle w:val="11"/>
        <w:numPr>
          <w:ilvl w:val="1"/>
          <w:numId w:val="27"/>
        </w:numPr>
        <w:tabs>
          <w:tab w:val="left" w:pos="1113"/>
        </w:tabs>
        <w:spacing w:before="5" w:line="364" w:lineRule="auto"/>
        <w:ind w:right="335" w:firstLine="480"/>
        <w:rPr>
          <w:color w:val="auto"/>
          <w:sz w:val="24"/>
          <w:highlight w:val="none"/>
          <w:lang w:eastAsia="zh-CN"/>
        </w:rPr>
      </w:pPr>
      <w:r>
        <w:rPr>
          <w:color w:val="auto"/>
          <w:sz w:val="24"/>
          <w:highlight w:val="none"/>
          <w:lang w:eastAsia="zh-CN"/>
        </w:rPr>
        <w:t>承包人按合同约定承担违约金的，发包人有权直接从向承包人支付的酬金中直接扣除。</w:t>
      </w:r>
    </w:p>
    <w:p>
      <w:pPr>
        <w:pStyle w:val="11"/>
        <w:numPr>
          <w:ilvl w:val="1"/>
          <w:numId w:val="27"/>
        </w:numPr>
        <w:tabs>
          <w:tab w:val="left" w:pos="1113"/>
        </w:tabs>
        <w:spacing w:line="306" w:lineRule="exact"/>
        <w:ind w:firstLine="480"/>
        <w:rPr>
          <w:color w:val="auto"/>
          <w:sz w:val="24"/>
          <w:highlight w:val="none"/>
          <w:lang w:eastAsia="zh-CN"/>
        </w:rPr>
      </w:pPr>
      <w:r>
        <w:rPr>
          <w:color w:val="auto"/>
          <w:sz w:val="24"/>
          <w:highlight w:val="none"/>
          <w:lang w:eastAsia="zh-CN"/>
        </w:rPr>
        <w:t>各方委托银行代付代收有关费用。</w:t>
      </w:r>
    </w:p>
    <w:p>
      <w:pPr>
        <w:pStyle w:val="11"/>
        <w:numPr>
          <w:ilvl w:val="1"/>
          <w:numId w:val="27"/>
        </w:numPr>
        <w:tabs>
          <w:tab w:val="left" w:pos="1113"/>
        </w:tabs>
        <w:spacing w:before="158" w:line="364" w:lineRule="auto"/>
        <w:ind w:right="275" w:firstLine="480"/>
        <w:rPr>
          <w:color w:val="auto"/>
          <w:sz w:val="24"/>
          <w:highlight w:val="none"/>
          <w:lang w:eastAsia="zh-CN"/>
        </w:rPr>
      </w:pPr>
      <w:r>
        <w:rPr>
          <w:color w:val="auto"/>
          <w:sz w:val="24"/>
          <w:highlight w:val="none"/>
          <w:lang w:eastAsia="zh-CN"/>
        </w:rPr>
        <w:t>本合同款项的支付方式将按《南沙开发区基本建设项目财政资金集中支付暂行办 法》、《广州南沙本级部门预算支出管理办法》、《关于进一步做好统筹投资项目财政支付工作的通知》（穗南开建交[2016]192 号）等有关规定执行。</w:t>
      </w:r>
    </w:p>
    <w:p>
      <w:pPr>
        <w:pStyle w:val="11"/>
        <w:numPr>
          <w:ilvl w:val="1"/>
          <w:numId w:val="27"/>
        </w:numPr>
        <w:tabs>
          <w:tab w:val="left" w:pos="1233"/>
        </w:tabs>
        <w:spacing w:line="364" w:lineRule="auto"/>
        <w:ind w:right="275" w:firstLine="480"/>
        <w:rPr>
          <w:color w:val="auto"/>
          <w:sz w:val="24"/>
          <w:highlight w:val="none"/>
          <w:lang w:eastAsia="zh-CN"/>
        </w:rPr>
      </w:pPr>
      <w:r>
        <w:rPr>
          <w:color w:val="auto"/>
          <w:sz w:val="24"/>
          <w:highlight w:val="none"/>
          <w:lang w:eastAsia="zh-CN"/>
        </w:rPr>
        <w:t>本合同结算项目管理、施工监理酬金审定后，如服务酬金的支付已超过服务酬金合同暂定价，则承包人必须在收到本合同结算服务酬金审定通知之日起 14 日内无条件退还发包人；若承包人迟延退还超付的服务酬金，除须继续向发包人退还超付的酬金外，还应每天向发包人支付该超付酬金 2‰的违约金。</w:t>
      </w:r>
    </w:p>
    <w:p>
      <w:pPr>
        <w:pStyle w:val="11"/>
        <w:numPr>
          <w:ilvl w:val="1"/>
          <w:numId w:val="27"/>
        </w:numPr>
        <w:tabs>
          <w:tab w:val="left" w:pos="1233"/>
        </w:tabs>
        <w:spacing w:line="305" w:lineRule="exact"/>
        <w:ind w:left="1232" w:hanging="540"/>
        <w:rPr>
          <w:color w:val="auto"/>
          <w:sz w:val="24"/>
          <w:highlight w:val="none"/>
        </w:rPr>
      </w:pPr>
      <w:r>
        <w:rPr>
          <w:color w:val="auto"/>
          <w:sz w:val="24"/>
          <w:highlight w:val="none"/>
        </w:rPr>
        <w:t>支付其它约定</w:t>
      </w:r>
    </w:p>
    <w:p>
      <w:pPr>
        <w:pStyle w:val="5"/>
        <w:spacing w:before="160" w:line="362" w:lineRule="auto"/>
        <w:ind w:right="395" w:firstLine="480"/>
        <w:rPr>
          <w:color w:val="auto"/>
          <w:highlight w:val="none"/>
          <w:lang w:eastAsia="zh-CN"/>
        </w:rPr>
      </w:pPr>
      <w:r>
        <w:rPr>
          <w:color w:val="auto"/>
          <w:highlight w:val="none"/>
          <w:lang w:eastAsia="zh-CN"/>
        </w:rPr>
        <w:t>（1）在本合同约定的服务范围内，当工程量增加、或设计变更、或设计规模变化时， 承包人工作的变化均应视为本合同约定的工作。</w:t>
      </w:r>
    </w:p>
    <w:p>
      <w:pPr>
        <w:pStyle w:val="5"/>
        <w:spacing w:before="5" w:line="364" w:lineRule="auto"/>
        <w:ind w:right="275" w:firstLine="480"/>
        <w:rPr>
          <w:color w:val="auto"/>
          <w:highlight w:val="none"/>
          <w:lang w:eastAsia="zh-CN"/>
        </w:rPr>
      </w:pPr>
      <w:r>
        <w:rPr>
          <w:color w:val="auto"/>
          <w:highlight w:val="none"/>
          <w:lang w:eastAsia="zh-CN"/>
        </w:rPr>
        <w:t>（2）在本合同约定的服务范围内，非因承包人原因造成项目延期，致使服务期出现延长，承包人的责任期也应相应延长，本合同酬金总额不因服务期限延长而调整，双方另有约定的除外。</w:t>
      </w:r>
    </w:p>
    <w:p>
      <w:pPr>
        <w:pStyle w:val="5"/>
        <w:spacing w:line="364" w:lineRule="auto"/>
        <w:ind w:right="275" w:firstLine="480"/>
        <w:rPr>
          <w:color w:val="auto"/>
          <w:highlight w:val="none"/>
          <w:lang w:eastAsia="zh-CN"/>
        </w:rPr>
      </w:pPr>
      <w:r>
        <w:rPr>
          <w:color w:val="auto"/>
          <w:highlight w:val="none"/>
          <w:lang w:eastAsia="zh-CN"/>
        </w:rPr>
        <w:t>（3）如在项目实施期间，因政策变化、规划调整或不可抗力等非承包人原因导致本合同无法继续履行的，则承包人应积极配合发包人做好善后工作，按已实际完成的服务内容和本合同的相关约定结清酬金，承包人不得要求额外的费用及任何形式的补偿。</w:t>
      </w:r>
    </w:p>
    <w:p>
      <w:pPr>
        <w:pStyle w:val="5"/>
        <w:spacing w:line="364" w:lineRule="auto"/>
        <w:ind w:right="275" w:firstLine="480"/>
        <w:rPr>
          <w:color w:val="auto"/>
          <w:highlight w:val="none"/>
          <w:lang w:eastAsia="zh-CN"/>
        </w:rPr>
      </w:pPr>
      <w:r>
        <w:rPr>
          <w:color w:val="auto"/>
          <w:highlight w:val="none"/>
          <w:lang w:eastAsia="zh-CN"/>
        </w:rPr>
        <w:t>（4）如在项目实施期间，</w:t>
      </w:r>
      <w:r>
        <w:rPr>
          <w:rFonts w:hint="eastAsia"/>
          <w:color w:val="auto"/>
          <w:highlight w:val="none"/>
          <w:lang w:eastAsia="zh-CN"/>
        </w:rPr>
        <w:t>非</w:t>
      </w:r>
      <w:r>
        <w:rPr>
          <w:color w:val="auto"/>
          <w:highlight w:val="none"/>
          <w:lang w:eastAsia="zh-CN"/>
        </w:rPr>
        <w:t>承包人造成本合同项目中间停工而导致承包人必须二次或多次进出场，双方在另行签订补充协议</w:t>
      </w:r>
      <w:r>
        <w:rPr>
          <w:rFonts w:hint="eastAsia"/>
          <w:color w:val="auto"/>
          <w:highlight w:val="none"/>
          <w:lang w:eastAsia="zh-CN"/>
        </w:rPr>
        <w:t>。</w:t>
      </w:r>
    </w:p>
    <w:p>
      <w:pPr>
        <w:pStyle w:val="5"/>
        <w:spacing w:line="364" w:lineRule="auto"/>
        <w:ind w:right="275" w:firstLine="480"/>
        <w:rPr>
          <w:color w:val="auto"/>
          <w:highlight w:val="none"/>
          <w:lang w:eastAsia="zh-CN"/>
        </w:rPr>
      </w:pPr>
      <w:r>
        <w:rPr>
          <w:color w:val="auto"/>
          <w:highlight w:val="none"/>
          <w:lang w:eastAsia="zh-CN"/>
        </w:rPr>
        <w:t>（6）酬金拨付程序、所需时间周期按发包人要求及《南沙开发区基本建设项目财政资金集中支付暂行办法》等相关规定执行，酬金金额的审批和拨付以财政审定的金额为准。承</w:t>
      </w:r>
    </w:p>
    <w:p>
      <w:pPr>
        <w:pStyle w:val="5"/>
        <w:spacing w:before="56" w:line="362" w:lineRule="auto"/>
        <w:ind w:left="240" w:leftChars="109" w:right="395"/>
        <w:rPr>
          <w:color w:val="auto"/>
          <w:highlight w:val="none"/>
          <w:lang w:eastAsia="zh-CN"/>
        </w:rPr>
      </w:pPr>
      <w:r>
        <w:rPr>
          <w:color w:val="auto"/>
          <w:highlight w:val="none"/>
          <w:lang w:eastAsia="zh-CN"/>
        </w:rPr>
        <w:t>包人应提供合同履行所在地税务部门认可的等值、合法、有效的增值税发票。</w:t>
      </w:r>
    </w:p>
    <w:p>
      <w:pPr>
        <w:pStyle w:val="5"/>
        <w:spacing w:before="56" w:line="362" w:lineRule="auto"/>
        <w:ind w:left="240" w:leftChars="109" w:right="395"/>
        <w:rPr>
          <w:color w:val="auto"/>
          <w:highlight w:val="none"/>
          <w:lang w:eastAsia="zh-CN"/>
        </w:rPr>
      </w:pPr>
      <w:r>
        <w:rPr>
          <w:color w:val="auto"/>
          <w:highlight w:val="none"/>
          <w:lang w:eastAsia="zh-CN"/>
        </w:rPr>
        <w:t>增值税发票发包人信息如下：</w:t>
      </w:r>
    </w:p>
    <w:p>
      <w:pPr>
        <w:pStyle w:val="5"/>
        <w:tabs>
          <w:tab w:val="left" w:pos="3751"/>
          <w:tab w:val="left" w:pos="7051"/>
          <w:tab w:val="left" w:pos="7352"/>
          <w:tab w:val="left" w:pos="8671"/>
        </w:tabs>
        <w:spacing w:before="5"/>
        <w:ind w:left="692"/>
        <w:rPr>
          <w:rFonts w:ascii="Times New Roman" w:eastAsia="Times New Roman"/>
          <w:color w:val="auto"/>
          <w:highlight w:val="none"/>
          <w:lang w:eastAsia="zh-CN"/>
        </w:rPr>
      </w:pPr>
      <w:r>
        <w:rPr>
          <w:color w:val="auto"/>
          <w:highlight w:val="none"/>
          <w:lang w:eastAsia="zh-CN"/>
        </w:rPr>
        <w:t>发包人名称：</w:t>
      </w:r>
      <w:r>
        <w:rPr>
          <w:color w:val="auto"/>
          <w:highlight w:val="none"/>
          <w:u w:val="single"/>
          <w:lang w:eastAsia="zh-CN"/>
        </w:rPr>
        <w:tab/>
      </w:r>
      <w:r>
        <w:rPr>
          <w:color w:val="auto"/>
          <w:highlight w:val="none"/>
          <w:lang w:eastAsia="zh-CN"/>
        </w:rPr>
        <w:t>纳税人识别号：</w:t>
      </w:r>
      <w:r>
        <w:rPr>
          <w:color w:val="auto"/>
          <w:highlight w:val="none"/>
          <w:u w:val="single"/>
          <w:lang w:eastAsia="zh-CN"/>
        </w:rPr>
        <w:t xml:space="preserve"> </w:t>
      </w:r>
      <w:r>
        <w:rPr>
          <w:color w:val="auto"/>
          <w:highlight w:val="none"/>
          <w:u w:val="single"/>
          <w:lang w:eastAsia="zh-CN"/>
        </w:rPr>
        <w:tab/>
      </w:r>
      <w:r>
        <w:rPr>
          <w:color w:val="auto"/>
          <w:highlight w:val="none"/>
          <w:lang w:eastAsia="zh-CN"/>
        </w:rPr>
        <w:tab/>
      </w:r>
      <w:r>
        <w:rPr>
          <w:color w:val="auto"/>
          <w:spacing w:val="-1"/>
          <w:highlight w:val="none"/>
          <w:lang w:eastAsia="zh-CN"/>
        </w:rPr>
        <w:t>地</w:t>
      </w:r>
      <w:r>
        <w:rPr>
          <w:color w:val="auto"/>
          <w:highlight w:val="none"/>
          <w:lang w:eastAsia="zh-CN"/>
        </w:rPr>
        <w:t>址：</w:t>
      </w:r>
      <w:r>
        <w:rPr>
          <w:rFonts w:ascii="Times New Roman" w:eastAsia="Times New Roman"/>
          <w:color w:val="auto"/>
          <w:highlight w:val="none"/>
          <w:u w:val="single"/>
          <w:lang w:eastAsia="zh-CN"/>
        </w:rPr>
        <w:t xml:space="preserve"> </w:t>
      </w:r>
      <w:r>
        <w:rPr>
          <w:rFonts w:ascii="Times New Roman" w:eastAsia="Times New Roman"/>
          <w:color w:val="auto"/>
          <w:highlight w:val="none"/>
          <w:u w:val="single"/>
          <w:lang w:eastAsia="zh-CN"/>
        </w:rPr>
        <w:tab/>
      </w:r>
    </w:p>
    <w:p>
      <w:pPr>
        <w:pStyle w:val="5"/>
        <w:ind w:left="0"/>
        <w:rPr>
          <w:rFonts w:ascii="Times New Roman"/>
          <w:color w:val="auto"/>
          <w:sz w:val="20"/>
          <w:highlight w:val="none"/>
          <w:lang w:eastAsia="zh-CN"/>
        </w:rPr>
      </w:pPr>
    </w:p>
    <w:p>
      <w:pPr>
        <w:pStyle w:val="5"/>
        <w:spacing w:before="8"/>
        <w:ind w:left="0"/>
        <w:rPr>
          <w:rFonts w:ascii="Times New Roman"/>
          <w:color w:val="auto"/>
          <w:sz w:val="28"/>
          <w:highlight w:val="none"/>
          <w:lang w:eastAsia="zh-CN"/>
        </w:rPr>
      </w:pPr>
    </w:p>
    <w:p>
      <w:pPr>
        <w:pStyle w:val="5"/>
        <w:spacing w:before="66"/>
        <w:rPr>
          <w:color w:val="auto"/>
          <w:highlight w:val="none"/>
        </w:rPr>
      </w:pPr>
      <w:r>
        <w:rPr>
          <w:color w:val="auto"/>
          <w:highlight w:val="none"/>
        </w:rPr>
        <w:t>6.争议解决</w:t>
      </w:r>
    </w:p>
    <w:p>
      <w:pPr>
        <w:pStyle w:val="11"/>
        <w:numPr>
          <w:ilvl w:val="1"/>
          <w:numId w:val="28"/>
        </w:numPr>
        <w:tabs>
          <w:tab w:val="left" w:pos="1113"/>
        </w:tabs>
        <w:spacing w:before="158"/>
        <w:rPr>
          <w:color w:val="auto"/>
          <w:sz w:val="24"/>
          <w:highlight w:val="none"/>
        </w:rPr>
      </w:pPr>
      <w:r>
        <w:rPr>
          <w:color w:val="auto"/>
          <w:sz w:val="24"/>
          <w:highlight w:val="none"/>
        </w:rPr>
        <w:t>调解</w:t>
      </w:r>
    </w:p>
    <w:p>
      <w:pPr>
        <w:pStyle w:val="5"/>
        <w:spacing w:before="161"/>
        <w:ind w:left="692"/>
        <w:rPr>
          <w:color w:val="auto"/>
          <w:highlight w:val="none"/>
          <w:lang w:eastAsia="zh-CN"/>
        </w:rPr>
      </w:pPr>
      <w:r>
        <w:rPr>
          <w:color w:val="auto"/>
          <w:highlight w:val="none"/>
          <w:lang w:eastAsia="zh-CN"/>
        </w:rPr>
        <w:t>本合同争议进行调解时，可提交</w:t>
      </w:r>
      <w:r>
        <w:rPr>
          <w:color w:val="auto"/>
          <w:highlight w:val="none"/>
          <w:u w:val="single"/>
          <w:lang w:eastAsia="zh-CN"/>
        </w:rPr>
        <w:t>建设行政主管部门、行业协会或其他第三方</w:t>
      </w:r>
      <w:r>
        <w:rPr>
          <w:color w:val="auto"/>
          <w:highlight w:val="none"/>
          <w:lang w:eastAsia="zh-CN"/>
        </w:rPr>
        <w:t>进行调解。</w:t>
      </w:r>
    </w:p>
    <w:p>
      <w:pPr>
        <w:pStyle w:val="11"/>
        <w:numPr>
          <w:ilvl w:val="1"/>
          <w:numId w:val="28"/>
        </w:numPr>
        <w:tabs>
          <w:tab w:val="left" w:pos="1113"/>
        </w:tabs>
        <w:spacing w:before="160"/>
        <w:rPr>
          <w:color w:val="auto"/>
          <w:sz w:val="24"/>
          <w:highlight w:val="none"/>
        </w:rPr>
      </w:pPr>
      <w:r>
        <w:rPr>
          <w:color w:val="auto"/>
          <w:sz w:val="24"/>
          <w:highlight w:val="none"/>
        </w:rPr>
        <w:t>仲裁或诉讼</w:t>
      </w:r>
    </w:p>
    <w:p>
      <w:pPr>
        <w:pStyle w:val="5"/>
        <w:spacing w:before="158"/>
        <w:ind w:left="692"/>
        <w:rPr>
          <w:color w:val="auto"/>
          <w:highlight w:val="none"/>
          <w:lang w:eastAsia="zh-CN"/>
        </w:rPr>
      </w:pPr>
      <w:r>
        <w:rPr>
          <w:color w:val="auto"/>
          <w:highlight w:val="none"/>
          <w:lang w:eastAsia="zh-CN"/>
        </w:rPr>
        <w:t>合同争议的最终解决方式为下列第</w:t>
      </w:r>
      <w:r>
        <w:rPr>
          <w:color w:val="auto"/>
          <w:highlight w:val="none"/>
          <w:u w:val="single"/>
          <w:lang w:eastAsia="zh-CN"/>
        </w:rPr>
        <w:t xml:space="preserve"> 2 </w:t>
      </w:r>
      <w:r>
        <w:rPr>
          <w:color w:val="auto"/>
          <w:highlight w:val="none"/>
          <w:lang w:eastAsia="zh-CN"/>
        </w:rPr>
        <w:t>种方式：</w:t>
      </w:r>
    </w:p>
    <w:p>
      <w:pPr>
        <w:pStyle w:val="5"/>
        <w:spacing w:before="158"/>
        <w:ind w:left="692"/>
        <w:rPr>
          <w:color w:val="auto"/>
          <w:highlight w:val="none"/>
          <w:lang w:eastAsia="zh-CN"/>
        </w:rPr>
      </w:pPr>
      <w:r>
        <w:rPr>
          <w:color w:val="auto"/>
          <w:highlight w:val="none"/>
          <w:lang w:eastAsia="zh-CN"/>
        </w:rPr>
        <w:t>（1）提请广州仲裁委员会进行仲裁。</w:t>
      </w:r>
    </w:p>
    <w:p>
      <w:pPr>
        <w:pStyle w:val="5"/>
        <w:spacing w:before="161"/>
        <w:ind w:left="692"/>
        <w:rPr>
          <w:color w:val="auto"/>
          <w:highlight w:val="none"/>
          <w:lang w:eastAsia="zh-CN"/>
        </w:rPr>
      </w:pPr>
      <w:r>
        <w:rPr>
          <w:color w:val="auto"/>
          <w:highlight w:val="none"/>
          <w:lang w:eastAsia="zh-CN"/>
        </w:rPr>
        <w:t>（2）向</w:t>
      </w:r>
      <w:r>
        <w:rPr>
          <w:color w:val="auto"/>
          <w:highlight w:val="none"/>
          <w:u w:val="single"/>
          <w:lang w:eastAsia="zh-CN"/>
        </w:rPr>
        <w:t>广州市南沙区</w:t>
      </w:r>
      <w:r>
        <w:rPr>
          <w:color w:val="auto"/>
          <w:highlight w:val="none"/>
          <w:lang w:eastAsia="zh-CN"/>
        </w:rPr>
        <w:t>人民法院提起诉讼。</w:t>
      </w:r>
    </w:p>
    <w:p>
      <w:pPr>
        <w:pStyle w:val="5"/>
        <w:ind w:left="0"/>
        <w:rPr>
          <w:color w:val="auto"/>
          <w:highlight w:val="none"/>
          <w:lang w:eastAsia="zh-CN"/>
        </w:rPr>
      </w:pPr>
    </w:p>
    <w:p>
      <w:pPr>
        <w:pStyle w:val="5"/>
        <w:spacing w:before="11"/>
        <w:ind w:left="0"/>
        <w:rPr>
          <w:color w:val="auto"/>
          <w:highlight w:val="none"/>
          <w:lang w:eastAsia="zh-CN"/>
        </w:rPr>
      </w:pPr>
    </w:p>
    <w:p>
      <w:pPr>
        <w:pStyle w:val="5"/>
        <w:rPr>
          <w:color w:val="auto"/>
          <w:highlight w:val="none"/>
        </w:rPr>
      </w:pPr>
      <w:r>
        <w:rPr>
          <w:color w:val="auto"/>
          <w:highlight w:val="none"/>
        </w:rPr>
        <w:t>7.其他</w:t>
      </w:r>
    </w:p>
    <w:p>
      <w:pPr>
        <w:pStyle w:val="11"/>
        <w:numPr>
          <w:ilvl w:val="1"/>
          <w:numId w:val="29"/>
        </w:numPr>
        <w:tabs>
          <w:tab w:val="left" w:pos="1113"/>
        </w:tabs>
        <w:spacing w:before="160"/>
        <w:rPr>
          <w:color w:val="auto"/>
          <w:sz w:val="24"/>
          <w:highlight w:val="none"/>
        </w:rPr>
      </w:pPr>
      <w:r>
        <w:rPr>
          <w:color w:val="auto"/>
          <w:sz w:val="24"/>
          <w:highlight w:val="none"/>
        </w:rPr>
        <w:t>奖励</w:t>
      </w:r>
    </w:p>
    <w:p>
      <w:pPr>
        <w:pStyle w:val="5"/>
        <w:spacing w:before="158"/>
        <w:ind w:left="692"/>
        <w:rPr>
          <w:color w:val="auto"/>
          <w:highlight w:val="none"/>
          <w:lang w:eastAsia="zh-CN"/>
        </w:rPr>
      </w:pPr>
      <w:r>
        <w:rPr>
          <w:color w:val="auto"/>
          <w:highlight w:val="none"/>
          <w:lang w:eastAsia="zh-CN"/>
        </w:rPr>
        <w:t>合理化建议的奖励金额按下列方法确定为：</w:t>
      </w:r>
      <w:r>
        <w:rPr>
          <w:color w:val="auto"/>
          <w:highlight w:val="none"/>
          <w:u w:val="single"/>
          <w:lang w:eastAsia="zh-CN"/>
        </w:rPr>
        <w:t>双方另行签订补充协议</w:t>
      </w:r>
      <w:r>
        <w:rPr>
          <w:color w:val="auto"/>
          <w:highlight w:val="none"/>
          <w:lang w:eastAsia="zh-CN"/>
        </w:rPr>
        <w:t>。</w:t>
      </w:r>
    </w:p>
    <w:p>
      <w:pPr>
        <w:pStyle w:val="11"/>
        <w:numPr>
          <w:ilvl w:val="1"/>
          <w:numId w:val="29"/>
        </w:numPr>
        <w:tabs>
          <w:tab w:val="left" w:pos="1113"/>
        </w:tabs>
        <w:spacing w:before="161"/>
        <w:rPr>
          <w:color w:val="auto"/>
          <w:sz w:val="24"/>
          <w:highlight w:val="none"/>
        </w:rPr>
      </w:pPr>
      <w:r>
        <w:rPr>
          <w:color w:val="auto"/>
          <w:sz w:val="24"/>
          <w:highlight w:val="none"/>
        </w:rPr>
        <w:t>著作权</w:t>
      </w:r>
    </w:p>
    <w:p>
      <w:pPr>
        <w:pStyle w:val="5"/>
        <w:spacing w:before="158" w:line="364" w:lineRule="auto"/>
        <w:ind w:right="275" w:firstLine="480"/>
        <w:rPr>
          <w:color w:val="auto"/>
          <w:highlight w:val="none"/>
          <w:lang w:eastAsia="zh-CN"/>
        </w:rPr>
      </w:pPr>
      <w:r>
        <w:rPr>
          <w:color w:val="auto"/>
          <w:highlight w:val="none"/>
          <w:lang w:eastAsia="zh-CN"/>
        </w:rPr>
        <w:t>承包人在本合同履行期间及本合同终止后两年内出版涉及本项目有关的项目管理、施工监理、造价咨询与相关服务的资料的限制条件：</w:t>
      </w:r>
      <w:r>
        <w:rPr>
          <w:color w:val="auto"/>
          <w:highlight w:val="none"/>
          <w:u w:val="single"/>
          <w:lang w:eastAsia="zh-CN"/>
        </w:rPr>
        <w:t xml:space="preserve"> / </w:t>
      </w:r>
      <w:r>
        <w:rPr>
          <w:color w:val="auto"/>
          <w:highlight w:val="none"/>
          <w:lang w:eastAsia="zh-CN"/>
        </w:rPr>
        <w:t>。</w:t>
      </w:r>
    </w:p>
    <w:p>
      <w:pPr>
        <w:spacing w:line="364" w:lineRule="auto"/>
        <w:rPr>
          <w:color w:val="auto"/>
          <w:highlight w:val="none"/>
          <w:lang w:eastAsia="zh-CN"/>
        </w:rPr>
        <w:sectPr>
          <w:footerReference r:id="rId6" w:type="default"/>
          <w:pgSz w:w="11910" w:h="16840"/>
          <w:pgMar w:top="1080" w:right="900" w:bottom="1040" w:left="920" w:header="0" w:footer="858" w:gutter="0"/>
          <w:cols w:space="720" w:num="1"/>
        </w:sectPr>
      </w:pPr>
    </w:p>
    <w:p>
      <w:pPr>
        <w:tabs>
          <w:tab w:val="left" w:pos="875"/>
        </w:tabs>
        <w:spacing w:before="42" w:line="364" w:lineRule="auto"/>
        <w:ind w:left="212" w:right="3911"/>
        <w:rPr>
          <w:b/>
          <w:color w:val="auto"/>
          <w:highlight w:val="none"/>
          <w:lang w:eastAsia="zh-CN"/>
        </w:rPr>
      </w:pPr>
      <w:r>
        <w:rPr>
          <w:b/>
          <w:color w:val="auto"/>
          <w:highlight w:val="none"/>
          <w:lang w:eastAsia="zh-CN"/>
        </w:rPr>
        <w:t>附录</w:t>
      </w:r>
      <w:r>
        <w:rPr>
          <w:b/>
          <w:color w:val="auto"/>
          <w:highlight w:val="none"/>
          <w:lang w:eastAsia="zh-CN"/>
        </w:rPr>
        <w:tab/>
      </w:r>
      <w:r>
        <w:rPr>
          <w:b/>
          <w:color w:val="auto"/>
          <w:spacing w:val="-1"/>
          <w:highlight w:val="none"/>
          <w:lang w:eastAsia="zh-CN"/>
        </w:rPr>
        <w:t>发包人及承包人</w:t>
      </w:r>
      <w:r>
        <w:rPr>
          <w:b/>
          <w:color w:val="auto"/>
          <w:highlight w:val="none"/>
          <w:lang w:eastAsia="zh-CN"/>
        </w:rPr>
        <w:t>派遣的人员和提供的房屋、资料、设备附录</w:t>
      </w:r>
      <w:r>
        <w:rPr>
          <w:b/>
          <w:color w:val="auto"/>
          <w:spacing w:val="-2"/>
          <w:highlight w:val="none"/>
          <w:lang w:eastAsia="zh-CN"/>
        </w:rPr>
        <w:t xml:space="preserve"> </w:t>
      </w:r>
      <w:r>
        <w:rPr>
          <w:b/>
          <w:color w:val="auto"/>
          <w:highlight w:val="none"/>
          <w:lang w:eastAsia="zh-CN"/>
        </w:rPr>
        <w:t>1</w:t>
      </w:r>
      <w:r>
        <w:rPr>
          <w:b/>
          <w:color w:val="auto"/>
          <w:spacing w:val="65"/>
          <w:highlight w:val="none"/>
          <w:lang w:eastAsia="zh-CN"/>
        </w:rPr>
        <w:t xml:space="preserve"> </w:t>
      </w:r>
      <w:r>
        <w:rPr>
          <w:b/>
          <w:color w:val="auto"/>
          <w:highlight w:val="none"/>
          <w:lang w:eastAsia="zh-CN"/>
        </w:rPr>
        <w:t>发包人派遣的人员</w:t>
      </w:r>
    </w:p>
    <w:p>
      <w:pPr>
        <w:pStyle w:val="5"/>
        <w:spacing w:before="3"/>
        <w:ind w:left="0"/>
        <w:rPr>
          <w:b/>
          <w:color w:val="auto"/>
          <w:sz w:val="14"/>
          <w:highlight w:val="none"/>
          <w:lang w:eastAsia="zh-CN"/>
        </w:rPr>
      </w:pPr>
    </w:p>
    <w:tbl>
      <w:tblPr>
        <w:tblStyle w:val="10"/>
        <w:tblW w:w="0" w:type="auto"/>
        <w:tblInd w:w="20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111"/>
        <w:gridCol w:w="1540"/>
        <w:gridCol w:w="1585"/>
        <w:gridCol w:w="325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3111" w:type="dxa"/>
          </w:tcPr>
          <w:p>
            <w:pPr>
              <w:pStyle w:val="12"/>
              <w:spacing w:before="78"/>
              <w:ind w:left="1316" w:right="1305"/>
              <w:jc w:val="center"/>
              <w:rPr>
                <w:color w:val="auto"/>
                <w:highlight w:val="none"/>
              </w:rPr>
            </w:pPr>
            <w:r>
              <w:rPr>
                <w:color w:val="auto"/>
                <w:highlight w:val="none"/>
              </w:rPr>
              <w:t>名称</w:t>
            </w:r>
          </w:p>
        </w:tc>
        <w:tc>
          <w:tcPr>
            <w:tcW w:w="1540" w:type="dxa"/>
          </w:tcPr>
          <w:p>
            <w:pPr>
              <w:pStyle w:val="12"/>
              <w:spacing w:before="78"/>
              <w:ind w:left="531" w:right="519"/>
              <w:jc w:val="center"/>
              <w:rPr>
                <w:color w:val="auto"/>
                <w:highlight w:val="none"/>
              </w:rPr>
            </w:pPr>
            <w:r>
              <w:rPr>
                <w:color w:val="auto"/>
                <w:highlight w:val="none"/>
              </w:rPr>
              <w:t>数量</w:t>
            </w:r>
          </w:p>
        </w:tc>
        <w:tc>
          <w:tcPr>
            <w:tcW w:w="1585" w:type="dxa"/>
          </w:tcPr>
          <w:p>
            <w:pPr>
              <w:pStyle w:val="12"/>
              <w:spacing w:before="78"/>
              <w:ind w:left="351"/>
              <w:rPr>
                <w:color w:val="auto"/>
                <w:highlight w:val="none"/>
              </w:rPr>
            </w:pPr>
            <w:r>
              <w:rPr>
                <w:color w:val="auto"/>
                <w:highlight w:val="none"/>
              </w:rPr>
              <w:t>工作要求</w:t>
            </w:r>
          </w:p>
        </w:tc>
        <w:tc>
          <w:tcPr>
            <w:tcW w:w="3250" w:type="dxa"/>
          </w:tcPr>
          <w:p>
            <w:pPr>
              <w:pStyle w:val="12"/>
              <w:spacing w:before="78"/>
              <w:ind w:left="1164" w:right="1156"/>
              <w:jc w:val="center"/>
              <w:rPr>
                <w:color w:val="auto"/>
                <w:highlight w:val="none"/>
              </w:rPr>
            </w:pPr>
            <w:r>
              <w:rPr>
                <w:color w:val="auto"/>
                <w:highlight w:val="none"/>
              </w:rPr>
              <w:t>提供时间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2" w:hRule="atLeast"/>
        </w:trPr>
        <w:tc>
          <w:tcPr>
            <w:tcW w:w="3111" w:type="dxa"/>
          </w:tcPr>
          <w:p>
            <w:pPr>
              <w:pStyle w:val="12"/>
              <w:spacing w:before="80"/>
              <w:ind w:left="730"/>
              <w:rPr>
                <w:color w:val="auto"/>
                <w:highlight w:val="none"/>
              </w:rPr>
            </w:pPr>
            <w:r>
              <w:rPr>
                <w:color w:val="auto"/>
                <w:highlight w:val="none"/>
              </w:rPr>
              <w:t>1. 项目技术人员</w:t>
            </w:r>
          </w:p>
        </w:tc>
        <w:tc>
          <w:tcPr>
            <w:tcW w:w="1540" w:type="dxa"/>
          </w:tcPr>
          <w:p>
            <w:pPr>
              <w:pStyle w:val="12"/>
              <w:rPr>
                <w:rFonts w:ascii="Times New Roman"/>
                <w:color w:val="auto"/>
                <w:highlight w:val="none"/>
              </w:rPr>
            </w:pPr>
          </w:p>
        </w:tc>
        <w:tc>
          <w:tcPr>
            <w:tcW w:w="1585" w:type="dxa"/>
          </w:tcPr>
          <w:p>
            <w:pPr>
              <w:pStyle w:val="12"/>
              <w:rPr>
                <w:rFonts w:ascii="Times New Roman"/>
                <w:color w:val="auto"/>
                <w:highlight w:val="none"/>
              </w:rPr>
            </w:pPr>
          </w:p>
        </w:tc>
        <w:tc>
          <w:tcPr>
            <w:tcW w:w="3250" w:type="dxa"/>
          </w:tcPr>
          <w:p>
            <w:pPr>
              <w:pStyle w:val="12"/>
              <w:rPr>
                <w:rFonts w:ascii="Times New Roman"/>
                <w:color w:val="auto"/>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2" w:hRule="atLeast"/>
        </w:trPr>
        <w:tc>
          <w:tcPr>
            <w:tcW w:w="3111" w:type="dxa"/>
          </w:tcPr>
          <w:p>
            <w:pPr>
              <w:pStyle w:val="12"/>
              <w:spacing w:before="79"/>
              <w:ind w:left="730"/>
              <w:rPr>
                <w:color w:val="auto"/>
                <w:highlight w:val="none"/>
              </w:rPr>
            </w:pPr>
            <w:r>
              <w:rPr>
                <w:color w:val="auto"/>
                <w:highlight w:val="none"/>
              </w:rPr>
              <w:t>2. 辅助工作人员</w:t>
            </w:r>
          </w:p>
        </w:tc>
        <w:tc>
          <w:tcPr>
            <w:tcW w:w="1540" w:type="dxa"/>
          </w:tcPr>
          <w:p>
            <w:pPr>
              <w:pStyle w:val="12"/>
              <w:rPr>
                <w:rFonts w:ascii="Times New Roman"/>
                <w:color w:val="auto"/>
                <w:highlight w:val="none"/>
              </w:rPr>
            </w:pPr>
          </w:p>
        </w:tc>
        <w:tc>
          <w:tcPr>
            <w:tcW w:w="1585" w:type="dxa"/>
          </w:tcPr>
          <w:p>
            <w:pPr>
              <w:pStyle w:val="12"/>
              <w:rPr>
                <w:rFonts w:ascii="Times New Roman"/>
                <w:color w:val="auto"/>
                <w:highlight w:val="none"/>
              </w:rPr>
            </w:pPr>
          </w:p>
        </w:tc>
        <w:tc>
          <w:tcPr>
            <w:tcW w:w="3250" w:type="dxa"/>
          </w:tcPr>
          <w:p>
            <w:pPr>
              <w:pStyle w:val="12"/>
              <w:rPr>
                <w:rFonts w:ascii="Times New Roman"/>
                <w:color w:val="auto"/>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5" w:hRule="atLeast"/>
        </w:trPr>
        <w:tc>
          <w:tcPr>
            <w:tcW w:w="3111" w:type="dxa"/>
          </w:tcPr>
          <w:p>
            <w:pPr>
              <w:pStyle w:val="12"/>
              <w:spacing w:before="2" w:line="263" w:lineRule="exact"/>
              <w:ind w:left="949"/>
              <w:rPr>
                <w:color w:val="auto"/>
                <w:highlight w:val="none"/>
              </w:rPr>
            </w:pPr>
            <w:r>
              <w:rPr>
                <w:color w:val="auto"/>
                <w:highlight w:val="none"/>
              </w:rPr>
              <w:t>3. 其他人员</w:t>
            </w:r>
          </w:p>
        </w:tc>
        <w:tc>
          <w:tcPr>
            <w:tcW w:w="1540" w:type="dxa"/>
          </w:tcPr>
          <w:p>
            <w:pPr>
              <w:pStyle w:val="12"/>
              <w:rPr>
                <w:rFonts w:ascii="Times New Roman"/>
                <w:color w:val="auto"/>
                <w:sz w:val="20"/>
                <w:highlight w:val="none"/>
              </w:rPr>
            </w:pPr>
          </w:p>
        </w:tc>
        <w:tc>
          <w:tcPr>
            <w:tcW w:w="1585" w:type="dxa"/>
          </w:tcPr>
          <w:p>
            <w:pPr>
              <w:pStyle w:val="12"/>
              <w:rPr>
                <w:rFonts w:ascii="Times New Roman"/>
                <w:color w:val="auto"/>
                <w:sz w:val="20"/>
                <w:highlight w:val="none"/>
              </w:rPr>
            </w:pPr>
          </w:p>
        </w:tc>
        <w:tc>
          <w:tcPr>
            <w:tcW w:w="3250" w:type="dxa"/>
          </w:tcPr>
          <w:p>
            <w:pPr>
              <w:pStyle w:val="12"/>
              <w:rPr>
                <w:rFonts w:ascii="Times New Roman"/>
                <w:color w:val="auto"/>
                <w:sz w:val="20"/>
                <w:highlight w:val="none"/>
              </w:rPr>
            </w:pPr>
          </w:p>
        </w:tc>
      </w:tr>
    </w:tbl>
    <w:p>
      <w:pPr>
        <w:pStyle w:val="5"/>
        <w:ind w:left="0"/>
        <w:rPr>
          <w:b/>
          <w:color w:val="auto"/>
          <w:sz w:val="23"/>
          <w:highlight w:val="none"/>
        </w:rPr>
      </w:pPr>
    </w:p>
    <w:p>
      <w:pPr>
        <w:ind w:left="212"/>
        <w:rPr>
          <w:b/>
          <w:color w:val="auto"/>
          <w:highlight w:val="none"/>
        </w:rPr>
      </w:pPr>
      <w:r>
        <w:rPr>
          <w:b/>
          <w:color w:val="auto"/>
          <w:highlight w:val="none"/>
        </w:rPr>
        <w:t>附录 2 发包人提供的房屋</w:t>
      </w:r>
    </w:p>
    <w:p>
      <w:pPr>
        <w:pStyle w:val="5"/>
        <w:spacing w:before="6" w:after="1"/>
        <w:ind w:left="0"/>
        <w:rPr>
          <w:b/>
          <w:color w:val="auto"/>
          <w:sz w:val="22"/>
          <w:highlight w:val="none"/>
        </w:rPr>
      </w:pPr>
    </w:p>
    <w:tbl>
      <w:tblPr>
        <w:tblStyle w:val="10"/>
        <w:tblW w:w="0" w:type="auto"/>
        <w:tblInd w:w="18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969"/>
        <w:gridCol w:w="5070"/>
        <w:gridCol w:w="1348"/>
        <w:gridCol w:w="130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8" w:hRule="atLeast"/>
        </w:trPr>
        <w:tc>
          <w:tcPr>
            <w:tcW w:w="1969" w:type="dxa"/>
          </w:tcPr>
          <w:p>
            <w:pPr>
              <w:pStyle w:val="12"/>
              <w:spacing w:before="104"/>
              <w:ind w:left="84" w:right="74"/>
              <w:jc w:val="center"/>
              <w:rPr>
                <w:color w:val="auto"/>
                <w:highlight w:val="none"/>
              </w:rPr>
            </w:pPr>
            <w:r>
              <w:rPr>
                <w:color w:val="auto"/>
                <w:highlight w:val="none"/>
              </w:rPr>
              <w:t>名称</w:t>
            </w:r>
          </w:p>
        </w:tc>
        <w:tc>
          <w:tcPr>
            <w:tcW w:w="5070" w:type="dxa"/>
          </w:tcPr>
          <w:p>
            <w:pPr>
              <w:pStyle w:val="12"/>
              <w:spacing w:before="104"/>
              <w:ind w:left="95" w:right="83"/>
              <w:jc w:val="center"/>
              <w:rPr>
                <w:color w:val="auto"/>
                <w:highlight w:val="none"/>
              </w:rPr>
            </w:pPr>
            <w:r>
              <w:rPr>
                <w:color w:val="auto"/>
                <w:highlight w:val="none"/>
              </w:rPr>
              <w:t>数量</w:t>
            </w:r>
          </w:p>
        </w:tc>
        <w:tc>
          <w:tcPr>
            <w:tcW w:w="1348" w:type="dxa"/>
          </w:tcPr>
          <w:p>
            <w:pPr>
              <w:pStyle w:val="12"/>
              <w:spacing w:before="104"/>
              <w:ind w:left="454"/>
              <w:rPr>
                <w:color w:val="auto"/>
                <w:highlight w:val="none"/>
              </w:rPr>
            </w:pPr>
            <w:r>
              <w:rPr>
                <w:color w:val="auto"/>
                <w:highlight w:val="none"/>
              </w:rPr>
              <w:t>面积</w:t>
            </w:r>
          </w:p>
        </w:tc>
        <w:tc>
          <w:tcPr>
            <w:tcW w:w="1307" w:type="dxa"/>
          </w:tcPr>
          <w:p>
            <w:pPr>
              <w:pStyle w:val="12"/>
              <w:spacing w:before="104"/>
              <w:ind w:left="212"/>
              <w:rPr>
                <w:color w:val="auto"/>
                <w:highlight w:val="none"/>
              </w:rPr>
            </w:pPr>
            <w:r>
              <w:rPr>
                <w:color w:val="auto"/>
                <w:highlight w:val="none"/>
              </w:rPr>
              <w:t>提供时间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trPr>
        <w:tc>
          <w:tcPr>
            <w:tcW w:w="1969" w:type="dxa"/>
          </w:tcPr>
          <w:p>
            <w:pPr>
              <w:pStyle w:val="12"/>
              <w:spacing w:before="102"/>
              <w:ind w:left="81" w:right="74"/>
              <w:jc w:val="center"/>
              <w:rPr>
                <w:color w:val="auto"/>
                <w:highlight w:val="none"/>
              </w:rPr>
            </w:pPr>
            <w:r>
              <w:rPr>
                <w:color w:val="auto"/>
                <w:highlight w:val="none"/>
              </w:rPr>
              <w:t>1.办公用房</w:t>
            </w:r>
          </w:p>
        </w:tc>
        <w:tc>
          <w:tcPr>
            <w:tcW w:w="5070" w:type="dxa"/>
          </w:tcPr>
          <w:p>
            <w:pPr>
              <w:pStyle w:val="12"/>
              <w:spacing w:before="102"/>
              <w:ind w:left="95" w:right="85"/>
              <w:jc w:val="center"/>
              <w:rPr>
                <w:color w:val="auto"/>
                <w:highlight w:val="none"/>
                <w:lang w:eastAsia="zh-CN"/>
              </w:rPr>
            </w:pPr>
            <w:r>
              <w:rPr>
                <w:color w:val="auto"/>
                <w:highlight w:val="none"/>
                <w:lang w:eastAsia="zh-CN"/>
              </w:rPr>
              <w:t>根据项目实际情况发包人协助提供现场办公用房。</w:t>
            </w:r>
          </w:p>
        </w:tc>
        <w:tc>
          <w:tcPr>
            <w:tcW w:w="1348" w:type="dxa"/>
          </w:tcPr>
          <w:p>
            <w:pPr>
              <w:pStyle w:val="12"/>
              <w:rPr>
                <w:rFonts w:ascii="Times New Roman"/>
                <w:color w:val="auto"/>
                <w:highlight w:val="none"/>
                <w:lang w:eastAsia="zh-CN"/>
              </w:rPr>
            </w:pPr>
          </w:p>
        </w:tc>
        <w:tc>
          <w:tcPr>
            <w:tcW w:w="1307" w:type="dxa"/>
          </w:tcPr>
          <w:p>
            <w:pPr>
              <w:pStyle w:val="12"/>
              <w:rPr>
                <w:rFonts w:ascii="Times New Roman"/>
                <w:color w:val="auto"/>
                <w:highlight w:val="none"/>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7" w:hRule="atLeast"/>
        </w:trPr>
        <w:tc>
          <w:tcPr>
            <w:tcW w:w="1969" w:type="dxa"/>
          </w:tcPr>
          <w:p>
            <w:pPr>
              <w:pStyle w:val="12"/>
              <w:spacing w:before="102"/>
              <w:ind w:left="379"/>
              <w:rPr>
                <w:color w:val="auto"/>
                <w:highlight w:val="none"/>
              </w:rPr>
            </w:pPr>
            <w:r>
              <w:rPr>
                <w:color w:val="auto"/>
                <w:highlight w:val="none"/>
              </w:rPr>
              <w:t>2. 生活用房</w:t>
            </w:r>
          </w:p>
        </w:tc>
        <w:tc>
          <w:tcPr>
            <w:tcW w:w="5070" w:type="dxa"/>
          </w:tcPr>
          <w:p>
            <w:pPr>
              <w:pStyle w:val="12"/>
              <w:spacing w:before="102"/>
              <w:ind w:left="93" w:right="85"/>
              <w:jc w:val="center"/>
              <w:rPr>
                <w:color w:val="auto"/>
                <w:highlight w:val="none"/>
              </w:rPr>
            </w:pPr>
            <w:r>
              <w:rPr>
                <w:color w:val="auto"/>
                <w:highlight w:val="none"/>
              </w:rPr>
              <w:t>发包人不提供。</w:t>
            </w:r>
          </w:p>
        </w:tc>
        <w:tc>
          <w:tcPr>
            <w:tcW w:w="1348" w:type="dxa"/>
          </w:tcPr>
          <w:p>
            <w:pPr>
              <w:pStyle w:val="12"/>
              <w:rPr>
                <w:rFonts w:ascii="Times New Roman"/>
                <w:color w:val="auto"/>
                <w:highlight w:val="none"/>
              </w:rPr>
            </w:pPr>
          </w:p>
        </w:tc>
        <w:tc>
          <w:tcPr>
            <w:tcW w:w="1307" w:type="dxa"/>
          </w:tcPr>
          <w:p>
            <w:pPr>
              <w:pStyle w:val="12"/>
              <w:rPr>
                <w:rFonts w:ascii="Times New Roman"/>
                <w:color w:val="auto"/>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8" w:hRule="atLeast"/>
        </w:trPr>
        <w:tc>
          <w:tcPr>
            <w:tcW w:w="1969" w:type="dxa"/>
          </w:tcPr>
          <w:p>
            <w:pPr>
              <w:pStyle w:val="12"/>
              <w:spacing w:before="103"/>
              <w:ind w:left="379"/>
              <w:rPr>
                <w:color w:val="auto"/>
                <w:highlight w:val="none"/>
              </w:rPr>
            </w:pPr>
            <w:r>
              <w:rPr>
                <w:color w:val="auto"/>
                <w:highlight w:val="none"/>
              </w:rPr>
              <w:t>3. 试验用房</w:t>
            </w:r>
          </w:p>
        </w:tc>
        <w:tc>
          <w:tcPr>
            <w:tcW w:w="5070" w:type="dxa"/>
          </w:tcPr>
          <w:p>
            <w:pPr>
              <w:pStyle w:val="12"/>
              <w:spacing w:before="103"/>
              <w:ind w:left="95" w:right="85"/>
              <w:jc w:val="center"/>
              <w:rPr>
                <w:color w:val="auto"/>
                <w:highlight w:val="none"/>
                <w:lang w:eastAsia="zh-CN"/>
              </w:rPr>
            </w:pPr>
            <w:r>
              <w:rPr>
                <w:color w:val="auto"/>
                <w:highlight w:val="none"/>
                <w:lang w:eastAsia="zh-CN"/>
              </w:rPr>
              <w:t>根据项目实际情况提供。</w:t>
            </w:r>
          </w:p>
        </w:tc>
        <w:tc>
          <w:tcPr>
            <w:tcW w:w="1348" w:type="dxa"/>
          </w:tcPr>
          <w:p>
            <w:pPr>
              <w:pStyle w:val="12"/>
              <w:rPr>
                <w:rFonts w:ascii="Times New Roman"/>
                <w:color w:val="auto"/>
                <w:highlight w:val="none"/>
                <w:lang w:eastAsia="zh-CN"/>
              </w:rPr>
            </w:pPr>
          </w:p>
        </w:tc>
        <w:tc>
          <w:tcPr>
            <w:tcW w:w="1307" w:type="dxa"/>
          </w:tcPr>
          <w:p>
            <w:pPr>
              <w:pStyle w:val="12"/>
              <w:rPr>
                <w:rFonts w:ascii="Times New Roman"/>
                <w:color w:val="auto"/>
                <w:highlight w:val="none"/>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7" w:hRule="atLeast"/>
        </w:trPr>
        <w:tc>
          <w:tcPr>
            <w:tcW w:w="1969" w:type="dxa"/>
          </w:tcPr>
          <w:p>
            <w:pPr>
              <w:pStyle w:val="12"/>
              <w:spacing w:before="102"/>
              <w:ind w:left="379"/>
              <w:rPr>
                <w:color w:val="auto"/>
                <w:highlight w:val="none"/>
              </w:rPr>
            </w:pPr>
            <w:r>
              <w:rPr>
                <w:color w:val="auto"/>
                <w:highlight w:val="none"/>
              </w:rPr>
              <w:t>4. 样品用房</w:t>
            </w:r>
          </w:p>
        </w:tc>
        <w:tc>
          <w:tcPr>
            <w:tcW w:w="5070" w:type="dxa"/>
          </w:tcPr>
          <w:p>
            <w:pPr>
              <w:pStyle w:val="12"/>
              <w:spacing w:before="102"/>
              <w:ind w:left="95" w:right="85"/>
              <w:jc w:val="center"/>
              <w:rPr>
                <w:color w:val="auto"/>
                <w:highlight w:val="none"/>
                <w:lang w:eastAsia="zh-CN"/>
              </w:rPr>
            </w:pPr>
            <w:r>
              <w:rPr>
                <w:color w:val="auto"/>
                <w:highlight w:val="none"/>
                <w:lang w:eastAsia="zh-CN"/>
              </w:rPr>
              <w:t>根据项目实际情况提供。</w:t>
            </w:r>
          </w:p>
        </w:tc>
        <w:tc>
          <w:tcPr>
            <w:tcW w:w="1348" w:type="dxa"/>
          </w:tcPr>
          <w:p>
            <w:pPr>
              <w:pStyle w:val="12"/>
              <w:rPr>
                <w:rFonts w:ascii="Times New Roman"/>
                <w:color w:val="auto"/>
                <w:highlight w:val="none"/>
                <w:lang w:eastAsia="zh-CN"/>
              </w:rPr>
            </w:pPr>
          </w:p>
        </w:tc>
        <w:tc>
          <w:tcPr>
            <w:tcW w:w="1307" w:type="dxa"/>
          </w:tcPr>
          <w:p>
            <w:pPr>
              <w:pStyle w:val="12"/>
              <w:rPr>
                <w:rFonts w:ascii="Times New Roman"/>
                <w:color w:val="auto"/>
                <w:highlight w:val="none"/>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1" w:hRule="atLeast"/>
        </w:trPr>
        <w:tc>
          <w:tcPr>
            <w:tcW w:w="1969" w:type="dxa"/>
          </w:tcPr>
          <w:p>
            <w:pPr>
              <w:pStyle w:val="12"/>
              <w:spacing w:before="2"/>
              <w:ind w:left="84" w:right="74"/>
              <w:jc w:val="center"/>
              <w:rPr>
                <w:color w:val="auto"/>
                <w:highlight w:val="none"/>
              </w:rPr>
            </w:pPr>
            <w:r>
              <w:rPr>
                <w:color w:val="auto"/>
                <w:highlight w:val="none"/>
              </w:rPr>
              <w:t>5.用餐及其他生活</w:t>
            </w:r>
          </w:p>
          <w:p>
            <w:pPr>
              <w:pStyle w:val="12"/>
              <w:spacing w:before="4" w:line="263" w:lineRule="exact"/>
              <w:ind w:left="84" w:right="74"/>
              <w:jc w:val="center"/>
              <w:rPr>
                <w:color w:val="auto"/>
                <w:highlight w:val="none"/>
              </w:rPr>
            </w:pPr>
            <w:r>
              <w:rPr>
                <w:color w:val="auto"/>
                <w:highlight w:val="none"/>
              </w:rPr>
              <w:t>条件</w:t>
            </w:r>
          </w:p>
        </w:tc>
        <w:tc>
          <w:tcPr>
            <w:tcW w:w="5070" w:type="dxa"/>
          </w:tcPr>
          <w:p>
            <w:pPr>
              <w:pStyle w:val="12"/>
              <w:spacing w:before="144"/>
              <w:ind w:left="95" w:right="85"/>
              <w:jc w:val="center"/>
              <w:rPr>
                <w:color w:val="auto"/>
                <w:highlight w:val="none"/>
                <w:lang w:eastAsia="zh-CN"/>
              </w:rPr>
            </w:pPr>
            <w:r>
              <w:rPr>
                <w:color w:val="auto"/>
                <w:highlight w:val="none"/>
                <w:lang w:eastAsia="zh-CN"/>
              </w:rPr>
              <w:t>由承包人自行解决食宿，其费用已包含在酬金中。</w:t>
            </w:r>
          </w:p>
        </w:tc>
        <w:tc>
          <w:tcPr>
            <w:tcW w:w="1348" w:type="dxa"/>
          </w:tcPr>
          <w:p>
            <w:pPr>
              <w:pStyle w:val="12"/>
              <w:rPr>
                <w:rFonts w:ascii="Times New Roman"/>
                <w:color w:val="auto"/>
                <w:highlight w:val="none"/>
                <w:lang w:eastAsia="zh-CN"/>
              </w:rPr>
            </w:pPr>
          </w:p>
        </w:tc>
        <w:tc>
          <w:tcPr>
            <w:tcW w:w="1307" w:type="dxa"/>
          </w:tcPr>
          <w:p>
            <w:pPr>
              <w:pStyle w:val="12"/>
              <w:rPr>
                <w:rFonts w:ascii="Times New Roman"/>
                <w:color w:val="auto"/>
                <w:highlight w:val="none"/>
                <w:lang w:eastAsia="zh-CN"/>
              </w:rPr>
            </w:pPr>
          </w:p>
        </w:tc>
      </w:tr>
    </w:tbl>
    <w:p>
      <w:pPr>
        <w:pStyle w:val="5"/>
        <w:spacing w:before="6"/>
        <w:ind w:left="0"/>
        <w:rPr>
          <w:b/>
          <w:color w:val="auto"/>
          <w:sz w:val="22"/>
          <w:highlight w:val="none"/>
          <w:lang w:eastAsia="zh-CN"/>
        </w:rPr>
      </w:pPr>
    </w:p>
    <w:p>
      <w:pPr>
        <w:ind w:left="212"/>
        <w:rPr>
          <w:b/>
          <w:color w:val="auto"/>
          <w:highlight w:val="none"/>
        </w:rPr>
      </w:pPr>
      <w:r>
        <w:rPr>
          <w:b/>
          <w:color w:val="auto"/>
          <w:highlight w:val="none"/>
        </w:rPr>
        <w:t>附录 3 发包人提供的资料</w:t>
      </w:r>
    </w:p>
    <w:p>
      <w:pPr>
        <w:pStyle w:val="5"/>
        <w:spacing w:before="4"/>
        <w:ind w:left="0"/>
        <w:rPr>
          <w:b/>
          <w:color w:val="auto"/>
          <w:sz w:val="22"/>
          <w:highlight w:val="none"/>
        </w:rPr>
      </w:pPr>
    </w:p>
    <w:tbl>
      <w:tblPr>
        <w:tblStyle w:val="10"/>
        <w:tblW w:w="0" w:type="auto"/>
        <w:tblInd w:w="21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85"/>
        <w:gridCol w:w="1738"/>
        <w:gridCol w:w="2213"/>
        <w:gridCol w:w="111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7" w:hRule="atLeast"/>
        </w:trPr>
        <w:tc>
          <w:tcPr>
            <w:tcW w:w="4585" w:type="dxa"/>
          </w:tcPr>
          <w:p>
            <w:pPr>
              <w:pStyle w:val="12"/>
              <w:spacing w:before="103"/>
              <w:ind w:left="1721" w:right="1710"/>
              <w:jc w:val="center"/>
              <w:rPr>
                <w:color w:val="auto"/>
                <w:highlight w:val="none"/>
              </w:rPr>
            </w:pPr>
            <w:r>
              <w:rPr>
                <w:color w:val="auto"/>
                <w:highlight w:val="none"/>
              </w:rPr>
              <w:t>名称</w:t>
            </w:r>
          </w:p>
        </w:tc>
        <w:tc>
          <w:tcPr>
            <w:tcW w:w="1738" w:type="dxa"/>
          </w:tcPr>
          <w:p>
            <w:pPr>
              <w:pStyle w:val="12"/>
              <w:spacing w:before="103"/>
              <w:ind w:left="628" w:right="619"/>
              <w:jc w:val="center"/>
              <w:rPr>
                <w:color w:val="auto"/>
                <w:highlight w:val="none"/>
              </w:rPr>
            </w:pPr>
            <w:r>
              <w:rPr>
                <w:color w:val="auto"/>
                <w:highlight w:val="none"/>
              </w:rPr>
              <w:t>份数</w:t>
            </w:r>
          </w:p>
        </w:tc>
        <w:tc>
          <w:tcPr>
            <w:tcW w:w="2213" w:type="dxa"/>
          </w:tcPr>
          <w:p>
            <w:pPr>
              <w:pStyle w:val="12"/>
              <w:spacing w:before="103"/>
              <w:ind w:left="206" w:right="195"/>
              <w:jc w:val="center"/>
              <w:rPr>
                <w:color w:val="auto"/>
                <w:highlight w:val="none"/>
              </w:rPr>
            </w:pPr>
            <w:r>
              <w:rPr>
                <w:color w:val="auto"/>
                <w:highlight w:val="none"/>
              </w:rPr>
              <w:t>提供时间</w:t>
            </w:r>
          </w:p>
        </w:tc>
        <w:tc>
          <w:tcPr>
            <w:tcW w:w="1112" w:type="dxa"/>
          </w:tcPr>
          <w:p>
            <w:pPr>
              <w:pStyle w:val="12"/>
              <w:spacing w:before="103"/>
              <w:ind w:left="335"/>
              <w:rPr>
                <w:color w:val="auto"/>
                <w:highlight w:val="none"/>
              </w:rPr>
            </w:pPr>
            <w:r>
              <w:rPr>
                <w:color w:val="auto"/>
                <w:highlight w:val="none"/>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7" w:hRule="atLeast"/>
        </w:trPr>
        <w:tc>
          <w:tcPr>
            <w:tcW w:w="4585" w:type="dxa"/>
          </w:tcPr>
          <w:p>
            <w:pPr>
              <w:pStyle w:val="12"/>
              <w:spacing w:before="102"/>
              <w:ind w:left="1721" w:right="1713"/>
              <w:jc w:val="center"/>
              <w:rPr>
                <w:color w:val="auto"/>
                <w:highlight w:val="none"/>
              </w:rPr>
            </w:pPr>
            <w:r>
              <w:rPr>
                <w:color w:val="auto"/>
                <w:highlight w:val="none"/>
              </w:rPr>
              <w:t>1.立项文件</w:t>
            </w:r>
          </w:p>
        </w:tc>
        <w:tc>
          <w:tcPr>
            <w:tcW w:w="1738" w:type="dxa"/>
          </w:tcPr>
          <w:p>
            <w:pPr>
              <w:pStyle w:val="12"/>
              <w:spacing w:before="102"/>
              <w:ind w:left="9"/>
              <w:jc w:val="center"/>
              <w:rPr>
                <w:color w:val="auto"/>
                <w:highlight w:val="none"/>
              </w:rPr>
            </w:pPr>
            <w:r>
              <w:rPr>
                <w:color w:val="auto"/>
                <w:highlight w:val="none"/>
              </w:rPr>
              <w:t>1</w:t>
            </w:r>
          </w:p>
        </w:tc>
        <w:tc>
          <w:tcPr>
            <w:tcW w:w="2213" w:type="dxa"/>
          </w:tcPr>
          <w:p>
            <w:pPr>
              <w:pStyle w:val="12"/>
              <w:spacing w:before="102"/>
              <w:ind w:left="206" w:right="197"/>
              <w:jc w:val="center"/>
              <w:rPr>
                <w:color w:val="auto"/>
                <w:highlight w:val="none"/>
              </w:rPr>
            </w:pPr>
            <w:r>
              <w:rPr>
                <w:color w:val="auto"/>
                <w:highlight w:val="none"/>
              </w:rPr>
              <w:t>合同签订时提供</w:t>
            </w:r>
          </w:p>
        </w:tc>
        <w:tc>
          <w:tcPr>
            <w:tcW w:w="1112" w:type="dxa"/>
          </w:tcPr>
          <w:p>
            <w:pPr>
              <w:pStyle w:val="12"/>
              <w:rPr>
                <w:rFonts w:ascii="Times New Roman"/>
                <w:color w:val="auto"/>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8" w:hRule="atLeast"/>
        </w:trPr>
        <w:tc>
          <w:tcPr>
            <w:tcW w:w="4585" w:type="dxa"/>
          </w:tcPr>
          <w:p>
            <w:pPr>
              <w:pStyle w:val="12"/>
              <w:spacing w:before="103"/>
              <w:ind w:left="1685"/>
              <w:rPr>
                <w:color w:val="auto"/>
                <w:highlight w:val="none"/>
              </w:rPr>
            </w:pPr>
            <w:r>
              <w:rPr>
                <w:color w:val="auto"/>
                <w:highlight w:val="none"/>
              </w:rPr>
              <w:t>2. 其他文件</w:t>
            </w:r>
          </w:p>
        </w:tc>
        <w:tc>
          <w:tcPr>
            <w:tcW w:w="1738" w:type="dxa"/>
          </w:tcPr>
          <w:p>
            <w:pPr>
              <w:pStyle w:val="12"/>
              <w:spacing w:before="103"/>
              <w:ind w:left="9"/>
              <w:jc w:val="center"/>
              <w:rPr>
                <w:color w:val="auto"/>
                <w:highlight w:val="none"/>
              </w:rPr>
            </w:pPr>
            <w:r>
              <w:rPr>
                <w:color w:val="auto"/>
                <w:highlight w:val="none"/>
              </w:rPr>
              <w:t>1</w:t>
            </w:r>
          </w:p>
        </w:tc>
        <w:tc>
          <w:tcPr>
            <w:tcW w:w="2213" w:type="dxa"/>
          </w:tcPr>
          <w:p>
            <w:pPr>
              <w:pStyle w:val="12"/>
              <w:spacing w:before="103"/>
              <w:ind w:left="206" w:right="197"/>
              <w:jc w:val="center"/>
              <w:rPr>
                <w:color w:val="auto"/>
                <w:highlight w:val="none"/>
              </w:rPr>
            </w:pPr>
            <w:r>
              <w:rPr>
                <w:color w:val="auto"/>
                <w:highlight w:val="none"/>
              </w:rPr>
              <w:t>根据项目进度提供</w:t>
            </w:r>
          </w:p>
        </w:tc>
        <w:tc>
          <w:tcPr>
            <w:tcW w:w="1112" w:type="dxa"/>
          </w:tcPr>
          <w:p>
            <w:pPr>
              <w:pStyle w:val="12"/>
              <w:rPr>
                <w:rFonts w:ascii="Times New Roman"/>
                <w:color w:val="auto"/>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7" w:hRule="atLeast"/>
        </w:trPr>
        <w:tc>
          <w:tcPr>
            <w:tcW w:w="4585" w:type="dxa"/>
          </w:tcPr>
          <w:p>
            <w:pPr>
              <w:pStyle w:val="12"/>
              <w:rPr>
                <w:rFonts w:ascii="Times New Roman"/>
                <w:color w:val="auto"/>
                <w:highlight w:val="none"/>
              </w:rPr>
            </w:pPr>
          </w:p>
        </w:tc>
        <w:tc>
          <w:tcPr>
            <w:tcW w:w="1738" w:type="dxa"/>
          </w:tcPr>
          <w:p>
            <w:pPr>
              <w:pStyle w:val="12"/>
              <w:rPr>
                <w:rFonts w:ascii="Times New Roman"/>
                <w:color w:val="auto"/>
                <w:highlight w:val="none"/>
              </w:rPr>
            </w:pPr>
          </w:p>
        </w:tc>
        <w:tc>
          <w:tcPr>
            <w:tcW w:w="2213" w:type="dxa"/>
          </w:tcPr>
          <w:p>
            <w:pPr>
              <w:pStyle w:val="12"/>
              <w:rPr>
                <w:rFonts w:ascii="Times New Roman"/>
                <w:color w:val="auto"/>
                <w:highlight w:val="none"/>
              </w:rPr>
            </w:pPr>
          </w:p>
        </w:tc>
        <w:tc>
          <w:tcPr>
            <w:tcW w:w="1112" w:type="dxa"/>
          </w:tcPr>
          <w:p>
            <w:pPr>
              <w:pStyle w:val="12"/>
              <w:rPr>
                <w:rFonts w:ascii="Times New Roman"/>
                <w:color w:val="auto"/>
                <w:highlight w:val="none"/>
              </w:rPr>
            </w:pPr>
          </w:p>
        </w:tc>
      </w:tr>
    </w:tbl>
    <w:p>
      <w:pPr>
        <w:pStyle w:val="5"/>
        <w:spacing w:before="4"/>
        <w:ind w:left="0"/>
        <w:rPr>
          <w:b/>
          <w:color w:val="auto"/>
          <w:sz w:val="22"/>
          <w:highlight w:val="none"/>
        </w:rPr>
      </w:pPr>
    </w:p>
    <w:p>
      <w:pPr>
        <w:ind w:left="212"/>
        <w:rPr>
          <w:b/>
          <w:color w:val="auto"/>
          <w:highlight w:val="none"/>
        </w:rPr>
      </w:pPr>
      <w:r>
        <w:rPr>
          <w:b/>
          <w:color w:val="auto"/>
          <w:highlight w:val="none"/>
        </w:rPr>
        <w:t>附录 4 发包人提供的设备</w:t>
      </w:r>
    </w:p>
    <w:p>
      <w:pPr>
        <w:pStyle w:val="5"/>
        <w:spacing w:before="6"/>
        <w:ind w:left="0"/>
        <w:rPr>
          <w:b/>
          <w:color w:val="auto"/>
          <w:sz w:val="22"/>
          <w:highlight w:val="none"/>
        </w:rPr>
      </w:pPr>
    </w:p>
    <w:tbl>
      <w:tblPr>
        <w:tblStyle w:val="10"/>
        <w:tblW w:w="0" w:type="auto"/>
        <w:tblInd w:w="21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37"/>
        <w:gridCol w:w="3943"/>
        <w:gridCol w:w="1732"/>
        <w:gridCol w:w="1732"/>
        <w:gridCol w:w="160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8" w:hRule="atLeast"/>
        </w:trPr>
        <w:tc>
          <w:tcPr>
            <w:tcW w:w="4580" w:type="dxa"/>
            <w:gridSpan w:val="2"/>
          </w:tcPr>
          <w:p>
            <w:pPr>
              <w:pStyle w:val="12"/>
              <w:spacing w:before="101"/>
              <w:ind w:left="2050" w:right="2039"/>
              <w:jc w:val="center"/>
              <w:rPr>
                <w:color w:val="auto"/>
                <w:highlight w:val="none"/>
              </w:rPr>
            </w:pPr>
            <w:r>
              <w:rPr>
                <w:color w:val="auto"/>
                <w:highlight w:val="none"/>
              </w:rPr>
              <w:t>名称</w:t>
            </w:r>
          </w:p>
        </w:tc>
        <w:tc>
          <w:tcPr>
            <w:tcW w:w="1732" w:type="dxa"/>
          </w:tcPr>
          <w:p>
            <w:pPr>
              <w:pStyle w:val="12"/>
              <w:spacing w:before="101"/>
              <w:ind w:left="296" w:right="285"/>
              <w:jc w:val="center"/>
              <w:rPr>
                <w:color w:val="auto"/>
                <w:highlight w:val="none"/>
              </w:rPr>
            </w:pPr>
            <w:r>
              <w:rPr>
                <w:color w:val="auto"/>
                <w:highlight w:val="none"/>
              </w:rPr>
              <w:t>数量</w:t>
            </w:r>
          </w:p>
        </w:tc>
        <w:tc>
          <w:tcPr>
            <w:tcW w:w="1732" w:type="dxa"/>
          </w:tcPr>
          <w:p>
            <w:pPr>
              <w:pStyle w:val="12"/>
              <w:spacing w:before="101"/>
              <w:ind w:left="296" w:right="286"/>
              <w:jc w:val="center"/>
              <w:rPr>
                <w:color w:val="auto"/>
                <w:highlight w:val="none"/>
              </w:rPr>
            </w:pPr>
            <w:r>
              <w:rPr>
                <w:color w:val="auto"/>
                <w:highlight w:val="none"/>
              </w:rPr>
              <w:t>型号与规格</w:t>
            </w:r>
          </w:p>
        </w:tc>
        <w:tc>
          <w:tcPr>
            <w:tcW w:w="1604" w:type="dxa"/>
          </w:tcPr>
          <w:p>
            <w:pPr>
              <w:pStyle w:val="12"/>
              <w:spacing w:before="101"/>
              <w:ind w:left="361"/>
              <w:rPr>
                <w:color w:val="auto"/>
                <w:highlight w:val="none"/>
              </w:rPr>
            </w:pPr>
            <w:r>
              <w:rPr>
                <w:color w:val="auto"/>
                <w:highlight w:val="none"/>
              </w:rPr>
              <w:t>提供时间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7" w:hRule="atLeast"/>
        </w:trPr>
        <w:tc>
          <w:tcPr>
            <w:tcW w:w="637" w:type="dxa"/>
          </w:tcPr>
          <w:p>
            <w:pPr>
              <w:pStyle w:val="12"/>
              <w:spacing w:before="101"/>
              <w:ind w:right="196"/>
              <w:jc w:val="right"/>
              <w:rPr>
                <w:color w:val="auto"/>
                <w:highlight w:val="none"/>
              </w:rPr>
            </w:pPr>
            <w:r>
              <w:rPr>
                <w:color w:val="auto"/>
                <w:highlight w:val="none"/>
              </w:rPr>
              <w:t>1.</w:t>
            </w:r>
          </w:p>
        </w:tc>
        <w:tc>
          <w:tcPr>
            <w:tcW w:w="3943" w:type="dxa"/>
          </w:tcPr>
          <w:p>
            <w:pPr>
              <w:pStyle w:val="12"/>
              <w:spacing w:before="101"/>
              <w:ind w:left="1180" w:right="1170"/>
              <w:jc w:val="center"/>
              <w:rPr>
                <w:color w:val="auto"/>
                <w:highlight w:val="none"/>
              </w:rPr>
            </w:pPr>
            <w:r>
              <w:rPr>
                <w:color w:val="auto"/>
                <w:highlight w:val="none"/>
              </w:rPr>
              <w:t>通讯设备</w:t>
            </w:r>
          </w:p>
        </w:tc>
        <w:tc>
          <w:tcPr>
            <w:tcW w:w="1732" w:type="dxa"/>
          </w:tcPr>
          <w:p>
            <w:pPr>
              <w:pStyle w:val="12"/>
              <w:spacing w:before="101"/>
              <w:ind w:left="11"/>
              <w:jc w:val="center"/>
              <w:rPr>
                <w:color w:val="auto"/>
                <w:highlight w:val="none"/>
              </w:rPr>
            </w:pPr>
            <w:r>
              <w:rPr>
                <w:color w:val="auto"/>
                <w:highlight w:val="none"/>
              </w:rPr>
              <w:t>/</w:t>
            </w:r>
          </w:p>
        </w:tc>
        <w:tc>
          <w:tcPr>
            <w:tcW w:w="1732" w:type="dxa"/>
          </w:tcPr>
          <w:p>
            <w:pPr>
              <w:pStyle w:val="12"/>
              <w:spacing w:before="101"/>
              <w:ind w:left="8"/>
              <w:jc w:val="center"/>
              <w:rPr>
                <w:color w:val="auto"/>
                <w:highlight w:val="none"/>
              </w:rPr>
            </w:pPr>
            <w:r>
              <w:rPr>
                <w:color w:val="auto"/>
                <w:highlight w:val="none"/>
              </w:rPr>
              <w:t>/</w:t>
            </w:r>
          </w:p>
        </w:tc>
        <w:tc>
          <w:tcPr>
            <w:tcW w:w="1604" w:type="dxa"/>
            <w:vMerge w:val="restart"/>
          </w:tcPr>
          <w:p>
            <w:pPr>
              <w:pStyle w:val="12"/>
              <w:rPr>
                <w:b/>
                <w:color w:val="auto"/>
                <w:highlight w:val="none"/>
                <w:lang w:eastAsia="zh-CN"/>
              </w:rPr>
            </w:pPr>
          </w:p>
          <w:p>
            <w:pPr>
              <w:pStyle w:val="12"/>
              <w:spacing w:before="1"/>
              <w:rPr>
                <w:b/>
                <w:color w:val="auto"/>
                <w:highlight w:val="none"/>
                <w:lang w:eastAsia="zh-CN"/>
              </w:rPr>
            </w:pPr>
          </w:p>
          <w:p>
            <w:pPr>
              <w:pStyle w:val="12"/>
              <w:spacing w:line="242" w:lineRule="auto"/>
              <w:ind w:left="30" w:right="20"/>
              <w:jc w:val="center"/>
              <w:rPr>
                <w:color w:val="auto"/>
                <w:highlight w:val="none"/>
                <w:lang w:eastAsia="zh-CN"/>
              </w:rPr>
            </w:pPr>
            <w:r>
              <w:rPr>
                <w:color w:val="auto"/>
                <w:highlight w:val="none"/>
                <w:lang w:eastAsia="zh-CN"/>
              </w:rPr>
              <w:t>本项目发包人不向承包人提供设备。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trPr>
        <w:tc>
          <w:tcPr>
            <w:tcW w:w="637" w:type="dxa"/>
          </w:tcPr>
          <w:p>
            <w:pPr>
              <w:pStyle w:val="12"/>
              <w:spacing w:before="103"/>
              <w:ind w:right="196"/>
              <w:jc w:val="right"/>
              <w:rPr>
                <w:color w:val="auto"/>
                <w:highlight w:val="none"/>
              </w:rPr>
            </w:pPr>
            <w:r>
              <w:rPr>
                <w:color w:val="auto"/>
                <w:highlight w:val="none"/>
              </w:rPr>
              <w:t>2.</w:t>
            </w:r>
          </w:p>
        </w:tc>
        <w:tc>
          <w:tcPr>
            <w:tcW w:w="3943" w:type="dxa"/>
          </w:tcPr>
          <w:p>
            <w:pPr>
              <w:pStyle w:val="12"/>
              <w:spacing w:before="103"/>
              <w:ind w:left="1180" w:right="1170"/>
              <w:jc w:val="center"/>
              <w:rPr>
                <w:color w:val="auto"/>
                <w:highlight w:val="none"/>
              </w:rPr>
            </w:pPr>
            <w:r>
              <w:rPr>
                <w:color w:val="auto"/>
                <w:highlight w:val="none"/>
              </w:rPr>
              <w:t>办公设备</w:t>
            </w:r>
          </w:p>
        </w:tc>
        <w:tc>
          <w:tcPr>
            <w:tcW w:w="1732" w:type="dxa"/>
          </w:tcPr>
          <w:p>
            <w:pPr>
              <w:pStyle w:val="12"/>
              <w:spacing w:before="103"/>
              <w:ind w:left="11"/>
              <w:jc w:val="center"/>
              <w:rPr>
                <w:color w:val="auto"/>
                <w:highlight w:val="none"/>
              </w:rPr>
            </w:pPr>
            <w:r>
              <w:rPr>
                <w:color w:val="auto"/>
                <w:highlight w:val="none"/>
              </w:rPr>
              <w:t>/</w:t>
            </w:r>
          </w:p>
        </w:tc>
        <w:tc>
          <w:tcPr>
            <w:tcW w:w="1732" w:type="dxa"/>
          </w:tcPr>
          <w:p>
            <w:pPr>
              <w:pStyle w:val="12"/>
              <w:spacing w:before="103"/>
              <w:ind w:left="8"/>
              <w:jc w:val="center"/>
              <w:rPr>
                <w:color w:val="auto"/>
                <w:highlight w:val="none"/>
              </w:rPr>
            </w:pPr>
            <w:r>
              <w:rPr>
                <w:color w:val="auto"/>
                <w:highlight w:val="none"/>
              </w:rPr>
              <w:t>/</w:t>
            </w:r>
          </w:p>
        </w:tc>
        <w:tc>
          <w:tcPr>
            <w:tcW w:w="1604" w:type="dxa"/>
            <w:vMerge w:val="continue"/>
            <w:tcBorders>
              <w:top w:val="nil"/>
            </w:tcBorders>
          </w:tcPr>
          <w:p>
            <w:pPr>
              <w:rPr>
                <w:color w:val="auto"/>
                <w:sz w:val="2"/>
                <w:szCs w:val="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trPr>
        <w:tc>
          <w:tcPr>
            <w:tcW w:w="637" w:type="dxa"/>
          </w:tcPr>
          <w:p>
            <w:pPr>
              <w:pStyle w:val="12"/>
              <w:spacing w:before="103"/>
              <w:ind w:right="196"/>
              <w:jc w:val="right"/>
              <w:rPr>
                <w:color w:val="auto"/>
                <w:highlight w:val="none"/>
              </w:rPr>
            </w:pPr>
            <w:r>
              <w:rPr>
                <w:color w:val="auto"/>
                <w:highlight w:val="none"/>
              </w:rPr>
              <w:t>3.</w:t>
            </w:r>
          </w:p>
        </w:tc>
        <w:tc>
          <w:tcPr>
            <w:tcW w:w="3943" w:type="dxa"/>
          </w:tcPr>
          <w:p>
            <w:pPr>
              <w:pStyle w:val="12"/>
              <w:spacing w:before="103"/>
              <w:ind w:left="1180" w:right="1170"/>
              <w:jc w:val="center"/>
              <w:rPr>
                <w:color w:val="auto"/>
                <w:highlight w:val="none"/>
              </w:rPr>
            </w:pPr>
            <w:r>
              <w:rPr>
                <w:color w:val="auto"/>
                <w:highlight w:val="none"/>
              </w:rPr>
              <w:t>交通工具</w:t>
            </w:r>
          </w:p>
        </w:tc>
        <w:tc>
          <w:tcPr>
            <w:tcW w:w="1732" w:type="dxa"/>
          </w:tcPr>
          <w:p>
            <w:pPr>
              <w:pStyle w:val="12"/>
              <w:spacing w:before="103"/>
              <w:ind w:left="11"/>
              <w:jc w:val="center"/>
              <w:rPr>
                <w:color w:val="auto"/>
                <w:highlight w:val="none"/>
              </w:rPr>
            </w:pPr>
            <w:r>
              <w:rPr>
                <w:color w:val="auto"/>
                <w:highlight w:val="none"/>
              </w:rPr>
              <w:t>/</w:t>
            </w:r>
          </w:p>
        </w:tc>
        <w:tc>
          <w:tcPr>
            <w:tcW w:w="1732" w:type="dxa"/>
          </w:tcPr>
          <w:p>
            <w:pPr>
              <w:pStyle w:val="12"/>
              <w:spacing w:before="103"/>
              <w:ind w:left="8"/>
              <w:jc w:val="center"/>
              <w:rPr>
                <w:color w:val="auto"/>
                <w:highlight w:val="none"/>
              </w:rPr>
            </w:pPr>
            <w:r>
              <w:rPr>
                <w:color w:val="auto"/>
                <w:highlight w:val="none"/>
              </w:rPr>
              <w:t>/</w:t>
            </w:r>
          </w:p>
        </w:tc>
        <w:tc>
          <w:tcPr>
            <w:tcW w:w="1604" w:type="dxa"/>
            <w:vMerge w:val="continue"/>
            <w:tcBorders>
              <w:top w:val="nil"/>
            </w:tcBorders>
          </w:tcPr>
          <w:p>
            <w:pPr>
              <w:rPr>
                <w:color w:val="auto"/>
                <w:sz w:val="2"/>
                <w:szCs w:val="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7" w:hRule="atLeast"/>
        </w:trPr>
        <w:tc>
          <w:tcPr>
            <w:tcW w:w="637" w:type="dxa"/>
          </w:tcPr>
          <w:p>
            <w:pPr>
              <w:pStyle w:val="12"/>
              <w:spacing w:before="101"/>
              <w:ind w:right="196"/>
              <w:jc w:val="right"/>
              <w:rPr>
                <w:color w:val="auto"/>
                <w:highlight w:val="none"/>
              </w:rPr>
            </w:pPr>
            <w:r>
              <w:rPr>
                <w:color w:val="auto"/>
                <w:highlight w:val="none"/>
              </w:rPr>
              <w:t>4.</w:t>
            </w:r>
          </w:p>
        </w:tc>
        <w:tc>
          <w:tcPr>
            <w:tcW w:w="3943" w:type="dxa"/>
          </w:tcPr>
          <w:p>
            <w:pPr>
              <w:pStyle w:val="12"/>
              <w:spacing w:before="101"/>
              <w:ind w:left="1180" w:right="1173"/>
              <w:jc w:val="center"/>
              <w:rPr>
                <w:color w:val="auto"/>
                <w:highlight w:val="none"/>
              </w:rPr>
            </w:pPr>
            <w:r>
              <w:rPr>
                <w:color w:val="auto"/>
                <w:highlight w:val="none"/>
              </w:rPr>
              <w:t>检测和试验设备</w:t>
            </w:r>
          </w:p>
        </w:tc>
        <w:tc>
          <w:tcPr>
            <w:tcW w:w="1732" w:type="dxa"/>
          </w:tcPr>
          <w:p>
            <w:pPr>
              <w:pStyle w:val="12"/>
              <w:spacing w:before="101"/>
              <w:ind w:left="11"/>
              <w:jc w:val="center"/>
              <w:rPr>
                <w:color w:val="auto"/>
                <w:highlight w:val="none"/>
              </w:rPr>
            </w:pPr>
            <w:r>
              <w:rPr>
                <w:color w:val="auto"/>
                <w:highlight w:val="none"/>
              </w:rPr>
              <w:t>/</w:t>
            </w:r>
          </w:p>
        </w:tc>
        <w:tc>
          <w:tcPr>
            <w:tcW w:w="1732" w:type="dxa"/>
          </w:tcPr>
          <w:p>
            <w:pPr>
              <w:pStyle w:val="12"/>
              <w:spacing w:before="101"/>
              <w:ind w:left="8"/>
              <w:jc w:val="center"/>
              <w:rPr>
                <w:color w:val="auto"/>
                <w:highlight w:val="none"/>
              </w:rPr>
            </w:pPr>
            <w:r>
              <w:rPr>
                <w:color w:val="auto"/>
                <w:highlight w:val="none"/>
              </w:rPr>
              <w:t>/</w:t>
            </w:r>
          </w:p>
        </w:tc>
        <w:tc>
          <w:tcPr>
            <w:tcW w:w="1604" w:type="dxa"/>
            <w:vMerge w:val="continue"/>
            <w:tcBorders>
              <w:top w:val="nil"/>
            </w:tcBorders>
          </w:tcPr>
          <w:p>
            <w:pPr>
              <w:rPr>
                <w:color w:val="auto"/>
                <w:sz w:val="2"/>
                <w:szCs w:val="2"/>
                <w:highlight w:val="none"/>
              </w:rPr>
            </w:pPr>
          </w:p>
        </w:tc>
      </w:tr>
    </w:tbl>
    <w:p>
      <w:pPr>
        <w:rPr>
          <w:color w:val="auto"/>
          <w:sz w:val="2"/>
          <w:szCs w:val="2"/>
          <w:highlight w:val="none"/>
        </w:rPr>
        <w:sectPr>
          <w:pgSz w:w="11910" w:h="16840"/>
          <w:pgMar w:top="1280" w:right="900" w:bottom="1040" w:left="920" w:header="0" w:footer="858" w:gutter="0"/>
          <w:cols w:space="720" w:num="1"/>
        </w:sectPr>
      </w:pPr>
    </w:p>
    <w:p>
      <w:pPr>
        <w:pStyle w:val="2"/>
        <w:spacing w:before="45"/>
        <w:ind w:left="3755" w:right="0"/>
        <w:jc w:val="left"/>
        <w:rPr>
          <w:color w:val="auto"/>
          <w:highlight w:val="none"/>
        </w:rPr>
      </w:pPr>
      <w:bookmarkStart w:id="6" w:name="第四部分_合同附件"/>
      <w:bookmarkEnd w:id="6"/>
      <w:bookmarkStart w:id="7" w:name="_bookmark3"/>
      <w:bookmarkEnd w:id="7"/>
      <w:r>
        <w:rPr>
          <w:color w:val="auto"/>
          <w:highlight w:val="none"/>
        </w:rPr>
        <w:t>第四部分 合同附件</w:t>
      </w:r>
    </w:p>
    <w:p>
      <w:pPr>
        <w:pStyle w:val="5"/>
        <w:spacing w:before="199" w:line="364" w:lineRule="auto"/>
        <w:ind w:right="5306"/>
        <w:rPr>
          <w:color w:val="auto"/>
          <w:highlight w:val="none"/>
          <w:lang w:eastAsia="zh-CN"/>
        </w:rPr>
      </w:pPr>
      <w:r>
        <w:rPr>
          <w:color w:val="auto"/>
          <w:highlight w:val="none"/>
          <w:lang w:eastAsia="zh-CN"/>
        </w:rPr>
        <w:t>附件 1：南沙区建设工程项目廉洁责任合同附件 2：各阶段工作成果文件的要求</w:t>
      </w:r>
    </w:p>
    <w:p>
      <w:pPr>
        <w:pStyle w:val="5"/>
        <w:spacing w:line="306" w:lineRule="exact"/>
        <w:rPr>
          <w:color w:val="auto"/>
          <w:highlight w:val="none"/>
          <w:lang w:eastAsia="zh-CN"/>
        </w:rPr>
      </w:pPr>
      <w:r>
        <w:rPr>
          <w:color w:val="auto"/>
          <w:highlight w:val="none"/>
          <w:lang w:eastAsia="zh-CN"/>
        </w:rPr>
        <w:t>附件 3：项目管理、施工监理机构及人员</w:t>
      </w:r>
    </w:p>
    <w:p>
      <w:pPr>
        <w:pStyle w:val="5"/>
        <w:spacing w:before="161"/>
        <w:rPr>
          <w:color w:val="auto"/>
          <w:highlight w:val="none"/>
          <w:lang w:eastAsia="zh-CN"/>
        </w:rPr>
      </w:pPr>
      <w:r>
        <w:rPr>
          <w:color w:val="auto"/>
          <w:highlight w:val="none"/>
          <w:lang w:eastAsia="zh-CN"/>
        </w:rPr>
        <w:t>（一）建设管理（含施工监理）人员配置承诺书</w:t>
      </w:r>
    </w:p>
    <w:p>
      <w:pPr>
        <w:pStyle w:val="5"/>
        <w:spacing w:before="158"/>
        <w:rPr>
          <w:color w:val="auto"/>
          <w:highlight w:val="none"/>
          <w:lang w:eastAsia="zh-CN"/>
        </w:rPr>
      </w:pPr>
      <w:r>
        <w:rPr>
          <w:color w:val="auto"/>
          <w:highlight w:val="none"/>
          <w:lang w:eastAsia="zh-CN"/>
        </w:rPr>
        <w:t>（二）项目建设管理、监理服务机构图</w:t>
      </w:r>
    </w:p>
    <w:p>
      <w:pPr>
        <w:pStyle w:val="5"/>
        <w:spacing w:before="158"/>
        <w:rPr>
          <w:color w:val="auto"/>
          <w:highlight w:val="none"/>
          <w:lang w:eastAsia="zh-CN"/>
        </w:rPr>
      </w:pPr>
      <w:r>
        <w:rPr>
          <w:color w:val="auto"/>
          <w:highlight w:val="none"/>
          <w:lang w:eastAsia="zh-CN"/>
        </w:rPr>
        <w:t>（三）承包人拟投入本项目的项目管理人员一览表</w:t>
      </w:r>
    </w:p>
    <w:p>
      <w:pPr>
        <w:pStyle w:val="5"/>
        <w:spacing w:before="161"/>
        <w:rPr>
          <w:color w:val="auto"/>
          <w:highlight w:val="none"/>
          <w:lang w:eastAsia="zh-CN"/>
        </w:rPr>
      </w:pPr>
      <w:r>
        <w:rPr>
          <w:color w:val="auto"/>
          <w:highlight w:val="none"/>
          <w:lang w:eastAsia="zh-CN"/>
        </w:rPr>
        <w:t>（四）承包人拟投入本项目的监理人员一览表</w:t>
      </w:r>
    </w:p>
    <w:p>
      <w:pPr>
        <w:pStyle w:val="5"/>
        <w:spacing w:before="160" w:line="362" w:lineRule="auto"/>
        <w:ind w:right="506"/>
        <w:rPr>
          <w:color w:val="auto"/>
          <w:highlight w:val="none"/>
          <w:lang w:eastAsia="zh-CN"/>
        </w:rPr>
      </w:pPr>
      <w:r>
        <w:rPr>
          <w:color w:val="auto"/>
          <w:highlight w:val="none"/>
          <w:lang w:eastAsia="zh-CN"/>
        </w:rPr>
        <w:t>附件 4：承包人拟投入本项目的通讯、办公、试验检测设备一览表附件 5：本项目招标澄清、答疑文件</w:t>
      </w:r>
    </w:p>
    <w:p>
      <w:pPr>
        <w:pStyle w:val="5"/>
        <w:spacing w:before="5" w:line="362" w:lineRule="auto"/>
        <w:ind w:right="266"/>
        <w:rPr>
          <w:color w:val="auto"/>
          <w:highlight w:val="none"/>
          <w:lang w:eastAsia="zh-CN"/>
        </w:rPr>
      </w:pPr>
      <w:r>
        <w:rPr>
          <w:color w:val="auto"/>
          <w:highlight w:val="none"/>
          <w:lang w:eastAsia="zh-CN"/>
        </w:rPr>
        <w:t>附件 6：承包人法定代表人、项目总负责人、项目总负责人、监理负责人的姓名、身份证复印件、职务、职称、联系方式</w:t>
      </w:r>
    </w:p>
    <w:p>
      <w:pPr>
        <w:pStyle w:val="5"/>
        <w:spacing w:before="5"/>
        <w:rPr>
          <w:color w:val="auto"/>
          <w:highlight w:val="none"/>
          <w:lang w:eastAsia="zh-CN"/>
        </w:rPr>
      </w:pPr>
      <w:r>
        <w:rPr>
          <w:color w:val="auto"/>
          <w:highlight w:val="none"/>
          <w:lang w:eastAsia="zh-CN"/>
        </w:rPr>
        <w:t>附件 7：中标通知书</w:t>
      </w:r>
    </w:p>
    <w:p>
      <w:pPr>
        <w:pStyle w:val="5"/>
        <w:spacing w:before="160" w:line="362" w:lineRule="auto"/>
        <w:ind w:right="3626"/>
        <w:rPr>
          <w:color w:val="auto"/>
          <w:highlight w:val="none"/>
          <w:lang w:eastAsia="zh-CN"/>
        </w:rPr>
      </w:pPr>
      <w:r>
        <w:rPr>
          <w:color w:val="auto"/>
          <w:highlight w:val="none"/>
          <w:lang w:eastAsia="zh-CN"/>
        </w:rPr>
        <w:t xml:space="preserve">附件 8：项目质量终身责任承诺书（含法定代表人授权书） </w:t>
      </w:r>
    </w:p>
    <w:p>
      <w:pPr>
        <w:spacing w:line="362" w:lineRule="auto"/>
        <w:rPr>
          <w:color w:val="auto"/>
          <w:highlight w:val="none"/>
          <w:lang w:eastAsia="zh-CN"/>
        </w:rPr>
        <w:sectPr>
          <w:pgSz w:w="11910" w:h="16840"/>
          <w:pgMar w:top="1160" w:right="900" w:bottom="1040" w:left="920" w:header="0" w:footer="858" w:gutter="0"/>
          <w:cols w:space="720" w:num="1"/>
        </w:sectPr>
      </w:pPr>
    </w:p>
    <w:p>
      <w:pPr>
        <w:pStyle w:val="5"/>
        <w:spacing w:before="53"/>
        <w:rPr>
          <w:color w:val="auto"/>
          <w:highlight w:val="none"/>
          <w:lang w:eastAsia="zh-CN"/>
        </w:rPr>
      </w:pPr>
      <w:bookmarkStart w:id="8" w:name="附件1：南沙区建设工程项目廉洁责任合同"/>
      <w:bookmarkEnd w:id="8"/>
      <w:bookmarkStart w:id="9" w:name="_bookmark4"/>
      <w:bookmarkEnd w:id="9"/>
      <w:r>
        <w:rPr>
          <w:color w:val="auto"/>
          <w:highlight w:val="none"/>
          <w:lang w:eastAsia="zh-CN"/>
        </w:rPr>
        <w:t>附件 1：南沙区建设工程项目廉洁责任合同</w:t>
      </w:r>
    </w:p>
    <w:p>
      <w:pPr>
        <w:pStyle w:val="5"/>
        <w:spacing w:before="10"/>
        <w:ind w:left="0"/>
        <w:rPr>
          <w:color w:val="auto"/>
          <w:sz w:val="29"/>
          <w:highlight w:val="none"/>
          <w:lang w:eastAsia="zh-CN"/>
        </w:rPr>
      </w:pPr>
    </w:p>
    <w:p>
      <w:pPr>
        <w:ind w:left="2927"/>
        <w:rPr>
          <w:b/>
          <w:color w:val="auto"/>
          <w:sz w:val="28"/>
          <w:highlight w:val="none"/>
          <w:lang w:eastAsia="zh-CN"/>
        </w:rPr>
      </w:pPr>
      <w:r>
        <w:rPr>
          <w:b/>
          <w:color w:val="auto"/>
          <w:sz w:val="28"/>
          <w:highlight w:val="none"/>
          <w:lang w:eastAsia="zh-CN"/>
        </w:rPr>
        <w:t>南沙区建设工程项目廉洁责任合同</w:t>
      </w:r>
    </w:p>
    <w:p>
      <w:pPr>
        <w:ind w:left="2927"/>
        <w:rPr>
          <w:b/>
          <w:color w:val="auto"/>
          <w:sz w:val="28"/>
          <w:highlight w:val="none"/>
          <w:lang w:eastAsia="zh-CN"/>
        </w:rPr>
      </w:pPr>
    </w:p>
    <w:p>
      <w:pPr>
        <w:pStyle w:val="5"/>
        <w:spacing w:line="365" w:lineRule="auto"/>
        <w:ind w:left="0" w:firstLine="240" w:firstLineChars="100"/>
        <w:jc w:val="both"/>
        <w:rPr>
          <w:color w:val="auto"/>
          <w:highlight w:val="none"/>
          <w:lang w:eastAsia="zh-CN"/>
        </w:rPr>
      </w:pPr>
      <w:r>
        <w:rPr>
          <w:color w:val="auto"/>
          <w:highlight w:val="none"/>
          <w:lang w:eastAsia="zh-CN"/>
        </w:rPr>
        <w:t>发 包 人：</w:t>
      </w:r>
      <w:r>
        <w:rPr>
          <w:rFonts w:hint="eastAsia"/>
          <w:color w:val="auto"/>
          <w:highlight w:val="none"/>
          <w:lang w:eastAsia="zh-CN"/>
        </w:rPr>
        <w:t>榄核镇东丫涌等</w:t>
      </w:r>
      <w:r>
        <w:rPr>
          <w:color w:val="auto"/>
          <w:highlight w:val="none"/>
          <w:lang w:eastAsia="zh-CN"/>
        </w:rPr>
        <w:t>53条河涌（道）整治工程全过程咨询</w:t>
      </w:r>
    </w:p>
    <w:p>
      <w:pPr>
        <w:pStyle w:val="5"/>
        <w:spacing w:line="364" w:lineRule="auto"/>
        <w:ind w:right="7715"/>
        <w:rPr>
          <w:color w:val="auto"/>
          <w:highlight w:val="none"/>
          <w:lang w:eastAsia="zh-CN"/>
        </w:rPr>
      </w:pPr>
      <w:r>
        <w:rPr>
          <w:color w:val="auto"/>
          <w:highlight w:val="none"/>
          <w:lang w:eastAsia="zh-CN"/>
        </w:rPr>
        <w:t xml:space="preserve">承包人： </w:t>
      </w:r>
    </w:p>
    <w:p>
      <w:pPr>
        <w:pStyle w:val="5"/>
        <w:spacing w:line="364" w:lineRule="auto"/>
        <w:ind w:right="7715"/>
        <w:rPr>
          <w:color w:val="auto"/>
          <w:highlight w:val="none"/>
          <w:lang w:eastAsia="zh-CN"/>
        </w:rPr>
      </w:pPr>
      <w:r>
        <w:rPr>
          <w:color w:val="auto"/>
          <w:highlight w:val="none"/>
          <w:lang w:eastAsia="zh-CN"/>
        </w:rPr>
        <w:t>项目名称：</w:t>
      </w:r>
    </w:p>
    <w:p>
      <w:pPr>
        <w:pStyle w:val="5"/>
        <w:spacing w:line="306" w:lineRule="exact"/>
        <w:rPr>
          <w:color w:val="auto"/>
          <w:highlight w:val="none"/>
          <w:lang w:eastAsia="zh-CN"/>
        </w:rPr>
      </w:pPr>
      <w:r>
        <w:rPr>
          <w:color w:val="auto"/>
          <w:highlight w:val="none"/>
          <w:lang w:eastAsia="zh-CN"/>
        </w:rPr>
        <w:t>项目地点：</w:t>
      </w:r>
      <w:r>
        <w:rPr>
          <w:color w:val="auto"/>
          <w:highlight w:val="none"/>
          <w:u w:val="single"/>
          <w:lang w:eastAsia="zh-CN"/>
        </w:rPr>
        <w:t>广州市南沙区</w:t>
      </w:r>
    </w:p>
    <w:p>
      <w:pPr>
        <w:pStyle w:val="5"/>
        <w:spacing w:before="160" w:line="364" w:lineRule="auto"/>
        <w:ind w:right="275" w:firstLine="480"/>
        <w:jc w:val="both"/>
        <w:rPr>
          <w:color w:val="auto"/>
          <w:highlight w:val="none"/>
          <w:lang w:eastAsia="zh-CN"/>
        </w:rPr>
      </w:pPr>
      <w:r>
        <w:rPr>
          <w:color w:val="auto"/>
          <w:highlight w:val="none"/>
          <w:lang w:eastAsia="zh-CN"/>
        </w:rPr>
        <w:t>为贯彻落实国家、省、市有关廉洁规定，深化廉洁南沙自贸试验区建设，加强工程建设领域廉洁风险防控，构建亲清政商关系，营造风清气正的市场环境，根据《中华人民共和国反不正当竞争法》《中华人民共和国招标投标法》及其实施条例等法律法规及政策的规定， 双方同意签订本合同。</w:t>
      </w:r>
    </w:p>
    <w:p>
      <w:pPr>
        <w:pStyle w:val="3"/>
        <w:tabs>
          <w:tab w:val="left" w:pos="1657"/>
        </w:tabs>
        <w:spacing w:line="364" w:lineRule="auto"/>
        <w:ind w:right="239" w:firstLine="480"/>
        <w:rPr>
          <w:color w:val="auto"/>
          <w:highlight w:val="none"/>
          <w:lang w:eastAsia="zh-CN"/>
        </w:rPr>
      </w:pPr>
      <w:r>
        <w:rPr>
          <w:color w:val="auto"/>
          <w:highlight w:val="none"/>
          <w:lang w:eastAsia="zh-CN"/>
        </w:rPr>
        <w:t>第一条</w:t>
      </w:r>
      <w:r>
        <w:rPr>
          <w:color w:val="auto"/>
          <w:highlight w:val="none"/>
          <w:lang w:eastAsia="zh-CN"/>
        </w:rPr>
        <w:tab/>
      </w:r>
      <w:r>
        <w:rPr>
          <w:color w:val="auto"/>
          <w:w w:val="95"/>
          <w:highlight w:val="none"/>
          <w:lang w:eastAsia="zh-CN"/>
        </w:rPr>
        <w:t xml:space="preserve">本合同适用于南沙区政府财政资金和国有资金占控股或主导地位的公开招标类  </w:t>
      </w:r>
      <w:r>
        <w:rPr>
          <w:color w:val="auto"/>
          <w:highlight w:val="none"/>
          <w:lang w:eastAsia="zh-CN"/>
        </w:rPr>
        <w:t>建设工程项目，涵盖工程施工类及服务类合同。辖区范围内其他工程项目可参照执行。</w:t>
      </w:r>
    </w:p>
    <w:p>
      <w:pPr>
        <w:tabs>
          <w:tab w:val="left" w:pos="1657"/>
        </w:tabs>
        <w:spacing w:line="364" w:lineRule="auto"/>
        <w:ind w:left="212" w:right="239" w:firstLine="480"/>
        <w:rPr>
          <w:b/>
          <w:color w:val="auto"/>
          <w:sz w:val="24"/>
          <w:highlight w:val="none"/>
          <w:lang w:eastAsia="zh-CN"/>
        </w:rPr>
      </w:pPr>
      <w:r>
        <w:rPr>
          <w:b/>
          <w:color w:val="auto"/>
          <w:sz w:val="24"/>
          <w:highlight w:val="none"/>
          <w:lang w:eastAsia="zh-CN"/>
        </w:rPr>
        <w:t>第二条</w:t>
      </w:r>
      <w:r>
        <w:rPr>
          <w:b/>
          <w:color w:val="auto"/>
          <w:sz w:val="24"/>
          <w:highlight w:val="none"/>
          <w:lang w:eastAsia="zh-CN"/>
        </w:rPr>
        <w:tab/>
      </w:r>
      <w:r>
        <w:rPr>
          <w:b/>
          <w:color w:val="auto"/>
          <w:w w:val="95"/>
          <w:sz w:val="24"/>
          <w:highlight w:val="none"/>
          <w:lang w:eastAsia="zh-CN"/>
        </w:rPr>
        <w:t xml:space="preserve">发包人及其工作人员不得利用项目或职权为本人及亲属谋取不正当利益，包括  </w:t>
      </w:r>
      <w:r>
        <w:rPr>
          <w:b/>
          <w:color w:val="auto"/>
          <w:sz w:val="24"/>
          <w:highlight w:val="none"/>
          <w:lang w:eastAsia="zh-CN"/>
        </w:rPr>
        <w:t>下列行为：</w:t>
      </w:r>
    </w:p>
    <w:p>
      <w:pPr>
        <w:pStyle w:val="11"/>
        <w:numPr>
          <w:ilvl w:val="1"/>
          <w:numId w:val="30"/>
        </w:numPr>
        <w:tabs>
          <w:tab w:val="left" w:pos="1292"/>
          <w:tab w:val="left" w:pos="1293"/>
        </w:tabs>
        <w:spacing w:line="362" w:lineRule="auto"/>
        <w:ind w:right="515" w:firstLine="480"/>
        <w:rPr>
          <w:color w:val="auto"/>
          <w:sz w:val="24"/>
          <w:highlight w:val="none"/>
          <w:lang w:eastAsia="zh-CN"/>
        </w:rPr>
      </w:pPr>
      <w:r>
        <w:rPr>
          <w:color w:val="auto"/>
          <w:sz w:val="24"/>
          <w:highlight w:val="none"/>
          <w:lang w:eastAsia="zh-CN"/>
        </w:rPr>
        <w:t>索取、接受或者以借为名占用承包人的财物，包括但不限于任何形式的礼品礼金、好处费、回扣、各种有价证券、购物卡及其他支付凭证、房产、车辆、贵重物品等；</w:t>
      </w:r>
    </w:p>
    <w:p>
      <w:pPr>
        <w:pStyle w:val="11"/>
        <w:numPr>
          <w:ilvl w:val="1"/>
          <w:numId w:val="30"/>
        </w:numPr>
        <w:tabs>
          <w:tab w:val="left" w:pos="1292"/>
          <w:tab w:val="left" w:pos="1293"/>
        </w:tabs>
        <w:ind w:firstLine="480"/>
        <w:rPr>
          <w:color w:val="auto"/>
          <w:sz w:val="24"/>
          <w:highlight w:val="none"/>
          <w:lang w:eastAsia="zh-CN"/>
        </w:rPr>
      </w:pPr>
      <w:r>
        <w:rPr>
          <w:color w:val="auto"/>
          <w:sz w:val="24"/>
          <w:highlight w:val="none"/>
          <w:lang w:eastAsia="zh-CN"/>
        </w:rPr>
        <w:t>接受承包人宴请（工作餐除外）及旅游、健身、娱乐等活动安排；</w:t>
      </w:r>
    </w:p>
    <w:p>
      <w:pPr>
        <w:pStyle w:val="11"/>
        <w:numPr>
          <w:ilvl w:val="1"/>
          <w:numId w:val="30"/>
        </w:numPr>
        <w:tabs>
          <w:tab w:val="left" w:pos="1292"/>
          <w:tab w:val="left" w:pos="1293"/>
        </w:tabs>
        <w:spacing w:before="160"/>
        <w:ind w:firstLine="480"/>
        <w:rPr>
          <w:color w:val="auto"/>
          <w:sz w:val="24"/>
          <w:highlight w:val="none"/>
          <w:lang w:eastAsia="zh-CN"/>
        </w:rPr>
      </w:pPr>
      <w:r>
        <w:rPr>
          <w:color w:val="auto"/>
          <w:sz w:val="24"/>
          <w:highlight w:val="none"/>
          <w:lang w:eastAsia="zh-CN"/>
        </w:rPr>
        <w:t>向承包人报销任何应由自身承担、支付的费用；</w:t>
      </w:r>
    </w:p>
    <w:p>
      <w:pPr>
        <w:pStyle w:val="11"/>
        <w:numPr>
          <w:ilvl w:val="1"/>
          <w:numId w:val="30"/>
        </w:numPr>
        <w:tabs>
          <w:tab w:val="left" w:pos="1292"/>
          <w:tab w:val="left" w:pos="1293"/>
        </w:tabs>
        <w:spacing w:before="158"/>
        <w:ind w:firstLine="480"/>
        <w:rPr>
          <w:color w:val="auto"/>
          <w:sz w:val="24"/>
          <w:highlight w:val="none"/>
          <w:lang w:eastAsia="zh-CN"/>
        </w:rPr>
      </w:pPr>
      <w:r>
        <w:rPr>
          <w:color w:val="auto"/>
          <w:sz w:val="24"/>
          <w:highlight w:val="none"/>
          <w:lang w:eastAsia="zh-CN"/>
        </w:rPr>
        <w:t>向承包人推荐分包人，推销材料和设备，要求承包人购买指定的材料和设备；</w:t>
      </w:r>
    </w:p>
    <w:p>
      <w:pPr>
        <w:pStyle w:val="11"/>
        <w:numPr>
          <w:ilvl w:val="1"/>
          <w:numId w:val="30"/>
        </w:numPr>
        <w:tabs>
          <w:tab w:val="left" w:pos="1292"/>
          <w:tab w:val="left" w:pos="1293"/>
        </w:tabs>
        <w:spacing w:before="161"/>
        <w:ind w:firstLine="480"/>
        <w:rPr>
          <w:color w:val="auto"/>
          <w:sz w:val="24"/>
          <w:highlight w:val="none"/>
          <w:lang w:eastAsia="zh-CN"/>
        </w:rPr>
      </w:pPr>
      <w:r>
        <w:rPr>
          <w:color w:val="auto"/>
          <w:sz w:val="24"/>
          <w:highlight w:val="none"/>
          <w:lang w:eastAsia="zh-CN"/>
        </w:rPr>
        <w:t>私自为建设工程安排施工队伍，从事与建设工程有关的各种有偿中介服务；</w:t>
      </w:r>
    </w:p>
    <w:p>
      <w:pPr>
        <w:pStyle w:val="11"/>
        <w:numPr>
          <w:ilvl w:val="1"/>
          <w:numId w:val="30"/>
        </w:numPr>
        <w:tabs>
          <w:tab w:val="left" w:pos="1292"/>
          <w:tab w:val="left" w:pos="1293"/>
        </w:tabs>
        <w:spacing w:before="158" w:line="364" w:lineRule="auto"/>
        <w:ind w:right="395" w:firstLine="480"/>
        <w:rPr>
          <w:color w:val="auto"/>
          <w:sz w:val="24"/>
          <w:highlight w:val="none"/>
          <w:lang w:eastAsia="zh-CN"/>
        </w:rPr>
      </w:pPr>
      <w:r>
        <w:rPr>
          <w:color w:val="auto"/>
          <w:sz w:val="24"/>
          <w:highlight w:val="none"/>
          <w:lang w:eastAsia="zh-CN"/>
        </w:rPr>
        <w:t>要求或者暗示承包人为本人或亲属的工作安排、职务晋升、经商办企业、出国出境、旅游、留学、探亲、定居等提供资助或便利；</w:t>
      </w:r>
    </w:p>
    <w:p>
      <w:pPr>
        <w:pStyle w:val="11"/>
        <w:numPr>
          <w:ilvl w:val="1"/>
          <w:numId w:val="30"/>
        </w:numPr>
        <w:tabs>
          <w:tab w:val="left" w:pos="1292"/>
          <w:tab w:val="left" w:pos="1293"/>
        </w:tabs>
        <w:spacing w:before="1" w:line="362" w:lineRule="auto"/>
        <w:ind w:right="395" w:firstLine="480"/>
        <w:rPr>
          <w:color w:val="auto"/>
          <w:sz w:val="24"/>
          <w:highlight w:val="none"/>
          <w:lang w:eastAsia="zh-CN"/>
        </w:rPr>
      </w:pPr>
      <w:r>
        <w:rPr>
          <w:color w:val="auto"/>
          <w:sz w:val="24"/>
          <w:highlight w:val="none"/>
          <w:lang w:eastAsia="zh-CN"/>
        </w:rPr>
        <w:t>默许、纵容、授意亲属收受承包人财物，或从事与建设工程有关的材料和设备供应、工程分包、劳务等经济活动；</w:t>
      </w:r>
    </w:p>
    <w:p>
      <w:pPr>
        <w:pStyle w:val="11"/>
        <w:numPr>
          <w:ilvl w:val="1"/>
          <w:numId w:val="30"/>
        </w:numPr>
        <w:tabs>
          <w:tab w:val="left" w:pos="1292"/>
          <w:tab w:val="left" w:pos="1293"/>
        </w:tabs>
        <w:spacing w:before="3"/>
        <w:ind w:firstLine="480"/>
        <w:rPr>
          <w:color w:val="auto"/>
          <w:sz w:val="24"/>
          <w:highlight w:val="none"/>
          <w:lang w:eastAsia="zh-CN"/>
        </w:rPr>
      </w:pPr>
      <w:r>
        <w:rPr>
          <w:color w:val="auto"/>
          <w:sz w:val="24"/>
          <w:highlight w:val="none"/>
          <w:lang w:eastAsia="zh-CN"/>
        </w:rPr>
        <w:t>其他利用项目或职权谋取不正当利益的行为。</w:t>
      </w:r>
    </w:p>
    <w:p>
      <w:pPr>
        <w:pStyle w:val="3"/>
        <w:tabs>
          <w:tab w:val="left" w:pos="1657"/>
        </w:tabs>
        <w:spacing w:before="160" w:line="362" w:lineRule="auto"/>
        <w:ind w:right="481" w:firstLine="480"/>
        <w:rPr>
          <w:color w:val="auto"/>
          <w:highlight w:val="none"/>
          <w:lang w:eastAsia="zh-CN"/>
        </w:rPr>
      </w:pPr>
      <w:r>
        <w:rPr>
          <w:color w:val="auto"/>
          <w:highlight w:val="none"/>
          <w:lang w:eastAsia="zh-CN"/>
        </w:rPr>
        <w:t>第三条</w:t>
      </w:r>
      <w:r>
        <w:rPr>
          <w:color w:val="auto"/>
          <w:highlight w:val="none"/>
          <w:lang w:eastAsia="zh-CN"/>
        </w:rPr>
        <w:tab/>
      </w:r>
      <w:r>
        <w:rPr>
          <w:color w:val="auto"/>
          <w:w w:val="95"/>
          <w:highlight w:val="none"/>
          <w:lang w:eastAsia="zh-CN"/>
        </w:rPr>
        <w:t xml:space="preserve">承包人及其工作人员不得通过商业贿赂等不正当手段谋取利益，包括下列行  </w:t>
      </w:r>
      <w:r>
        <w:rPr>
          <w:color w:val="auto"/>
          <w:highlight w:val="none"/>
          <w:lang w:eastAsia="zh-CN"/>
        </w:rPr>
        <w:t>为：</w:t>
      </w:r>
    </w:p>
    <w:p>
      <w:pPr>
        <w:pStyle w:val="11"/>
        <w:numPr>
          <w:ilvl w:val="1"/>
          <w:numId w:val="31"/>
        </w:numPr>
        <w:tabs>
          <w:tab w:val="left" w:pos="1292"/>
          <w:tab w:val="left" w:pos="1293"/>
        </w:tabs>
        <w:spacing w:before="5"/>
        <w:ind w:firstLine="480"/>
        <w:rPr>
          <w:color w:val="auto"/>
          <w:sz w:val="24"/>
          <w:highlight w:val="none"/>
          <w:lang w:eastAsia="zh-CN"/>
        </w:rPr>
      </w:pPr>
      <w:r>
        <w:rPr>
          <w:color w:val="auto"/>
          <w:sz w:val="24"/>
          <w:highlight w:val="none"/>
          <w:lang w:eastAsia="zh-CN"/>
        </w:rPr>
        <w:t>同意或主动向发包人及其工作人员提供第二条约定的禁止性行为；</w:t>
      </w:r>
    </w:p>
    <w:p>
      <w:pPr>
        <w:rPr>
          <w:color w:val="auto"/>
          <w:sz w:val="24"/>
          <w:highlight w:val="none"/>
          <w:lang w:eastAsia="zh-CN"/>
        </w:rPr>
        <w:sectPr>
          <w:pgSz w:w="11910" w:h="16840"/>
          <w:pgMar w:top="1340" w:right="900" w:bottom="1040" w:left="920" w:header="0" w:footer="858" w:gutter="0"/>
          <w:cols w:space="720" w:num="1"/>
        </w:sectPr>
      </w:pPr>
    </w:p>
    <w:p>
      <w:pPr>
        <w:pStyle w:val="11"/>
        <w:numPr>
          <w:ilvl w:val="1"/>
          <w:numId w:val="31"/>
        </w:numPr>
        <w:tabs>
          <w:tab w:val="left" w:pos="1292"/>
          <w:tab w:val="left" w:pos="1293"/>
        </w:tabs>
        <w:spacing w:before="56" w:line="364" w:lineRule="auto"/>
        <w:ind w:right="275" w:firstLine="480"/>
        <w:rPr>
          <w:color w:val="auto"/>
          <w:sz w:val="24"/>
          <w:highlight w:val="none"/>
          <w:lang w:eastAsia="zh-CN"/>
        </w:rPr>
      </w:pPr>
      <w:r>
        <w:rPr>
          <w:color w:val="auto"/>
          <w:sz w:val="24"/>
          <w:highlight w:val="none"/>
          <w:lang w:eastAsia="zh-CN"/>
        </w:rPr>
        <w:t>向与建设工程相关的代建、施工、监理（项目管理）、勘察、设计、咨询等有关单位及其工作人员进行商业贿赂，包括但不限于任何形式的礼品礼金、有价证券、购物卡、回扣、佣金、咨询费、劳务费、赞助费、宣传费，以及支付旅游费用、报销各种消费凭证 等。</w:t>
      </w:r>
    </w:p>
    <w:p>
      <w:pPr>
        <w:pStyle w:val="11"/>
        <w:numPr>
          <w:ilvl w:val="1"/>
          <w:numId w:val="31"/>
        </w:numPr>
        <w:tabs>
          <w:tab w:val="left" w:pos="1292"/>
          <w:tab w:val="left" w:pos="1293"/>
        </w:tabs>
        <w:spacing w:line="362" w:lineRule="auto"/>
        <w:ind w:right="395" w:firstLine="480"/>
        <w:rPr>
          <w:color w:val="auto"/>
          <w:sz w:val="24"/>
          <w:highlight w:val="none"/>
          <w:lang w:eastAsia="zh-CN"/>
        </w:rPr>
      </w:pPr>
      <w:r>
        <w:rPr>
          <w:color w:val="auto"/>
          <w:sz w:val="24"/>
          <w:highlight w:val="none"/>
          <w:lang w:eastAsia="zh-CN"/>
        </w:rPr>
        <w:t>接受与建设工程相关的代建、施工、监理（项目管理）、勘察、设计、咨询等有关单位及其工作人员的商业贿赂。</w:t>
      </w:r>
    </w:p>
    <w:p>
      <w:pPr>
        <w:pStyle w:val="11"/>
        <w:numPr>
          <w:ilvl w:val="1"/>
          <w:numId w:val="31"/>
        </w:numPr>
        <w:tabs>
          <w:tab w:val="left" w:pos="1292"/>
          <w:tab w:val="left" w:pos="1293"/>
        </w:tabs>
        <w:spacing w:before="2" w:line="364" w:lineRule="auto"/>
        <w:ind w:right="395" w:firstLine="480"/>
        <w:rPr>
          <w:color w:val="auto"/>
          <w:sz w:val="24"/>
          <w:highlight w:val="none"/>
          <w:lang w:eastAsia="zh-CN"/>
        </w:rPr>
      </w:pPr>
      <w:r>
        <w:rPr>
          <w:color w:val="auto"/>
          <w:sz w:val="24"/>
          <w:highlight w:val="none"/>
          <w:lang w:eastAsia="zh-CN"/>
        </w:rPr>
        <w:t>接受分包（工程分包、劳务分包等）单位、材料设备供应单位等单位及其工作人员的商业贿赂。</w:t>
      </w:r>
    </w:p>
    <w:p>
      <w:pPr>
        <w:pStyle w:val="11"/>
        <w:numPr>
          <w:ilvl w:val="1"/>
          <w:numId w:val="31"/>
        </w:numPr>
        <w:tabs>
          <w:tab w:val="left" w:pos="1292"/>
          <w:tab w:val="left" w:pos="1293"/>
        </w:tabs>
        <w:spacing w:line="306" w:lineRule="exact"/>
        <w:ind w:firstLine="480"/>
        <w:rPr>
          <w:color w:val="auto"/>
          <w:sz w:val="24"/>
          <w:highlight w:val="none"/>
          <w:lang w:eastAsia="zh-CN"/>
        </w:rPr>
      </w:pPr>
      <w:r>
        <w:rPr>
          <w:color w:val="auto"/>
          <w:sz w:val="24"/>
          <w:highlight w:val="none"/>
          <w:lang w:eastAsia="zh-CN"/>
        </w:rPr>
        <w:t>其他通过不正当手段谋取利益的行为。</w:t>
      </w:r>
    </w:p>
    <w:p>
      <w:pPr>
        <w:pStyle w:val="3"/>
        <w:tabs>
          <w:tab w:val="left" w:pos="1657"/>
        </w:tabs>
        <w:spacing w:before="159" w:line="364" w:lineRule="auto"/>
        <w:ind w:right="239" w:firstLine="480"/>
        <w:rPr>
          <w:color w:val="auto"/>
          <w:highlight w:val="none"/>
          <w:lang w:eastAsia="zh-CN"/>
        </w:rPr>
      </w:pPr>
      <w:r>
        <w:rPr>
          <w:color w:val="auto"/>
          <w:highlight w:val="none"/>
          <w:lang w:eastAsia="zh-CN"/>
        </w:rPr>
        <w:t>第四条</w:t>
      </w:r>
      <w:r>
        <w:rPr>
          <w:color w:val="auto"/>
          <w:highlight w:val="none"/>
          <w:lang w:eastAsia="zh-CN"/>
        </w:rPr>
        <w:tab/>
      </w:r>
      <w:r>
        <w:rPr>
          <w:color w:val="auto"/>
          <w:w w:val="95"/>
          <w:highlight w:val="none"/>
          <w:lang w:eastAsia="zh-CN"/>
        </w:rPr>
        <w:t xml:space="preserve">发包人、承包人及双方工作人员不得违规干预或插手建设工程招投标活动，禁  </w:t>
      </w:r>
      <w:r>
        <w:rPr>
          <w:color w:val="auto"/>
          <w:highlight w:val="none"/>
          <w:lang w:eastAsia="zh-CN"/>
        </w:rPr>
        <w:t>止串通投标（围标）等不正当竞争行为。</w:t>
      </w:r>
    </w:p>
    <w:p>
      <w:pPr>
        <w:tabs>
          <w:tab w:val="left" w:pos="1657"/>
        </w:tabs>
        <w:spacing w:line="306" w:lineRule="exact"/>
        <w:ind w:left="692"/>
        <w:rPr>
          <w:b/>
          <w:color w:val="auto"/>
          <w:sz w:val="24"/>
          <w:highlight w:val="none"/>
          <w:lang w:eastAsia="zh-CN"/>
        </w:rPr>
      </w:pPr>
      <w:r>
        <w:rPr>
          <w:b/>
          <w:color w:val="auto"/>
          <w:sz w:val="24"/>
          <w:highlight w:val="none"/>
          <w:lang w:eastAsia="zh-CN"/>
        </w:rPr>
        <w:t>第五条</w:t>
      </w:r>
      <w:r>
        <w:rPr>
          <w:b/>
          <w:color w:val="auto"/>
          <w:sz w:val="24"/>
          <w:highlight w:val="none"/>
          <w:lang w:eastAsia="zh-CN"/>
        </w:rPr>
        <w:tab/>
      </w:r>
      <w:r>
        <w:rPr>
          <w:b/>
          <w:color w:val="auto"/>
          <w:sz w:val="24"/>
          <w:highlight w:val="none"/>
          <w:lang w:eastAsia="zh-CN"/>
        </w:rPr>
        <w:t>廉洁风险防控机制</w:t>
      </w:r>
    </w:p>
    <w:p>
      <w:pPr>
        <w:pStyle w:val="5"/>
        <w:spacing w:before="160" w:line="364" w:lineRule="auto"/>
        <w:ind w:right="275" w:firstLine="480"/>
        <w:jc w:val="both"/>
        <w:rPr>
          <w:color w:val="auto"/>
          <w:highlight w:val="none"/>
          <w:lang w:eastAsia="zh-CN"/>
        </w:rPr>
      </w:pPr>
      <w:r>
        <w:rPr>
          <w:color w:val="auto"/>
          <w:highlight w:val="none"/>
          <w:lang w:eastAsia="zh-CN"/>
        </w:rPr>
        <w:t>发包人、承包人双方均有义务建立健全廉洁风险防控机制，排查、梳理建设工程业务流程及关键工作岗位涉及的廉洁风险点，有针对性地逐项制定防控措施，加强对单位工作人员的廉洁教育，预警在先、防范在前，风险定到岗、制度建到位、责任落到人。发现对方在业务活动中有违反廉洁规定的行为，应及时给予提醒和纠正。</w:t>
      </w:r>
    </w:p>
    <w:p>
      <w:pPr>
        <w:pStyle w:val="3"/>
        <w:tabs>
          <w:tab w:val="left" w:pos="1657"/>
        </w:tabs>
        <w:spacing w:line="305" w:lineRule="exact"/>
        <w:ind w:left="692"/>
        <w:rPr>
          <w:color w:val="auto"/>
          <w:highlight w:val="none"/>
        </w:rPr>
      </w:pPr>
      <w:r>
        <w:rPr>
          <w:color w:val="auto"/>
          <w:highlight w:val="none"/>
        </w:rPr>
        <w:t>第六条</w:t>
      </w:r>
      <w:r>
        <w:rPr>
          <w:color w:val="auto"/>
          <w:highlight w:val="none"/>
        </w:rPr>
        <w:tab/>
      </w:r>
      <w:r>
        <w:rPr>
          <w:color w:val="auto"/>
          <w:highlight w:val="none"/>
        </w:rPr>
        <w:t>廉洁违约责任</w:t>
      </w:r>
    </w:p>
    <w:p>
      <w:pPr>
        <w:pStyle w:val="11"/>
        <w:numPr>
          <w:ilvl w:val="1"/>
          <w:numId w:val="32"/>
        </w:numPr>
        <w:tabs>
          <w:tab w:val="left" w:pos="1292"/>
          <w:tab w:val="left" w:pos="1293"/>
        </w:tabs>
        <w:spacing w:before="161" w:line="364" w:lineRule="auto"/>
        <w:ind w:right="275" w:firstLine="480"/>
        <w:rPr>
          <w:color w:val="auto"/>
          <w:sz w:val="24"/>
          <w:highlight w:val="none"/>
          <w:lang w:eastAsia="zh-CN"/>
        </w:rPr>
      </w:pPr>
      <w:r>
        <w:rPr>
          <w:color w:val="auto"/>
          <w:sz w:val="24"/>
          <w:highlight w:val="none"/>
          <w:lang w:eastAsia="zh-CN"/>
        </w:rPr>
        <w:t>发包人及其工作人员违反本合同第二条和第四条规定，相关责任人应受到相应的党纪政务（纪）处分，涉嫌犯罪的，移送司法机关依法处理；给承包人造成经济损失的，应承担相应的赔偿责任。</w:t>
      </w:r>
    </w:p>
    <w:p>
      <w:pPr>
        <w:pStyle w:val="11"/>
        <w:numPr>
          <w:ilvl w:val="1"/>
          <w:numId w:val="32"/>
        </w:numPr>
        <w:tabs>
          <w:tab w:val="left" w:pos="1292"/>
          <w:tab w:val="left" w:pos="1293"/>
        </w:tabs>
        <w:spacing w:line="364" w:lineRule="auto"/>
        <w:ind w:right="275" w:firstLine="480"/>
        <w:rPr>
          <w:color w:val="auto"/>
          <w:sz w:val="24"/>
          <w:highlight w:val="none"/>
          <w:lang w:eastAsia="zh-CN"/>
        </w:rPr>
      </w:pPr>
      <w:r>
        <w:rPr>
          <w:color w:val="auto"/>
          <w:sz w:val="24"/>
          <w:highlight w:val="none"/>
          <w:lang w:eastAsia="zh-CN"/>
        </w:rPr>
        <w:t>承包人及其工作人员违反本合同第三条和第四条规定，经有关主管部门查证属实或者经纪检监察机关认定违纪、经司法机关依法确定构成违法犯罪的，承包人应按次向发包人支付廉洁违约金（</w:t>
      </w:r>
      <w:r>
        <w:rPr>
          <w:color w:val="auto"/>
          <w:spacing w:val="-5"/>
          <w:sz w:val="24"/>
          <w:highlight w:val="none"/>
          <w:lang w:eastAsia="zh-CN"/>
        </w:rPr>
        <w:t xml:space="preserve">施工类建设项目合同价款 </w:t>
      </w:r>
      <w:r>
        <w:rPr>
          <w:color w:val="auto"/>
          <w:sz w:val="24"/>
          <w:highlight w:val="none"/>
          <w:lang w:eastAsia="zh-CN"/>
        </w:rPr>
        <w:t>2%</w:t>
      </w:r>
      <w:r>
        <w:rPr>
          <w:color w:val="auto"/>
          <w:spacing w:val="-12"/>
          <w:sz w:val="24"/>
          <w:highlight w:val="none"/>
          <w:lang w:eastAsia="zh-CN"/>
        </w:rPr>
        <w:t xml:space="preserve">且不超过 </w:t>
      </w:r>
      <w:r>
        <w:rPr>
          <w:color w:val="auto"/>
          <w:sz w:val="24"/>
          <w:highlight w:val="none"/>
          <w:lang w:eastAsia="zh-CN"/>
        </w:rPr>
        <w:t>100</w:t>
      </w:r>
      <w:r>
        <w:rPr>
          <w:color w:val="auto"/>
          <w:spacing w:val="-8"/>
          <w:sz w:val="24"/>
          <w:highlight w:val="none"/>
          <w:lang w:eastAsia="zh-CN"/>
        </w:rPr>
        <w:t xml:space="preserve"> 万元人民币，服务类建设项</w:t>
      </w:r>
      <w:r>
        <w:rPr>
          <w:color w:val="auto"/>
          <w:spacing w:val="-17"/>
          <w:sz w:val="24"/>
          <w:highlight w:val="none"/>
          <w:lang w:eastAsia="zh-CN"/>
        </w:rPr>
        <w:t xml:space="preserve">目合同价款 </w:t>
      </w:r>
      <w:r>
        <w:rPr>
          <w:color w:val="auto"/>
          <w:sz w:val="24"/>
          <w:highlight w:val="none"/>
          <w:lang w:eastAsia="zh-CN"/>
        </w:rPr>
        <w:t>5%</w:t>
      </w:r>
      <w:r>
        <w:rPr>
          <w:color w:val="auto"/>
          <w:spacing w:val="-12"/>
          <w:sz w:val="24"/>
          <w:highlight w:val="none"/>
          <w:lang w:eastAsia="zh-CN"/>
        </w:rPr>
        <w:t xml:space="preserve">且不超过 </w:t>
      </w:r>
      <w:r>
        <w:rPr>
          <w:color w:val="auto"/>
          <w:sz w:val="24"/>
          <w:highlight w:val="none"/>
          <w:lang w:eastAsia="zh-CN"/>
        </w:rPr>
        <w:t>50</w:t>
      </w:r>
      <w:r>
        <w:rPr>
          <w:color w:val="auto"/>
          <w:spacing w:val="-10"/>
          <w:sz w:val="24"/>
          <w:highlight w:val="none"/>
          <w:lang w:eastAsia="zh-CN"/>
        </w:rPr>
        <w:t xml:space="preserve"> 万元人民币</w:t>
      </w:r>
      <w:r>
        <w:rPr>
          <w:color w:val="auto"/>
          <w:sz w:val="24"/>
          <w:highlight w:val="none"/>
          <w:lang w:eastAsia="zh-CN"/>
        </w:rPr>
        <w:t>）；给发包人造成经济损失的，还应承担相应的赔偿责任。同时，发包人有权：（1）如承包人的行为严重影响合同的履行或者严重干扰市场公平竞争营商环境，可单方解除主合同；（2）将承包人的履约评价评为不合格，并拒绝其参与发包人负责实施项目的投标或摇珠；（3）将有关情况报相关主管部门记录，作为企业诚信评分考核，建议给予通报并向社会进行公示。</w:t>
      </w:r>
    </w:p>
    <w:p>
      <w:pPr>
        <w:pStyle w:val="3"/>
        <w:tabs>
          <w:tab w:val="left" w:pos="1657"/>
        </w:tabs>
        <w:spacing w:line="305" w:lineRule="exact"/>
        <w:ind w:left="692"/>
        <w:rPr>
          <w:color w:val="auto"/>
          <w:highlight w:val="none"/>
          <w:lang w:eastAsia="zh-CN"/>
        </w:rPr>
      </w:pPr>
      <w:r>
        <w:rPr>
          <w:color w:val="auto"/>
          <w:highlight w:val="none"/>
          <w:lang w:eastAsia="zh-CN"/>
        </w:rPr>
        <w:t>第七条</w:t>
      </w:r>
      <w:r>
        <w:rPr>
          <w:color w:val="auto"/>
          <w:highlight w:val="none"/>
          <w:lang w:eastAsia="zh-CN"/>
        </w:rPr>
        <w:tab/>
      </w:r>
      <w:r>
        <w:rPr>
          <w:color w:val="auto"/>
          <w:highlight w:val="none"/>
          <w:lang w:eastAsia="zh-CN"/>
        </w:rPr>
        <w:t>监督举报</w:t>
      </w:r>
    </w:p>
    <w:p>
      <w:pPr>
        <w:spacing w:line="305" w:lineRule="exact"/>
        <w:rPr>
          <w:color w:val="auto"/>
          <w:highlight w:val="none"/>
          <w:lang w:eastAsia="zh-CN"/>
        </w:rPr>
        <w:sectPr>
          <w:footerReference r:id="rId7" w:type="default"/>
          <w:pgSz w:w="11910" w:h="16840"/>
          <w:pgMar w:top="1080" w:right="900" w:bottom="1040" w:left="920" w:header="0" w:footer="858" w:gutter="0"/>
          <w:pgNumType w:start="40"/>
          <w:cols w:space="720" w:num="1"/>
        </w:sectPr>
      </w:pPr>
    </w:p>
    <w:p>
      <w:pPr>
        <w:pStyle w:val="5"/>
        <w:spacing w:before="56" w:line="364" w:lineRule="auto"/>
        <w:ind w:right="275" w:firstLine="480"/>
        <w:rPr>
          <w:color w:val="auto"/>
          <w:highlight w:val="none"/>
          <w:lang w:eastAsia="zh-CN"/>
        </w:rPr>
      </w:pPr>
      <w:r>
        <w:rPr>
          <w:color w:val="auto"/>
          <w:highlight w:val="none"/>
          <w:lang w:eastAsia="zh-CN"/>
        </w:rPr>
        <w:t>发包人、承包人均有监督举报的权利和义务，发现对方有违反本合同的行为，可向南沙区纪委监委举报。南沙区纪委监委将按照相关规定予以受理，鼓励实名举报，严查诬告陷 害，对实名举报有功人员给予一定的现金奖励，对诬告陷害的依规依纪依法给予处理。</w:t>
      </w:r>
    </w:p>
    <w:p>
      <w:pPr>
        <w:pStyle w:val="3"/>
        <w:spacing w:line="305" w:lineRule="exact"/>
        <w:ind w:left="692"/>
        <w:rPr>
          <w:b w:val="0"/>
          <w:color w:val="auto"/>
          <w:highlight w:val="none"/>
          <w:lang w:eastAsia="zh-CN"/>
        </w:rPr>
      </w:pPr>
      <w:r>
        <w:rPr>
          <w:color w:val="auto"/>
          <w:highlight w:val="none"/>
          <w:lang w:eastAsia="zh-CN"/>
        </w:rPr>
        <w:t>南沙区纪委监委举报方式</w:t>
      </w:r>
      <w:r>
        <w:rPr>
          <w:b w:val="0"/>
          <w:color w:val="auto"/>
          <w:highlight w:val="none"/>
          <w:lang w:eastAsia="zh-CN"/>
        </w:rPr>
        <w:t>：</w:t>
      </w:r>
    </w:p>
    <w:p>
      <w:pPr>
        <w:pStyle w:val="5"/>
        <w:spacing w:before="160" w:line="362" w:lineRule="auto"/>
        <w:ind w:left="692" w:right="1106"/>
        <w:rPr>
          <w:color w:val="auto"/>
          <w:highlight w:val="none"/>
          <w:lang w:eastAsia="zh-CN"/>
        </w:rPr>
      </w:pPr>
      <w:r>
        <w:rPr>
          <w:color w:val="auto"/>
          <w:highlight w:val="none"/>
          <w:lang w:eastAsia="zh-CN"/>
        </w:rPr>
        <w:t>来信举报：广州市南沙区凤凰大道一号南沙区纪委监委信访室，邮编 511455； 电话举报：020-84986949，020-12388；</w:t>
      </w:r>
    </w:p>
    <w:p>
      <w:pPr>
        <w:pStyle w:val="5"/>
        <w:spacing w:before="5" w:line="364" w:lineRule="auto"/>
        <w:ind w:left="692" w:right="4475"/>
        <w:rPr>
          <w:color w:val="auto"/>
          <w:highlight w:val="none"/>
          <w:lang w:eastAsia="zh-CN"/>
        </w:rPr>
      </w:pPr>
      <w:r>
        <w:rPr>
          <w:color w:val="auto"/>
          <w:highlight w:val="none"/>
        </w:rPr>
        <w:fldChar w:fldCharType="begin"/>
      </w:r>
      <w:r>
        <w:rPr>
          <w:color w:val="auto"/>
          <w:highlight w:val="none"/>
        </w:rPr>
        <w:instrText xml:space="preserve"> HYPERLINK "http://guangdong.12388.gov.cn锛/" \h </w:instrText>
      </w:r>
      <w:r>
        <w:rPr>
          <w:color w:val="auto"/>
          <w:highlight w:val="none"/>
        </w:rPr>
        <w:fldChar w:fldCharType="separate"/>
      </w:r>
      <w:r>
        <w:rPr>
          <w:color w:val="auto"/>
          <w:highlight w:val="none"/>
          <w:lang w:eastAsia="zh-CN"/>
        </w:rPr>
        <w:t xml:space="preserve">网络举报：http://guangdong.12388.gov.cn； </w:t>
      </w:r>
      <w:r>
        <w:rPr>
          <w:color w:val="auto"/>
          <w:highlight w:val="none"/>
          <w:lang w:eastAsia="zh-CN"/>
        </w:rPr>
        <w:fldChar w:fldCharType="end"/>
      </w:r>
      <w:r>
        <w:rPr>
          <w:color w:val="auto"/>
          <w:highlight w:val="none"/>
          <w:lang w:eastAsia="zh-CN"/>
        </w:rPr>
        <w:t>二维码举报：</w:t>
      </w:r>
    </w:p>
    <w:p>
      <w:pPr>
        <w:pStyle w:val="5"/>
        <w:spacing w:before="8"/>
        <w:ind w:left="0"/>
        <w:rPr>
          <w:color w:val="auto"/>
          <w:sz w:val="11"/>
          <w:highlight w:val="none"/>
          <w:lang w:eastAsia="zh-CN"/>
        </w:rPr>
      </w:pPr>
      <w:r>
        <w:rPr>
          <w:color w:val="auto"/>
          <w:highlight w:val="none"/>
          <w:lang w:eastAsia="zh-CN"/>
        </w:rPr>
        <w:drawing>
          <wp:anchor distT="0" distB="0" distL="0" distR="0" simplePos="0" relativeHeight="251659264" behindDoc="0" locked="0" layoutInCell="1" allowOverlap="1">
            <wp:simplePos x="0" y="0"/>
            <wp:positionH relativeFrom="page">
              <wp:posOffset>2299335</wp:posOffset>
            </wp:positionH>
            <wp:positionV relativeFrom="paragraph">
              <wp:posOffset>119380</wp:posOffset>
            </wp:positionV>
            <wp:extent cx="1776095" cy="2178050"/>
            <wp:effectExtent l="0" t="0" r="0" b="0"/>
            <wp:wrapTopAndBottom/>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pic:cNvPicPr>
                      <a:picLocks noChangeAspect="1"/>
                    </pic:cNvPicPr>
                  </pic:nvPicPr>
                  <pic:blipFill>
                    <a:blip r:embed="rId9" cstate="print"/>
                    <a:stretch>
                      <a:fillRect/>
                    </a:stretch>
                  </pic:blipFill>
                  <pic:spPr>
                    <a:xfrm>
                      <a:off x="0" y="0"/>
                      <a:ext cx="1775819" cy="2177891"/>
                    </a:xfrm>
                    <a:prstGeom prst="rect">
                      <a:avLst/>
                    </a:prstGeom>
                  </pic:spPr>
                </pic:pic>
              </a:graphicData>
            </a:graphic>
          </wp:anchor>
        </w:drawing>
      </w:r>
    </w:p>
    <w:p>
      <w:pPr>
        <w:pStyle w:val="3"/>
        <w:tabs>
          <w:tab w:val="left" w:pos="1657"/>
        </w:tabs>
        <w:ind w:left="692"/>
        <w:rPr>
          <w:color w:val="auto"/>
          <w:highlight w:val="none"/>
          <w:lang w:eastAsia="zh-CN"/>
        </w:rPr>
      </w:pPr>
      <w:r>
        <w:rPr>
          <w:color w:val="auto"/>
          <w:highlight w:val="none"/>
          <w:lang w:eastAsia="zh-CN"/>
        </w:rPr>
        <w:t>第八条</w:t>
      </w:r>
      <w:r>
        <w:rPr>
          <w:color w:val="auto"/>
          <w:highlight w:val="none"/>
          <w:lang w:eastAsia="zh-CN"/>
        </w:rPr>
        <w:tab/>
      </w:r>
      <w:r>
        <w:rPr>
          <w:color w:val="auto"/>
          <w:highlight w:val="none"/>
          <w:lang w:eastAsia="zh-CN"/>
        </w:rPr>
        <w:t>其他约定</w:t>
      </w:r>
    </w:p>
    <w:p>
      <w:pPr>
        <w:pStyle w:val="5"/>
        <w:spacing w:before="158" w:line="364" w:lineRule="auto"/>
        <w:ind w:right="275" w:firstLine="480"/>
        <w:jc w:val="both"/>
        <w:rPr>
          <w:color w:val="auto"/>
          <w:highlight w:val="none"/>
          <w:lang w:eastAsia="zh-CN"/>
        </w:rPr>
      </w:pPr>
      <w:r>
        <w:rPr>
          <w:color w:val="auto"/>
          <w:highlight w:val="none"/>
          <w:lang w:eastAsia="zh-CN"/>
        </w:rPr>
        <w:t>本合同作为双方所签署主合同的附件，与主合同具有同等法律效力。对项目涉及的廉洁问题，不受项目竣工验收、工作人员离职或退休等原因影响，发包人、承包人仍应按合同约定承担相应的违约责任。</w:t>
      </w:r>
    </w:p>
    <w:p>
      <w:pPr>
        <w:pStyle w:val="5"/>
        <w:tabs>
          <w:tab w:val="left" w:pos="1657"/>
          <w:tab w:val="left" w:pos="3337"/>
          <w:tab w:val="left" w:pos="5137"/>
        </w:tabs>
        <w:spacing w:line="307" w:lineRule="exact"/>
        <w:ind w:left="692"/>
        <w:rPr>
          <w:color w:val="auto"/>
          <w:highlight w:val="none"/>
          <w:lang w:eastAsia="zh-CN"/>
        </w:rPr>
      </w:pPr>
      <w:r>
        <w:rPr>
          <w:b/>
          <w:color w:val="auto"/>
          <w:highlight w:val="none"/>
          <w:lang w:eastAsia="zh-CN"/>
        </w:rPr>
        <w:t>第九条</w:t>
      </w:r>
      <w:r>
        <w:rPr>
          <w:b/>
          <w:color w:val="auto"/>
          <w:highlight w:val="none"/>
          <w:lang w:eastAsia="zh-CN"/>
        </w:rPr>
        <w:tab/>
      </w:r>
      <w:r>
        <w:rPr>
          <w:color w:val="auto"/>
          <w:highlight w:val="none"/>
          <w:lang w:eastAsia="zh-CN"/>
        </w:rPr>
        <w:t>本合同一式</w:t>
      </w:r>
      <w:r>
        <w:rPr>
          <w:rFonts w:hint="eastAsia"/>
          <w:color w:val="auto"/>
          <w:highlight w:val="none"/>
          <w:lang w:eastAsia="zh-CN"/>
        </w:rPr>
        <w:t>8</w:t>
      </w:r>
      <w:r>
        <w:rPr>
          <w:color w:val="auto"/>
          <w:highlight w:val="none"/>
          <w:lang w:eastAsia="zh-CN"/>
        </w:rPr>
        <w:t>份，各方各执</w:t>
      </w:r>
      <w:r>
        <w:rPr>
          <w:rFonts w:hint="eastAsia"/>
          <w:color w:val="auto"/>
          <w:highlight w:val="none"/>
          <w:lang w:eastAsia="zh-CN"/>
        </w:rPr>
        <w:t>4</w:t>
      </w:r>
      <w:r>
        <w:rPr>
          <w:color w:val="auto"/>
          <w:highlight w:val="none"/>
          <w:lang w:eastAsia="zh-CN"/>
        </w:rPr>
        <w:t>份，</w:t>
      </w:r>
      <w:r>
        <w:rPr>
          <w:color w:val="auto"/>
          <w:highlight w:val="none"/>
          <w:lang w:eastAsia="zh-CN"/>
        </w:rPr>
        <w:t>送交南沙区水务局纪检组一份。</w:t>
      </w:r>
    </w:p>
    <w:p>
      <w:pPr>
        <w:spacing w:line="307" w:lineRule="exact"/>
        <w:rPr>
          <w:color w:val="auto"/>
          <w:highlight w:val="none"/>
          <w:lang w:eastAsia="zh-CN"/>
        </w:rPr>
        <w:sectPr>
          <w:pgSz w:w="11910" w:h="16840"/>
          <w:pgMar w:top="1080" w:right="900" w:bottom="1040" w:left="920" w:header="0" w:footer="858" w:gutter="0"/>
          <w:cols w:space="720" w:num="1"/>
        </w:sectPr>
      </w:pPr>
    </w:p>
    <w:p>
      <w:pPr>
        <w:pStyle w:val="5"/>
        <w:tabs>
          <w:tab w:val="left" w:pos="1412"/>
          <w:tab w:val="left" w:pos="4892"/>
        </w:tabs>
        <w:spacing w:before="56"/>
        <w:rPr>
          <w:color w:val="auto"/>
          <w:highlight w:val="none"/>
          <w:lang w:eastAsia="zh-CN"/>
        </w:rPr>
      </w:pPr>
      <w:r>
        <w:rPr>
          <w:color w:val="auto"/>
          <w:highlight w:val="none"/>
          <w:lang w:eastAsia="zh-CN"/>
        </w:rPr>
        <w:t>发包人：</w:t>
      </w:r>
      <w:r>
        <w:rPr>
          <w:color w:val="auto"/>
          <w:highlight w:val="none"/>
          <w:lang w:eastAsia="zh-CN"/>
        </w:rPr>
        <w:tab/>
      </w:r>
      <w:r>
        <w:rPr>
          <w:color w:val="auto"/>
          <w:highlight w:val="none"/>
          <w:lang w:eastAsia="zh-CN"/>
        </w:rPr>
        <w:t>（公章）</w:t>
      </w:r>
    </w:p>
    <w:p>
      <w:pPr>
        <w:pStyle w:val="5"/>
        <w:tabs>
          <w:tab w:val="left" w:pos="1412"/>
          <w:tab w:val="left" w:pos="4892"/>
        </w:tabs>
        <w:spacing w:before="56"/>
        <w:rPr>
          <w:color w:val="auto"/>
          <w:highlight w:val="none"/>
          <w:lang w:eastAsia="zh-CN"/>
        </w:rPr>
      </w:pPr>
      <w:r>
        <w:rPr>
          <w:color w:val="auto"/>
          <w:highlight w:val="none"/>
          <w:lang w:eastAsia="zh-CN"/>
        </w:rPr>
        <w:tab/>
      </w:r>
    </w:p>
    <w:p>
      <w:pPr>
        <w:pStyle w:val="5"/>
        <w:tabs>
          <w:tab w:val="left" w:pos="4892"/>
        </w:tabs>
        <w:spacing w:before="160"/>
        <w:rPr>
          <w:color w:val="auto"/>
          <w:highlight w:val="none"/>
          <w:lang w:eastAsia="zh-CN"/>
        </w:rPr>
      </w:pPr>
      <w:r>
        <w:rPr>
          <w:color w:val="auto"/>
          <w:highlight w:val="none"/>
          <w:lang w:eastAsia="zh-CN"/>
        </w:rPr>
        <w:t>法定代表人（或其委托代理人）：</w:t>
      </w:r>
      <w:r>
        <w:rPr>
          <w:color w:val="auto"/>
          <w:highlight w:val="none"/>
          <w:lang w:eastAsia="zh-CN"/>
        </w:rPr>
        <w:tab/>
      </w:r>
    </w:p>
    <w:p>
      <w:pPr>
        <w:pStyle w:val="5"/>
        <w:tabs>
          <w:tab w:val="left" w:pos="4892"/>
        </w:tabs>
        <w:spacing w:before="159"/>
        <w:rPr>
          <w:color w:val="auto"/>
          <w:highlight w:val="none"/>
          <w:lang w:eastAsia="zh-CN"/>
        </w:rPr>
      </w:pPr>
      <w:r>
        <w:rPr>
          <w:color w:val="auto"/>
          <w:highlight w:val="none"/>
          <w:lang w:eastAsia="zh-CN"/>
        </w:rPr>
        <w:t>（签章）</w:t>
      </w:r>
      <w:r>
        <w:rPr>
          <w:color w:val="auto"/>
          <w:highlight w:val="none"/>
          <w:lang w:eastAsia="zh-CN"/>
        </w:rPr>
        <w:tab/>
      </w:r>
    </w:p>
    <w:p>
      <w:pPr>
        <w:pStyle w:val="5"/>
        <w:ind w:left="0"/>
        <w:rPr>
          <w:color w:val="auto"/>
          <w:highlight w:val="none"/>
          <w:lang w:eastAsia="zh-CN"/>
        </w:rPr>
      </w:pPr>
    </w:p>
    <w:p>
      <w:pPr>
        <w:pStyle w:val="5"/>
        <w:spacing w:before="11"/>
        <w:ind w:left="0"/>
        <w:rPr>
          <w:color w:val="auto"/>
          <w:highlight w:val="none"/>
          <w:lang w:eastAsia="zh-CN"/>
        </w:rPr>
      </w:pPr>
    </w:p>
    <w:p>
      <w:pPr>
        <w:pStyle w:val="5"/>
        <w:tabs>
          <w:tab w:val="left" w:pos="692"/>
          <w:tab w:val="left" w:pos="5012"/>
          <w:tab w:val="left" w:pos="5492"/>
        </w:tabs>
        <w:rPr>
          <w:color w:val="auto"/>
          <w:highlight w:val="none"/>
          <w:lang w:eastAsia="zh-CN"/>
        </w:rPr>
      </w:pPr>
      <w:r>
        <w:rPr>
          <w:color w:val="auto"/>
          <w:highlight w:val="none"/>
          <w:lang w:eastAsia="zh-CN"/>
        </w:rPr>
        <w:t>日</w:t>
      </w:r>
      <w:r>
        <w:rPr>
          <w:color w:val="auto"/>
          <w:highlight w:val="none"/>
          <w:lang w:eastAsia="zh-CN"/>
        </w:rPr>
        <w:tab/>
      </w:r>
      <w:r>
        <w:rPr>
          <w:color w:val="auto"/>
          <w:highlight w:val="none"/>
          <w:lang w:eastAsia="zh-CN"/>
        </w:rPr>
        <w:t>期：</w:t>
      </w:r>
      <w:r>
        <w:rPr>
          <w:color w:val="auto"/>
          <w:highlight w:val="none"/>
          <w:lang w:eastAsia="zh-CN"/>
        </w:rPr>
        <w:tab/>
      </w:r>
    </w:p>
    <w:p>
      <w:pPr>
        <w:pStyle w:val="5"/>
        <w:ind w:left="0"/>
        <w:rPr>
          <w:color w:val="auto"/>
          <w:highlight w:val="none"/>
          <w:lang w:eastAsia="zh-CN"/>
        </w:rPr>
      </w:pPr>
    </w:p>
    <w:p>
      <w:pPr>
        <w:pStyle w:val="5"/>
        <w:ind w:left="0"/>
        <w:rPr>
          <w:color w:val="auto"/>
          <w:highlight w:val="none"/>
          <w:lang w:eastAsia="zh-CN"/>
        </w:rPr>
      </w:pPr>
    </w:p>
    <w:p>
      <w:pPr>
        <w:pStyle w:val="5"/>
        <w:ind w:left="0"/>
        <w:rPr>
          <w:color w:val="auto"/>
          <w:highlight w:val="none"/>
          <w:lang w:eastAsia="zh-CN"/>
        </w:rPr>
      </w:pPr>
    </w:p>
    <w:p>
      <w:pPr>
        <w:pStyle w:val="5"/>
        <w:spacing w:before="171"/>
        <w:rPr>
          <w:color w:val="auto"/>
          <w:highlight w:val="none"/>
          <w:lang w:eastAsia="zh-CN"/>
        </w:rPr>
      </w:pPr>
      <w:r>
        <w:rPr>
          <w:color w:val="auto"/>
          <w:highlight w:val="none"/>
          <w:lang w:eastAsia="zh-CN"/>
        </w:rPr>
        <w:t>承包人（公章）</w:t>
      </w:r>
    </w:p>
    <w:p>
      <w:pPr>
        <w:pStyle w:val="5"/>
        <w:ind w:left="0"/>
        <w:rPr>
          <w:color w:val="auto"/>
          <w:highlight w:val="none"/>
          <w:lang w:eastAsia="zh-CN"/>
        </w:rPr>
      </w:pPr>
    </w:p>
    <w:p>
      <w:pPr>
        <w:pStyle w:val="5"/>
        <w:spacing w:before="11"/>
        <w:ind w:left="0"/>
        <w:rPr>
          <w:color w:val="auto"/>
          <w:highlight w:val="none"/>
          <w:lang w:eastAsia="zh-CN"/>
        </w:rPr>
      </w:pPr>
    </w:p>
    <w:p>
      <w:pPr>
        <w:pStyle w:val="5"/>
        <w:rPr>
          <w:color w:val="auto"/>
          <w:highlight w:val="none"/>
          <w:lang w:eastAsia="zh-CN"/>
        </w:rPr>
      </w:pPr>
      <w:r>
        <w:rPr>
          <w:color w:val="auto"/>
          <w:highlight w:val="none"/>
          <w:lang w:eastAsia="zh-CN"/>
        </w:rPr>
        <w:t>法定代表人（或其委托代理人）：</w:t>
      </w:r>
    </w:p>
    <w:p>
      <w:pPr>
        <w:pStyle w:val="5"/>
        <w:spacing w:before="158"/>
        <w:rPr>
          <w:color w:val="auto"/>
          <w:highlight w:val="none"/>
          <w:lang w:eastAsia="zh-CN"/>
        </w:rPr>
      </w:pPr>
      <w:r>
        <w:rPr>
          <w:color w:val="auto"/>
          <w:highlight w:val="none"/>
          <w:lang w:eastAsia="zh-CN"/>
        </w:rPr>
        <w:t>（签章）</w:t>
      </w:r>
    </w:p>
    <w:p>
      <w:pPr>
        <w:pStyle w:val="5"/>
        <w:ind w:left="0"/>
        <w:rPr>
          <w:color w:val="auto"/>
          <w:highlight w:val="none"/>
          <w:lang w:eastAsia="zh-CN"/>
        </w:rPr>
      </w:pPr>
    </w:p>
    <w:p>
      <w:pPr>
        <w:pStyle w:val="5"/>
        <w:spacing w:before="1"/>
        <w:ind w:left="0"/>
        <w:rPr>
          <w:color w:val="auto"/>
          <w:sz w:val="25"/>
          <w:highlight w:val="none"/>
          <w:lang w:eastAsia="zh-CN"/>
        </w:rPr>
      </w:pPr>
    </w:p>
    <w:p>
      <w:pPr>
        <w:pStyle w:val="5"/>
        <w:tabs>
          <w:tab w:val="left" w:pos="692"/>
        </w:tabs>
        <w:rPr>
          <w:color w:val="auto"/>
          <w:highlight w:val="none"/>
          <w:lang w:eastAsia="zh-CN"/>
        </w:rPr>
      </w:pPr>
      <w:r>
        <w:rPr>
          <w:color w:val="auto"/>
          <w:highlight w:val="none"/>
          <w:lang w:eastAsia="zh-CN"/>
        </w:rPr>
        <w:t>日</w:t>
      </w:r>
      <w:r>
        <w:rPr>
          <w:color w:val="auto"/>
          <w:highlight w:val="none"/>
          <w:lang w:eastAsia="zh-CN"/>
        </w:rPr>
        <w:tab/>
      </w:r>
      <w:r>
        <w:rPr>
          <w:color w:val="auto"/>
          <w:highlight w:val="none"/>
          <w:lang w:eastAsia="zh-CN"/>
        </w:rPr>
        <w:t>期：</w:t>
      </w:r>
    </w:p>
    <w:p>
      <w:pPr>
        <w:rPr>
          <w:color w:val="auto"/>
          <w:highlight w:val="none"/>
          <w:lang w:eastAsia="zh-CN"/>
        </w:rPr>
        <w:sectPr>
          <w:pgSz w:w="11910" w:h="16840"/>
          <w:pgMar w:top="1080" w:right="900" w:bottom="1040" w:left="920" w:header="0" w:footer="858" w:gutter="0"/>
          <w:cols w:space="720" w:num="1"/>
        </w:sectPr>
      </w:pPr>
    </w:p>
    <w:p>
      <w:pPr>
        <w:pStyle w:val="5"/>
        <w:spacing w:before="45"/>
        <w:rPr>
          <w:color w:val="auto"/>
          <w:highlight w:val="none"/>
          <w:lang w:eastAsia="zh-CN"/>
        </w:rPr>
      </w:pPr>
      <w:bookmarkStart w:id="10" w:name="_bookmark5"/>
      <w:bookmarkEnd w:id="10"/>
      <w:bookmarkStart w:id="11" w:name="附件2：各阶段工作成果文件的要求"/>
      <w:bookmarkEnd w:id="11"/>
      <w:r>
        <w:rPr>
          <w:color w:val="auto"/>
          <w:highlight w:val="none"/>
          <w:lang w:eastAsia="zh-CN"/>
        </w:rPr>
        <w:t>附件 2：各阶段工作成果文件的要求</w:t>
      </w:r>
    </w:p>
    <w:p>
      <w:pPr>
        <w:pStyle w:val="5"/>
        <w:ind w:left="0"/>
        <w:rPr>
          <w:color w:val="auto"/>
          <w:highlight w:val="none"/>
          <w:lang w:eastAsia="zh-CN"/>
        </w:rPr>
      </w:pPr>
    </w:p>
    <w:p>
      <w:pPr>
        <w:pStyle w:val="5"/>
        <w:spacing w:before="7"/>
        <w:ind w:left="0"/>
        <w:rPr>
          <w:color w:val="auto"/>
          <w:sz w:val="35"/>
          <w:highlight w:val="none"/>
          <w:lang w:eastAsia="zh-CN"/>
        </w:rPr>
      </w:pPr>
    </w:p>
    <w:p>
      <w:pPr>
        <w:pStyle w:val="5"/>
        <w:rPr>
          <w:color w:val="auto"/>
          <w:highlight w:val="none"/>
          <w:lang w:eastAsia="zh-CN"/>
        </w:rPr>
      </w:pPr>
      <w:bookmarkStart w:id="12" w:name="附件3：项目管理、施工监理机构及人员"/>
      <w:bookmarkEnd w:id="12"/>
      <w:bookmarkStart w:id="13" w:name="_bookmark6"/>
      <w:bookmarkEnd w:id="13"/>
      <w:r>
        <w:rPr>
          <w:color w:val="auto"/>
          <w:highlight w:val="none"/>
          <w:lang w:eastAsia="zh-CN"/>
        </w:rPr>
        <w:t>附件 3：项目管理、施工监理机构及人员</w:t>
      </w:r>
    </w:p>
    <w:p>
      <w:pPr>
        <w:pStyle w:val="5"/>
        <w:spacing w:before="159"/>
        <w:rPr>
          <w:color w:val="auto"/>
          <w:highlight w:val="none"/>
          <w:lang w:eastAsia="zh-CN"/>
        </w:rPr>
      </w:pPr>
      <w:r>
        <w:rPr>
          <w:color w:val="auto"/>
          <w:highlight w:val="none"/>
          <w:lang w:eastAsia="zh-CN"/>
        </w:rPr>
        <w:t>（一）建设管理（含施工监理）人员配置承诺书</w:t>
      </w:r>
    </w:p>
    <w:p>
      <w:pPr>
        <w:pStyle w:val="5"/>
        <w:spacing w:before="160"/>
        <w:rPr>
          <w:color w:val="auto"/>
          <w:highlight w:val="none"/>
          <w:lang w:eastAsia="zh-CN"/>
        </w:rPr>
      </w:pPr>
      <w:r>
        <w:rPr>
          <w:color w:val="auto"/>
          <w:highlight w:val="none"/>
          <w:lang w:eastAsia="zh-CN"/>
        </w:rPr>
        <w:t>（二）项目建设管理、监理服务机构图</w:t>
      </w:r>
    </w:p>
    <w:p>
      <w:pPr>
        <w:pStyle w:val="5"/>
        <w:spacing w:before="161"/>
        <w:rPr>
          <w:color w:val="auto"/>
          <w:highlight w:val="none"/>
          <w:lang w:eastAsia="zh-CN"/>
        </w:rPr>
      </w:pPr>
      <w:r>
        <w:rPr>
          <w:color w:val="auto"/>
          <w:highlight w:val="none"/>
          <w:lang w:eastAsia="zh-CN"/>
        </w:rPr>
        <w:t>（三）承包人拟投入本项目的项目管理人员一览表</w:t>
      </w:r>
    </w:p>
    <w:p>
      <w:pPr>
        <w:pStyle w:val="5"/>
        <w:spacing w:before="9"/>
        <w:ind w:left="0"/>
        <w:rPr>
          <w:color w:val="auto"/>
          <w:sz w:val="17"/>
          <w:highlight w:val="none"/>
          <w:lang w:eastAsia="zh-CN"/>
        </w:rPr>
      </w:pPr>
    </w:p>
    <w:p>
      <w:pPr>
        <w:pStyle w:val="5"/>
        <w:rPr>
          <w:color w:val="auto"/>
          <w:highlight w:val="none"/>
          <w:lang w:eastAsia="zh-CN"/>
        </w:rPr>
      </w:pPr>
      <w:r>
        <w:rPr>
          <w:color w:val="auto"/>
          <w:highlight w:val="none"/>
          <w:lang w:eastAsia="zh-CN"/>
        </w:rPr>
        <w:t>（四）承包人拟投入本项目的监理人员一览表</w:t>
      </w:r>
    </w:p>
    <w:p>
      <w:pPr>
        <w:pStyle w:val="5"/>
        <w:ind w:left="0"/>
        <w:rPr>
          <w:color w:val="auto"/>
          <w:highlight w:val="none"/>
          <w:lang w:eastAsia="zh-CN"/>
        </w:rPr>
      </w:pPr>
    </w:p>
    <w:p>
      <w:pPr>
        <w:pStyle w:val="5"/>
        <w:spacing w:before="10"/>
        <w:ind w:left="0"/>
        <w:rPr>
          <w:color w:val="auto"/>
          <w:sz w:val="35"/>
          <w:highlight w:val="none"/>
          <w:lang w:eastAsia="zh-CN"/>
        </w:rPr>
      </w:pPr>
    </w:p>
    <w:p>
      <w:pPr>
        <w:pStyle w:val="5"/>
        <w:rPr>
          <w:color w:val="auto"/>
          <w:highlight w:val="none"/>
          <w:lang w:eastAsia="zh-CN"/>
        </w:rPr>
      </w:pPr>
      <w:bookmarkStart w:id="14" w:name="附件4：承包人拟投入本项目的通讯、办公、试验检测设备一览表"/>
      <w:bookmarkEnd w:id="14"/>
      <w:bookmarkStart w:id="15" w:name="_bookmark7"/>
      <w:bookmarkEnd w:id="15"/>
      <w:r>
        <w:rPr>
          <w:color w:val="auto"/>
          <w:highlight w:val="none"/>
          <w:lang w:eastAsia="zh-CN"/>
        </w:rPr>
        <w:t>附件 4：承包人拟投入本项目的通讯、办公、试验检测设备一览表</w:t>
      </w:r>
    </w:p>
    <w:p>
      <w:pPr>
        <w:pStyle w:val="5"/>
        <w:ind w:left="0"/>
        <w:rPr>
          <w:color w:val="auto"/>
          <w:highlight w:val="none"/>
          <w:lang w:eastAsia="zh-CN"/>
        </w:rPr>
      </w:pPr>
    </w:p>
    <w:p>
      <w:pPr>
        <w:pStyle w:val="5"/>
        <w:spacing w:before="7"/>
        <w:ind w:left="0"/>
        <w:rPr>
          <w:color w:val="auto"/>
          <w:sz w:val="35"/>
          <w:highlight w:val="none"/>
          <w:lang w:eastAsia="zh-CN"/>
        </w:rPr>
      </w:pPr>
    </w:p>
    <w:p>
      <w:pPr>
        <w:pStyle w:val="5"/>
        <w:rPr>
          <w:color w:val="auto"/>
          <w:highlight w:val="none"/>
          <w:lang w:eastAsia="zh-CN"/>
        </w:rPr>
      </w:pPr>
      <w:bookmarkStart w:id="16" w:name="_bookmark8"/>
      <w:bookmarkEnd w:id="16"/>
      <w:bookmarkStart w:id="17" w:name="附件5：本项目招标澄清、答疑文件"/>
      <w:bookmarkEnd w:id="17"/>
      <w:r>
        <w:rPr>
          <w:color w:val="auto"/>
          <w:highlight w:val="none"/>
          <w:lang w:eastAsia="zh-CN"/>
        </w:rPr>
        <w:t>附件 5：本项目招标澄清、答疑文件</w:t>
      </w:r>
    </w:p>
    <w:p>
      <w:pPr>
        <w:pStyle w:val="5"/>
        <w:ind w:left="0"/>
        <w:rPr>
          <w:color w:val="auto"/>
          <w:highlight w:val="none"/>
          <w:lang w:eastAsia="zh-CN"/>
        </w:rPr>
      </w:pPr>
    </w:p>
    <w:p>
      <w:pPr>
        <w:pStyle w:val="5"/>
        <w:spacing w:before="9"/>
        <w:ind w:left="0"/>
        <w:rPr>
          <w:color w:val="auto"/>
          <w:sz w:val="35"/>
          <w:highlight w:val="none"/>
          <w:lang w:eastAsia="zh-CN"/>
        </w:rPr>
      </w:pPr>
    </w:p>
    <w:p>
      <w:pPr>
        <w:pStyle w:val="5"/>
        <w:spacing w:line="362" w:lineRule="auto"/>
        <w:ind w:right="266"/>
        <w:rPr>
          <w:color w:val="auto"/>
          <w:highlight w:val="none"/>
          <w:lang w:eastAsia="zh-CN"/>
        </w:rPr>
      </w:pPr>
      <w:bookmarkStart w:id="18" w:name="附件6：法定代表人、项目总负责人、项目总负责人、监理负责人的姓名、身份证复印件、"/>
      <w:bookmarkEnd w:id="18"/>
      <w:bookmarkStart w:id="19" w:name="_bookmark9"/>
      <w:bookmarkEnd w:id="19"/>
      <w:r>
        <w:rPr>
          <w:color w:val="auto"/>
          <w:highlight w:val="none"/>
          <w:lang w:eastAsia="zh-CN"/>
        </w:rPr>
        <w:t>附件 6：法定代表人、项目总负责人、项目总负责人、监理负责人的姓名、身份证复印件、职务、职称、联系方式</w:t>
      </w:r>
    </w:p>
    <w:p>
      <w:pPr>
        <w:pStyle w:val="5"/>
        <w:ind w:left="0"/>
        <w:rPr>
          <w:color w:val="auto"/>
          <w:highlight w:val="none"/>
          <w:lang w:eastAsia="zh-CN"/>
        </w:rPr>
      </w:pPr>
    </w:p>
    <w:p>
      <w:pPr>
        <w:pStyle w:val="5"/>
        <w:spacing w:before="8"/>
        <w:ind w:left="0"/>
        <w:rPr>
          <w:color w:val="auto"/>
          <w:sz w:val="23"/>
          <w:highlight w:val="none"/>
          <w:lang w:eastAsia="zh-CN"/>
        </w:rPr>
      </w:pPr>
    </w:p>
    <w:p>
      <w:pPr>
        <w:pStyle w:val="5"/>
        <w:rPr>
          <w:color w:val="auto"/>
          <w:highlight w:val="none"/>
          <w:lang w:eastAsia="zh-CN"/>
        </w:rPr>
      </w:pPr>
      <w:bookmarkStart w:id="20" w:name="附件7：中标通知书"/>
      <w:bookmarkEnd w:id="20"/>
      <w:bookmarkStart w:id="21" w:name="_bookmark10"/>
      <w:bookmarkEnd w:id="21"/>
      <w:r>
        <w:rPr>
          <w:color w:val="auto"/>
          <w:highlight w:val="none"/>
          <w:lang w:eastAsia="zh-CN"/>
        </w:rPr>
        <w:t>附件 7：中标通知书</w:t>
      </w:r>
    </w:p>
    <w:p>
      <w:pPr>
        <w:rPr>
          <w:color w:val="auto"/>
          <w:highlight w:val="none"/>
          <w:lang w:eastAsia="zh-CN"/>
        </w:rPr>
        <w:sectPr>
          <w:pgSz w:w="11910" w:h="16840"/>
          <w:pgMar w:top="1160" w:right="900" w:bottom="1040" w:left="920" w:header="0" w:footer="858" w:gutter="0"/>
          <w:cols w:space="720" w:num="1"/>
        </w:sectPr>
      </w:pPr>
    </w:p>
    <w:p>
      <w:pPr>
        <w:pStyle w:val="5"/>
        <w:spacing w:before="45"/>
        <w:rPr>
          <w:color w:val="auto"/>
          <w:highlight w:val="none"/>
          <w:lang w:eastAsia="zh-CN"/>
        </w:rPr>
      </w:pPr>
      <w:bookmarkStart w:id="22" w:name="附件8：项目质量终身责任承诺书"/>
      <w:bookmarkEnd w:id="22"/>
      <w:bookmarkStart w:id="23" w:name="_bookmark11"/>
      <w:bookmarkEnd w:id="23"/>
      <w:bookmarkStart w:id="24" w:name="附件9：履约担保格式"/>
      <w:bookmarkEnd w:id="24"/>
      <w:r>
        <w:rPr>
          <w:color w:val="auto"/>
          <w:highlight w:val="none"/>
          <w:lang w:eastAsia="zh-CN"/>
        </w:rPr>
        <w:t>附件 8：项目质量终身责任承诺书</w:t>
      </w:r>
    </w:p>
    <w:p>
      <w:pPr>
        <w:pStyle w:val="5"/>
        <w:spacing w:before="8"/>
        <w:ind w:left="0"/>
        <w:rPr>
          <w:color w:val="auto"/>
          <w:sz w:val="12"/>
          <w:highlight w:val="none"/>
          <w:lang w:eastAsia="zh-CN"/>
        </w:rPr>
      </w:pPr>
    </w:p>
    <w:p>
      <w:pPr>
        <w:pStyle w:val="5"/>
        <w:spacing w:before="66"/>
        <w:ind w:left="0" w:right="14"/>
        <w:jc w:val="center"/>
        <w:rPr>
          <w:color w:val="auto"/>
          <w:highlight w:val="none"/>
          <w:lang w:eastAsia="zh-CN"/>
        </w:rPr>
      </w:pPr>
      <w:r>
        <w:rPr>
          <w:color w:val="auto"/>
          <w:highlight w:val="none"/>
          <w:lang w:eastAsia="zh-CN"/>
        </w:rPr>
        <w:t>法定代表人授权书</w:t>
      </w:r>
    </w:p>
    <w:p>
      <w:pPr>
        <w:pStyle w:val="5"/>
        <w:ind w:left="0"/>
        <w:rPr>
          <w:color w:val="auto"/>
          <w:highlight w:val="none"/>
          <w:lang w:eastAsia="zh-CN"/>
        </w:rPr>
      </w:pPr>
    </w:p>
    <w:p>
      <w:pPr>
        <w:pStyle w:val="5"/>
        <w:tabs>
          <w:tab w:val="left" w:pos="2852"/>
          <w:tab w:val="left" w:pos="4292"/>
        </w:tabs>
        <w:spacing w:before="211" w:line="364" w:lineRule="auto"/>
        <w:ind w:right="755" w:firstLine="480"/>
        <w:jc w:val="both"/>
        <w:rPr>
          <w:color w:val="auto"/>
          <w:highlight w:val="none"/>
          <w:lang w:eastAsia="zh-CN"/>
        </w:rPr>
      </w:pPr>
      <w:r>
        <w:rPr>
          <w:color w:val="auto"/>
          <w:highlight w:val="none"/>
          <w:lang w:eastAsia="zh-CN"/>
        </w:rPr>
        <w:t>兹授权我单位</w:t>
      </w:r>
      <w:r>
        <w:rPr>
          <w:color w:val="auto"/>
          <w:highlight w:val="none"/>
          <w:u w:val="single"/>
          <w:lang w:eastAsia="zh-CN"/>
        </w:rPr>
        <w:t xml:space="preserve"> </w:t>
      </w:r>
      <w:r>
        <w:rPr>
          <w:color w:val="auto"/>
          <w:highlight w:val="none"/>
          <w:u w:val="single"/>
          <w:lang w:eastAsia="zh-CN"/>
        </w:rPr>
        <w:tab/>
      </w:r>
      <w:r>
        <w:rPr>
          <w:color w:val="auto"/>
          <w:highlight w:val="none"/>
          <w:lang w:eastAsia="zh-CN"/>
        </w:rPr>
        <w:t>担任</w:t>
      </w:r>
      <w:r>
        <w:rPr>
          <w:color w:val="auto"/>
          <w:highlight w:val="none"/>
          <w:u w:val="single"/>
          <w:lang w:eastAsia="zh-CN"/>
        </w:rPr>
        <w:t xml:space="preserve"> </w:t>
      </w:r>
      <w:r>
        <w:rPr>
          <w:color w:val="auto"/>
          <w:highlight w:val="none"/>
          <w:u w:val="single"/>
          <w:lang w:eastAsia="zh-CN"/>
        </w:rPr>
        <w:tab/>
      </w:r>
      <w:r>
        <w:rPr>
          <w:color w:val="auto"/>
          <w:highlight w:val="none"/>
          <w:u w:val="single"/>
          <w:lang w:eastAsia="zh-CN"/>
        </w:rPr>
        <w:t>项目</w:t>
      </w:r>
      <w:r>
        <w:rPr>
          <w:color w:val="auto"/>
          <w:highlight w:val="none"/>
          <w:lang w:eastAsia="zh-CN"/>
        </w:rPr>
        <w:t>的项目总负责人，对该工程全过程咨询项目工作实施组织管理，依据国家有关法律法规及标准规范履行职责，并依法对设计使用年限内的工程质量承担相应终身责任。</w:t>
      </w:r>
    </w:p>
    <w:p>
      <w:pPr>
        <w:pStyle w:val="5"/>
        <w:spacing w:before="69"/>
        <w:ind w:left="692"/>
        <w:rPr>
          <w:color w:val="auto"/>
          <w:highlight w:val="none"/>
          <w:lang w:eastAsia="zh-CN"/>
        </w:rPr>
      </w:pPr>
      <w:r>
        <w:rPr>
          <w:color w:val="auto"/>
          <w:highlight w:val="none"/>
          <w:lang w:eastAsia="zh-CN"/>
        </w:rPr>
        <w:t>本授权书自授权之日起生效。</w:t>
      </w:r>
    </w:p>
    <w:p>
      <w:pPr>
        <w:pStyle w:val="5"/>
        <w:spacing w:before="4"/>
        <w:ind w:left="0"/>
        <w:rPr>
          <w:color w:val="auto"/>
          <w:sz w:val="12"/>
          <w:highlight w:val="none"/>
          <w:lang w:eastAsia="zh-CN"/>
        </w:rPr>
      </w:pPr>
    </w:p>
    <w:tbl>
      <w:tblPr>
        <w:tblStyle w:val="10"/>
        <w:tblW w:w="0" w:type="auto"/>
        <w:tblInd w:w="10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462"/>
        <w:gridCol w:w="2325"/>
        <w:gridCol w:w="2275"/>
        <w:gridCol w:w="27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9858" w:type="dxa"/>
            <w:gridSpan w:val="4"/>
          </w:tcPr>
          <w:p>
            <w:pPr>
              <w:pStyle w:val="12"/>
              <w:spacing w:before="2"/>
              <w:ind w:left="3945" w:right="3935"/>
              <w:jc w:val="center"/>
              <w:rPr>
                <w:b/>
                <w:color w:val="auto"/>
                <w:sz w:val="24"/>
                <w:highlight w:val="none"/>
              </w:rPr>
            </w:pPr>
            <w:r>
              <w:rPr>
                <w:b/>
                <w:color w:val="auto"/>
                <w:sz w:val="24"/>
                <w:highlight w:val="none"/>
              </w:rPr>
              <w:t>被授权人基本情况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trPr>
        <w:tc>
          <w:tcPr>
            <w:tcW w:w="2462" w:type="dxa"/>
          </w:tcPr>
          <w:p>
            <w:pPr>
              <w:pStyle w:val="12"/>
              <w:tabs>
                <w:tab w:val="left" w:pos="487"/>
              </w:tabs>
              <w:spacing w:before="3"/>
              <w:ind w:left="7"/>
              <w:jc w:val="center"/>
              <w:rPr>
                <w:color w:val="auto"/>
                <w:sz w:val="24"/>
                <w:highlight w:val="none"/>
              </w:rPr>
            </w:pPr>
            <w:r>
              <w:rPr>
                <w:color w:val="auto"/>
                <w:sz w:val="24"/>
                <w:highlight w:val="none"/>
              </w:rPr>
              <w:t>姓</w:t>
            </w:r>
            <w:r>
              <w:rPr>
                <w:color w:val="auto"/>
                <w:sz w:val="24"/>
                <w:highlight w:val="none"/>
              </w:rPr>
              <w:tab/>
            </w:r>
            <w:r>
              <w:rPr>
                <w:color w:val="auto"/>
                <w:sz w:val="24"/>
                <w:highlight w:val="none"/>
              </w:rPr>
              <w:t>名</w:t>
            </w:r>
          </w:p>
        </w:tc>
        <w:tc>
          <w:tcPr>
            <w:tcW w:w="2325" w:type="dxa"/>
          </w:tcPr>
          <w:p>
            <w:pPr>
              <w:pStyle w:val="12"/>
              <w:rPr>
                <w:rFonts w:ascii="Times New Roman"/>
                <w:color w:val="auto"/>
                <w:highlight w:val="none"/>
              </w:rPr>
            </w:pPr>
          </w:p>
        </w:tc>
        <w:tc>
          <w:tcPr>
            <w:tcW w:w="2275" w:type="dxa"/>
          </w:tcPr>
          <w:p>
            <w:pPr>
              <w:pStyle w:val="12"/>
              <w:spacing w:before="3"/>
              <w:ind w:left="397" w:right="388"/>
              <w:jc w:val="center"/>
              <w:rPr>
                <w:color w:val="auto"/>
                <w:sz w:val="24"/>
                <w:highlight w:val="none"/>
              </w:rPr>
            </w:pPr>
            <w:r>
              <w:rPr>
                <w:color w:val="auto"/>
                <w:sz w:val="24"/>
                <w:highlight w:val="none"/>
              </w:rPr>
              <w:t>身份证号</w:t>
            </w:r>
          </w:p>
        </w:tc>
        <w:tc>
          <w:tcPr>
            <w:tcW w:w="2796" w:type="dxa"/>
          </w:tcPr>
          <w:p>
            <w:pPr>
              <w:pStyle w:val="12"/>
              <w:rPr>
                <w:rFonts w:ascii="Times New Roman"/>
                <w:color w:val="auto"/>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2462" w:type="dxa"/>
          </w:tcPr>
          <w:p>
            <w:pPr>
              <w:pStyle w:val="12"/>
              <w:spacing w:before="1"/>
              <w:ind w:left="7"/>
              <w:jc w:val="center"/>
              <w:rPr>
                <w:color w:val="auto"/>
                <w:sz w:val="24"/>
                <w:highlight w:val="none"/>
              </w:rPr>
            </w:pPr>
            <w:r>
              <w:rPr>
                <w:color w:val="auto"/>
                <w:sz w:val="24"/>
                <w:highlight w:val="none"/>
              </w:rPr>
              <w:t>注册执业资格</w:t>
            </w:r>
          </w:p>
        </w:tc>
        <w:tc>
          <w:tcPr>
            <w:tcW w:w="2325" w:type="dxa"/>
          </w:tcPr>
          <w:p>
            <w:pPr>
              <w:pStyle w:val="12"/>
              <w:rPr>
                <w:rFonts w:ascii="Times New Roman"/>
                <w:color w:val="auto"/>
                <w:highlight w:val="none"/>
              </w:rPr>
            </w:pPr>
          </w:p>
        </w:tc>
        <w:tc>
          <w:tcPr>
            <w:tcW w:w="2275" w:type="dxa"/>
          </w:tcPr>
          <w:p>
            <w:pPr>
              <w:pStyle w:val="12"/>
              <w:spacing w:before="1"/>
              <w:ind w:left="397" w:right="388"/>
              <w:jc w:val="center"/>
              <w:rPr>
                <w:color w:val="auto"/>
                <w:sz w:val="24"/>
                <w:highlight w:val="none"/>
              </w:rPr>
            </w:pPr>
            <w:r>
              <w:rPr>
                <w:color w:val="auto"/>
                <w:sz w:val="24"/>
                <w:highlight w:val="none"/>
              </w:rPr>
              <w:t>注册执业证号</w:t>
            </w:r>
          </w:p>
        </w:tc>
        <w:tc>
          <w:tcPr>
            <w:tcW w:w="2796" w:type="dxa"/>
          </w:tcPr>
          <w:p>
            <w:pPr>
              <w:pStyle w:val="12"/>
              <w:rPr>
                <w:rFonts w:ascii="Times New Roman"/>
                <w:color w:val="auto"/>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trPr>
        <w:tc>
          <w:tcPr>
            <w:tcW w:w="9858" w:type="dxa"/>
            <w:gridSpan w:val="4"/>
          </w:tcPr>
          <w:p>
            <w:pPr>
              <w:pStyle w:val="12"/>
              <w:spacing w:before="2"/>
              <w:ind w:left="3943" w:right="3935"/>
              <w:jc w:val="center"/>
              <w:rPr>
                <w:color w:val="auto"/>
                <w:sz w:val="24"/>
                <w:highlight w:val="none"/>
              </w:rPr>
            </w:pPr>
            <w:r>
              <w:rPr>
                <w:color w:val="auto"/>
                <w:sz w:val="24"/>
                <w:highlight w:val="none"/>
              </w:rPr>
              <w:t>被授权人签字：</w:t>
            </w:r>
          </w:p>
        </w:tc>
      </w:tr>
    </w:tbl>
    <w:p>
      <w:pPr>
        <w:pStyle w:val="5"/>
        <w:ind w:left="0"/>
        <w:rPr>
          <w:color w:val="auto"/>
          <w:highlight w:val="none"/>
        </w:rPr>
      </w:pPr>
    </w:p>
    <w:p>
      <w:pPr>
        <w:pStyle w:val="5"/>
        <w:spacing w:before="161" w:line="364" w:lineRule="auto"/>
        <w:ind w:left="4902" w:right="2689"/>
        <w:rPr>
          <w:color w:val="auto"/>
          <w:highlight w:val="none"/>
          <w:lang w:eastAsia="zh-CN"/>
        </w:rPr>
      </w:pPr>
      <w:r>
        <w:rPr>
          <w:color w:val="auto"/>
          <w:spacing w:val="-13"/>
          <w:highlight w:val="none"/>
          <w:lang w:eastAsia="zh-CN"/>
        </w:rPr>
        <w:t xml:space="preserve">授权 单位 </w:t>
      </w:r>
      <w:r>
        <w:rPr>
          <w:color w:val="auto"/>
          <w:highlight w:val="none"/>
          <w:lang w:eastAsia="zh-CN"/>
        </w:rPr>
        <w:t>（</w:t>
      </w:r>
      <w:r>
        <w:rPr>
          <w:color w:val="auto"/>
          <w:spacing w:val="-30"/>
          <w:highlight w:val="none"/>
          <w:lang w:eastAsia="zh-CN"/>
        </w:rPr>
        <w:t xml:space="preserve"> 盖 章</w:t>
      </w:r>
      <w:r>
        <w:rPr>
          <w:color w:val="auto"/>
          <w:highlight w:val="none"/>
          <w:lang w:eastAsia="zh-CN"/>
        </w:rPr>
        <w:t>）</w:t>
      </w:r>
      <w:r>
        <w:rPr>
          <w:color w:val="auto"/>
          <w:spacing w:val="-39"/>
          <w:highlight w:val="none"/>
          <w:lang w:eastAsia="zh-CN"/>
        </w:rPr>
        <w:t xml:space="preserve"> ： 法定代表人（签字）：</w:t>
      </w:r>
    </w:p>
    <w:p>
      <w:pPr>
        <w:pStyle w:val="5"/>
        <w:tabs>
          <w:tab w:val="left" w:pos="6913"/>
          <w:tab w:val="left" w:pos="7633"/>
          <w:tab w:val="left" w:pos="8233"/>
        </w:tabs>
        <w:spacing w:line="306" w:lineRule="exact"/>
        <w:ind w:left="4902"/>
        <w:rPr>
          <w:color w:val="auto"/>
          <w:highlight w:val="none"/>
          <w:lang w:eastAsia="zh-CN"/>
        </w:rPr>
      </w:pPr>
      <w:r>
        <w:rPr>
          <w:color w:val="auto"/>
          <w:spacing w:val="40"/>
          <w:highlight w:val="none"/>
          <w:lang w:eastAsia="zh-CN"/>
        </w:rPr>
        <w:t>授</w:t>
      </w:r>
      <w:r>
        <w:rPr>
          <w:color w:val="auto"/>
          <w:highlight w:val="none"/>
          <w:lang w:eastAsia="zh-CN"/>
        </w:rPr>
        <w:t>权</w:t>
      </w:r>
      <w:r>
        <w:rPr>
          <w:color w:val="auto"/>
          <w:spacing w:val="-77"/>
          <w:highlight w:val="none"/>
          <w:lang w:eastAsia="zh-CN"/>
        </w:rPr>
        <w:t xml:space="preserve"> </w:t>
      </w:r>
      <w:r>
        <w:rPr>
          <w:color w:val="auto"/>
          <w:spacing w:val="40"/>
          <w:highlight w:val="none"/>
          <w:lang w:eastAsia="zh-CN"/>
        </w:rPr>
        <w:t>日</w:t>
      </w:r>
      <w:r>
        <w:rPr>
          <w:color w:val="auto"/>
          <w:highlight w:val="none"/>
          <w:lang w:eastAsia="zh-CN"/>
        </w:rPr>
        <w:t>期</w:t>
      </w:r>
      <w:r>
        <w:rPr>
          <w:color w:val="auto"/>
          <w:spacing w:val="-77"/>
          <w:highlight w:val="none"/>
          <w:lang w:eastAsia="zh-CN"/>
        </w:rPr>
        <w:t xml:space="preserve"> </w:t>
      </w:r>
      <w:r>
        <w:rPr>
          <w:color w:val="auto"/>
          <w:highlight w:val="none"/>
          <w:lang w:eastAsia="zh-CN"/>
        </w:rPr>
        <w:t>：</w:t>
      </w:r>
      <w:r>
        <w:rPr>
          <w:color w:val="auto"/>
          <w:highlight w:val="none"/>
          <w:u w:val="single"/>
          <w:lang w:eastAsia="zh-CN"/>
        </w:rPr>
        <w:t xml:space="preserve"> </w:t>
      </w:r>
      <w:r>
        <w:rPr>
          <w:color w:val="auto"/>
          <w:highlight w:val="none"/>
          <w:u w:val="single"/>
          <w:lang w:eastAsia="zh-CN"/>
        </w:rPr>
        <w:tab/>
      </w:r>
      <w:r>
        <w:rPr>
          <w:color w:val="auto"/>
          <w:highlight w:val="none"/>
          <w:lang w:eastAsia="zh-CN"/>
        </w:rPr>
        <w:t>年</w:t>
      </w:r>
      <w:r>
        <w:rPr>
          <w:color w:val="auto"/>
          <w:highlight w:val="none"/>
          <w:u w:val="single"/>
          <w:lang w:eastAsia="zh-CN"/>
        </w:rPr>
        <w:t xml:space="preserve"> </w:t>
      </w:r>
      <w:r>
        <w:rPr>
          <w:color w:val="auto"/>
          <w:highlight w:val="none"/>
          <w:u w:val="single"/>
          <w:lang w:eastAsia="zh-CN"/>
        </w:rPr>
        <w:tab/>
      </w:r>
      <w:r>
        <w:rPr>
          <w:color w:val="auto"/>
          <w:highlight w:val="none"/>
          <w:lang w:eastAsia="zh-CN"/>
        </w:rPr>
        <w:t>月</w:t>
      </w:r>
      <w:r>
        <w:rPr>
          <w:color w:val="auto"/>
          <w:highlight w:val="none"/>
          <w:u w:val="single"/>
          <w:lang w:eastAsia="zh-CN"/>
        </w:rPr>
        <w:t xml:space="preserve"> </w:t>
      </w:r>
      <w:r>
        <w:rPr>
          <w:color w:val="auto"/>
          <w:highlight w:val="none"/>
          <w:u w:val="single"/>
          <w:lang w:eastAsia="zh-CN"/>
        </w:rPr>
        <w:tab/>
      </w:r>
      <w:r>
        <w:rPr>
          <w:color w:val="auto"/>
          <w:highlight w:val="none"/>
          <w:lang w:eastAsia="zh-CN"/>
        </w:rPr>
        <w:t>日</w:t>
      </w:r>
    </w:p>
    <w:p>
      <w:pPr>
        <w:pStyle w:val="5"/>
        <w:ind w:left="0"/>
        <w:rPr>
          <w:color w:val="auto"/>
          <w:sz w:val="26"/>
          <w:highlight w:val="none"/>
          <w:lang w:eastAsia="zh-CN"/>
        </w:rPr>
      </w:pPr>
    </w:p>
    <w:p>
      <w:pPr>
        <w:pStyle w:val="5"/>
        <w:spacing w:before="9"/>
        <w:ind w:left="0"/>
        <w:rPr>
          <w:color w:val="auto"/>
          <w:sz w:val="33"/>
          <w:highlight w:val="none"/>
          <w:lang w:eastAsia="zh-CN"/>
        </w:rPr>
      </w:pPr>
    </w:p>
    <w:p>
      <w:pPr>
        <w:pStyle w:val="3"/>
        <w:ind w:left="0" w:right="14"/>
        <w:jc w:val="center"/>
        <w:rPr>
          <w:color w:val="auto"/>
          <w:highlight w:val="none"/>
          <w:lang w:eastAsia="zh-CN"/>
        </w:rPr>
      </w:pPr>
      <w:r>
        <w:rPr>
          <w:color w:val="auto"/>
          <w:highlight w:val="none"/>
          <w:lang w:eastAsia="zh-CN"/>
        </w:rPr>
        <w:t>项目质量终身责任承诺书</w:t>
      </w:r>
    </w:p>
    <w:p>
      <w:pPr>
        <w:pStyle w:val="5"/>
        <w:tabs>
          <w:tab w:val="left" w:pos="2828"/>
          <w:tab w:val="left" w:pos="6493"/>
          <w:tab w:val="left" w:pos="9452"/>
        </w:tabs>
        <w:spacing w:before="158" w:line="364" w:lineRule="auto"/>
        <w:ind w:right="234" w:firstLine="480"/>
        <w:rPr>
          <w:color w:val="auto"/>
          <w:highlight w:val="none"/>
          <w:lang w:eastAsia="zh-CN"/>
        </w:rPr>
      </w:pPr>
      <w:r>
        <w:rPr>
          <w:color w:val="auto"/>
          <w:highlight w:val="none"/>
          <w:lang w:eastAsia="zh-CN"/>
        </w:rPr>
        <w:t>本人受</w:t>
      </w:r>
      <w:r>
        <w:rPr>
          <w:color w:val="auto"/>
          <w:highlight w:val="none"/>
          <w:u w:val="single"/>
          <w:lang w:eastAsia="zh-CN"/>
        </w:rPr>
        <w:t xml:space="preserve"> </w:t>
      </w:r>
      <w:r>
        <w:rPr>
          <w:color w:val="auto"/>
          <w:highlight w:val="none"/>
          <w:u w:val="single"/>
          <w:lang w:eastAsia="zh-CN"/>
        </w:rPr>
        <w:tab/>
      </w:r>
      <w:r>
        <w:rPr>
          <w:color w:val="auto"/>
          <w:highlight w:val="none"/>
          <w:lang w:eastAsia="zh-CN"/>
        </w:rPr>
        <w:t>（法定代表人</w:t>
      </w:r>
      <w:r>
        <w:rPr>
          <w:color w:val="auto"/>
          <w:spacing w:val="118"/>
          <w:highlight w:val="none"/>
          <w:u w:val="single"/>
          <w:lang w:eastAsia="zh-CN"/>
        </w:rPr>
        <w:t xml:space="preserve"> </w:t>
      </w:r>
      <w:r>
        <w:rPr>
          <w:color w:val="auto"/>
          <w:spacing w:val="-10"/>
          <w:highlight w:val="none"/>
          <w:lang w:eastAsia="zh-CN"/>
        </w:rPr>
        <w:t>）</w:t>
      </w:r>
      <w:r>
        <w:rPr>
          <w:color w:val="auto"/>
          <w:highlight w:val="none"/>
          <w:lang w:eastAsia="zh-CN"/>
        </w:rPr>
        <w:t>授权</w:t>
      </w:r>
      <w:r>
        <w:rPr>
          <w:color w:val="auto"/>
          <w:spacing w:val="-8"/>
          <w:highlight w:val="none"/>
          <w:lang w:eastAsia="zh-CN"/>
        </w:rPr>
        <w:t>，</w:t>
      </w:r>
      <w:r>
        <w:rPr>
          <w:color w:val="auto"/>
          <w:highlight w:val="none"/>
          <w:lang w:eastAsia="zh-CN"/>
        </w:rPr>
        <w:t>担任</w:t>
      </w:r>
      <w:r>
        <w:rPr>
          <w:color w:val="auto"/>
          <w:highlight w:val="none"/>
          <w:u w:val="single"/>
          <w:lang w:eastAsia="zh-CN"/>
        </w:rPr>
        <w:t xml:space="preserve"> </w:t>
      </w:r>
      <w:r>
        <w:rPr>
          <w:color w:val="auto"/>
          <w:highlight w:val="none"/>
          <w:u w:val="single"/>
          <w:lang w:eastAsia="zh-CN"/>
        </w:rPr>
        <w:tab/>
      </w:r>
      <w:r>
        <w:rPr>
          <w:color w:val="auto"/>
          <w:highlight w:val="none"/>
          <w:lang w:eastAsia="zh-CN"/>
        </w:rPr>
        <w:t>项目的</w:t>
      </w:r>
      <w:r>
        <w:rPr>
          <w:color w:val="auto"/>
          <w:highlight w:val="none"/>
          <w:u w:val="single"/>
          <w:lang w:eastAsia="zh-CN"/>
        </w:rPr>
        <w:t>全过程咨询服</w:t>
      </w:r>
      <w:r>
        <w:rPr>
          <w:color w:val="auto"/>
          <w:highlight w:val="none"/>
          <w:lang w:eastAsia="zh-CN"/>
        </w:rPr>
        <w:t>务项目总负责人，对该项目的</w:t>
      </w:r>
      <w:r>
        <w:rPr>
          <w:color w:val="auto"/>
          <w:highlight w:val="none"/>
          <w:u w:val="single"/>
          <w:lang w:eastAsia="zh-CN"/>
        </w:rPr>
        <w:t>项目管理、施工监理服务</w:t>
      </w:r>
      <w:r>
        <w:rPr>
          <w:color w:val="auto"/>
          <w:highlight w:val="none"/>
          <w:lang w:eastAsia="zh-CN"/>
        </w:rPr>
        <w:t>工作实施组织管理。本人承诺严格依据国</w:t>
      </w:r>
      <w:r>
        <w:rPr>
          <w:color w:val="auto"/>
          <w:highlight w:val="none"/>
          <w:lang w:eastAsia="zh-CN"/>
        </w:rPr>
        <w:tab/>
      </w:r>
      <w:r>
        <w:rPr>
          <w:color w:val="auto"/>
          <w:highlight w:val="none"/>
          <w:lang w:eastAsia="zh-CN"/>
        </w:rPr>
        <w:t>家有关法律法规及标准规范履行职责，并对设计使用年限内的项目质量承担相应终身责任。</w:t>
      </w:r>
    </w:p>
    <w:p>
      <w:pPr>
        <w:pStyle w:val="5"/>
        <w:ind w:left="0"/>
        <w:rPr>
          <w:color w:val="auto"/>
          <w:highlight w:val="none"/>
          <w:lang w:eastAsia="zh-CN"/>
        </w:rPr>
      </w:pPr>
    </w:p>
    <w:p>
      <w:pPr>
        <w:pStyle w:val="5"/>
        <w:tabs>
          <w:tab w:val="left" w:pos="3059"/>
        </w:tabs>
        <w:spacing w:before="167"/>
        <w:ind w:left="0" w:right="652"/>
        <w:jc w:val="right"/>
        <w:rPr>
          <w:rFonts w:ascii="Times New Roman" w:eastAsia="Times New Roman"/>
          <w:color w:val="auto"/>
          <w:highlight w:val="none"/>
          <w:lang w:eastAsia="zh-CN"/>
        </w:rPr>
      </w:pPr>
      <w:r>
        <w:rPr>
          <w:color w:val="auto"/>
          <w:highlight w:val="none"/>
          <w:lang w:eastAsia="zh-CN"/>
        </w:rPr>
        <w:t>承诺人签字 ：</w:t>
      </w:r>
      <w:r>
        <w:rPr>
          <w:rFonts w:ascii="Times New Roman" w:eastAsia="Times New Roman"/>
          <w:color w:val="auto"/>
          <w:highlight w:val="none"/>
          <w:u w:val="single"/>
          <w:lang w:eastAsia="zh-CN"/>
        </w:rPr>
        <w:t xml:space="preserve"> </w:t>
      </w:r>
      <w:r>
        <w:rPr>
          <w:rFonts w:ascii="Times New Roman" w:eastAsia="Times New Roman"/>
          <w:color w:val="auto"/>
          <w:highlight w:val="none"/>
          <w:u w:val="single"/>
          <w:lang w:eastAsia="zh-CN"/>
        </w:rPr>
        <w:tab/>
      </w:r>
    </w:p>
    <w:p>
      <w:pPr>
        <w:pStyle w:val="5"/>
        <w:ind w:left="0"/>
        <w:rPr>
          <w:rFonts w:ascii="Times New Roman"/>
          <w:color w:val="auto"/>
          <w:sz w:val="14"/>
          <w:highlight w:val="none"/>
          <w:lang w:eastAsia="zh-CN"/>
        </w:rPr>
      </w:pPr>
    </w:p>
    <w:p>
      <w:pPr>
        <w:pStyle w:val="5"/>
        <w:tabs>
          <w:tab w:val="left" w:pos="2819"/>
        </w:tabs>
        <w:spacing w:before="74"/>
        <w:ind w:left="0" w:right="892"/>
        <w:jc w:val="right"/>
        <w:rPr>
          <w:rFonts w:ascii="Times New Roman" w:eastAsia="Times New Roman"/>
          <w:color w:val="auto"/>
          <w:highlight w:val="none"/>
          <w:lang w:eastAsia="zh-CN"/>
        </w:rPr>
      </w:pPr>
      <w:r>
        <w:rPr>
          <w:color w:val="auto"/>
          <w:highlight w:val="none"/>
          <w:lang w:eastAsia="zh-CN"/>
        </w:rPr>
        <w:t>身份证号 ：</w:t>
      </w:r>
      <w:r>
        <w:rPr>
          <w:rFonts w:ascii="Times New Roman" w:eastAsia="Times New Roman"/>
          <w:color w:val="auto"/>
          <w:highlight w:val="none"/>
          <w:u w:val="single"/>
          <w:lang w:eastAsia="zh-CN"/>
        </w:rPr>
        <w:t xml:space="preserve"> </w:t>
      </w:r>
      <w:r>
        <w:rPr>
          <w:rFonts w:ascii="Times New Roman" w:eastAsia="Times New Roman"/>
          <w:color w:val="auto"/>
          <w:highlight w:val="none"/>
          <w:u w:val="single"/>
          <w:lang w:eastAsia="zh-CN"/>
        </w:rPr>
        <w:tab/>
      </w:r>
    </w:p>
    <w:p>
      <w:pPr>
        <w:pStyle w:val="5"/>
        <w:spacing w:before="2"/>
        <w:ind w:left="0"/>
        <w:rPr>
          <w:rFonts w:ascii="Times New Roman"/>
          <w:color w:val="auto"/>
          <w:sz w:val="14"/>
          <w:highlight w:val="none"/>
          <w:lang w:eastAsia="zh-CN"/>
        </w:rPr>
      </w:pPr>
    </w:p>
    <w:p>
      <w:pPr>
        <w:pStyle w:val="5"/>
        <w:tabs>
          <w:tab w:val="left" w:pos="3179"/>
        </w:tabs>
        <w:spacing w:before="74"/>
        <w:ind w:left="0" w:right="412"/>
        <w:jc w:val="right"/>
        <w:rPr>
          <w:rFonts w:ascii="Times New Roman" w:eastAsia="Times New Roman"/>
          <w:color w:val="auto"/>
          <w:highlight w:val="none"/>
          <w:lang w:eastAsia="zh-CN"/>
        </w:rPr>
      </w:pPr>
      <w:r>
        <w:rPr>
          <w:color w:val="auto"/>
          <w:highlight w:val="none"/>
          <w:lang w:eastAsia="zh-CN"/>
        </w:rPr>
        <w:t>注册执业资格：</w:t>
      </w:r>
      <w:r>
        <w:rPr>
          <w:rFonts w:ascii="Times New Roman" w:eastAsia="Times New Roman"/>
          <w:color w:val="auto"/>
          <w:highlight w:val="none"/>
          <w:u w:val="single"/>
          <w:lang w:eastAsia="zh-CN"/>
        </w:rPr>
        <w:t xml:space="preserve"> </w:t>
      </w:r>
      <w:r>
        <w:rPr>
          <w:rFonts w:ascii="Times New Roman" w:eastAsia="Times New Roman"/>
          <w:color w:val="auto"/>
          <w:highlight w:val="none"/>
          <w:u w:val="single"/>
          <w:lang w:eastAsia="zh-CN"/>
        </w:rPr>
        <w:tab/>
      </w:r>
    </w:p>
    <w:p>
      <w:pPr>
        <w:pStyle w:val="5"/>
        <w:ind w:left="0"/>
        <w:rPr>
          <w:rFonts w:ascii="Times New Roman"/>
          <w:color w:val="auto"/>
          <w:sz w:val="14"/>
          <w:highlight w:val="none"/>
          <w:lang w:eastAsia="zh-CN"/>
        </w:rPr>
      </w:pPr>
    </w:p>
    <w:p>
      <w:pPr>
        <w:pStyle w:val="5"/>
        <w:tabs>
          <w:tab w:val="left" w:pos="3179"/>
        </w:tabs>
        <w:spacing w:before="74"/>
        <w:ind w:left="0" w:right="412"/>
        <w:jc w:val="right"/>
        <w:rPr>
          <w:rFonts w:ascii="Times New Roman" w:eastAsia="Times New Roman"/>
          <w:color w:val="auto"/>
          <w:highlight w:val="none"/>
          <w:lang w:eastAsia="zh-CN"/>
        </w:rPr>
      </w:pPr>
      <w:r>
        <w:rPr>
          <w:color w:val="auto"/>
          <w:highlight w:val="none"/>
          <w:lang w:eastAsia="zh-CN"/>
        </w:rPr>
        <w:t>注册执业证号：</w:t>
      </w:r>
      <w:r>
        <w:rPr>
          <w:rFonts w:ascii="Times New Roman" w:eastAsia="Times New Roman"/>
          <w:color w:val="auto"/>
          <w:highlight w:val="none"/>
          <w:u w:val="single"/>
          <w:lang w:eastAsia="zh-CN"/>
        </w:rPr>
        <w:t xml:space="preserve"> </w:t>
      </w:r>
      <w:r>
        <w:rPr>
          <w:rFonts w:ascii="Times New Roman" w:eastAsia="Times New Roman"/>
          <w:color w:val="auto"/>
          <w:highlight w:val="none"/>
          <w:u w:val="single"/>
          <w:lang w:eastAsia="zh-CN"/>
        </w:rPr>
        <w:tab/>
      </w:r>
    </w:p>
    <w:p>
      <w:pPr>
        <w:pStyle w:val="5"/>
        <w:spacing w:before="3"/>
        <w:ind w:left="0"/>
        <w:rPr>
          <w:rFonts w:ascii="Times New Roman"/>
          <w:color w:val="auto"/>
          <w:sz w:val="14"/>
          <w:highlight w:val="none"/>
          <w:lang w:eastAsia="zh-CN"/>
        </w:rPr>
      </w:pPr>
    </w:p>
    <w:p>
      <w:pPr>
        <w:pStyle w:val="5"/>
        <w:tabs>
          <w:tab w:val="left" w:pos="7395"/>
          <w:tab w:val="left" w:pos="8505"/>
        </w:tabs>
        <w:spacing w:before="66"/>
        <w:ind w:left="4044" w:leftChars="1838" w:firstLine="2400" w:firstLineChars="1000"/>
        <w:rPr>
          <w:lang w:eastAsia="zh-CN"/>
        </w:rPr>
      </w:pPr>
      <w:r>
        <w:rPr>
          <w:color w:val="auto"/>
          <w:highlight w:val="none"/>
          <w:lang w:eastAsia="zh-CN"/>
        </w:rPr>
        <w:t>签字日期</w:t>
      </w:r>
      <w:r>
        <w:rPr>
          <w:color w:val="auto"/>
          <w:spacing w:val="-1"/>
          <w:highlight w:val="none"/>
          <w:lang w:eastAsia="zh-CN"/>
        </w:rPr>
        <w:t xml:space="preserve"> </w:t>
      </w:r>
      <w:r>
        <w:rPr>
          <w:color w:val="auto"/>
          <w:highlight w:val="none"/>
          <w:lang w:eastAsia="zh-CN"/>
        </w:rPr>
        <w:t>：</w:t>
      </w:r>
      <w:r>
        <w:rPr>
          <w:rFonts w:hint="eastAsia"/>
          <w:color w:val="auto"/>
          <w:highlight w:val="none"/>
          <w:u w:val="single"/>
          <w:lang w:eastAsia="zh-CN"/>
        </w:rPr>
        <w:t xml:space="preserve">      </w:t>
      </w:r>
      <w:r>
        <w:rPr>
          <w:color w:val="auto"/>
          <w:highlight w:val="none"/>
          <w:lang w:eastAsia="zh-CN"/>
        </w:rPr>
        <w:t>年</w:t>
      </w:r>
      <w:r>
        <w:rPr>
          <w:color w:val="auto"/>
          <w:highlight w:val="none"/>
          <w:u w:val="single"/>
          <w:lang w:eastAsia="zh-CN"/>
        </w:rPr>
        <w:t xml:space="preserve"> </w:t>
      </w:r>
      <w:r>
        <w:rPr>
          <w:rFonts w:hint="eastAsia"/>
          <w:color w:val="auto"/>
          <w:highlight w:val="none"/>
          <w:u w:val="single"/>
          <w:lang w:eastAsia="zh-CN"/>
        </w:rPr>
        <w:t xml:space="preserve"> </w:t>
      </w:r>
      <w:r>
        <w:rPr>
          <w:color w:val="auto"/>
          <w:highlight w:val="none"/>
          <w:lang w:eastAsia="zh-CN"/>
        </w:rPr>
        <w:t>月</w:t>
      </w:r>
      <w:r>
        <w:rPr>
          <w:rFonts w:hint="eastAsia"/>
          <w:color w:val="auto"/>
          <w:highlight w:val="none"/>
          <w:u w:val="single"/>
          <w:lang w:eastAsia="zh-CN"/>
        </w:rPr>
        <w:t xml:space="preserve">  </w:t>
      </w:r>
      <w:r>
        <w:rPr>
          <w:color w:val="auto"/>
          <w:highlight w:val="none"/>
          <w:lang w:eastAsia="zh-CN"/>
        </w:rPr>
        <w:t>日</w:t>
      </w:r>
      <w:bookmarkEnd w:id="26"/>
    </w:p>
    <w:p>
      <w:pPr>
        <w:rPr>
          <w:lang w:eastAsia="zh-CN"/>
        </w:rPr>
        <w:sectPr>
          <w:pgSz w:w="11910" w:h="16840"/>
          <w:pgMar w:top="1160" w:right="900" w:bottom="1040" w:left="920" w:header="0" w:footer="858" w:gutter="0"/>
          <w:cols w:space="720" w:num="1"/>
        </w:sectPr>
      </w:pPr>
    </w:p>
    <w:p>
      <w:pPr>
        <w:pStyle w:val="5"/>
        <w:spacing w:before="1" w:line="362" w:lineRule="auto"/>
        <w:ind w:right="9155"/>
        <w:rPr>
          <w:lang w:eastAsia="zh-CN"/>
        </w:rPr>
      </w:pPr>
      <w:bookmarkStart w:id="25" w:name="_bookmark12"/>
      <w:bookmarkEnd w:id="25"/>
      <w:r>
        <w:rPr>
          <w:rFonts w:hint="eastAsia"/>
          <w:lang w:eastAsia="zh-CN"/>
        </w:rPr>
        <w:t xml:space="preserve">  </w:t>
      </w:r>
    </w:p>
    <w:sectPr>
      <w:type w:val="continuous"/>
      <w:pgSz w:w="11910" w:h="16840"/>
      <w:pgMar w:top="1600" w:right="900" w:bottom="280" w:left="9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pacing w:line="14" w:lineRule="auto"/>
      <w:ind w:left="0"/>
      <w:rPr>
        <w:sz w:val="20"/>
      </w:rPr>
    </w:pPr>
    <w:r>
      <w:rPr>
        <w:lang w:eastAsia="zh-CN"/>
      </w:rPr>
      <mc:AlternateContent>
        <mc:Choice Requires="wps">
          <w:drawing>
            <wp:anchor distT="0" distB="0" distL="114300" distR="114300" simplePos="0" relativeHeight="251660288" behindDoc="1" locked="0" layoutInCell="1" allowOverlap="1">
              <wp:simplePos x="0" y="0"/>
              <wp:positionH relativeFrom="page">
                <wp:posOffset>3726815</wp:posOffset>
              </wp:positionH>
              <wp:positionV relativeFrom="page">
                <wp:posOffset>9999980</wp:posOffset>
              </wp:positionV>
              <wp:extent cx="107950" cy="149225"/>
              <wp:effectExtent l="2540" t="0" r="3810" b="4445"/>
              <wp:wrapNone/>
              <wp:docPr id="6" name="Text Box 5"/>
              <wp:cNvGraphicFramePr/>
              <a:graphic xmlns:a="http://schemas.openxmlformats.org/drawingml/2006/main">
                <a:graphicData uri="http://schemas.microsoft.com/office/word/2010/wordprocessingShape">
                  <wps:wsp>
                    <wps:cNvSpPr txBox="1">
                      <a:spLocks noChangeArrowheads="1"/>
                    </wps:cNvSpPr>
                    <wps:spPr bwMode="auto">
                      <a:xfrm>
                        <a:off x="0" y="0"/>
                        <a:ext cx="107950" cy="149225"/>
                      </a:xfrm>
                      <a:prstGeom prst="rect">
                        <a:avLst/>
                      </a:prstGeom>
                      <a:noFill/>
                      <a:ln>
                        <a:noFill/>
                      </a:ln>
                    </wps:spPr>
                    <wps:txbx>
                      <w:txbxContent>
                        <w:p>
                          <w:pPr>
                            <w:spacing w:before="9" w:line="225" w:lineRule="exact"/>
                            <w:ind w:left="40"/>
                            <w:rPr>
                              <w:sz w:val="18"/>
                            </w:rPr>
                          </w:pPr>
                          <w:r>
                            <w:fldChar w:fldCharType="begin"/>
                          </w:r>
                          <w:r>
                            <w:rPr>
                              <w:sz w:val="18"/>
                            </w:rPr>
                            <w:instrText xml:space="preserve"> PAGE </w:instrText>
                          </w:r>
                          <w:r>
                            <w:fldChar w:fldCharType="separate"/>
                          </w:r>
                          <w:r>
                            <w:rPr>
                              <w:sz w:val="18"/>
                            </w:rPr>
                            <w:t>9</w:t>
                          </w:r>
                          <w:r>
                            <w:fldChar w:fldCharType="end"/>
                          </w:r>
                        </w:p>
                      </w:txbxContent>
                    </wps:txbx>
                    <wps:bodyPr rot="0" vert="horz" wrap="square" lIns="0" tIns="0" rIns="0" bIns="0" anchor="t" anchorCtr="0" upright="1">
                      <a:noAutofit/>
                    </wps:bodyPr>
                  </wps:wsp>
                </a:graphicData>
              </a:graphic>
            </wp:anchor>
          </w:drawing>
        </mc:Choice>
        <mc:Fallback>
          <w:pict>
            <v:shape id="Text Box 5" o:spid="_x0000_s1026" o:spt="202" type="#_x0000_t202" style="position:absolute;left:0pt;margin-left:293.45pt;margin-top:787.4pt;height:11.75pt;width:8.5pt;mso-position-horizontal-relative:page;mso-position-vertical-relative:page;z-index:-251656192;mso-width-relative:page;mso-height-relative:page;" filled="f" stroked="f" coordsize="21600,21600" o:gfxdata="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ioi6ctoAAAANAQAADwAAAAAAAAABACAAAAAiAAAAZHJzL2Rvd25y&#10;ZXYueG1sUEsBAhQAFAAAAAgAh07iQBgCzXL8AQAAAwQAAA4AAAAAAAAAAQAgAAAAKQEAAGRycy9l&#10;Mm9Eb2MueG1sUEsFBgAAAAAGAAYAWQEAAJcFAAAAAA==&#10;">
              <v:fill on="f" focussize="0,0"/>
              <v:stroke on="f"/>
              <v:imagedata o:title=""/>
              <o:lock v:ext="edit" aspectratio="f"/>
              <v:textbox inset="0mm,0mm,0mm,0mm">
                <w:txbxContent>
                  <w:p>
                    <w:pPr>
                      <w:spacing w:before="9" w:line="225" w:lineRule="exact"/>
                      <w:ind w:left="40"/>
                      <w:rPr>
                        <w:sz w:val="18"/>
                      </w:rPr>
                    </w:pPr>
                    <w:r>
                      <w:fldChar w:fldCharType="begin"/>
                    </w:r>
                    <w:r>
                      <w:rPr>
                        <w:sz w:val="18"/>
                      </w:rPr>
                      <w:instrText xml:space="preserve"> PAGE </w:instrText>
                    </w:r>
                    <w:r>
                      <w:fldChar w:fldCharType="separate"/>
                    </w:r>
                    <w:r>
                      <w:rPr>
                        <w:sz w:val="18"/>
                      </w:rPr>
                      <w:t>9</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pacing w:line="14" w:lineRule="auto"/>
      <w:ind w:left="0"/>
      <w:rPr>
        <w:sz w:val="19"/>
      </w:rPr>
    </w:pPr>
    <w:r>
      <w:rPr>
        <w:lang w:eastAsia="zh-CN"/>
      </w:rPr>
      <mc:AlternateContent>
        <mc:Choice Requires="wps">
          <w:drawing>
            <wp:anchor distT="0" distB="0" distL="114300" distR="114300" simplePos="0" relativeHeight="251660288" behindDoc="1" locked="0" layoutInCell="1" allowOverlap="1">
              <wp:simplePos x="0" y="0"/>
              <wp:positionH relativeFrom="page">
                <wp:posOffset>3699510</wp:posOffset>
              </wp:positionH>
              <wp:positionV relativeFrom="page">
                <wp:posOffset>9999980</wp:posOffset>
              </wp:positionV>
              <wp:extent cx="166370" cy="149225"/>
              <wp:effectExtent l="3810" t="0" r="1270" b="4445"/>
              <wp:wrapNone/>
              <wp:docPr id="5" name="Text Box 4"/>
              <wp:cNvGraphicFramePr/>
              <a:graphic xmlns:a="http://schemas.openxmlformats.org/drawingml/2006/main">
                <a:graphicData uri="http://schemas.microsoft.com/office/word/2010/wordprocessingShape">
                  <wps:wsp>
                    <wps:cNvSpPr txBox="1">
                      <a:spLocks noChangeArrowheads="1"/>
                    </wps:cNvSpPr>
                    <wps:spPr bwMode="auto">
                      <a:xfrm>
                        <a:off x="0" y="0"/>
                        <a:ext cx="166370" cy="149225"/>
                      </a:xfrm>
                      <a:prstGeom prst="rect">
                        <a:avLst/>
                      </a:prstGeom>
                      <a:noFill/>
                      <a:ln>
                        <a:noFill/>
                      </a:ln>
                    </wps:spPr>
                    <wps:txbx>
                      <w:txbxContent>
                        <w:p>
                          <w:pPr>
                            <w:spacing w:before="9" w:line="225" w:lineRule="exact"/>
                            <w:ind w:left="40"/>
                            <w:rPr>
                              <w:sz w:val="18"/>
                            </w:rPr>
                          </w:pPr>
                          <w:r>
                            <w:fldChar w:fldCharType="begin"/>
                          </w:r>
                          <w:r>
                            <w:rPr>
                              <w:sz w:val="18"/>
                            </w:rPr>
                            <w:instrText xml:space="preserve"> PAGE </w:instrText>
                          </w:r>
                          <w:r>
                            <w:fldChar w:fldCharType="separate"/>
                          </w:r>
                          <w:r>
                            <w:rPr>
                              <w:sz w:val="18"/>
                            </w:rPr>
                            <w:t>19</w:t>
                          </w:r>
                          <w:r>
                            <w:fldChar w:fldCharType="end"/>
                          </w:r>
                        </w:p>
                      </w:txbxContent>
                    </wps:txbx>
                    <wps:bodyPr rot="0" vert="horz" wrap="square" lIns="0" tIns="0" rIns="0" bIns="0" anchor="t" anchorCtr="0" upright="1">
                      <a:noAutofit/>
                    </wps:bodyPr>
                  </wps:wsp>
                </a:graphicData>
              </a:graphic>
            </wp:anchor>
          </w:drawing>
        </mc:Choice>
        <mc:Fallback>
          <w:pict>
            <v:shape id="Text Box 4" o:spid="_x0000_s1026" o:spt="202" type="#_x0000_t202" style="position:absolute;left:0pt;margin-left:291.3pt;margin-top:787.4pt;height:11.75pt;width:13.1pt;mso-position-horizontal-relative:page;mso-position-vertical-relative:page;z-index:-251656192;mso-width-relative:page;mso-height-relative:page;" filled="f" stroked="f" coordsize="21600,21600" o:gfxdata="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I06crvbAAAADQEAAA8AAAAAAAAAAQAgAAAAIgAAAGRycy9kb3du&#10;cmV2LnhtbFBLAQIUABQAAAAIAIdO4kAfydEy/AEAAAMEAAAOAAAAAAAAAAEAIAAAACoBAABkcnMv&#10;ZTJvRG9jLnhtbFBLBQYAAAAABgAGAFkBAACYBQAAAAA=&#10;">
              <v:fill on="f" focussize="0,0"/>
              <v:stroke on="f"/>
              <v:imagedata o:title=""/>
              <o:lock v:ext="edit" aspectratio="f"/>
              <v:textbox inset="0mm,0mm,0mm,0mm">
                <w:txbxContent>
                  <w:p>
                    <w:pPr>
                      <w:spacing w:before="9" w:line="225" w:lineRule="exact"/>
                      <w:ind w:left="40"/>
                      <w:rPr>
                        <w:sz w:val="18"/>
                      </w:rPr>
                    </w:pPr>
                    <w:r>
                      <w:fldChar w:fldCharType="begin"/>
                    </w:r>
                    <w:r>
                      <w:rPr>
                        <w:sz w:val="18"/>
                      </w:rPr>
                      <w:instrText xml:space="preserve"> PAGE </w:instrText>
                    </w:r>
                    <w:r>
                      <w:fldChar w:fldCharType="separate"/>
                    </w:r>
                    <w:r>
                      <w:rPr>
                        <w:sz w:val="18"/>
                      </w:rPr>
                      <w:t>19</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pacing w:line="14" w:lineRule="auto"/>
      <w:ind w:left="0"/>
      <w:rPr>
        <w:sz w:val="20"/>
      </w:rPr>
    </w:pPr>
    <w:r>
      <w:rPr>
        <w:lang w:eastAsia="zh-CN"/>
      </w:rPr>
      <mc:AlternateContent>
        <mc:Choice Requires="wps">
          <w:drawing>
            <wp:anchor distT="0" distB="0" distL="114300" distR="114300" simplePos="0" relativeHeight="251661312" behindDoc="1" locked="0" layoutInCell="1" allowOverlap="1">
              <wp:simplePos x="0" y="0"/>
              <wp:positionH relativeFrom="page">
                <wp:posOffset>3699510</wp:posOffset>
              </wp:positionH>
              <wp:positionV relativeFrom="page">
                <wp:posOffset>10008870</wp:posOffset>
              </wp:positionV>
              <wp:extent cx="166370" cy="139700"/>
              <wp:effectExtent l="3810" t="0" r="1270" b="0"/>
              <wp:wrapNone/>
              <wp:docPr id="4" name="Text Box 3"/>
              <wp:cNvGraphicFramePr/>
              <a:graphic xmlns:a="http://schemas.openxmlformats.org/drawingml/2006/main">
                <a:graphicData uri="http://schemas.microsoft.com/office/word/2010/wordprocessingShape">
                  <wps:wsp>
                    <wps:cNvSpPr txBox="1">
                      <a:spLocks noChangeArrowheads="1"/>
                    </wps:cNvSpPr>
                    <wps:spPr bwMode="auto">
                      <a:xfrm>
                        <a:off x="0" y="0"/>
                        <a:ext cx="166370" cy="139700"/>
                      </a:xfrm>
                      <a:prstGeom prst="rect">
                        <a:avLst/>
                      </a:prstGeom>
                      <a:noFill/>
                      <a:ln>
                        <a:noFill/>
                      </a:ln>
                    </wps:spPr>
                    <wps:txbx>
                      <w:txbxContent>
                        <w:p>
                          <w:pPr>
                            <w:spacing w:line="220" w:lineRule="exact"/>
                            <w:ind w:left="40"/>
                            <w:rPr>
                              <w:sz w:val="18"/>
                            </w:rPr>
                          </w:pPr>
                          <w:r>
                            <w:fldChar w:fldCharType="begin"/>
                          </w:r>
                          <w:r>
                            <w:rPr>
                              <w:sz w:val="18"/>
                            </w:rPr>
                            <w:instrText xml:space="preserve"> PAGE </w:instrText>
                          </w:r>
                          <w:r>
                            <w:fldChar w:fldCharType="separate"/>
                          </w:r>
                          <w:r>
                            <w:rPr>
                              <w:sz w:val="18"/>
                            </w:rPr>
                            <w:t>28</w:t>
                          </w:r>
                          <w:r>
                            <w:fldChar w:fldCharType="end"/>
                          </w:r>
                        </w:p>
                      </w:txbxContent>
                    </wps:txbx>
                    <wps:bodyPr rot="0" vert="horz" wrap="square" lIns="0" tIns="0" rIns="0" bIns="0" anchor="t" anchorCtr="0" upright="1">
                      <a:noAutofit/>
                    </wps:bodyPr>
                  </wps:wsp>
                </a:graphicData>
              </a:graphic>
            </wp:anchor>
          </w:drawing>
        </mc:Choice>
        <mc:Fallback>
          <w:pict>
            <v:shape id="Text Box 3" o:spid="_x0000_s1026" o:spt="202" type="#_x0000_t202" style="position:absolute;left:0pt;margin-left:291.3pt;margin-top:788.1pt;height:11pt;width:13.1pt;mso-position-horizontal-relative:page;mso-position-vertical-relative:page;z-index:-251655168;mso-width-relative:page;mso-height-relative:page;" filled="f" stroked="f" coordsize="21600,21600" o:gfxdata="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lKqDhtoAAAANAQAADwAAAAAAAAABACAAAAAiAAAAZHJzL2Rvd25y&#10;ZXYueG1sUEsBAhQAFAAAAAgAh07iQCaN7MD8AQAAAwQAAA4AAAAAAAAAAQAgAAAAKQEAAGRycy9l&#10;Mm9Eb2MueG1sUEsFBgAAAAAGAAYAWQEAAJcFAAAAAA==&#10;">
              <v:fill on="f" focussize="0,0"/>
              <v:stroke on="f"/>
              <v:imagedata o:title=""/>
              <o:lock v:ext="edit" aspectratio="f"/>
              <v:textbox inset="0mm,0mm,0mm,0mm">
                <w:txbxContent>
                  <w:p>
                    <w:pPr>
                      <w:spacing w:line="220" w:lineRule="exact"/>
                      <w:ind w:left="40"/>
                      <w:rPr>
                        <w:sz w:val="18"/>
                      </w:rPr>
                    </w:pPr>
                    <w:r>
                      <w:fldChar w:fldCharType="begin"/>
                    </w:r>
                    <w:r>
                      <w:rPr>
                        <w:sz w:val="18"/>
                      </w:rPr>
                      <w:instrText xml:space="preserve"> PAGE </w:instrText>
                    </w:r>
                    <w:r>
                      <w:fldChar w:fldCharType="separate"/>
                    </w:r>
                    <w:r>
                      <w:rPr>
                        <w:sz w:val="18"/>
                      </w:rPr>
                      <w:t>28</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pacing w:line="14" w:lineRule="auto"/>
      <w:ind w:left="0"/>
      <w:rPr>
        <w:sz w:val="20"/>
      </w:rPr>
    </w:pPr>
    <w:r>
      <w:rPr>
        <w:lang w:eastAsia="zh-CN"/>
      </w:rPr>
      <mc:AlternateContent>
        <mc:Choice Requires="wps">
          <w:drawing>
            <wp:anchor distT="0" distB="0" distL="114300" distR="114300" simplePos="0" relativeHeight="251661312" behindDoc="1" locked="0" layoutInCell="1" allowOverlap="1">
              <wp:simplePos x="0" y="0"/>
              <wp:positionH relativeFrom="page">
                <wp:posOffset>3699510</wp:posOffset>
              </wp:positionH>
              <wp:positionV relativeFrom="page">
                <wp:posOffset>10008870</wp:posOffset>
              </wp:positionV>
              <wp:extent cx="166370" cy="139700"/>
              <wp:effectExtent l="3810" t="0" r="1270" b="0"/>
              <wp:wrapNone/>
              <wp:docPr id="3" name="Text Box 2"/>
              <wp:cNvGraphicFramePr/>
              <a:graphic xmlns:a="http://schemas.openxmlformats.org/drawingml/2006/main">
                <a:graphicData uri="http://schemas.microsoft.com/office/word/2010/wordprocessingShape">
                  <wps:wsp>
                    <wps:cNvSpPr txBox="1">
                      <a:spLocks noChangeArrowheads="1"/>
                    </wps:cNvSpPr>
                    <wps:spPr bwMode="auto">
                      <a:xfrm>
                        <a:off x="0" y="0"/>
                        <a:ext cx="166370" cy="139700"/>
                      </a:xfrm>
                      <a:prstGeom prst="rect">
                        <a:avLst/>
                      </a:prstGeom>
                      <a:noFill/>
                      <a:ln>
                        <a:noFill/>
                      </a:ln>
                    </wps:spPr>
                    <wps:txbx>
                      <w:txbxContent>
                        <w:p>
                          <w:pPr>
                            <w:spacing w:line="220" w:lineRule="exact"/>
                            <w:ind w:left="40"/>
                            <w:rPr>
                              <w:sz w:val="18"/>
                            </w:rPr>
                          </w:pPr>
                          <w:r>
                            <w:fldChar w:fldCharType="begin"/>
                          </w:r>
                          <w:r>
                            <w:rPr>
                              <w:sz w:val="18"/>
                            </w:rPr>
                            <w:instrText xml:space="preserve"> PAGE </w:instrText>
                          </w:r>
                          <w:r>
                            <w:fldChar w:fldCharType="separate"/>
                          </w:r>
                          <w:r>
                            <w:rPr>
                              <w:sz w:val="18"/>
                            </w:rPr>
                            <w:t>33</w:t>
                          </w:r>
                          <w:r>
                            <w:fldChar w:fldCharType="end"/>
                          </w:r>
                        </w:p>
                      </w:txbxContent>
                    </wps:txbx>
                    <wps:bodyPr rot="0" vert="horz" wrap="square" lIns="0" tIns="0" rIns="0" bIns="0" anchor="t" anchorCtr="0" upright="1">
                      <a:noAutofit/>
                    </wps:bodyPr>
                  </wps:wsp>
                </a:graphicData>
              </a:graphic>
            </wp:anchor>
          </w:drawing>
        </mc:Choice>
        <mc:Fallback>
          <w:pict>
            <v:shape id="Text Box 2" o:spid="_x0000_s1026" o:spt="202" type="#_x0000_t202" style="position:absolute;left:0pt;margin-left:291.3pt;margin-top:788.1pt;height:11pt;width:13.1pt;mso-position-horizontal-relative:page;mso-position-vertical-relative:page;z-index:-251655168;mso-width-relative:page;mso-height-relative:page;" filled="f" stroked="f" coordsize="21600,21600" o:gfxdata="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lKqDhtoAAAANAQAADwAAAAAAAAABACAAAAAiAAAAZHJzL2Rvd25y&#10;ZXYueG1sUEsBAhQAFAAAAAgAh07iQJjNeif8AQAAAwQAAA4AAAAAAAAAAQAgAAAAKQEAAGRycy9l&#10;Mm9Eb2MueG1sUEsFBgAAAAAGAAYAWQEAAJcFAAAAAA==&#10;">
              <v:fill on="f" focussize="0,0"/>
              <v:stroke on="f"/>
              <v:imagedata o:title=""/>
              <o:lock v:ext="edit" aspectratio="f"/>
              <v:textbox inset="0mm,0mm,0mm,0mm">
                <w:txbxContent>
                  <w:p>
                    <w:pPr>
                      <w:spacing w:line="220" w:lineRule="exact"/>
                      <w:ind w:left="40"/>
                      <w:rPr>
                        <w:sz w:val="18"/>
                      </w:rPr>
                    </w:pPr>
                    <w:r>
                      <w:fldChar w:fldCharType="begin"/>
                    </w:r>
                    <w:r>
                      <w:rPr>
                        <w:sz w:val="18"/>
                      </w:rPr>
                      <w:instrText xml:space="preserve"> PAGE </w:instrText>
                    </w:r>
                    <w:r>
                      <w:fldChar w:fldCharType="separate"/>
                    </w:r>
                    <w:r>
                      <w:rPr>
                        <w:sz w:val="18"/>
                      </w:rPr>
                      <w:t>33</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pacing w:line="14" w:lineRule="auto"/>
      <w:ind w:left="0"/>
      <w:rPr>
        <w:sz w:val="20"/>
      </w:rPr>
    </w:pPr>
    <w:r>
      <w:rPr>
        <w:lang w:eastAsia="zh-CN"/>
      </w:rPr>
      <mc:AlternateContent>
        <mc:Choice Requires="wps">
          <w:drawing>
            <wp:anchor distT="0" distB="0" distL="114300" distR="114300" simplePos="0" relativeHeight="251661312" behindDoc="1" locked="0" layoutInCell="1" allowOverlap="1">
              <wp:simplePos x="0" y="0"/>
              <wp:positionH relativeFrom="page">
                <wp:posOffset>3699510</wp:posOffset>
              </wp:positionH>
              <wp:positionV relativeFrom="page">
                <wp:posOffset>10008870</wp:posOffset>
              </wp:positionV>
              <wp:extent cx="166370" cy="139700"/>
              <wp:effectExtent l="3810" t="0" r="1270" b="0"/>
              <wp:wrapNone/>
              <wp:docPr id="2" name="Text Box 1"/>
              <wp:cNvGraphicFramePr/>
              <a:graphic xmlns:a="http://schemas.openxmlformats.org/drawingml/2006/main">
                <a:graphicData uri="http://schemas.microsoft.com/office/word/2010/wordprocessingShape">
                  <wps:wsp>
                    <wps:cNvSpPr txBox="1">
                      <a:spLocks noChangeArrowheads="1"/>
                    </wps:cNvSpPr>
                    <wps:spPr bwMode="auto">
                      <a:xfrm>
                        <a:off x="0" y="0"/>
                        <a:ext cx="166370" cy="139700"/>
                      </a:xfrm>
                      <a:prstGeom prst="rect">
                        <a:avLst/>
                      </a:prstGeom>
                      <a:noFill/>
                      <a:ln>
                        <a:noFill/>
                      </a:ln>
                    </wps:spPr>
                    <wps:txbx>
                      <w:txbxContent>
                        <w:p>
                          <w:pPr>
                            <w:spacing w:line="220" w:lineRule="exact"/>
                            <w:ind w:left="40"/>
                            <w:rPr>
                              <w:sz w:val="18"/>
                            </w:rPr>
                          </w:pPr>
                          <w:r>
                            <w:fldChar w:fldCharType="begin"/>
                          </w:r>
                          <w:r>
                            <w:rPr>
                              <w:sz w:val="18"/>
                            </w:rPr>
                            <w:instrText xml:space="preserve"> PAGE </w:instrText>
                          </w:r>
                          <w:r>
                            <w:fldChar w:fldCharType="separate"/>
                          </w:r>
                          <w:r>
                            <w:rPr>
                              <w:sz w:val="18"/>
                            </w:rPr>
                            <w:t>44</w:t>
                          </w:r>
                          <w:r>
                            <w:fldChar w:fldCharType="end"/>
                          </w:r>
                        </w:p>
                      </w:txbxContent>
                    </wps:txbx>
                    <wps:bodyPr rot="0" vert="horz" wrap="square" lIns="0" tIns="0" rIns="0" bIns="0" anchor="t" anchorCtr="0" upright="1">
                      <a:noAutofit/>
                    </wps:bodyPr>
                  </wps:wsp>
                </a:graphicData>
              </a:graphic>
            </wp:anchor>
          </w:drawing>
        </mc:Choice>
        <mc:Fallback>
          <w:pict>
            <v:shape id="Text Box 1" o:spid="_x0000_s1026" o:spt="202" type="#_x0000_t202" style="position:absolute;left:0pt;margin-left:291.3pt;margin-top:788.1pt;height:11pt;width:13.1pt;mso-position-horizontal-relative:page;mso-position-vertical-relative:page;z-index:-251655168;mso-width-relative:page;mso-height-relative:page;" filled="f" stroked="f" coordsize="21600,21600" o:gfxdata="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CUqoOG2gAAAA0BAAAPAAAAAAAAAAEAIAAAACIAAABkcnMvZG93bnJl&#10;di54bWxQSwECFAAUAAAACACHTuJAvhABg/sBAAADBAAADgAAAAAAAAABACAAAAApAQAAZHJzL2Uy&#10;b0RvYy54bWxQSwUGAAAAAAYABgBZAQAAlgUAAAAA&#10;">
              <v:fill on="f" focussize="0,0"/>
              <v:stroke on="f"/>
              <v:imagedata o:title=""/>
              <o:lock v:ext="edit" aspectratio="f"/>
              <v:textbox inset="0mm,0mm,0mm,0mm">
                <w:txbxContent>
                  <w:p>
                    <w:pPr>
                      <w:spacing w:line="220" w:lineRule="exact"/>
                      <w:ind w:left="40"/>
                      <w:rPr>
                        <w:sz w:val="18"/>
                      </w:rPr>
                    </w:pPr>
                    <w:r>
                      <w:fldChar w:fldCharType="begin"/>
                    </w:r>
                    <w:r>
                      <w:rPr>
                        <w:sz w:val="18"/>
                      </w:rPr>
                      <w:instrText xml:space="preserve"> PAGE </w:instrText>
                    </w:r>
                    <w:r>
                      <w:fldChar w:fldCharType="separate"/>
                    </w:r>
                    <w:r>
                      <w:rPr>
                        <w:sz w:val="18"/>
                      </w:rPr>
                      <w:t>44</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37016BB"/>
    <w:multiLevelType w:val="multilevel"/>
    <w:tmpl w:val="037016BB"/>
    <w:lvl w:ilvl="0" w:tentative="0">
      <w:start w:val="5"/>
      <w:numFmt w:val="decimal"/>
      <w:lvlText w:val="%1"/>
      <w:lvlJc w:val="left"/>
      <w:pPr>
        <w:ind w:left="212" w:hanging="900"/>
        <w:jc w:val="left"/>
      </w:pPr>
      <w:rPr>
        <w:rFonts w:hint="default"/>
      </w:rPr>
    </w:lvl>
    <w:lvl w:ilvl="1" w:tentative="0">
      <w:start w:val="3"/>
      <w:numFmt w:val="decimal"/>
      <w:lvlText w:val="%1.%2"/>
      <w:lvlJc w:val="left"/>
      <w:pPr>
        <w:ind w:left="212" w:hanging="900"/>
        <w:jc w:val="left"/>
      </w:pPr>
      <w:rPr>
        <w:rFonts w:hint="default"/>
      </w:rPr>
    </w:lvl>
    <w:lvl w:ilvl="2" w:tentative="0">
      <w:start w:val="1"/>
      <w:numFmt w:val="decimal"/>
      <w:lvlText w:val="%1.%2.%3"/>
      <w:lvlJc w:val="left"/>
      <w:pPr>
        <w:ind w:left="212" w:hanging="900"/>
        <w:jc w:val="left"/>
      </w:pPr>
      <w:rPr>
        <w:rFonts w:hint="default"/>
      </w:rPr>
    </w:lvl>
    <w:lvl w:ilvl="3" w:tentative="0">
      <w:start w:val="1"/>
      <w:numFmt w:val="decimal"/>
      <w:lvlText w:val="%1.%2.%3.%4"/>
      <w:lvlJc w:val="left"/>
      <w:pPr>
        <w:ind w:left="212" w:hanging="900"/>
        <w:jc w:val="left"/>
      </w:pPr>
      <w:rPr>
        <w:rFonts w:hint="default" w:ascii="宋体" w:hAnsi="宋体" w:eastAsia="宋体" w:cs="宋体"/>
        <w:w w:val="100"/>
        <w:sz w:val="24"/>
        <w:szCs w:val="24"/>
      </w:rPr>
    </w:lvl>
    <w:lvl w:ilvl="4" w:tentative="0">
      <w:start w:val="0"/>
      <w:numFmt w:val="bullet"/>
      <w:lvlText w:val="•"/>
      <w:lvlJc w:val="left"/>
      <w:pPr>
        <w:ind w:left="4168" w:hanging="900"/>
      </w:pPr>
      <w:rPr>
        <w:rFonts w:hint="default"/>
      </w:rPr>
    </w:lvl>
    <w:lvl w:ilvl="5" w:tentative="0">
      <w:start w:val="0"/>
      <w:numFmt w:val="bullet"/>
      <w:lvlText w:val="•"/>
      <w:lvlJc w:val="left"/>
      <w:pPr>
        <w:ind w:left="5155" w:hanging="900"/>
      </w:pPr>
      <w:rPr>
        <w:rFonts w:hint="default"/>
      </w:rPr>
    </w:lvl>
    <w:lvl w:ilvl="6" w:tentative="0">
      <w:start w:val="0"/>
      <w:numFmt w:val="bullet"/>
      <w:lvlText w:val="•"/>
      <w:lvlJc w:val="left"/>
      <w:pPr>
        <w:ind w:left="6142" w:hanging="900"/>
      </w:pPr>
      <w:rPr>
        <w:rFonts w:hint="default"/>
      </w:rPr>
    </w:lvl>
    <w:lvl w:ilvl="7" w:tentative="0">
      <w:start w:val="0"/>
      <w:numFmt w:val="bullet"/>
      <w:lvlText w:val="•"/>
      <w:lvlJc w:val="left"/>
      <w:pPr>
        <w:ind w:left="7129" w:hanging="900"/>
      </w:pPr>
      <w:rPr>
        <w:rFonts w:hint="default"/>
      </w:rPr>
    </w:lvl>
    <w:lvl w:ilvl="8" w:tentative="0">
      <w:start w:val="0"/>
      <w:numFmt w:val="bullet"/>
      <w:lvlText w:val="•"/>
      <w:lvlJc w:val="left"/>
      <w:pPr>
        <w:ind w:left="8116" w:hanging="900"/>
      </w:pPr>
      <w:rPr>
        <w:rFonts w:hint="default"/>
      </w:rPr>
    </w:lvl>
  </w:abstractNum>
  <w:abstractNum w:abstractNumId="1">
    <w:nsid w:val="063D084D"/>
    <w:multiLevelType w:val="multilevel"/>
    <w:tmpl w:val="063D084D"/>
    <w:lvl w:ilvl="0" w:tentative="0">
      <w:start w:val="6"/>
      <w:numFmt w:val="decimal"/>
      <w:lvlText w:val="%1"/>
      <w:lvlJc w:val="left"/>
      <w:pPr>
        <w:ind w:left="1112" w:hanging="420"/>
        <w:jc w:val="left"/>
      </w:pPr>
      <w:rPr>
        <w:rFonts w:hint="default"/>
      </w:rPr>
    </w:lvl>
    <w:lvl w:ilvl="1" w:tentative="0">
      <w:start w:val="1"/>
      <w:numFmt w:val="decimal"/>
      <w:lvlText w:val="%1.%2"/>
      <w:lvlJc w:val="left"/>
      <w:pPr>
        <w:ind w:left="1112" w:hanging="420"/>
        <w:jc w:val="left"/>
      </w:pPr>
      <w:rPr>
        <w:rFonts w:hint="default" w:ascii="宋体" w:hAnsi="宋体" w:eastAsia="宋体" w:cs="宋体"/>
        <w:w w:val="100"/>
        <w:sz w:val="24"/>
        <w:szCs w:val="24"/>
      </w:rPr>
    </w:lvl>
    <w:lvl w:ilvl="2" w:tentative="0">
      <w:start w:val="1"/>
      <w:numFmt w:val="decimal"/>
      <w:lvlText w:val="%1.%2.%3"/>
      <w:lvlJc w:val="left"/>
      <w:pPr>
        <w:ind w:left="212" w:hanging="660"/>
        <w:jc w:val="left"/>
      </w:pPr>
      <w:rPr>
        <w:rFonts w:hint="default" w:ascii="宋体" w:hAnsi="宋体" w:eastAsia="宋体" w:cs="宋体"/>
        <w:w w:val="100"/>
        <w:sz w:val="24"/>
        <w:szCs w:val="24"/>
      </w:rPr>
    </w:lvl>
    <w:lvl w:ilvl="3" w:tentative="0">
      <w:start w:val="0"/>
      <w:numFmt w:val="bullet"/>
      <w:lvlText w:val="•"/>
      <w:lvlJc w:val="left"/>
      <w:pPr>
        <w:ind w:left="3113" w:hanging="660"/>
      </w:pPr>
      <w:rPr>
        <w:rFonts w:hint="default"/>
      </w:rPr>
    </w:lvl>
    <w:lvl w:ilvl="4" w:tentative="0">
      <w:start w:val="0"/>
      <w:numFmt w:val="bullet"/>
      <w:lvlText w:val="•"/>
      <w:lvlJc w:val="left"/>
      <w:pPr>
        <w:ind w:left="4110" w:hanging="660"/>
      </w:pPr>
      <w:rPr>
        <w:rFonts w:hint="default"/>
      </w:rPr>
    </w:lvl>
    <w:lvl w:ilvl="5" w:tentative="0">
      <w:start w:val="0"/>
      <w:numFmt w:val="bullet"/>
      <w:lvlText w:val="•"/>
      <w:lvlJc w:val="left"/>
      <w:pPr>
        <w:ind w:left="5106" w:hanging="660"/>
      </w:pPr>
      <w:rPr>
        <w:rFonts w:hint="default"/>
      </w:rPr>
    </w:lvl>
    <w:lvl w:ilvl="6" w:tentative="0">
      <w:start w:val="0"/>
      <w:numFmt w:val="bullet"/>
      <w:lvlText w:val="•"/>
      <w:lvlJc w:val="left"/>
      <w:pPr>
        <w:ind w:left="6103" w:hanging="660"/>
      </w:pPr>
      <w:rPr>
        <w:rFonts w:hint="default"/>
      </w:rPr>
    </w:lvl>
    <w:lvl w:ilvl="7" w:tentative="0">
      <w:start w:val="0"/>
      <w:numFmt w:val="bullet"/>
      <w:lvlText w:val="•"/>
      <w:lvlJc w:val="left"/>
      <w:pPr>
        <w:ind w:left="7100" w:hanging="660"/>
      </w:pPr>
      <w:rPr>
        <w:rFonts w:hint="default"/>
      </w:rPr>
    </w:lvl>
    <w:lvl w:ilvl="8" w:tentative="0">
      <w:start w:val="0"/>
      <w:numFmt w:val="bullet"/>
      <w:lvlText w:val="•"/>
      <w:lvlJc w:val="left"/>
      <w:pPr>
        <w:ind w:left="8096" w:hanging="660"/>
      </w:pPr>
      <w:rPr>
        <w:rFonts w:hint="default"/>
      </w:rPr>
    </w:lvl>
  </w:abstractNum>
  <w:abstractNum w:abstractNumId="2">
    <w:nsid w:val="0A377ECF"/>
    <w:multiLevelType w:val="multilevel"/>
    <w:tmpl w:val="0A377ECF"/>
    <w:lvl w:ilvl="0" w:tentative="0">
      <w:start w:val="5"/>
      <w:numFmt w:val="decimal"/>
      <w:lvlText w:val="%1"/>
      <w:lvlJc w:val="left"/>
      <w:pPr>
        <w:ind w:left="1112" w:hanging="420"/>
        <w:jc w:val="left"/>
      </w:pPr>
      <w:rPr>
        <w:rFonts w:hint="default"/>
      </w:rPr>
    </w:lvl>
    <w:lvl w:ilvl="1" w:tentative="0">
      <w:start w:val="1"/>
      <w:numFmt w:val="decimal"/>
      <w:lvlText w:val="%1.%2"/>
      <w:lvlJc w:val="left"/>
      <w:pPr>
        <w:ind w:left="1112" w:hanging="420"/>
        <w:jc w:val="left"/>
      </w:pPr>
      <w:rPr>
        <w:rFonts w:hint="default" w:ascii="宋体" w:hAnsi="宋体" w:eastAsia="宋体" w:cs="宋体"/>
        <w:w w:val="100"/>
        <w:sz w:val="24"/>
        <w:szCs w:val="24"/>
      </w:rPr>
    </w:lvl>
    <w:lvl w:ilvl="2" w:tentative="0">
      <w:start w:val="0"/>
      <w:numFmt w:val="bullet"/>
      <w:lvlText w:val="•"/>
      <w:lvlJc w:val="left"/>
      <w:pPr>
        <w:ind w:left="2914" w:hanging="420"/>
      </w:pPr>
      <w:rPr>
        <w:rFonts w:hint="default"/>
      </w:rPr>
    </w:lvl>
    <w:lvl w:ilvl="3" w:tentative="0">
      <w:start w:val="0"/>
      <w:numFmt w:val="bullet"/>
      <w:lvlText w:val="•"/>
      <w:lvlJc w:val="left"/>
      <w:pPr>
        <w:ind w:left="3811" w:hanging="420"/>
      </w:pPr>
      <w:rPr>
        <w:rFonts w:hint="default"/>
      </w:rPr>
    </w:lvl>
    <w:lvl w:ilvl="4" w:tentative="0">
      <w:start w:val="0"/>
      <w:numFmt w:val="bullet"/>
      <w:lvlText w:val="•"/>
      <w:lvlJc w:val="left"/>
      <w:pPr>
        <w:ind w:left="4708" w:hanging="420"/>
      </w:pPr>
      <w:rPr>
        <w:rFonts w:hint="default"/>
      </w:rPr>
    </w:lvl>
    <w:lvl w:ilvl="5" w:tentative="0">
      <w:start w:val="0"/>
      <w:numFmt w:val="bullet"/>
      <w:lvlText w:val="•"/>
      <w:lvlJc w:val="left"/>
      <w:pPr>
        <w:ind w:left="5605" w:hanging="420"/>
      </w:pPr>
      <w:rPr>
        <w:rFonts w:hint="default"/>
      </w:rPr>
    </w:lvl>
    <w:lvl w:ilvl="6" w:tentative="0">
      <w:start w:val="0"/>
      <w:numFmt w:val="bullet"/>
      <w:lvlText w:val="•"/>
      <w:lvlJc w:val="left"/>
      <w:pPr>
        <w:ind w:left="6502" w:hanging="420"/>
      </w:pPr>
      <w:rPr>
        <w:rFonts w:hint="default"/>
      </w:rPr>
    </w:lvl>
    <w:lvl w:ilvl="7" w:tentative="0">
      <w:start w:val="0"/>
      <w:numFmt w:val="bullet"/>
      <w:lvlText w:val="•"/>
      <w:lvlJc w:val="left"/>
      <w:pPr>
        <w:ind w:left="7399" w:hanging="420"/>
      </w:pPr>
      <w:rPr>
        <w:rFonts w:hint="default"/>
      </w:rPr>
    </w:lvl>
    <w:lvl w:ilvl="8" w:tentative="0">
      <w:start w:val="0"/>
      <w:numFmt w:val="bullet"/>
      <w:lvlText w:val="•"/>
      <w:lvlJc w:val="left"/>
      <w:pPr>
        <w:ind w:left="8296" w:hanging="420"/>
      </w:pPr>
      <w:rPr>
        <w:rFonts w:hint="default"/>
      </w:rPr>
    </w:lvl>
  </w:abstractNum>
  <w:abstractNum w:abstractNumId="3">
    <w:nsid w:val="0DCD3422"/>
    <w:multiLevelType w:val="multilevel"/>
    <w:tmpl w:val="0DCD3422"/>
    <w:lvl w:ilvl="0" w:tentative="0">
      <w:start w:val="3"/>
      <w:numFmt w:val="decimal"/>
      <w:lvlText w:val="%1"/>
      <w:lvlJc w:val="left"/>
      <w:pPr>
        <w:ind w:left="1112" w:hanging="420"/>
        <w:jc w:val="left"/>
      </w:pPr>
      <w:rPr>
        <w:rFonts w:hint="default"/>
      </w:rPr>
    </w:lvl>
    <w:lvl w:ilvl="1" w:tentative="0">
      <w:start w:val="4"/>
      <w:numFmt w:val="decimal"/>
      <w:lvlText w:val="%1.%2"/>
      <w:lvlJc w:val="left"/>
      <w:pPr>
        <w:ind w:left="1112" w:hanging="420"/>
        <w:jc w:val="left"/>
      </w:pPr>
      <w:rPr>
        <w:rFonts w:hint="default" w:ascii="宋体" w:hAnsi="宋体" w:eastAsia="宋体" w:cs="宋体"/>
        <w:w w:val="100"/>
        <w:sz w:val="24"/>
        <w:szCs w:val="24"/>
      </w:rPr>
    </w:lvl>
    <w:lvl w:ilvl="2" w:tentative="0">
      <w:start w:val="0"/>
      <w:numFmt w:val="bullet"/>
      <w:lvlText w:val="•"/>
      <w:lvlJc w:val="left"/>
      <w:pPr>
        <w:ind w:left="2914" w:hanging="420"/>
      </w:pPr>
      <w:rPr>
        <w:rFonts w:hint="default"/>
      </w:rPr>
    </w:lvl>
    <w:lvl w:ilvl="3" w:tentative="0">
      <w:start w:val="0"/>
      <w:numFmt w:val="bullet"/>
      <w:lvlText w:val="•"/>
      <w:lvlJc w:val="left"/>
      <w:pPr>
        <w:ind w:left="3811" w:hanging="420"/>
      </w:pPr>
      <w:rPr>
        <w:rFonts w:hint="default"/>
      </w:rPr>
    </w:lvl>
    <w:lvl w:ilvl="4" w:tentative="0">
      <w:start w:val="0"/>
      <w:numFmt w:val="bullet"/>
      <w:lvlText w:val="•"/>
      <w:lvlJc w:val="left"/>
      <w:pPr>
        <w:ind w:left="4708" w:hanging="420"/>
      </w:pPr>
      <w:rPr>
        <w:rFonts w:hint="default"/>
      </w:rPr>
    </w:lvl>
    <w:lvl w:ilvl="5" w:tentative="0">
      <w:start w:val="0"/>
      <w:numFmt w:val="bullet"/>
      <w:lvlText w:val="•"/>
      <w:lvlJc w:val="left"/>
      <w:pPr>
        <w:ind w:left="5605" w:hanging="420"/>
      </w:pPr>
      <w:rPr>
        <w:rFonts w:hint="default"/>
      </w:rPr>
    </w:lvl>
    <w:lvl w:ilvl="6" w:tentative="0">
      <w:start w:val="0"/>
      <w:numFmt w:val="bullet"/>
      <w:lvlText w:val="•"/>
      <w:lvlJc w:val="left"/>
      <w:pPr>
        <w:ind w:left="6502" w:hanging="420"/>
      </w:pPr>
      <w:rPr>
        <w:rFonts w:hint="default"/>
      </w:rPr>
    </w:lvl>
    <w:lvl w:ilvl="7" w:tentative="0">
      <w:start w:val="0"/>
      <w:numFmt w:val="bullet"/>
      <w:lvlText w:val="•"/>
      <w:lvlJc w:val="left"/>
      <w:pPr>
        <w:ind w:left="7399" w:hanging="420"/>
      </w:pPr>
      <w:rPr>
        <w:rFonts w:hint="default"/>
      </w:rPr>
    </w:lvl>
    <w:lvl w:ilvl="8" w:tentative="0">
      <w:start w:val="0"/>
      <w:numFmt w:val="bullet"/>
      <w:lvlText w:val="•"/>
      <w:lvlJc w:val="left"/>
      <w:pPr>
        <w:ind w:left="8296" w:hanging="420"/>
      </w:pPr>
      <w:rPr>
        <w:rFonts w:hint="default"/>
      </w:rPr>
    </w:lvl>
  </w:abstractNum>
  <w:abstractNum w:abstractNumId="4">
    <w:nsid w:val="0F362C18"/>
    <w:multiLevelType w:val="multilevel"/>
    <w:tmpl w:val="0F362C18"/>
    <w:lvl w:ilvl="0" w:tentative="0">
      <w:start w:val="4"/>
      <w:numFmt w:val="decimal"/>
      <w:lvlText w:val="%1"/>
      <w:lvlJc w:val="left"/>
      <w:pPr>
        <w:ind w:left="1112" w:hanging="420"/>
        <w:jc w:val="left"/>
      </w:pPr>
      <w:rPr>
        <w:rFonts w:hint="default"/>
      </w:rPr>
    </w:lvl>
    <w:lvl w:ilvl="1" w:tentative="0">
      <w:start w:val="1"/>
      <w:numFmt w:val="decimal"/>
      <w:lvlText w:val="%1.%2"/>
      <w:lvlJc w:val="left"/>
      <w:pPr>
        <w:ind w:left="1112" w:hanging="420"/>
        <w:jc w:val="left"/>
      </w:pPr>
      <w:rPr>
        <w:rFonts w:hint="default" w:ascii="宋体" w:hAnsi="宋体" w:eastAsia="宋体" w:cs="宋体"/>
        <w:w w:val="100"/>
        <w:sz w:val="24"/>
        <w:szCs w:val="24"/>
      </w:rPr>
    </w:lvl>
    <w:lvl w:ilvl="2" w:tentative="0">
      <w:start w:val="0"/>
      <w:numFmt w:val="bullet"/>
      <w:lvlText w:val="•"/>
      <w:lvlJc w:val="left"/>
      <w:pPr>
        <w:ind w:left="2914" w:hanging="420"/>
      </w:pPr>
      <w:rPr>
        <w:rFonts w:hint="default"/>
      </w:rPr>
    </w:lvl>
    <w:lvl w:ilvl="3" w:tentative="0">
      <w:start w:val="0"/>
      <w:numFmt w:val="bullet"/>
      <w:lvlText w:val="•"/>
      <w:lvlJc w:val="left"/>
      <w:pPr>
        <w:ind w:left="3811" w:hanging="420"/>
      </w:pPr>
      <w:rPr>
        <w:rFonts w:hint="default"/>
      </w:rPr>
    </w:lvl>
    <w:lvl w:ilvl="4" w:tentative="0">
      <w:start w:val="0"/>
      <w:numFmt w:val="bullet"/>
      <w:lvlText w:val="•"/>
      <w:lvlJc w:val="left"/>
      <w:pPr>
        <w:ind w:left="4708" w:hanging="420"/>
      </w:pPr>
      <w:rPr>
        <w:rFonts w:hint="default"/>
      </w:rPr>
    </w:lvl>
    <w:lvl w:ilvl="5" w:tentative="0">
      <w:start w:val="0"/>
      <w:numFmt w:val="bullet"/>
      <w:lvlText w:val="•"/>
      <w:lvlJc w:val="left"/>
      <w:pPr>
        <w:ind w:left="5605" w:hanging="420"/>
      </w:pPr>
      <w:rPr>
        <w:rFonts w:hint="default"/>
      </w:rPr>
    </w:lvl>
    <w:lvl w:ilvl="6" w:tentative="0">
      <w:start w:val="0"/>
      <w:numFmt w:val="bullet"/>
      <w:lvlText w:val="•"/>
      <w:lvlJc w:val="left"/>
      <w:pPr>
        <w:ind w:left="6502" w:hanging="420"/>
      </w:pPr>
      <w:rPr>
        <w:rFonts w:hint="default"/>
      </w:rPr>
    </w:lvl>
    <w:lvl w:ilvl="7" w:tentative="0">
      <w:start w:val="0"/>
      <w:numFmt w:val="bullet"/>
      <w:lvlText w:val="•"/>
      <w:lvlJc w:val="left"/>
      <w:pPr>
        <w:ind w:left="7399" w:hanging="420"/>
      </w:pPr>
      <w:rPr>
        <w:rFonts w:hint="default"/>
      </w:rPr>
    </w:lvl>
    <w:lvl w:ilvl="8" w:tentative="0">
      <w:start w:val="0"/>
      <w:numFmt w:val="bullet"/>
      <w:lvlText w:val="•"/>
      <w:lvlJc w:val="left"/>
      <w:pPr>
        <w:ind w:left="8296" w:hanging="420"/>
      </w:pPr>
      <w:rPr>
        <w:rFonts w:hint="default"/>
      </w:rPr>
    </w:lvl>
  </w:abstractNum>
  <w:abstractNum w:abstractNumId="5">
    <w:nsid w:val="12BF66DE"/>
    <w:multiLevelType w:val="multilevel"/>
    <w:tmpl w:val="12BF66DE"/>
    <w:lvl w:ilvl="0" w:tentative="0">
      <w:start w:val="1"/>
      <w:numFmt w:val="decimal"/>
      <w:lvlText w:val="%1"/>
      <w:lvlJc w:val="left"/>
      <w:pPr>
        <w:ind w:left="632" w:hanging="420"/>
        <w:jc w:val="left"/>
      </w:pPr>
      <w:rPr>
        <w:rFonts w:hint="default"/>
      </w:rPr>
    </w:lvl>
    <w:lvl w:ilvl="1" w:tentative="0">
      <w:start w:val="1"/>
      <w:numFmt w:val="decimal"/>
      <w:lvlText w:val="%1.%2"/>
      <w:lvlJc w:val="left"/>
      <w:pPr>
        <w:ind w:left="632" w:hanging="420"/>
        <w:jc w:val="left"/>
      </w:pPr>
      <w:rPr>
        <w:rFonts w:hint="default" w:ascii="宋体" w:hAnsi="宋体" w:eastAsia="宋体" w:cs="宋体"/>
        <w:w w:val="100"/>
        <w:sz w:val="24"/>
        <w:szCs w:val="24"/>
      </w:rPr>
    </w:lvl>
    <w:lvl w:ilvl="2" w:tentative="0">
      <w:start w:val="1"/>
      <w:numFmt w:val="decimal"/>
      <w:lvlText w:val="%1.%2.%3"/>
      <w:lvlJc w:val="left"/>
      <w:pPr>
        <w:ind w:left="212" w:hanging="601"/>
        <w:jc w:val="left"/>
      </w:pPr>
      <w:rPr>
        <w:rFonts w:hint="default" w:ascii="宋体" w:hAnsi="宋体" w:eastAsia="宋体" w:cs="宋体"/>
        <w:w w:val="100"/>
        <w:sz w:val="22"/>
        <w:szCs w:val="22"/>
      </w:rPr>
    </w:lvl>
    <w:lvl w:ilvl="3" w:tentative="0">
      <w:start w:val="0"/>
      <w:numFmt w:val="bullet"/>
      <w:lvlText w:val="•"/>
      <w:lvlJc w:val="left"/>
      <w:pPr>
        <w:ind w:left="2740" w:hanging="601"/>
      </w:pPr>
      <w:rPr>
        <w:rFonts w:hint="default"/>
      </w:rPr>
    </w:lvl>
    <w:lvl w:ilvl="4" w:tentative="0">
      <w:start w:val="0"/>
      <w:numFmt w:val="bullet"/>
      <w:lvlText w:val="•"/>
      <w:lvlJc w:val="left"/>
      <w:pPr>
        <w:ind w:left="3790" w:hanging="601"/>
      </w:pPr>
      <w:rPr>
        <w:rFonts w:hint="default"/>
      </w:rPr>
    </w:lvl>
    <w:lvl w:ilvl="5" w:tentative="0">
      <w:start w:val="0"/>
      <w:numFmt w:val="bullet"/>
      <w:lvlText w:val="•"/>
      <w:lvlJc w:val="left"/>
      <w:pPr>
        <w:ind w:left="4840" w:hanging="601"/>
      </w:pPr>
      <w:rPr>
        <w:rFonts w:hint="default"/>
      </w:rPr>
    </w:lvl>
    <w:lvl w:ilvl="6" w:tentative="0">
      <w:start w:val="0"/>
      <w:numFmt w:val="bullet"/>
      <w:lvlText w:val="•"/>
      <w:lvlJc w:val="left"/>
      <w:pPr>
        <w:ind w:left="5890" w:hanging="601"/>
      </w:pPr>
      <w:rPr>
        <w:rFonts w:hint="default"/>
      </w:rPr>
    </w:lvl>
    <w:lvl w:ilvl="7" w:tentative="0">
      <w:start w:val="0"/>
      <w:numFmt w:val="bullet"/>
      <w:lvlText w:val="•"/>
      <w:lvlJc w:val="left"/>
      <w:pPr>
        <w:ind w:left="6940" w:hanging="601"/>
      </w:pPr>
      <w:rPr>
        <w:rFonts w:hint="default"/>
      </w:rPr>
    </w:lvl>
    <w:lvl w:ilvl="8" w:tentative="0">
      <w:start w:val="0"/>
      <w:numFmt w:val="bullet"/>
      <w:lvlText w:val="•"/>
      <w:lvlJc w:val="left"/>
      <w:pPr>
        <w:ind w:left="7990" w:hanging="601"/>
      </w:pPr>
      <w:rPr>
        <w:rFonts w:hint="default"/>
      </w:rPr>
    </w:lvl>
  </w:abstractNum>
  <w:abstractNum w:abstractNumId="6">
    <w:nsid w:val="231516A9"/>
    <w:multiLevelType w:val="multilevel"/>
    <w:tmpl w:val="231516A9"/>
    <w:lvl w:ilvl="0" w:tentative="0">
      <w:start w:val="4"/>
      <w:numFmt w:val="decimal"/>
      <w:lvlText w:val="%1"/>
      <w:lvlJc w:val="left"/>
      <w:pPr>
        <w:ind w:left="1112" w:hanging="420"/>
        <w:jc w:val="left"/>
      </w:pPr>
      <w:rPr>
        <w:rFonts w:hint="default"/>
      </w:rPr>
    </w:lvl>
    <w:lvl w:ilvl="1" w:tentative="0">
      <w:start w:val="2"/>
      <w:numFmt w:val="decimal"/>
      <w:lvlText w:val="%1.%2"/>
      <w:lvlJc w:val="left"/>
      <w:pPr>
        <w:ind w:left="1112" w:hanging="420"/>
        <w:jc w:val="left"/>
      </w:pPr>
      <w:rPr>
        <w:rFonts w:hint="default" w:ascii="宋体" w:hAnsi="宋体" w:eastAsia="宋体" w:cs="宋体"/>
        <w:w w:val="100"/>
        <w:sz w:val="24"/>
        <w:szCs w:val="24"/>
      </w:rPr>
    </w:lvl>
    <w:lvl w:ilvl="2" w:tentative="0">
      <w:start w:val="1"/>
      <w:numFmt w:val="decimal"/>
      <w:lvlText w:val="%1.%2.%3"/>
      <w:lvlJc w:val="left"/>
      <w:pPr>
        <w:ind w:left="212" w:hanging="660"/>
        <w:jc w:val="left"/>
      </w:pPr>
      <w:rPr>
        <w:rFonts w:hint="default" w:ascii="宋体" w:hAnsi="宋体" w:eastAsia="宋体" w:cs="宋体"/>
        <w:w w:val="100"/>
        <w:sz w:val="24"/>
        <w:szCs w:val="24"/>
      </w:rPr>
    </w:lvl>
    <w:lvl w:ilvl="3" w:tentative="0">
      <w:start w:val="0"/>
      <w:numFmt w:val="bullet"/>
      <w:lvlText w:val="•"/>
      <w:lvlJc w:val="left"/>
      <w:pPr>
        <w:ind w:left="3113" w:hanging="660"/>
      </w:pPr>
      <w:rPr>
        <w:rFonts w:hint="default"/>
      </w:rPr>
    </w:lvl>
    <w:lvl w:ilvl="4" w:tentative="0">
      <w:start w:val="0"/>
      <w:numFmt w:val="bullet"/>
      <w:lvlText w:val="•"/>
      <w:lvlJc w:val="left"/>
      <w:pPr>
        <w:ind w:left="4110" w:hanging="660"/>
      </w:pPr>
      <w:rPr>
        <w:rFonts w:hint="default"/>
      </w:rPr>
    </w:lvl>
    <w:lvl w:ilvl="5" w:tentative="0">
      <w:start w:val="0"/>
      <w:numFmt w:val="bullet"/>
      <w:lvlText w:val="•"/>
      <w:lvlJc w:val="left"/>
      <w:pPr>
        <w:ind w:left="5106" w:hanging="660"/>
      </w:pPr>
      <w:rPr>
        <w:rFonts w:hint="default"/>
      </w:rPr>
    </w:lvl>
    <w:lvl w:ilvl="6" w:tentative="0">
      <w:start w:val="0"/>
      <w:numFmt w:val="bullet"/>
      <w:lvlText w:val="•"/>
      <w:lvlJc w:val="left"/>
      <w:pPr>
        <w:ind w:left="6103" w:hanging="660"/>
      </w:pPr>
      <w:rPr>
        <w:rFonts w:hint="default"/>
      </w:rPr>
    </w:lvl>
    <w:lvl w:ilvl="7" w:tentative="0">
      <w:start w:val="0"/>
      <w:numFmt w:val="bullet"/>
      <w:lvlText w:val="•"/>
      <w:lvlJc w:val="left"/>
      <w:pPr>
        <w:ind w:left="7100" w:hanging="660"/>
      </w:pPr>
      <w:rPr>
        <w:rFonts w:hint="default"/>
      </w:rPr>
    </w:lvl>
    <w:lvl w:ilvl="8" w:tentative="0">
      <w:start w:val="0"/>
      <w:numFmt w:val="bullet"/>
      <w:lvlText w:val="•"/>
      <w:lvlJc w:val="left"/>
      <w:pPr>
        <w:ind w:left="8096" w:hanging="660"/>
      </w:pPr>
      <w:rPr>
        <w:rFonts w:hint="default"/>
      </w:rPr>
    </w:lvl>
  </w:abstractNum>
  <w:abstractNum w:abstractNumId="7">
    <w:nsid w:val="262470FD"/>
    <w:multiLevelType w:val="multilevel"/>
    <w:tmpl w:val="262470FD"/>
    <w:lvl w:ilvl="0" w:tentative="0">
      <w:start w:val="3"/>
      <w:numFmt w:val="decimal"/>
      <w:lvlText w:val="%1"/>
      <w:lvlJc w:val="left"/>
      <w:pPr>
        <w:ind w:left="212" w:hanging="600"/>
        <w:jc w:val="left"/>
      </w:pPr>
      <w:rPr>
        <w:rFonts w:hint="default"/>
      </w:rPr>
    </w:lvl>
    <w:lvl w:ilvl="1" w:tentative="0">
      <w:start w:val="1"/>
      <w:numFmt w:val="decimal"/>
      <w:lvlText w:val="%1.%2"/>
      <w:lvlJc w:val="left"/>
      <w:pPr>
        <w:ind w:left="212" w:hanging="600"/>
        <w:jc w:val="left"/>
      </w:pPr>
      <w:rPr>
        <w:rFonts w:hint="default" w:ascii="宋体" w:hAnsi="宋体" w:eastAsia="宋体" w:cs="宋体"/>
        <w:w w:val="100"/>
        <w:sz w:val="24"/>
        <w:szCs w:val="24"/>
      </w:rPr>
    </w:lvl>
    <w:lvl w:ilvl="2" w:tentative="0">
      <w:start w:val="0"/>
      <w:numFmt w:val="bullet"/>
      <w:lvlText w:val="•"/>
      <w:lvlJc w:val="left"/>
      <w:pPr>
        <w:ind w:left="2194" w:hanging="600"/>
      </w:pPr>
      <w:rPr>
        <w:rFonts w:hint="default"/>
      </w:rPr>
    </w:lvl>
    <w:lvl w:ilvl="3" w:tentative="0">
      <w:start w:val="0"/>
      <w:numFmt w:val="bullet"/>
      <w:lvlText w:val="•"/>
      <w:lvlJc w:val="left"/>
      <w:pPr>
        <w:ind w:left="3181" w:hanging="600"/>
      </w:pPr>
      <w:rPr>
        <w:rFonts w:hint="default"/>
      </w:rPr>
    </w:lvl>
    <w:lvl w:ilvl="4" w:tentative="0">
      <w:start w:val="0"/>
      <w:numFmt w:val="bullet"/>
      <w:lvlText w:val="•"/>
      <w:lvlJc w:val="left"/>
      <w:pPr>
        <w:ind w:left="4168" w:hanging="600"/>
      </w:pPr>
      <w:rPr>
        <w:rFonts w:hint="default"/>
      </w:rPr>
    </w:lvl>
    <w:lvl w:ilvl="5" w:tentative="0">
      <w:start w:val="0"/>
      <w:numFmt w:val="bullet"/>
      <w:lvlText w:val="•"/>
      <w:lvlJc w:val="left"/>
      <w:pPr>
        <w:ind w:left="5155" w:hanging="600"/>
      </w:pPr>
      <w:rPr>
        <w:rFonts w:hint="default"/>
      </w:rPr>
    </w:lvl>
    <w:lvl w:ilvl="6" w:tentative="0">
      <w:start w:val="0"/>
      <w:numFmt w:val="bullet"/>
      <w:lvlText w:val="•"/>
      <w:lvlJc w:val="left"/>
      <w:pPr>
        <w:ind w:left="6142" w:hanging="600"/>
      </w:pPr>
      <w:rPr>
        <w:rFonts w:hint="default"/>
      </w:rPr>
    </w:lvl>
    <w:lvl w:ilvl="7" w:tentative="0">
      <w:start w:val="0"/>
      <w:numFmt w:val="bullet"/>
      <w:lvlText w:val="•"/>
      <w:lvlJc w:val="left"/>
      <w:pPr>
        <w:ind w:left="7129" w:hanging="600"/>
      </w:pPr>
      <w:rPr>
        <w:rFonts w:hint="default"/>
      </w:rPr>
    </w:lvl>
    <w:lvl w:ilvl="8" w:tentative="0">
      <w:start w:val="0"/>
      <w:numFmt w:val="bullet"/>
      <w:lvlText w:val="•"/>
      <w:lvlJc w:val="left"/>
      <w:pPr>
        <w:ind w:left="8116" w:hanging="600"/>
      </w:pPr>
      <w:rPr>
        <w:rFonts w:hint="default"/>
      </w:rPr>
    </w:lvl>
  </w:abstractNum>
  <w:abstractNum w:abstractNumId="8">
    <w:nsid w:val="28BF4F3C"/>
    <w:multiLevelType w:val="multilevel"/>
    <w:tmpl w:val="28BF4F3C"/>
    <w:lvl w:ilvl="0" w:tentative="0">
      <w:start w:val="3"/>
      <w:numFmt w:val="decimal"/>
      <w:lvlText w:val="%1"/>
      <w:lvlJc w:val="left"/>
      <w:pPr>
        <w:ind w:left="212" w:hanging="420"/>
        <w:jc w:val="left"/>
      </w:pPr>
      <w:rPr>
        <w:rFonts w:hint="default"/>
      </w:rPr>
    </w:lvl>
    <w:lvl w:ilvl="1" w:tentative="0">
      <w:start w:val="6"/>
      <w:numFmt w:val="decimal"/>
      <w:lvlText w:val="%1.%2"/>
      <w:lvlJc w:val="left"/>
      <w:pPr>
        <w:ind w:left="212" w:hanging="420"/>
        <w:jc w:val="left"/>
      </w:pPr>
      <w:rPr>
        <w:rFonts w:hint="default" w:ascii="宋体" w:hAnsi="宋体" w:eastAsia="宋体" w:cs="宋体"/>
        <w:w w:val="100"/>
        <w:sz w:val="24"/>
        <w:szCs w:val="24"/>
      </w:rPr>
    </w:lvl>
    <w:lvl w:ilvl="2" w:tentative="0">
      <w:start w:val="0"/>
      <w:numFmt w:val="bullet"/>
      <w:lvlText w:val="•"/>
      <w:lvlJc w:val="left"/>
      <w:pPr>
        <w:ind w:left="2194" w:hanging="420"/>
      </w:pPr>
      <w:rPr>
        <w:rFonts w:hint="default"/>
      </w:rPr>
    </w:lvl>
    <w:lvl w:ilvl="3" w:tentative="0">
      <w:start w:val="0"/>
      <w:numFmt w:val="bullet"/>
      <w:lvlText w:val="•"/>
      <w:lvlJc w:val="left"/>
      <w:pPr>
        <w:ind w:left="3181" w:hanging="420"/>
      </w:pPr>
      <w:rPr>
        <w:rFonts w:hint="default"/>
      </w:rPr>
    </w:lvl>
    <w:lvl w:ilvl="4" w:tentative="0">
      <w:start w:val="0"/>
      <w:numFmt w:val="bullet"/>
      <w:lvlText w:val="•"/>
      <w:lvlJc w:val="left"/>
      <w:pPr>
        <w:ind w:left="4168" w:hanging="420"/>
      </w:pPr>
      <w:rPr>
        <w:rFonts w:hint="default"/>
      </w:rPr>
    </w:lvl>
    <w:lvl w:ilvl="5" w:tentative="0">
      <w:start w:val="0"/>
      <w:numFmt w:val="bullet"/>
      <w:lvlText w:val="•"/>
      <w:lvlJc w:val="left"/>
      <w:pPr>
        <w:ind w:left="5155" w:hanging="420"/>
      </w:pPr>
      <w:rPr>
        <w:rFonts w:hint="default"/>
      </w:rPr>
    </w:lvl>
    <w:lvl w:ilvl="6" w:tentative="0">
      <w:start w:val="0"/>
      <w:numFmt w:val="bullet"/>
      <w:lvlText w:val="•"/>
      <w:lvlJc w:val="left"/>
      <w:pPr>
        <w:ind w:left="6142" w:hanging="420"/>
      </w:pPr>
      <w:rPr>
        <w:rFonts w:hint="default"/>
      </w:rPr>
    </w:lvl>
    <w:lvl w:ilvl="7" w:tentative="0">
      <w:start w:val="0"/>
      <w:numFmt w:val="bullet"/>
      <w:lvlText w:val="•"/>
      <w:lvlJc w:val="left"/>
      <w:pPr>
        <w:ind w:left="7129" w:hanging="420"/>
      </w:pPr>
      <w:rPr>
        <w:rFonts w:hint="default"/>
      </w:rPr>
    </w:lvl>
    <w:lvl w:ilvl="8" w:tentative="0">
      <w:start w:val="0"/>
      <w:numFmt w:val="bullet"/>
      <w:lvlText w:val="•"/>
      <w:lvlJc w:val="left"/>
      <w:pPr>
        <w:ind w:left="8116" w:hanging="420"/>
      </w:pPr>
      <w:rPr>
        <w:rFonts w:hint="default"/>
      </w:rPr>
    </w:lvl>
  </w:abstractNum>
  <w:abstractNum w:abstractNumId="9">
    <w:nsid w:val="298633A0"/>
    <w:multiLevelType w:val="multilevel"/>
    <w:tmpl w:val="298633A0"/>
    <w:lvl w:ilvl="0" w:tentative="0">
      <w:start w:val="2"/>
      <w:numFmt w:val="decimal"/>
      <w:lvlText w:val="%1"/>
      <w:lvlJc w:val="left"/>
      <w:pPr>
        <w:ind w:left="632" w:hanging="420"/>
        <w:jc w:val="left"/>
      </w:pPr>
      <w:rPr>
        <w:rFonts w:hint="default"/>
      </w:rPr>
    </w:lvl>
    <w:lvl w:ilvl="1" w:tentative="0">
      <w:start w:val="1"/>
      <w:numFmt w:val="decimal"/>
      <w:lvlText w:val="%1.%2"/>
      <w:lvlJc w:val="left"/>
      <w:pPr>
        <w:ind w:left="632" w:hanging="420"/>
        <w:jc w:val="left"/>
      </w:pPr>
      <w:rPr>
        <w:rFonts w:hint="default" w:ascii="宋体" w:hAnsi="宋体" w:eastAsia="宋体" w:cs="宋体"/>
        <w:w w:val="100"/>
        <w:sz w:val="24"/>
        <w:szCs w:val="24"/>
      </w:rPr>
    </w:lvl>
    <w:lvl w:ilvl="2" w:tentative="0">
      <w:start w:val="1"/>
      <w:numFmt w:val="decimal"/>
      <w:lvlText w:val="%1.%2.%3"/>
      <w:lvlJc w:val="left"/>
      <w:pPr>
        <w:ind w:left="1352" w:hanging="660"/>
        <w:jc w:val="left"/>
      </w:pPr>
      <w:rPr>
        <w:rFonts w:hint="default" w:ascii="宋体" w:hAnsi="宋体" w:eastAsia="宋体" w:cs="宋体"/>
        <w:color w:val="auto"/>
        <w:w w:val="100"/>
        <w:sz w:val="24"/>
        <w:szCs w:val="24"/>
      </w:rPr>
    </w:lvl>
    <w:lvl w:ilvl="3" w:tentative="0">
      <w:start w:val="0"/>
      <w:numFmt w:val="bullet"/>
      <w:lvlText w:val="•"/>
      <w:lvlJc w:val="left"/>
      <w:pPr>
        <w:ind w:left="2451" w:hanging="660"/>
      </w:pPr>
      <w:rPr>
        <w:rFonts w:hint="default"/>
      </w:rPr>
    </w:lvl>
    <w:lvl w:ilvl="4" w:tentative="0">
      <w:start w:val="0"/>
      <w:numFmt w:val="bullet"/>
      <w:lvlText w:val="•"/>
      <w:lvlJc w:val="left"/>
      <w:pPr>
        <w:ind w:left="3542" w:hanging="660"/>
      </w:pPr>
      <w:rPr>
        <w:rFonts w:hint="default"/>
      </w:rPr>
    </w:lvl>
    <w:lvl w:ilvl="5" w:tentative="0">
      <w:start w:val="0"/>
      <w:numFmt w:val="bullet"/>
      <w:lvlText w:val="•"/>
      <w:lvlJc w:val="left"/>
      <w:pPr>
        <w:ind w:left="4633" w:hanging="660"/>
      </w:pPr>
      <w:rPr>
        <w:rFonts w:hint="default"/>
      </w:rPr>
    </w:lvl>
    <w:lvl w:ilvl="6" w:tentative="0">
      <w:start w:val="0"/>
      <w:numFmt w:val="bullet"/>
      <w:lvlText w:val="•"/>
      <w:lvlJc w:val="left"/>
      <w:pPr>
        <w:ind w:left="5725" w:hanging="660"/>
      </w:pPr>
      <w:rPr>
        <w:rFonts w:hint="default"/>
      </w:rPr>
    </w:lvl>
    <w:lvl w:ilvl="7" w:tentative="0">
      <w:start w:val="0"/>
      <w:numFmt w:val="bullet"/>
      <w:lvlText w:val="•"/>
      <w:lvlJc w:val="left"/>
      <w:pPr>
        <w:ind w:left="6816" w:hanging="660"/>
      </w:pPr>
      <w:rPr>
        <w:rFonts w:hint="default"/>
      </w:rPr>
    </w:lvl>
    <w:lvl w:ilvl="8" w:tentative="0">
      <w:start w:val="0"/>
      <w:numFmt w:val="bullet"/>
      <w:lvlText w:val="•"/>
      <w:lvlJc w:val="left"/>
      <w:pPr>
        <w:ind w:left="7907" w:hanging="660"/>
      </w:pPr>
      <w:rPr>
        <w:rFonts w:hint="default"/>
      </w:rPr>
    </w:lvl>
  </w:abstractNum>
  <w:abstractNum w:abstractNumId="10">
    <w:nsid w:val="3515201A"/>
    <w:multiLevelType w:val="multilevel"/>
    <w:tmpl w:val="3515201A"/>
    <w:lvl w:ilvl="0" w:tentative="0">
      <w:start w:val="2"/>
      <w:numFmt w:val="decimal"/>
      <w:lvlText w:val="%1"/>
      <w:lvlJc w:val="left"/>
      <w:pPr>
        <w:ind w:left="632" w:hanging="420"/>
        <w:jc w:val="left"/>
      </w:pPr>
      <w:rPr>
        <w:rFonts w:hint="default"/>
      </w:rPr>
    </w:lvl>
    <w:lvl w:ilvl="1" w:tentative="0">
      <w:start w:val="1"/>
      <w:numFmt w:val="decimal"/>
      <w:lvlText w:val="%1.%2"/>
      <w:lvlJc w:val="left"/>
      <w:pPr>
        <w:ind w:left="632" w:hanging="420"/>
        <w:jc w:val="left"/>
      </w:pPr>
      <w:rPr>
        <w:rFonts w:hint="default" w:ascii="宋体" w:hAnsi="宋体" w:eastAsia="宋体" w:cs="宋体"/>
        <w:w w:val="100"/>
        <w:sz w:val="24"/>
        <w:szCs w:val="24"/>
      </w:rPr>
    </w:lvl>
    <w:lvl w:ilvl="2" w:tentative="0">
      <w:start w:val="1"/>
      <w:numFmt w:val="decimal"/>
      <w:lvlText w:val="%1.%2.%3"/>
      <w:lvlJc w:val="left"/>
      <w:pPr>
        <w:ind w:left="1352" w:hanging="660"/>
        <w:jc w:val="left"/>
      </w:pPr>
      <w:rPr>
        <w:rFonts w:hint="default" w:ascii="宋体" w:hAnsi="宋体" w:eastAsia="宋体" w:cs="宋体"/>
        <w:w w:val="100"/>
        <w:sz w:val="24"/>
        <w:szCs w:val="24"/>
      </w:rPr>
    </w:lvl>
    <w:lvl w:ilvl="3" w:tentative="0">
      <w:start w:val="0"/>
      <w:numFmt w:val="bullet"/>
      <w:lvlText w:val="•"/>
      <w:lvlJc w:val="left"/>
      <w:pPr>
        <w:ind w:left="2661" w:hanging="660"/>
      </w:pPr>
      <w:rPr>
        <w:rFonts w:hint="default"/>
      </w:rPr>
    </w:lvl>
    <w:lvl w:ilvl="4" w:tentative="0">
      <w:start w:val="0"/>
      <w:numFmt w:val="bullet"/>
      <w:lvlText w:val="•"/>
      <w:lvlJc w:val="left"/>
      <w:pPr>
        <w:ind w:left="3722" w:hanging="660"/>
      </w:pPr>
      <w:rPr>
        <w:rFonts w:hint="default"/>
      </w:rPr>
    </w:lvl>
    <w:lvl w:ilvl="5" w:tentative="0">
      <w:start w:val="0"/>
      <w:numFmt w:val="bullet"/>
      <w:lvlText w:val="•"/>
      <w:lvlJc w:val="left"/>
      <w:pPr>
        <w:ind w:left="4783" w:hanging="660"/>
      </w:pPr>
      <w:rPr>
        <w:rFonts w:hint="default"/>
      </w:rPr>
    </w:lvl>
    <w:lvl w:ilvl="6" w:tentative="0">
      <w:start w:val="0"/>
      <w:numFmt w:val="bullet"/>
      <w:lvlText w:val="•"/>
      <w:lvlJc w:val="left"/>
      <w:pPr>
        <w:ind w:left="5845" w:hanging="660"/>
      </w:pPr>
      <w:rPr>
        <w:rFonts w:hint="default"/>
      </w:rPr>
    </w:lvl>
    <w:lvl w:ilvl="7" w:tentative="0">
      <w:start w:val="0"/>
      <w:numFmt w:val="bullet"/>
      <w:lvlText w:val="•"/>
      <w:lvlJc w:val="left"/>
      <w:pPr>
        <w:ind w:left="6906" w:hanging="660"/>
      </w:pPr>
      <w:rPr>
        <w:rFonts w:hint="default"/>
      </w:rPr>
    </w:lvl>
    <w:lvl w:ilvl="8" w:tentative="0">
      <w:start w:val="0"/>
      <w:numFmt w:val="bullet"/>
      <w:lvlText w:val="•"/>
      <w:lvlJc w:val="left"/>
      <w:pPr>
        <w:ind w:left="7967" w:hanging="660"/>
      </w:pPr>
      <w:rPr>
        <w:rFonts w:hint="default"/>
      </w:rPr>
    </w:lvl>
  </w:abstractNum>
  <w:abstractNum w:abstractNumId="11">
    <w:nsid w:val="3EBE3F10"/>
    <w:multiLevelType w:val="multilevel"/>
    <w:tmpl w:val="3EBE3F10"/>
    <w:lvl w:ilvl="0" w:tentative="0">
      <w:start w:val="2"/>
      <w:numFmt w:val="decimal"/>
      <w:lvlText w:val="%1"/>
      <w:lvlJc w:val="left"/>
      <w:pPr>
        <w:ind w:left="212" w:hanging="600"/>
        <w:jc w:val="left"/>
      </w:pPr>
      <w:rPr>
        <w:rFonts w:hint="default"/>
      </w:rPr>
    </w:lvl>
    <w:lvl w:ilvl="1" w:tentative="0">
      <w:start w:val="1"/>
      <w:numFmt w:val="decimal"/>
      <w:lvlText w:val="%1.%2"/>
      <w:lvlJc w:val="left"/>
      <w:pPr>
        <w:ind w:left="212" w:hanging="600"/>
        <w:jc w:val="left"/>
      </w:pPr>
      <w:rPr>
        <w:rFonts w:hint="default" w:ascii="宋体" w:hAnsi="宋体" w:eastAsia="宋体" w:cs="宋体"/>
        <w:w w:val="100"/>
        <w:sz w:val="24"/>
        <w:szCs w:val="24"/>
      </w:rPr>
    </w:lvl>
    <w:lvl w:ilvl="2" w:tentative="0">
      <w:start w:val="0"/>
      <w:numFmt w:val="bullet"/>
      <w:lvlText w:val="•"/>
      <w:lvlJc w:val="left"/>
      <w:pPr>
        <w:ind w:left="2194" w:hanging="600"/>
      </w:pPr>
      <w:rPr>
        <w:rFonts w:hint="default"/>
      </w:rPr>
    </w:lvl>
    <w:lvl w:ilvl="3" w:tentative="0">
      <w:start w:val="0"/>
      <w:numFmt w:val="bullet"/>
      <w:lvlText w:val="•"/>
      <w:lvlJc w:val="left"/>
      <w:pPr>
        <w:ind w:left="3181" w:hanging="600"/>
      </w:pPr>
      <w:rPr>
        <w:rFonts w:hint="default"/>
      </w:rPr>
    </w:lvl>
    <w:lvl w:ilvl="4" w:tentative="0">
      <w:start w:val="0"/>
      <w:numFmt w:val="bullet"/>
      <w:lvlText w:val="•"/>
      <w:lvlJc w:val="left"/>
      <w:pPr>
        <w:ind w:left="4168" w:hanging="600"/>
      </w:pPr>
      <w:rPr>
        <w:rFonts w:hint="default"/>
      </w:rPr>
    </w:lvl>
    <w:lvl w:ilvl="5" w:tentative="0">
      <w:start w:val="0"/>
      <w:numFmt w:val="bullet"/>
      <w:lvlText w:val="•"/>
      <w:lvlJc w:val="left"/>
      <w:pPr>
        <w:ind w:left="5155" w:hanging="600"/>
      </w:pPr>
      <w:rPr>
        <w:rFonts w:hint="default"/>
      </w:rPr>
    </w:lvl>
    <w:lvl w:ilvl="6" w:tentative="0">
      <w:start w:val="0"/>
      <w:numFmt w:val="bullet"/>
      <w:lvlText w:val="•"/>
      <w:lvlJc w:val="left"/>
      <w:pPr>
        <w:ind w:left="6142" w:hanging="600"/>
      </w:pPr>
      <w:rPr>
        <w:rFonts w:hint="default"/>
      </w:rPr>
    </w:lvl>
    <w:lvl w:ilvl="7" w:tentative="0">
      <w:start w:val="0"/>
      <w:numFmt w:val="bullet"/>
      <w:lvlText w:val="•"/>
      <w:lvlJc w:val="left"/>
      <w:pPr>
        <w:ind w:left="7129" w:hanging="600"/>
      </w:pPr>
      <w:rPr>
        <w:rFonts w:hint="default"/>
      </w:rPr>
    </w:lvl>
    <w:lvl w:ilvl="8" w:tentative="0">
      <w:start w:val="0"/>
      <w:numFmt w:val="bullet"/>
      <w:lvlText w:val="•"/>
      <w:lvlJc w:val="left"/>
      <w:pPr>
        <w:ind w:left="8116" w:hanging="600"/>
      </w:pPr>
      <w:rPr>
        <w:rFonts w:hint="default"/>
      </w:rPr>
    </w:lvl>
  </w:abstractNum>
  <w:abstractNum w:abstractNumId="12">
    <w:nsid w:val="432365F2"/>
    <w:multiLevelType w:val="multilevel"/>
    <w:tmpl w:val="432365F2"/>
    <w:lvl w:ilvl="0" w:tentative="0">
      <w:start w:val="7"/>
      <w:numFmt w:val="decimal"/>
      <w:lvlText w:val="%1"/>
      <w:lvlJc w:val="left"/>
      <w:pPr>
        <w:ind w:left="1112" w:hanging="420"/>
        <w:jc w:val="left"/>
      </w:pPr>
      <w:rPr>
        <w:rFonts w:hint="default"/>
      </w:rPr>
    </w:lvl>
    <w:lvl w:ilvl="1" w:tentative="0">
      <w:start w:val="1"/>
      <w:numFmt w:val="decimal"/>
      <w:lvlText w:val="%1.%2"/>
      <w:lvlJc w:val="left"/>
      <w:pPr>
        <w:ind w:left="1112" w:hanging="420"/>
        <w:jc w:val="left"/>
      </w:pPr>
      <w:rPr>
        <w:rFonts w:hint="default" w:ascii="宋体" w:hAnsi="宋体" w:eastAsia="宋体" w:cs="宋体"/>
        <w:w w:val="100"/>
        <w:sz w:val="24"/>
        <w:szCs w:val="24"/>
      </w:rPr>
    </w:lvl>
    <w:lvl w:ilvl="2" w:tentative="0">
      <w:start w:val="0"/>
      <w:numFmt w:val="bullet"/>
      <w:lvlText w:val="•"/>
      <w:lvlJc w:val="left"/>
      <w:pPr>
        <w:ind w:left="2914" w:hanging="420"/>
      </w:pPr>
      <w:rPr>
        <w:rFonts w:hint="default"/>
      </w:rPr>
    </w:lvl>
    <w:lvl w:ilvl="3" w:tentative="0">
      <w:start w:val="0"/>
      <w:numFmt w:val="bullet"/>
      <w:lvlText w:val="•"/>
      <w:lvlJc w:val="left"/>
      <w:pPr>
        <w:ind w:left="3811" w:hanging="420"/>
      </w:pPr>
      <w:rPr>
        <w:rFonts w:hint="default"/>
      </w:rPr>
    </w:lvl>
    <w:lvl w:ilvl="4" w:tentative="0">
      <w:start w:val="0"/>
      <w:numFmt w:val="bullet"/>
      <w:lvlText w:val="•"/>
      <w:lvlJc w:val="left"/>
      <w:pPr>
        <w:ind w:left="4708" w:hanging="420"/>
      </w:pPr>
      <w:rPr>
        <w:rFonts w:hint="default"/>
      </w:rPr>
    </w:lvl>
    <w:lvl w:ilvl="5" w:tentative="0">
      <w:start w:val="0"/>
      <w:numFmt w:val="bullet"/>
      <w:lvlText w:val="•"/>
      <w:lvlJc w:val="left"/>
      <w:pPr>
        <w:ind w:left="5605" w:hanging="420"/>
      </w:pPr>
      <w:rPr>
        <w:rFonts w:hint="default"/>
      </w:rPr>
    </w:lvl>
    <w:lvl w:ilvl="6" w:tentative="0">
      <w:start w:val="0"/>
      <w:numFmt w:val="bullet"/>
      <w:lvlText w:val="•"/>
      <w:lvlJc w:val="left"/>
      <w:pPr>
        <w:ind w:left="6502" w:hanging="420"/>
      </w:pPr>
      <w:rPr>
        <w:rFonts w:hint="default"/>
      </w:rPr>
    </w:lvl>
    <w:lvl w:ilvl="7" w:tentative="0">
      <w:start w:val="0"/>
      <w:numFmt w:val="bullet"/>
      <w:lvlText w:val="•"/>
      <w:lvlJc w:val="left"/>
      <w:pPr>
        <w:ind w:left="7399" w:hanging="420"/>
      </w:pPr>
      <w:rPr>
        <w:rFonts w:hint="default"/>
      </w:rPr>
    </w:lvl>
    <w:lvl w:ilvl="8" w:tentative="0">
      <w:start w:val="0"/>
      <w:numFmt w:val="bullet"/>
      <w:lvlText w:val="•"/>
      <w:lvlJc w:val="left"/>
      <w:pPr>
        <w:ind w:left="8296" w:hanging="420"/>
      </w:pPr>
      <w:rPr>
        <w:rFonts w:hint="default"/>
      </w:rPr>
    </w:lvl>
  </w:abstractNum>
  <w:abstractNum w:abstractNumId="13">
    <w:nsid w:val="4F7A35C7"/>
    <w:multiLevelType w:val="multilevel"/>
    <w:tmpl w:val="4F7A35C7"/>
    <w:lvl w:ilvl="0" w:tentative="0">
      <w:start w:val="2"/>
      <w:numFmt w:val="decimal"/>
      <w:lvlText w:val="%1"/>
      <w:lvlJc w:val="left"/>
      <w:pPr>
        <w:ind w:left="212" w:hanging="420"/>
        <w:jc w:val="left"/>
      </w:pPr>
      <w:rPr>
        <w:rFonts w:hint="default"/>
      </w:rPr>
    </w:lvl>
    <w:lvl w:ilvl="1" w:tentative="0">
      <w:start w:val="1"/>
      <w:numFmt w:val="decimal"/>
      <w:lvlText w:val="%1.%2"/>
      <w:lvlJc w:val="left"/>
      <w:pPr>
        <w:ind w:left="212" w:hanging="420"/>
        <w:jc w:val="left"/>
      </w:pPr>
      <w:rPr>
        <w:rFonts w:hint="default" w:ascii="宋体" w:hAnsi="宋体" w:eastAsia="宋体" w:cs="宋体"/>
        <w:w w:val="100"/>
        <w:sz w:val="24"/>
        <w:szCs w:val="24"/>
      </w:rPr>
    </w:lvl>
    <w:lvl w:ilvl="2" w:tentative="0">
      <w:start w:val="0"/>
      <w:numFmt w:val="bullet"/>
      <w:lvlText w:val="•"/>
      <w:lvlJc w:val="left"/>
      <w:pPr>
        <w:ind w:left="2194" w:hanging="420"/>
      </w:pPr>
      <w:rPr>
        <w:rFonts w:hint="default"/>
      </w:rPr>
    </w:lvl>
    <w:lvl w:ilvl="3" w:tentative="0">
      <w:start w:val="0"/>
      <w:numFmt w:val="bullet"/>
      <w:lvlText w:val="•"/>
      <w:lvlJc w:val="left"/>
      <w:pPr>
        <w:ind w:left="3181" w:hanging="420"/>
      </w:pPr>
      <w:rPr>
        <w:rFonts w:hint="default"/>
      </w:rPr>
    </w:lvl>
    <w:lvl w:ilvl="4" w:tentative="0">
      <w:start w:val="0"/>
      <w:numFmt w:val="bullet"/>
      <w:lvlText w:val="•"/>
      <w:lvlJc w:val="left"/>
      <w:pPr>
        <w:ind w:left="4168" w:hanging="420"/>
      </w:pPr>
      <w:rPr>
        <w:rFonts w:hint="default"/>
      </w:rPr>
    </w:lvl>
    <w:lvl w:ilvl="5" w:tentative="0">
      <w:start w:val="0"/>
      <w:numFmt w:val="bullet"/>
      <w:lvlText w:val="•"/>
      <w:lvlJc w:val="left"/>
      <w:pPr>
        <w:ind w:left="5155" w:hanging="420"/>
      </w:pPr>
      <w:rPr>
        <w:rFonts w:hint="default"/>
      </w:rPr>
    </w:lvl>
    <w:lvl w:ilvl="6" w:tentative="0">
      <w:start w:val="0"/>
      <w:numFmt w:val="bullet"/>
      <w:lvlText w:val="•"/>
      <w:lvlJc w:val="left"/>
      <w:pPr>
        <w:ind w:left="6142" w:hanging="420"/>
      </w:pPr>
      <w:rPr>
        <w:rFonts w:hint="default"/>
      </w:rPr>
    </w:lvl>
    <w:lvl w:ilvl="7" w:tentative="0">
      <w:start w:val="0"/>
      <w:numFmt w:val="bullet"/>
      <w:lvlText w:val="•"/>
      <w:lvlJc w:val="left"/>
      <w:pPr>
        <w:ind w:left="7129" w:hanging="420"/>
      </w:pPr>
      <w:rPr>
        <w:rFonts w:hint="default"/>
      </w:rPr>
    </w:lvl>
    <w:lvl w:ilvl="8" w:tentative="0">
      <w:start w:val="0"/>
      <w:numFmt w:val="bullet"/>
      <w:lvlText w:val="•"/>
      <w:lvlJc w:val="left"/>
      <w:pPr>
        <w:ind w:left="8116" w:hanging="420"/>
      </w:pPr>
      <w:rPr>
        <w:rFonts w:hint="default"/>
      </w:rPr>
    </w:lvl>
  </w:abstractNum>
  <w:abstractNum w:abstractNumId="14">
    <w:nsid w:val="527F2798"/>
    <w:multiLevelType w:val="multilevel"/>
    <w:tmpl w:val="527F2798"/>
    <w:lvl w:ilvl="0" w:tentative="0">
      <w:start w:val="4"/>
      <w:numFmt w:val="decimal"/>
      <w:lvlText w:val="%1"/>
      <w:lvlJc w:val="left"/>
      <w:pPr>
        <w:ind w:left="1112" w:hanging="420"/>
        <w:jc w:val="left"/>
      </w:pPr>
      <w:rPr>
        <w:rFonts w:hint="default"/>
      </w:rPr>
    </w:lvl>
    <w:lvl w:ilvl="1" w:tentative="0">
      <w:start w:val="1"/>
      <w:numFmt w:val="decimal"/>
      <w:lvlText w:val="%1.%2"/>
      <w:lvlJc w:val="left"/>
      <w:pPr>
        <w:ind w:left="1112" w:hanging="420"/>
        <w:jc w:val="left"/>
      </w:pPr>
      <w:rPr>
        <w:rFonts w:hint="default" w:ascii="宋体" w:hAnsi="宋体" w:eastAsia="宋体" w:cs="宋体"/>
        <w:w w:val="100"/>
        <w:sz w:val="24"/>
        <w:szCs w:val="24"/>
      </w:rPr>
    </w:lvl>
    <w:lvl w:ilvl="2" w:tentative="0">
      <w:start w:val="1"/>
      <w:numFmt w:val="decimal"/>
      <w:lvlText w:val="%1.%2.%3"/>
      <w:lvlJc w:val="left"/>
      <w:pPr>
        <w:ind w:left="212" w:hanging="660"/>
        <w:jc w:val="left"/>
      </w:pPr>
      <w:rPr>
        <w:rFonts w:hint="default" w:ascii="宋体" w:hAnsi="宋体" w:eastAsia="宋体" w:cs="宋体"/>
        <w:w w:val="100"/>
        <w:sz w:val="24"/>
        <w:szCs w:val="24"/>
      </w:rPr>
    </w:lvl>
    <w:lvl w:ilvl="3" w:tentative="0">
      <w:start w:val="0"/>
      <w:numFmt w:val="bullet"/>
      <w:lvlText w:val="•"/>
      <w:lvlJc w:val="left"/>
      <w:pPr>
        <w:ind w:left="3113" w:hanging="660"/>
      </w:pPr>
      <w:rPr>
        <w:rFonts w:hint="default"/>
      </w:rPr>
    </w:lvl>
    <w:lvl w:ilvl="4" w:tentative="0">
      <w:start w:val="0"/>
      <w:numFmt w:val="bullet"/>
      <w:lvlText w:val="•"/>
      <w:lvlJc w:val="left"/>
      <w:pPr>
        <w:ind w:left="4110" w:hanging="660"/>
      </w:pPr>
      <w:rPr>
        <w:rFonts w:hint="default"/>
      </w:rPr>
    </w:lvl>
    <w:lvl w:ilvl="5" w:tentative="0">
      <w:start w:val="0"/>
      <w:numFmt w:val="bullet"/>
      <w:lvlText w:val="•"/>
      <w:lvlJc w:val="left"/>
      <w:pPr>
        <w:ind w:left="5106" w:hanging="660"/>
      </w:pPr>
      <w:rPr>
        <w:rFonts w:hint="default"/>
      </w:rPr>
    </w:lvl>
    <w:lvl w:ilvl="6" w:tentative="0">
      <w:start w:val="0"/>
      <w:numFmt w:val="bullet"/>
      <w:lvlText w:val="•"/>
      <w:lvlJc w:val="left"/>
      <w:pPr>
        <w:ind w:left="6103" w:hanging="660"/>
      </w:pPr>
      <w:rPr>
        <w:rFonts w:hint="default"/>
      </w:rPr>
    </w:lvl>
    <w:lvl w:ilvl="7" w:tentative="0">
      <w:start w:val="0"/>
      <w:numFmt w:val="bullet"/>
      <w:lvlText w:val="•"/>
      <w:lvlJc w:val="left"/>
      <w:pPr>
        <w:ind w:left="7100" w:hanging="660"/>
      </w:pPr>
      <w:rPr>
        <w:rFonts w:hint="default"/>
      </w:rPr>
    </w:lvl>
    <w:lvl w:ilvl="8" w:tentative="0">
      <w:start w:val="0"/>
      <w:numFmt w:val="bullet"/>
      <w:lvlText w:val="•"/>
      <w:lvlJc w:val="left"/>
      <w:pPr>
        <w:ind w:left="8096" w:hanging="660"/>
      </w:pPr>
      <w:rPr>
        <w:rFonts w:hint="default"/>
      </w:rPr>
    </w:lvl>
  </w:abstractNum>
  <w:abstractNum w:abstractNumId="15">
    <w:nsid w:val="54F20C26"/>
    <w:multiLevelType w:val="multilevel"/>
    <w:tmpl w:val="54F20C26"/>
    <w:lvl w:ilvl="0" w:tentative="0">
      <w:start w:val="2"/>
      <w:numFmt w:val="decimal"/>
      <w:lvlText w:val="%1"/>
      <w:lvlJc w:val="left"/>
      <w:pPr>
        <w:ind w:left="1112" w:hanging="420"/>
        <w:jc w:val="left"/>
      </w:pPr>
      <w:rPr>
        <w:rFonts w:hint="default"/>
      </w:rPr>
    </w:lvl>
    <w:lvl w:ilvl="1" w:tentative="0">
      <w:start w:val="4"/>
      <w:numFmt w:val="decimal"/>
      <w:lvlText w:val="%1.%2"/>
      <w:lvlJc w:val="left"/>
      <w:pPr>
        <w:ind w:left="1112" w:hanging="420"/>
        <w:jc w:val="left"/>
      </w:pPr>
      <w:rPr>
        <w:rFonts w:hint="default" w:ascii="宋体" w:hAnsi="宋体" w:eastAsia="宋体" w:cs="宋体"/>
        <w:w w:val="100"/>
        <w:sz w:val="24"/>
        <w:szCs w:val="24"/>
      </w:rPr>
    </w:lvl>
    <w:lvl w:ilvl="2" w:tentative="0">
      <w:start w:val="1"/>
      <w:numFmt w:val="decimal"/>
      <w:lvlText w:val="%1.%2.%3"/>
      <w:lvlJc w:val="left"/>
      <w:pPr>
        <w:ind w:left="212" w:hanging="660"/>
        <w:jc w:val="left"/>
      </w:pPr>
      <w:rPr>
        <w:rFonts w:hint="default" w:ascii="宋体" w:hAnsi="宋体" w:eastAsia="宋体" w:cs="宋体"/>
        <w:w w:val="100"/>
        <w:sz w:val="24"/>
        <w:szCs w:val="24"/>
      </w:rPr>
    </w:lvl>
    <w:lvl w:ilvl="3" w:tentative="0">
      <w:start w:val="0"/>
      <w:numFmt w:val="bullet"/>
      <w:lvlText w:val="•"/>
      <w:lvlJc w:val="left"/>
      <w:pPr>
        <w:ind w:left="3113" w:hanging="660"/>
      </w:pPr>
      <w:rPr>
        <w:rFonts w:hint="default"/>
      </w:rPr>
    </w:lvl>
    <w:lvl w:ilvl="4" w:tentative="0">
      <w:start w:val="0"/>
      <w:numFmt w:val="bullet"/>
      <w:lvlText w:val="•"/>
      <w:lvlJc w:val="left"/>
      <w:pPr>
        <w:ind w:left="4110" w:hanging="660"/>
      </w:pPr>
      <w:rPr>
        <w:rFonts w:hint="default"/>
      </w:rPr>
    </w:lvl>
    <w:lvl w:ilvl="5" w:tentative="0">
      <w:start w:val="0"/>
      <w:numFmt w:val="bullet"/>
      <w:lvlText w:val="•"/>
      <w:lvlJc w:val="left"/>
      <w:pPr>
        <w:ind w:left="5106" w:hanging="660"/>
      </w:pPr>
      <w:rPr>
        <w:rFonts w:hint="default"/>
      </w:rPr>
    </w:lvl>
    <w:lvl w:ilvl="6" w:tentative="0">
      <w:start w:val="0"/>
      <w:numFmt w:val="bullet"/>
      <w:lvlText w:val="•"/>
      <w:lvlJc w:val="left"/>
      <w:pPr>
        <w:ind w:left="6103" w:hanging="660"/>
      </w:pPr>
      <w:rPr>
        <w:rFonts w:hint="default"/>
      </w:rPr>
    </w:lvl>
    <w:lvl w:ilvl="7" w:tentative="0">
      <w:start w:val="0"/>
      <w:numFmt w:val="bullet"/>
      <w:lvlText w:val="•"/>
      <w:lvlJc w:val="left"/>
      <w:pPr>
        <w:ind w:left="7100" w:hanging="660"/>
      </w:pPr>
      <w:rPr>
        <w:rFonts w:hint="default"/>
      </w:rPr>
    </w:lvl>
    <w:lvl w:ilvl="8" w:tentative="0">
      <w:start w:val="0"/>
      <w:numFmt w:val="bullet"/>
      <w:lvlText w:val="•"/>
      <w:lvlJc w:val="left"/>
      <w:pPr>
        <w:ind w:left="8096" w:hanging="660"/>
      </w:pPr>
      <w:rPr>
        <w:rFonts w:hint="default"/>
      </w:rPr>
    </w:lvl>
  </w:abstractNum>
  <w:abstractNum w:abstractNumId="16">
    <w:nsid w:val="55724209"/>
    <w:multiLevelType w:val="multilevel"/>
    <w:tmpl w:val="55724209"/>
    <w:lvl w:ilvl="0" w:tentative="0">
      <w:start w:val="5"/>
      <w:numFmt w:val="decimal"/>
      <w:lvlText w:val="%1"/>
      <w:lvlJc w:val="left"/>
      <w:pPr>
        <w:ind w:left="212" w:hanging="420"/>
        <w:jc w:val="left"/>
      </w:pPr>
      <w:rPr>
        <w:rFonts w:hint="default"/>
      </w:rPr>
    </w:lvl>
    <w:lvl w:ilvl="1" w:tentative="0">
      <w:start w:val="1"/>
      <w:numFmt w:val="decimal"/>
      <w:lvlText w:val="%1.%2"/>
      <w:lvlJc w:val="left"/>
      <w:pPr>
        <w:ind w:left="212" w:hanging="420"/>
        <w:jc w:val="left"/>
      </w:pPr>
      <w:rPr>
        <w:rFonts w:hint="default" w:ascii="宋体" w:hAnsi="宋体" w:eastAsia="宋体" w:cs="宋体"/>
        <w:w w:val="100"/>
        <w:sz w:val="24"/>
        <w:szCs w:val="24"/>
      </w:rPr>
    </w:lvl>
    <w:lvl w:ilvl="2" w:tentative="0">
      <w:start w:val="1"/>
      <w:numFmt w:val="decimal"/>
      <w:lvlText w:val="%1.%2.%3"/>
      <w:lvlJc w:val="left"/>
      <w:pPr>
        <w:ind w:left="212" w:hanging="660"/>
        <w:jc w:val="left"/>
      </w:pPr>
      <w:rPr>
        <w:rFonts w:hint="default" w:ascii="宋体" w:hAnsi="宋体" w:eastAsia="宋体" w:cs="宋体"/>
        <w:w w:val="100"/>
        <w:sz w:val="24"/>
        <w:szCs w:val="24"/>
      </w:rPr>
    </w:lvl>
    <w:lvl w:ilvl="3" w:tentative="0">
      <w:start w:val="0"/>
      <w:numFmt w:val="bullet"/>
      <w:lvlText w:val="•"/>
      <w:lvlJc w:val="left"/>
      <w:pPr>
        <w:ind w:left="3181" w:hanging="660"/>
      </w:pPr>
      <w:rPr>
        <w:rFonts w:hint="default"/>
      </w:rPr>
    </w:lvl>
    <w:lvl w:ilvl="4" w:tentative="0">
      <w:start w:val="0"/>
      <w:numFmt w:val="bullet"/>
      <w:lvlText w:val="•"/>
      <w:lvlJc w:val="left"/>
      <w:pPr>
        <w:ind w:left="4168" w:hanging="660"/>
      </w:pPr>
      <w:rPr>
        <w:rFonts w:hint="default"/>
      </w:rPr>
    </w:lvl>
    <w:lvl w:ilvl="5" w:tentative="0">
      <w:start w:val="0"/>
      <w:numFmt w:val="bullet"/>
      <w:lvlText w:val="•"/>
      <w:lvlJc w:val="left"/>
      <w:pPr>
        <w:ind w:left="5155" w:hanging="660"/>
      </w:pPr>
      <w:rPr>
        <w:rFonts w:hint="default"/>
      </w:rPr>
    </w:lvl>
    <w:lvl w:ilvl="6" w:tentative="0">
      <w:start w:val="0"/>
      <w:numFmt w:val="bullet"/>
      <w:lvlText w:val="•"/>
      <w:lvlJc w:val="left"/>
      <w:pPr>
        <w:ind w:left="6142" w:hanging="660"/>
      </w:pPr>
      <w:rPr>
        <w:rFonts w:hint="default"/>
      </w:rPr>
    </w:lvl>
    <w:lvl w:ilvl="7" w:tentative="0">
      <w:start w:val="0"/>
      <w:numFmt w:val="bullet"/>
      <w:lvlText w:val="•"/>
      <w:lvlJc w:val="left"/>
      <w:pPr>
        <w:ind w:left="7129" w:hanging="660"/>
      </w:pPr>
      <w:rPr>
        <w:rFonts w:hint="default"/>
      </w:rPr>
    </w:lvl>
    <w:lvl w:ilvl="8" w:tentative="0">
      <w:start w:val="0"/>
      <w:numFmt w:val="bullet"/>
      <w:lvlText w:val="•"/>
      <w:lvlJc w:val="left"/>
      <w:pPr>
        <w:ind w:left="8116" w:hanging="660"/>
      </w:pPr>
      <w:rPr>
        <w:rFonts w:hint="default"/>
      </w:rPr>
    </w:lvl>
  </w:abstractNum>
  <w:abstractNum w:abstractNumId="17">
    <w:nsid w:val="5D5E363A"/>
    <w:multiLevelType w:val="multilevel"/>
    <w:tmpl w:val="5D5E363A"/>
    <w:lvl w:ilvl="0" w:tentative="0">
      <w:start w:val="6"/>
      <w:numFmt w:val="decimal"/>
      <w:lvlText w:val="%1"/>
      <w:lvlJc w:val="left"/>
      <w:pPr>
        <w:ind w:left="212" w:hanging="420"/>
        <w:jc w:val="left"/>
      </w:pPr>
      <w:rPr>
        <w:rFonts w:hint="default"/>
      </w:rPr>
    </w:lvl>
    <w:lvl w:ilvl="1" w:tentative="0">
      <w:start w:val="1"/>
      <w:numFmt w:val="decimal"/>
      <w:lvlText w:val="%1.%2"/>
      <w:lvlJc w:val="left"/>
      <w:pPr>
        <w:ind w:left="212" w:hanging="420"/>
        <w:jc w:val="left"/>
      </w:pPr>
      <w:rPr>
        <w:rFonts w:hint="default" w:ascii="宋体" w:hAnsi="宋体" w:eastAsia="宋体" w:cs="宋体"/>
        <w:w w:val="100"/>
        <w:sz w:val="24"/>
        <w:szCs w:val="24"/>
      </w:rPr>
    </w:lvl>
    <w:lvl w:ilvl="2" w:tentative="0">
      <w:start w:val="0"/>
      <w:numFmt w:val="bullet"/>
      <w:lvlText w:val="•"/>
      <w:lvlJc w:val="left"/>
      <w:pPr>
        <w:ind w:left="2194" w:hanging="420"/>
      </w:pPr>
      <w:rPr>
        <w:rFonts w:hint="default"/>
      </w:rPr>
    </w:lvl>
    <w:lvl w:ilvl="3" w:tentative="0">
      <w:start w:val="0"/>
      <w:numFmt w:val="bullet"/>
      <w:lvlText w:val="•"/>
      <w:lvlJc w:val="left"/>
      <w:pPr>
        <w:ind w:left="3181" w:hanging="420"/>
      </w:pPr>
      <w:rPr>
        <w:rFonts w:hint="default"/>
      </w:rPr>
    </w:lvl>
    <w:lvl w:ilvl="4" w:tentative="0">
      <w:start w:val="0"/>
      <w:numFmt w:val="bullet"/>
      <w:lvlText w:val="•"/>
      <w:lvlJc w:val="left"/>
      <w:pPr>
        <w:ind w:left="4168" w:hanging="420"/>
      </w:pPr>
      <w:rPr>
        <w:rFonts w:hint="default"/>
      </w:rPr>
    </w:lvl>
    <w:lvl w:ilvl="5" w:tentative="0">
      <w:start w:val="0"/>
      <w:numFmt w:val="bullet"/>
      <w:lvlText w:val="•"/>
      <w:lvlJc w:val="left"/>
      <w:pPr>
        <w:ind w:left="5155" w:hanging="420"/>
      </w:pPr>
      <w:rPr>
        <w:rFonts w:hint="default"/>
      </w:rPr>
    </w:lvl>
    <w:lvl w:ilvl="6" w:tentative="0">
      <w:start w:val="0"/>
      <w:numFmt w:val="bullet"/>
      <w:lvlText w:val="•"/>
      <w:lvlJc w:val="left"/>
      <w:pPr>
        <w:ind w:left="6142" w:hanging="420"/>
      </w:pPr>
      <w:rPr>
        <w:rFonts w:hint="default"/>
      </w:rPr>
    </w:lvl>
    <w:lvl w:ilvl="7" w:tentative="0">
      <w:start w:val="0"/>
      <w:numFmt w:val="bullet"/>
      <w:lvlText w:val="•"/>
      <w:lvlJc w:val="left"/>
      <w:pPr>
        <w:ind w:left="7129" w:hanging="420"/>
      </w:pPr>
      <w:rPr>
        <w:rFonts w:hint="default"/>
      </w:rPr>
    </w:lvl>
    <w:lvl w:ilvl="8" w:tentative="0">
      <w:start w:val="0"/>
      <w:numFmt w:val="bullet"/>
      <w:lvlText w:val="•"/>
      <w:lvlJc w:val="left"/>
      <w:pPr>
        <w:ind w:left="8116" w:hanging="420"/>
      </w:pPr>
      <w:rPr>
        <w:rFonts w:hint="default"/>
      </w:rPr>
    </w:lvl>
  </w:abstractNum>
  <w:abstractNum w:abstractNumId="18">
    <w:nsid w:val="5E0A7618"/>
    <w:multiLevelType w:val="multilevel"/>
    <w:tmpl w:val="5E0A7618"/>
    <w:lvl w:ilvl="0" w:tentative="0">
      <w:start w:val="3"/>
      <w:numFmt w:val="decimal"/>
      <w:lvlText w:val="%1"/>
      <w:lvlJc w:val="left"/>
      <w:pPr>
        <w:ind w:left="1112" w:hanging="420"/>
        <w:jc w:val="left"/>
      </w:pPr>
      <w:rPr>
        <w:rFonts w:hint="default"/>
      </w:rPr>
    </w:lvl>
    <w:lvl w:ilvl="1" w:tentative="0">
      <w:start w:val="1"/>
      <w:numFmt w:val="decimal"/>
      <w:lvlText w:val="%1.%2"/>
      <w:lvlJc w:val="left"/>
      <w:pPr>
        <w:ind w:left="1112" w:hanging="420"/>
        <w:jc w:val="left"/>
      </w:pPr>
      <w:rPr>
        <w:rFonts w:hint="default" w:ascii="宋体" w:hAnsi="宋体" w:eastAsia="宋体" w:cs="宋体"/>
        <w:w w:val="100"/>
        <w:sz w:val="24"/>
        <w:szCs w:val="24"/>
      </w:rPr>
    </w:lvl>
    <w:lvl w:ilvl="2" w:tentative="0">
      <w:start w:val="1"/>
      <w:numFmt w:val="decimal"/>
      <w:lvlText w:val="%1.%2.%3"/>
      <w:lvlJc w:val="left"/>
      <w:pPr>
        <w:ind w:left="212" w:hanging="660"/>
        <w:jc w:val="left"/>
      </w:pPr>
      <w:rPr>
        <w:rFonts w:hint="default" w:ascii="宋体" w:hAnsi="宋体" w:eastAsia="宋体" w:cs="宋体"/>
        <w:w w:val="100"/>
        <w:sz w:val="24"/>
        <w:szCs w:val="24"/>
      </w:rPr>
    </w:lvl>
    <w:lvl w:ilvl="3" w:tentative="0">
      <w:start w:val="0"/>
      <w:numFmt w:val="bullet"/>
      <w:lvlText w:val="•"/>
      <w:lvlJc w:val="left"/>
      <w:pPr>
        <w:ind w:left="3113" w:hanging="660"/>
      </w:pPr>
      <w:rPr>
        <w:rFonts w:hint="default"/>
      </w:rPr>
    </w:lvl>
    <w:lvl w:ilvl="4" w:tentative="0">
      <w:start w:val="0"/>
      <w:numFmt w:val="bullet"/>
      <w:lvlText w:val="•"/>
      <w:lvlJc w:val="left"/>
      <w:pPr>
        <w:ind w:left="4110" w:hanging="660"/>
      </w:pPr>
      <w:rPr>
        <w:rFonts w:hint="default"/>
      </w:rPr>
    </w:lvl>
    <w:lvl w:ilvl="5" w:tentative="0">
      <w:start w:val="0"/>
      <w:numFmt w:val="bullet"/>
      <w:lvlText w:val="•"/>
      <w:lvlJc w:val="left"/>
      <w:pPr>
        <w:ind w:left="5106" w:hanging="660"/>
      </w:pPr>
      <w:rPr>
        <w:rFonts w:hint="default"/>
      </w:rPr>
    </w:lvl>
    <w:lvl w:ilvl="6" w:tentative="0">
      <w:start w:val="0"/>
      <w:numFmt w:val="bullet"/>
      <w:lvlText w:val="•"/>
      <w:lvlJc w:val="left"/>
      <w:pPr>
        <w:ind w:left="6103" w:hanging="660"/>
      </w:pPr>
      <w:rPr>
        <w:rFonts w:hint="default"/>
      </w:rPr>
    </w:lvl>
    <w:lvl w:ilvl="7" w:tentative="0">
      <w:start w:val="0"/>
      <w:numFmt w:val="bullet"/>
      <w:lvlText w:val="•"/>
      <w:lvlJc w:val="left"/>
      <w:pPr>
        <w:ind w:left="7100" w:hanging="660"/>
      </w:pPr>
      <w:rPr>
        <w:rFonts w:hint="default"/>
      </w:rPr>
    </w:lvl>
    <w:lvl w:ilvl="8" w:tentative="0">
      <w:start w:val="0"/>
      <w:numFmt w:val="bullet"/>
      <w:lvlText w:val="•"/>
      <w:lvlJc w:val="left"/>
      <w:pPr>
        <w:ind w:left="8096" w:hanging="660"/>
      </w:pPr>
      <w:rPr>
        <w:rFonts w:hint="default"/>
      </w:rPr>
    </w:lvl>
  </w:abstractNum>
  <w:abstractNum w:abstractNumId="19">
    <w:nsid w:val="62BC7F2B"/>
    <w:multiLevelType w:val="multilevel"/>
    <w:tmpl w:val="62BC7F2B"/>
    <w:lvl w:ilvl="0" w:tentative="0">
      <w:start w:val="3"/>
      <w:numFmt w:val="decimal"/>
      <w:lvlText w:val="%1"/>
      <w:lvlJc w:val="left"/>
      <w:pPr>
        <w:ind w:left="212" w:hanging="420"/>
        <w:jc w:val="left"/>
      </w:pPr>
      <w:rPr>
        <w:rFonts w:hint="default"/>
      </w:rPr>
    </w:lvl>
    <w:lvl w:ilvl="1" w:tentative="0">
      <w:start w:val="2"/>
      <w:numFmt w:val="decimal"/>
      <w:lvlText w:val="%1.%2"/>
      <w:lvlJc w:val="left"/>
      <w:pPr>
        <w:ind w:left="212" w:hanging="420"/>
        <w:jc w:val="left"/>
      </w:pPr>
      <w:rPr>
        <w:rFonts w:hint="default" w:ascii="宋体" w:hAnsi="宋体" w:eastAsia="宋体" w:cs="宋体"/>
        <w:w w:val="100"/>
        <w:sz w:val="24"/>
        <w:szCs w:val="24"/>
      </w:rPr>
    </w:lvl>
    <w:lvl w:ilvl="2" w:tentative="0">
      <w:start w:val="1"/>
      <w:numFmt w:val="decimal"/>
      <w:lvlText w:val="%1.%2.%3"/>
      <w:lvlJc w:val="left"/>
      <w:pPr>
        <w:ind w:left="212" w:hanging="660"/>
        <w:jc w:val="left"/>
      </w:pPr>
      <w:rPr>
        <w:rFonts w:hint="default" w:ascii="宋体" w:hAnsi="宋体" w:eastAsia="宋体" w:cs="宋体"/>
        <w:w w:val="100"/>
        <w:sz w:val="24"/>
        <w:szCs w:val="24"/>
      </w:rPr>
    </w:lvl>
    <w:lvl w:ilvl="3" w:tentative="0">
      <w:start w:val="0"/>
      <w:numFmt w:val="bullet"/>
      <w:lvlText w:val="•"/>
      <w:lvlJc w:val="left"/>
      <w:pPr>
        <w:ind w:left="3181" w:hanging="660"/>
      </w:pPr>
      <w:rPr>
        <w:rFonts w:hint="default"/>
      </w:rPr>
    </w:lvl>
    <w:lvl w:ilvl="4" w:tentative="0">
      <w:start w:val="0"/>
      <w:numFmt w:val="bullet"/>
      <w:lvlText w:val="•"/>
      <w:lvlJc w:val="left"/>
      <w:pPr>
        <w:ind w:left="4168" w:hanging="660"/>
      </w:pPr>
      <w:rPr>
        <w:rFonts w:hint="default"/>
      </w:rPr>
    </w:lvl>
    <w:lvl w:ilvl="5" w:tentative="0">
      <w:start w:val="0"/>
      <w:numFmt w:val="bullet"/>
      <w:lvlText w:val="•"/>
      <w:lvlJc w:val="left"/>
      <w:pPr>
        <w:ind w:left="5155" w:hanging="660"/>
      </w:pPr>
      <w:rPr>
        <w:rFonts w:hint="default"/>
      </w:rPr>
    </w:lvl>
    <w:lvl w:ilvl="6" w:tentative="0">
      <w:start w:val="0"/>
      <w:numFmt w:val="bullet"/>
      <w:lvlText w:val="•"/>
      <w:lvlJc w:val="left"/>
      <w:pPr>
        <w:ind w:left="6142" w:hanging="660"/>
      </w:pPr>
      <w:rPr>
        <w:rFonts w:hint="default"/>
      </w:rPr>
    </w:lvl>
    <w:lvl w:ilvl="7" w:tentative="0">
      <w:start w:val="0"/>
      <w:numFmt w:val="bullet"/>
      <w:lvlText w:val="•"/>
      <w:lvlJc w:val="left"/>
      <w:pPr>
        <w:ind w:left="7129" w:hanging="660"/>
      </w:pPr>
      <w:rPr>
        <w:rFonts w:hint="default"/>
      </w:rPr>
    </w:lvl>
    <w:lvl w:ilvl="8" w:tentative="0">
      <w:start w:val="0"/>
      <w:numFmt w:val="bullet"/>
      <w:lvlText w:val="•"/>
      <w:lvlJc w:val="left"/>
      <w:pPr>
        <w:ind w:left="8116" w:hanging="660"/>
      </w:pPr>
      <w:rPr>
        <w:rFonts w:hint="default"/>
      </w:rPr>
    </w:lvl>
  </w:abstractNum>
  <w:abstractNum w:abstractNumId="20">
    <w:nsid w:val="65930407"/>
    <w:multiLevelType w:val="multilevel"/>
    <w:tmpl w:val="65930407"/>
    <w:lvl w:ilvl="0" w:tentative="0">
      <w:start w:val="6"/>
      <w:numFmt w:val="decimal"/>
      <w:lvlText w:val="%1"/>
      <w:lvlJc w:val="left"/>
      <w:pPr>
        <w:ind w:left="212" w:hanging="600"/>
        <w:jc w:val="left"/>
      </w:pPr>
      <w:rPr>
        <w:rFonts w:hint="default"/>
      </w:rPr>
    </w:lvl>
    <w:lvl w:ilvl="1" w:tentative="0">
      <w:start w:val="1"/>
      <w:numFmt w:val="decimal"/>
      <w:lvlText w:val="%1.%2"/>
      <w:lvlJc w:val="left"/>
      <w:pPr>
        <w:ind w:left="212" w:hanging="600"/>
        <w:jc w:val="left"/>
      </w:pPr>
      <w:rPr>
        <w:rFonts w:hint="default" w:ascii="宋体" w:hAnsi="宋体" w:eastAsia="宋体" w:cs="宋体"/>
        <w:w w:val="100"/>
        <w:sz w:val="24"/>
        <w:szCs w:val="24"/>
      </w:rPr>
    </w:lvl>
    <w:lvl w:ilvl="2" w:tentative="0">
      <w:start w:val="0"/>
      <w:numFmt w:val="bullet"/>
      <w:lvlText w:val="•"/>
      <w:lvlJc w:val="left"/>
      <w:pPr>
        <w:ind w:left="2194" w:hanging="600"/>
      </w:pPr>
      <w:rPr>
        <w:rFonts w:hint="default"/>
      </w:rPr>
    </w:lvl>
    <w:lvl w:ilvl="3" w:tentative="0">
      <w:start w:val="0"/>
      <w:numFmt w:val="bullet"/>
      <w:lvlText w:val="•"/>
      <w:lvlJc w:val="left"/>
      <w:pPr>
        <w:ind w:left="3181" w:hanging="600"/>
      </w:pPr>
      <w:rPr>
        <w:rFonts w:hint="default"/>
      </w:rPr>
    </w:lvl>
    <w:lvl w:ilvl="4" w:tentative="0">
      <w:start w:val="0"/>
      <w:numFmt w:val="bullet"/>
      <w:lvlText w:val="•"/>
      <w:lvlJc w:val="left"/>
      <w:pPr>
        <w:ind w:left="4168" w:hanging="600"/>
      </w:pPr>
      <w:rPr>
        <w:rFonts w:hint="default"/>
      </w:rPr>
    </w:lvl>
    <w:lvl w:ilvl="5" w:tentative="0">
      <w:start w:val="0"/>
      <w:numFmt w:val="bullet"/>
      <w:lvlText w:val="•"/>
      <w:lvlJc w:val="left"/>
      <w:pPr>
        <w:ind w:left="5155" w:hanging="600"/>
      </w:pPr>
      <w:rPr>
        <w:rFonts w:hint="default"/>
      </w:rPr>
    </w:lvl>
    <w:lvl w:ilvl="6" w:tentative="0">
      <w:start w:val="0"/>
      <w:numFmt w:val="bullet"/>
      <w:lvlText w:val="•"/>
      <w:lvlJc w:val="left"/>
      <w:pPr>
        <w:ind w:left="6142" w:hanging="600"/>
      </w:pPr>
      <w:rPr>
        <w:rFonts w:hint="default"/>
      </w:rPr>
    </w:lvl>
    <w:lvl w:ilvl="7" w:tentative="0">
      <w:start w:val="0"/>
      <w:numFmt w:val="bullet"/>
      <w:lvlText w:val="•"/>
      <w:lvlJc w:val="left"/>
      <w:pPr>
        <w:ind w:left="7129" w:hanging="600"/>
      </w:pPr>
      <w:rPr>
        <w:rFonts w:hint="default"/>
      </w:rPr>
    </w:lvl>
    <w:lvl w:ilvl="8" w:tentative="0">
      <w:start w:val="0"/>
      <w:numFmt w:val="bullet"/>
      <w:lvlText w:val="•"/>
      <w:lvlJc w:val="left"/>
      <w:pPr>
        <w:ind w:left="8116" w:hanging="600"/>
      </w:pPr>
      <w:rPr>
        <w:rFonts w:hint="default"/>
      </w:rPr>
    </w:lvl>
  </w:abstractNum>
  <w:abstractNum w:abstractNumId="21">
    <w:nsid w:val="661E5171"/>
    <w:multiLevelType w:val="multilevel"/>
    <w:tmpl w:val="661E5171"/>
    <w:lvl w:ilvl="0" w:tentative="0">
      <w:start w:val="2"/>
      <w:numFmt w:val="decimal"/>
      <w:lvlText w:val="%1"/>
      <w:lvlJc w:val="left"/>
      <w:pPr>
        <w:ind w:left="632" w:hanging="420"/>
        <w:jc w:val="left"/>
      </w:pPr>
      <w:rPr>
        <w:rFonts w:hint="default"/>
      </w:rPr>
    </w:lvl>
    <w:lvl w:ilvl="1" w:tentative="0">
      <w:start w:val="2"/>
      <w:numFmt w:val="decimal"/>
      <w:lvlText w:val="%1.%2"/>
      <w:lvlJc w:val="left"/>
      <w:pPr>
        <w:ind w:left="632" w:hanging="420"/>
        <w:jc w:val="left"/>
      </w:pPr>
      <w:rPr>
        <w:rFonts w:hint="default" w:ascii="宋体" w:hAnsi="宋体" w:eastAsia="宋体" w:cs="宋体"/>
        <w:w w:val="100"/>
        <w:sz w:val="24"/>
        <w:szCs w:val="24"/>
      </w:rPr>
    </w:lvl>
    <w:lvl w:ilvl="2" w:tentative="0">
      <w:start w:val="1"/>
      <w:numFmt w:val="decimal"/>
      <w:lvlText w:val="%1.%2.%3"/>
      <w:lvlJc w:val="left"/>
      <w:pPr>
        <w:ind w:left="212" w:hanging="660"/>
        <w:jc w:val="left"/>
      </w:pPr>
      <w:rPr>
        <w:rFonts w:hint="default" w:ascii="宋体" w:hAnsi="宋体" w:eastAsia="宋体" w:cs="宋体"/>
        <w:w w:val="100"/>
        <w:sz w:val="24"/>
        <w:szCs w:val="24"/>
      </w:rPr>
    </w:lvl>
    <w:lvl w:ilvl="3" w:tentative="0">
      <w:start w:val="0"/>
      <w:numFmt w:val="bullet"/>
      <w:lvlText w:val="•"/>
      <w:lvlJc w:val="left"/>
      <w:pPr>
        <w:ind w:left="2451" w:hanging="660"/>
      </w:pPr>
      <w:rPr>
        <w:rFonts w:hint="default"/>
      </w:rPr>
    </w:lvl>
    <w:lvl w:ilvl="4" w:tentative="0">
      <w:start w:val="0"/>
      <w:numFmt w:val="bullet"/>
      <w:lvlText w:val="•"/>
      <w:lvlJc w:val="left"/>
      <w:pPr>
        <w:ind w:left="3542" w:hanging="660"/>
      </w:pPr>
      <w:rPr>
        <w:rFonts w:hint="default"/>
      </w:rPr>
    </w:lvl>
    <w:lvl w:ilvl="5" w:tentative="0">
      <w:start w:val="0"/>
      <w:numFmt w:val="bullet"/>
      <w:lvlText w:val="•"/>
      <w:lvlJc w:val="left"/>
      <w:pPr>
        <w:ind w:left="4633" w:hanging="660"/>
      </w:pPr>
      <w:rPr>
        <w:rFonts w:hint="default"/>
      </w:rPr>
    </w:lvl>
    <w:lvl w:ilvl="6" w:tentative="0">
      <w:start w:val="0"/>
      <w:numFmt w:val="bullet"/>
      <w:lvlText w:val="•"/>
      <w:lvlJc w:val="left"/>
      <w:pPr>
        <w:ind w:left="5725" w:hanging="660"/>
      </w:pPr>
      <w:rPr>
        <w:rFonts w:hint="default"/>
      </w:rPr>
    </w:lvl>
    <w:lvl w:ilvl="7" w:tentative="0">
      <w:start w:val="0"/>
      <w:numFmt w:val="bullet"/>
      <w:lvlText w:val="•"/>
      <w:lvlJc w:val="left"/>
      <w:pPr>
        <w:ind w:left="6816" w:hanging="660"/>
      </w:pPr>
      <w:rPr>
        <w:rFonts w:hint="default"/>
      </w:rPr>
    </w:lvl>
    <w:lvl w:ilvl="8" w:tentative="0">
      <w:start w:val="0"/>
      <w:numFmt w:val="bullet"/>
      <w:lvlText w:val="•"/>
      <w:lvlJc w:val="left"/>
      <w:pPr>
        <w:ind w:left="7907" w:hanging="660"/>
      </w:pPr>
      <w:rPr>
        <w:rFonts w:hint="default"/>
      </w:rPr>
    </w:lvl>
  </w:abstractNum>
  <w:abstractNum w:abstractNumId="22">
    <w:nsid w:val="69BB7FB6"/>
    <w:multiLevelType w:val="multilevel"/>
    <w:tmpl w:val="69BB7FB6"/>
    <w:lvl w:ilvl="0" w:tentative="0">
      <w:start w:val="8"/>
      <w:numFmt w:val="decimal"/>
      <w:lvlText w:val="%1"/>
      <w:lvlJc w:val="left"/>
      <w:pPr>
        <w:ind w:left="1112" w:hanging="420"/>
        <w:jc w:val="left"/>
      </w:pPr>
      <w:rPr>
        <w:rFonts w:hint="default"/>
      </w:rPr>
    </w:lvl>
    <w:lvl w:ilvl="1" w:tentative="0">
      <w:start w:val="1"/>
      <w:numFmt w:val="decimal"/>
      <w:lvlText w:val="%1.%2"/>
      <w:lvlJc w:val="left"/>
      <w:pPr>
        <w:ind w:left="1112" w:hanging="420"/>
        <w:jc w:val="left"/>
      </w:pPr>
      <w:rPr>
        <w:rFonts w:hint="default" w:ascii="宋体" w:hAnsi="宋体" w:eastAsia="宋体" w:cs="宋体"/>
        <w:w w:val="100"/>
        <w:sz w:val="24"/>
        <w:szCs w:val="24"/>
      </w:rPr>
    </w:lvl>
    <w:lvl w:ilvl="2" w:tentative="0">
      <w:start w:val="0"/>
      <w:numFmt w:val="bullet"/>
      <w:lvlText w:val="•"/>
      <w:lvlJc w:val="left"/>
      <w:pPr>
        <w:ind w:left="2914" w:hanging="420"/>
      </w:pPr>
      <w:rPr>
        <w:rFonts w:hint="default"/>
      </w:rPr>
    </w:lvl>
    <w:lvl w:ilvl="3" w:tentative="0">
      <w:start w:val="0"/>
      <w:numFmt w:val="bullet"/>
      <w:lvlText w:val="•"/>
      <w:lvlJc w:val="left"/>
      <w:pPr>
        <w:ind w:left="3811" w:hanging="420"/>
      </w:pPr>
      <w:rPr>
        <w:rFonts w:hint="default"/>
      </w:rPr>
    </w:lvl>
    <w:lvl w:ilvl="4" w:tentative="0">
      <w:start w:val="0"/>
      <w:numFmt w:val="bullet"/>
      <w:lvlText w:val="•"/>
      <w:lvlJc w:val="left"/>
      <w:pPr>
        <w:ind w:left="4708" w:hanging="420"/>
      </w:pPr>
      <w:rPr>
        <w:rFonts w:hint="default"/>
      </w:rPr>
    </w:lvl>
    <w:lvl w:ilvl="5" w:tentative="0">
      <w:start w:val="0"/>
      <w:numFmt w:val="bullet"/>
      <w:lvlText w:val="•"/>
      <w:lvlJc w:val="left"/>
      <w:pPr>
        <w:ind w:left="5605" w:hanging="420"/>
      </w:pPr>
      <w:rPr>
        <w:rFonts w:hint="default"/>
      </w:rPr>
    </w:lvl>
    <w:lvl w:ilvl="6" w:tentative="0">
      <w:start w:val="0"/>
      <w:numFmt w:val="bullet"/>
      <w:lvlText w:val="•"/>
      <w:lvlJc w:val="left"/>
      <w:pPr>
        <w:ind w:left="6502" w:hanging="420"/>
      </w:pPr>
      <w:rPr>
        <w:rFonts w:hint="default"/>
      </w:rPr>
    </w:lvl>
    <w:lvl w:ilvl="7" w:tentative="0">
      <w:start w:val="0"/>
      <w:numFmt w:val="bullet"/>
      <w:lvlText w:val="•"/>
      <w:lvlJc w:val="left"/>
      <w:pPr>
        <w:ind w:left="7399" w:hanging="420"/>
      </w:pPr>
      <w:rPr>
        <w:rFonts w:hint="default"/>
      </w:rPr>
    </w:lvl>
    <w:lvl w:ilvl="8" w:tentative="0">
      <w:start w:val="0"/>
      <w:numFmt w:val="bullet"/>
      <w:lvlText w:val="•"/>
      <w:lvlJc w:val="left"/>
      <w:pPr>
        <w:ind w:left="8296" w:hanging="420"/>
      </w:pPr>
      <w:rPr>
        <w:rFonts w:hint="default"/>
      </w:rPr>
    </w:lvl>
  </w:abstractNum>
  <w:abstractNum w:abstractNumId="23">
    <w:nsid w:val="6DBD368F"/>
    <w:multiLevelType w:val="multilevel"/>
    <w:tmpl w:val="6DBD368F"/>
    <w:lvl w:ilvl="0" w:tentative="0">
      <w:start w:val="7"/>
      <w:numFmt w:val="decimal"/>
      <w:lvlText w:val="%1"/>
      <w:lvlJc w:val="left"/>
      <w:pPr>
        <w:ind w:left="212" w:hanging="420"/>
        <w:jc w:val="left"/>
      </w:pPr>
      <w:rPr>
        <w:rFonts w:hint="default"/>
      </w:rPr>
    </w:lvl>
    <w:lvl w:ilvl="1" w:tentative="0">
      <w:start w:val="1"/>
      <w:numFmt w:val="decimal"/>
      <w:lvlText w:val="%1.%2"/>
      <w:lvlJc w:val="left"/>
      <w:pPr>
        <w:ind w:left="212" w:hanging="420"/>
        <w:jc w:val="left"/>
      </w:pPr>
      <w:rPr>
        <w:rFonts w:hint="default" w:ascii="宋体" w:hAnsi="宋体" w:eastAsia="宋体" w:cs="宋体"/>
        <w:w w:val="100"/>
        <w:sz w:val="24"/>
        <w:szCs w:val="24"/>
      </w:rPr>
    </w:lvl>
    <w:lvl w:ilvl="2" w:tentative="0">
      <w:start w:val="0"/>
      <w:numFmt w:val="bullet"/>
      <w:lvlText w:val="•"/>
      <w:lvlJc w:val="left"/>
      <w:pPr>
        <w:ind w:left="2330" w:hanging="420"/>
      </w:pPr>
      <w:rPr>
        <w:rFonts w:hint="default"/>
      </w:rPr>
    </w:lvl>
    <w:lvl w:ilvl="3" w:tentative="0">
      <w:start w:val="0"/>
      <w:numFmt w:val="bullet"/>
      <w:lvlText w:val="•"/>
      <w:lvlJc w:val="left"/>
      <w:pPr>
        <w:ind w:left="3300" w:hanging="420"/>
      </w:pPr>
      <w:rPr>
        <w:rFonts w:hint="default"/>
      </w:rPr>
    </w:lvl>
    <w:lvl w:ilvl="4" w:tentative="0">
      <w:start w:val="0"/>
      <w:numFmt w:val="bullet"/>
      <w:lvlText w:val="•"/>
      <w:lvlJc w:val="left"/>
      <w:pPr>
        <w:ind w:left="4270" w:hanging="420"/>
      </w:pPr>
      <w:rPr>
        <w:rFonts w:hint="default"/>
      </w:rPr>
    </w:lvl>
    <w:lvl w:ilvl="5" w:tentative="0">
      <w:start w:val="0"/>
      <w:numFmt w:val="bullet"/>
      <w:lvlText w:val="•"/>
      <w:lvlJc w:val="left"/>
      <w:pPr>
        <w:ind w:left="5240" w:hanging="420"/>
      </w:pPr>
      <w:rPr>
        <w:rFonts w:hint="default"/>
      </w:rPr>
    </w:lvl>
    <w:lvl w:ilvl="6" w:tentative="0">
      <w:start w:val="0"/>
      <w:numFmt w:val="bullet"/>
      <w:lvlText w:val="•"/>
      <w:lvlJc w:val="left"/>
      <w:pPr>
        <w:ind w:left="6210" w:hanging="420"/>
      </w:pPr>
      <w:rPr>
        <w:rFonts w:hint="default"/>
      </w:rPr>
    </w:lvl>
    <w:lvl w:ilvl="7" w:tentative="0">
      <w:start w:val="0"/>
      <w:numFmt w:val="bullet"/>
      <w:lvlText w:val="•"/>
      <w:lvlJc w:val="left"/>
      <w:pPr>
        <w:ind w:left="7180" w:hanging="420"/>
      </w:pPr>
      <w:rPr>
        <w:rFonts w:hint="default"/>
      </w:rPr>
    </w:lvl>
    <w:lvl w:ilvl="8" w:tentative="0">
      <w:start w:val="0"/>
      <w:numFmt w:val="bullet"/>
      <w:lvlText w:val="•"/>
      <w:lvlJc w:val="left"/>
      <w:pPr>
        <w:ind w:left="8150" w:hanging="420"/>
      </w:pPr>
      <w:rPr>
        <w:rFonts w:hint="default"/>
      </w:rPr>
    </w:lvl>
  </w:abstractNum>
  <w:abstractNum w:abstractNumId="24">
    <w:nsid w:val="6E465020"/>
    <w:multiLevelType w:val="multilevel"/>
    <w:tmpl w:val="6E465020"/>
    <w:lvl w:ilvl="0" w:tentative="0">
      <w:start w:val="3"/>
      <w:numFmt w:val="decimal"/>
      <w:lvlText w:val="%1"/>
      <w:lvlJc w:val="left"/>
      <w:pPr>
        <w:ind w:left="1112" w:hanging="420"/>
        <w:jc w:val="left"/>
      </w:pPr>
      <w:rPr>
        <w:rFonts w:hint="default"/>
      </w:rPr>
    </w:lvl>
    <w:lvl w:ilvl="1" w:tentative="0">
      <w:start w:val="1"/>
      <w:numFmt w:val="decimal"/>
      <w:lvlText w:val="%1.%2"/>
      <w:lvlJc w:val="left"/>
      <w:pPr>
        <w:ind w:left="1112" w:hanging="420"/>
        <w:jc w:val="left"/>
      </w:pPr>
      <w:rPr>
        <w:rFonts w:hint="default" w:ascii="宋体" w:hAnsi="宋体" w:eastAsia="宋体" w:cs="宋体"/>
        <w:w w:val="100"/>
        <w:sz w:val="24"/>
        <w:szCs w:val="24"/>
      </w:rPr>
    </w:lvl>
    <w:lvl w:ilvl="2" w:tentative="0">
      <w:start w:val="1"/>
      <w:numFmt w:val="decimal"/>
      <w:lvlText w:val="%1.%2.%3"/>
      <w:lvlJc w:val="left"/>
      <w:pPr>
        <w:ind w:left="212" w:hanging="660"/>
        <w:jc w:val="left"/>
      </w:pPr>
      <w:rPr>
        <w:rFonts w:hint="default" w:ascii="宋体" w:hAnsi="宋体" w:eastAsia="宋体" w:cs="宋体"/>
        <w:w w:val="100"/>
        <w:sz w:val="24"/>
        <w:szCs w:val="24"/>
      </w:rPr>
    </w:lvl>
    <w:lvl w:ilvl="3" w:tentative="0">
      <w:start w:val="0"/>
      <w:numFmt w:val="bullet"/>
      <w:lvlText w:val="•"/>
      <w:lvlJc w:val="left"/>
      <w:pPr>
        <w:ind w:left="3113" w:hanging="660"/>
      </w:pPr>
      <w:rPr>
        <w:rFonts w:hint="default"/>
      </w:rPr>
    </w:lvl>
    <w:lvl w:ilvl="4" w:tentative="0">
      <w:start w:val="0"/>
      <w:numFmt w:val="bullet"/>
      <w:lvlText w:val="•"/>
      <w:lvlJc w:val="left"/>
      <w:pPr>
        <w:ind w:left="4110" w:hanging="660"/>
      </w:pPr>
      <w:rPr>
        <w:rFonts w:hint="default"/>
      </w:rPr>
    </w:lvl>
    <w:lvl w:ilvl="5" w:tentative="0">
      <w:start w:val="0"/>
      <w:numFmt w:val="bullet"/>
      <w:lvlText w:val="•"/>
      <w:lvlJc w:val="left"/>
      <w:pPr>
        <w:ind w:left="5106" w:hanging="660"/>
      </w:pPr>
      <w:rPr>
        <w:rFonts w:hint="default"/>
      </w:rPr>
    </w:lvl>
    <w:lvl w:ilvl="6" w:tentative="0">
      <w:start w:val="0"/>
      <w:numFmt w:val="bullet"/>
      <w:lvlText w:val="•"/>
      <w:lvlJc w:val="left"/>
      <w:pPr>
        <w:ind w:left="6103" w:hanging="660"/>
      </w:pPr>
      <w:rPr>
        <w:rFonts w:hint="default"/>
      </w:rPr>
    </w:lvl>
    <w:lvl w:ilvl="7" w:tentative="0">
      <w:start w:val="0"/>
      <w:numFmt w:val="bullet"/>
      <w:lvlText w:val="•"/>
      <w:lvlJc w:val="left"/>
      <w:pPr>
        <w:ind w:left="7100" w:hanging="660"/>
      </w:pPr>
      <w:rPr>
        <w:rFonts w:hint="default"/>
      </w:rPr>
    </w:lvl>
    <w:lvl w:ilvl="8" w:tentative="0">
      <w:start w:val="0"/>
      <w:numFmt w:val="bullet"/>
      <w:lvlText w:val="•"/>
      <w:lvlJc w:val="left"/>
      <w:pPr>
        <w:ind w:left="8096" w:hanging="660"/>
      </w:pPr>
      <w:rPr>
        <w:rFonts w:hint="default"/>
      </w:rPr>
    </w:lvl>
  </w:abstractNum>
  <w:abstractNum w:abstractNumId="25">
    <w:nsid w:val="729C158B"/>
    <w:multiLevelType w:val="multilevel"/>
    <w:tmpl w:val="729C158B"/>
    <w:lvl w:ilvl="0" w:tentative="0">
      <w:start w:val="1"/>
      <w:numFmt w:val="decimal"/>
      <w:lvlText w:val="%1"/>
      <w:lvlJc w:val="left"/>
      <w:pPr>
        <w:ind w:left="212" w:hanging="420"/>
        <w:jc w:val="left"/>
      </w:pPr>
      <w:rPr>
        <w:rFonts w:hint="default"/>
      </w:rPr>
    </w:lvl>
    <w:lvl w:ilvl="1" w:tentative="0">
      <w:start w:val="1"/>
      <w:numFmt w:val="decimal"/>
      <w:lvlText w:val="%1.%2"/>
      <w:lvlJc w:val="left"/>
      <w:pPr>
        <w:ind w:left="212" w:hanging="420"/>
        <w:jc w:val="left"/>
      </w:pPr>
      <w:rPr>
        <w:rFonts w:hint="default" w:ascii="宋体" w:hAnsi="宋体" w:eastAsia="宋体" w:cs="宋体"/>
        <w:w w:val="100"/>
        <w:sz w:val="24"/>
        <w:szCs w:val="24"/>
      </w:rPr>
    </w:lvl>
    <w:lvl w:ilvl="2" w:tentative="0">
      <w:start w:val="0"/>
      <w:numFmt w:val="bullet"/>
      <w:lvlText w:val="•"/>
      <w:lvlJc w:val="left"/>
      <w:pPr>
        <w:ind w:left="2194" w:hanging="420"/>
      </w:pPr>
      <w:rPr>
        <w:rFonts w:hint="default"/>
      </w:rPr>
    </w:lvl>
    <w:lvl w:ilvl="3" w:tentative="0">
      <w:start w:val="0"/>
      <w:numFmt w:val="bullet"/>
      <w:lvlText w:val="•"/>
      <w:lvlJc w:val="left"/>
      <w:pPr>
        <w:ind w:left="3181" w:hanging="420"/>
      </w:pPr>
      <w:rPr>
        <w:rFonts w:hint="default"/>
      </w:rPr>
    </w:lvl>
    <w:lvl w:ilvl="4" w:tentative="0">
      <w:start w:val="0"/>
      <w:numFmt w:val="bullet"/>
      <w:lvlText w:val="•"/>
      <w:lvlJc w:val="left"/>
      <w:pPr>
        <w:ind w:left="4168" w:hanging="420"/>
      </w:pPr>
      <w:rPr>
        <w:rFonts w:hint="default"/>
      </w:rPr>
    </w:lvl>
    <w:lvl w:ilvl="5" w:tentative="0">
      <w:start w:val="0"/>
      <w:numFmt w:val="bullet"/>
      <w:lvlText w:val="•"/>
      <w:lvlJc w:val="left"/>
      <w:pPr>
        <w:ind w:left="5155" w:hanging="420"/>
      </w:pPr>
      <w:rPr>
        <w:rFonts w:hint="default"/>
      </w:rPr>
    </w:lvl>
    <w:lvl w:ilvl="6" w:tentative="0">
      <w:start w:val="0"/>
      <w:numFmt w:val="bullet"/>
      <w:lvlText w:val="•"/>
      <w:lvlJc w:val="left"/>
      <w:pPr>
        <w:ind w:left="6142" w:hanging="420"/>
      </w:pPr>
      <w:rPr>
        <w:rFonts w:hint="default"/>
      </w:rPr>
    </w:lvl>
    <w:lvl w:ilvl="7" w:tentative="0">
      <w:start w:val="0"/>
      <w:numFmt w:val="bullet"/>
      <w:lvlText w:val="•"/>
      <w:lvlJc w:val="left"/>
      <w:pPr>
        <w:ind w:left="7129" w:hanging="420"/>
      </w:pPr>
      <w:rPr>
        <w:rFonts w:hint="default"/>
      </w:rPr>
    </w:lvl>
    <w:lvl w:ilvl="8" w:tentative="0">
      <w:start w:val="0"/>
      <w:numFmt w:val="bullet"/>
      <w:lvlText w:val="•"/>
      <w:lvlJc w:val="left"/>
      <w:pPr>
        <w:ind w:left="8116" w:hanging="420"/>
      </w:pPr>
      <w:rPr>
        <w:rFonts w:hint="default"/>
      </w:rPr>
    </w:lvl>
  </w:abstractNum>
  <w:abstractNum w:abstractNumId="26">
    <w:nsid w:val="72FC7686"/>
    <w:multiLevelType w:val="multilevel"/>
    <w:tmpl w:val="72FC7686"/>
    <w:lvl w:ilvl="0" w:tentative="0">
      <w:start w:val="6"/>
      <w:numFmt w:val="decimal"/>
      <w:lvlText w:val="%1"/>
      <w:lvlJc w:val="left"/>
      <w:pPr>
        <w:ind w:left="1112" w:hanging="420"/>
        <w:jc w:val="left"/>
      </w:pPr>
      <w:rPr>
        <w:rFonts w:hint="default"/>
      </w:rPr>
    </w:lvl>
    <w:lvl w:ilvl="1" w:tentative="0">
      <w:start w:val="1"/>
      <w:numFmt w:val="decimal"/>
      <w:lvlText w:val="%1.%2"/>
      <w:lvlJc w:val="left"/>
      <w:pPr>
        <w:ind w:left="1112" w:hanging="420"/>
        <w:jc w:val="left"/>
      </w:pPr>
      <w:rPr>
        <w:rFonts w:hint="default" w:ascii="宋体" w:hAnsi="宋体" w:eastAsia="宋体" w:cs="宋体"/>
        <w:w w:val="100"/>
        <w:sz w:val="24"/>
        <w:szCs w:val="24"/>
      </w:rPr>
    </w:lvl>
    <w:lvl w:ilvl="2" w:tentative="0">
      <w:start w:val="0"/>
      <w:numFmt w:val="bullet"/>
      <w:lvlText w:val="•"/>
      <w:lvlJc w:val="left"/>
      <w:pPr>
        <w:ind w:left="2914" w:hanging="420"/>
      </w:pPr>
      <w:rPr>
        <w:rFonts w:hint="default"/>
      </w:rPr>
    </w:lvl>
    <w:lvl w:ilvl="3" w:tentative="0">
      <w:start w:val="0"/>
      <w:numFmt w:val="bullet"/>
      <w:lvlText w:val="•"/>
      <w:lvlJc w:val="left"/>
      <w:pPr>
        <w:ind w:left="3811" w:hanging="420"/>
      </w:pPr>
      <w:rPr>
        <w:rFonts w:hint="default"/>
      </w:rPr>
    </w:lvl>
    <w:lvl w:ilvl="4" w:tentative="0">
      <w:start w:val="0"/>
      <w:numFmt w:val="bullet"/>
      <w:lvlText w:val="•"/>
      <w:lvlJc w:val="left"/>
      <w:pPr>
        <w:ind w:left="4708" w:hanging="420"/>
      </w:pPr>
      <w:rPr>
        <w:rFonts w:hint="default"/>
      </w:rPr>
    </w:lvl>
    <w:lvl w:ilvl="5" w:tentative="0">
      <w:start w:val="0"/>
      <w:numFmt w:val="bullet"/>
      <w:lvlText w:val="•"/>
      <w:lvlJc w:val="left"/>
      <w:pPr>
        <w:ind w:left="5605" w:hanging="420"/>
      </w:pPr>
      <w:rPr>
        <w:rFonts w:hint="default"/>
      </w:rPr>
    </w:lvl>
    <w:lvl w:ilvl="6" w:tentative="0">
      <w:start w:val="0"/>
      <w:numFmt w:val="bullet"/>
      <w:lvlText w:val="•"/>
      <w:lvlJc w:val="left"/>
      <w:pPr>
        <w:ind w:left="6502" w:hanging="420"/>
      </w:pPr>
      <w:rPr>
        <w:rFonts w:hint="default"/>
      </w:rPr>
    </w:lvl>
    <w:lvl w:ilvl="7" w:tentative="0">
      <w:start w:val="0"/>
      <w:numFmt w:val="bullet"/>
      <w:lvlText w:val="•"/>
      <w:lvlJc w:val="left"/>
      <w:pPr>
        <w:ind w:left="7399" w:hanging="420"/>
      </w:pPr>
      <w:rPr>
        <w:rFonts w:hint="default"/>
      </w:rPr>
    </w:lvl>
    <w:lvl w:ilvl="8" w:tentative="0">
      <w:start w:val="0"/>
      <w:numFmt w:val="bullet"/>
      <w:lvlText w:val="•"/>
      <w:lvlJc w:val="left"/>
      <w:pPr>
        <w:ind w:left="8296" w:hanging="420"/>
      </w:pPr>
      <w:rPr>
        <w:rFonts w:hint="default"/>
      </w:rPr>
    </w:lvl>
  </w:abstractNum>
  <w:abstractNum w:abstractNumId="27">
    <w:nsid w:val="73014807"/>
    <w:multiLevelType w:val="multilevel"/>
    <w:tmpl w:val="73014807"/>
    <w:lvl w:ilvl="0" w:tentative="0">
      <w:start w:val="1"/>
      <w:numFmt w:val="decimal"/>
      <w:lvlText w:val="%1"/>
      <w:lvlJc w:val="left"/>
      <w:pPr>
        <w:ind w:left="632" w:hanging="420"/>
        <w:jc w:val="left"/>
      </w:pPr>
      <w:rPr>
        <w:rFonts w:hint="default"/>
      </w:rPr>
    </w:lvl>
    <w:lvl w:ilvl="1" w:tentative="0">
      <w:start w:val="2"/>
      <w:numFmt w:val="decimal"/>
      <w:lvlText w:val="%1.%2"/>
      <w:lvlJc w:val="left"/>
      <w:pPr>
        <w:ind w:left="632" w:hanging="420"/>
        <w:jc w:val="left"/>
      </w:pPr>
      <w:rPr>
        <w:rFonts w:hint="default" w:ascii="宋体" w:hAnsi="宋体" w:eastAsia="宋体" w:cs="宋体"/>
        <w:w w:val="100"/>
        <w:sz w:val="24"/>
        <w:szCs w:val="24"/>
      </w:rPr>
    </w:lvl>
    <w:lvl w:ilvl="2" w:tentative="0">
      <w:start w:val="1"/>
      <w:numFmt w:val="decimal"/>
      <w:lvlText w:val="%1.%2.%3"/>
      <w:lvlJc w:val="left"/>
      <w:pPr>
        <w:ind w:left="1352" w:hanging="660"/>
        <w:jc w:val="left"/>
      </w:pPr>
      <w:rPr>
        <w:rFonts w:hint="default" w:ascii="宋体" w:hAnsi="宋体" w:eastAsia="宋体" w:cs="宋体"/>
        <w:w w:val="100"/>
        <w:sz w:val="24"/>
        <w:szCs w:val="24"/>
      </w:rPr>
    </w:lvl>
    <w:lvl w:ilvl="3" w:tentative="0">
      <w:start w:val="0"/>
      <w:numFmt w:val="bullet"/>
      <w:lvlText w:val="•"/>
      <w:lvlJc w:val="left"/>
      <w:pPr>
        <w:ind w:left="3300" w:hanging="660"/>
      </w:pPr>
      <w:rPr>
        <w:rFonts w:hint="default"/>
      </w:rPr>
    </w:lvl>
    <w:lvl w:ilvl="4" w:tentative="0">
      <w:start w:val="0"/>
      <w:numFmt w:val="bullet"/>
      <w:lvlText w:val="•"/>
      <w:lvlJc w:val="left"/>
      <w:pPr>
        <w:ind w:left="4270" w:hanging="660"/>
      </w:pPr>
      <w:rPr>
        <w:rFonts w:hint="default"/>
      </w:rPr>
    </w:lvl>
    <w:lvl w:ilvl="5" w:tentative="0">
      <w:start w:val="0"/>
      <w:numFmt w:val="bullet"/>
      <w:lvlText w:val="•"/>
      <w:lvlJc w:val="left"/>
      <w:pPr>
        <w:ind w:left="5240" w:hanging="660"/>
      </w:pPr>
      <w:rPr>
        <w:rFonts w:hint="default"/>
      </w:rPr>
    </w:lvl>
    <w:lvl w:ilvl="6" w:tentative="0">
      <w:start w:val="0"/>
      <w:numFmt w:val="bullet"/>
      <w:lvlText w:val="•"/>
      <w:lvlJc w:val="left"/>
      <w:pPr>
        <w:ind w:left="6210" w:hanging="660"/>
      </w:pPr>
      <w:rPr>
        <w:rFonts w:hint="default"/>
      </w:rPr>
    </w:lvl>
    <w:lvl w:ilvl="7" w:tentative="0">
      <w:start w:val="0"/>
      <w:numFmt w:val="bullet"/>
      <w:lvlText w:val="•"/>
      <w:lvlJc w:val="left"/>
      <w:pPr>
        <w:ind w:left="7180" w:hanging="660"/>
      </w:pPr>
      <w:rPr>
        <w:rFonts w:hint="default"/>
      </w:rPr>
    </w:lvl>
    <w:lvl w:ilvl="8" w:tentative="0">
      <w:start w:val="0"/>
      <w:numFmt w:val="bullet"/>
      <w:lvlText w:val="•"/>
      <w:lvlJc w:val="left"/>
      <w:pPr>
        <w:ind w:left="8150" w:hanging="660"/>
      </w:pPr>
      <w:rPr>
        <w:rFonts w:hint="default"/>
      </w:rPr>
    </w:lvl>
  </w:abstractNum>
  <w:abstractNum w:abstractNumId="28">
    <w:nsid w:val="74495590"/>
    <w:multiLevelType w:val="multilevel"/>
    <w:tmpl w:val="74495590"/>
    <w:lvl w:ilvl="0" w:tentative="0">
      <w:start w:val="4"/>
      <w:numFmt w:val="decimal"/>
      <w:lvlText w:val="%1"/>
      <w:lvlJc w:val="left"/>
      <w:pPr>
        <w:ind w:left="1112" w:hanging="420"/>
        <w:jc w:val="left"/>
      </w:pPr>
      <w:rPr>
        <w:rFonts w:hint="default"/>
      </w:rPr>
    </w:lvl>
    <w:lvl w:ilvl="1" w:tentative="0">
      <w:start w:val="1"/>
      <w:numFmt w:val="decimal"/>
      <w:lvlText w:val="%1.%2"/>
      <w:lvlJc w:val="left"/>
      <w:pPr>
        <w:ind w:left="212" w:hanging="420"/>
        <w:jc w:val="left"/>
      </w:pPr>
      <w:rPr>
        <w:rFonts w:hint="default" w:ascii="宋体" w:hAnsi="宋体" w:eastAsia="宋体" w:cs="宋体"/>
        <w:w w:val="100"/>
        <w:sz w:val="24"/>
        <w:szCs w:val="24"/>
      </w:rPr>
    </w:lvl>
    <w:lvl w:ilvl="2" w:tentative="0">
      <w:start w:val="0"/>
      <w:numFmt w:val="bullet"/>
      <w:lvlText w:val="•"/>
      <w:lvlJc w:val="left"/>
      <w:pPr>
        <w:ind w:left="2116" w:hanging="420"/>
      </w:pPr>
      <w:rPr>
        <w:rFonts w:hint="default"/>
      </w:rPr>
    </w:lvl>
    <w:lvl w:ilvl="3" w:tentative="0">
      <w:start w:val="0"/>
      <w:numFmt w:val="bullet"/>
      <w:lvlText w:val="•"/>
      <w:lvlJc w:val="left"/>
      <w:pPr>
        <w:ind w:left="3113" w:hanging="420"/>
      </w:pPr>
      <w:rPr>
        <w:rFonts w:hint="default"/>
      </w:rPr>
    </w:lvl>
    <w:lvl w:ilvl="4" w:tentative="0">
      <w:start w:val="0"/>
      <w:numFmt w:val="bullet"/>
      <w:lvlText w:val="•"/>
      <w:lvlJc w:val="left"/>
      <w:pPr>
        <w:ind w:left="4110" w:hanging="420"/>
      </w:pPr>
      <w:rPr>
        <w:rFonts w:hint="default"/>
      </w:rPr>
    </w:lvl>
    <w:lvl w:ilvl="5" w:tentative="0">
      <w:start w:val="0"/>
      <w:numFmt w:val="bullet"/>
      <w:lvlText w:val="•"/>
      <w:lvlJc w:val="left"/>
      <w:pPr>
        <w:ind w:left="5106" w:hanging="420"/>
      </w:pPr>
      <w:rPr>
        <w:rFonts w:hint="default"/>
      </w:rPr>
    </w:lvl>
    <w:lvl w:ilvl="6" w:tentative="0">
      <w:start w:val="0"/>
      <w:numFmt w:val="bullet"/>
      <w:lvlText w:val="•"/>
      <w:lvlJc w:val="left"/>
      <w:pPr>
        <w:ind w:left="6103" w:hanging="420"/>
      </w:pPr>
      <w:rPr>
        <w:rFonts w:hint="default"/>
      </w:rPr>
    </w:lvl>
    <w:lvl w:ilvl="7" w:tentative="0">
      <w:start w:val="0"/>
      <w:numFmt w:val="bullet"/>
      <w:lvlText w:val="•"/>
      <w:lvlJc w:val="left"/>
      <w:pPr>
        <w:ind w:left="7100" w:hanging="420"/>
      </w:pPr>
      <w:rPr>
        <w:rFonts w:hint="default"/>
      </w:rPr>
    </w:lvl>
    <w:lvl w:ilvl="8" w:tentative="0">
      <w:start w:val="0"/>
      <w:numFmt w:val="bullet"/>
      <w:lvlText w:val="•"/>
      <w:lvlJc w:val="left"/>
      <w:pPr>
        <w:ind w:left="8096" w:hanging="420"/>
      </w:pPr>
      <w:rPr>
        <w:rFonts w:hint="default"/>
      </w:rPr>
    </w:lvl>
  </w:abstractNum>
  <w:abstractNum w:abstractNumId="29">
    <w:nsid w:val="79AB5C54"/>
    <w:multiLevelType w:val="multilevel"/>
    <w:tmpl w:val="79AB5C54"/>
    <w:lvl w:ilvl="0" w:tentative="0">
      <w:start w:val="3"/>
      <w:numFmt w:val="decimal"/>
      <w:lvlText w:val="%1"/>
      <w:lvlJc w:val="left"/>
      <w:pPr>
        <w:ind w:left="1172" w:hanging="480"/>
        <w:jc w:val="left"/>
      </w:pPr>
      <w:rPr>
        <w:rFonts w:hint="default"/>
      </w:rPr>
    </w:lvl>
    <w:lvl w:ilvl="1" w:tentative="0">
      <w:start w:val="1"/>
      <w:numFmt w:val="decimal"/>
      <w:lvlText w:val="%1.%2"/>
      <w:lvlJc w:val="left"/>
      <w:pPr>
        <w:ind w:left="1172" w:hanging="480"/>
        <w:jc w:val="left"/>
      </w:pPr>
      <w:rPr>
        <w:rFonts w:hint="default" w:ascii="宋体" w:hAnsi="宋体" w:eastAsia="宋体" w:cs="宋体"/>
        <w:w w:val="100"/>
        <w:sz w:val="24"/>
        <w:szCs w:val="24"/>
      </w:rPr>
    </w:lvl>
    <w:lvl w:ilvl="2" w:tentative="0">
      <w:start w:val="1"/>
      <w:numFmt w:val="decimal"/>
      <w:lvlText w:val="%1.%2.%3"/>
      <w:lvlJc w:val="left"/>
      <w:pPr>
        <w:ind w:left="212" w:hanging="660"/>
        <w:jc w:val="left"/>
      </w:pPr>
      <w:rPr>
        <w:rFonts w:hint="default" w:ascii="宋体" w:hAnsi="宋体" w:eastAsia="宋体" w:cs="宋体"/>
        <w:w w:val="100"/>
        <w:sz w:val="24"/>
        <w:szCs w:val="24"/>
      </w:rPr>
    </w:lvl>
    <w:lvl w:ilvl="3" w:tentative="0">
      <w:start w:val="0"/>
      <w:numFmt w:val="bullet"/>
      <w:lvlText w:val="•"/>
      <w:lvlJc w:val="left"/>
      <w:pPr>
        <w:ind w:left="3160" w:hanging="660"/>
      </w:pPr>
      <w:rPr>
        <w:rFonts w:hint="default"/>
      </w:rPr>
    </w:lvl>
    <w:lvl w:ilvl="4" w:tentative="0">
      <w:start w:val="0"/>
      <w:numFmt w:val="bullet"/>
      <w:lvlText w:val="•"/>
      <w:lvlJc w:val="left"/>
      <w:pPr>
        <w:ind w:left="4150" w:hanging="660"/>
      </w:pPr>
      <w:rPr>
        <w:rFonts w:hint="default"/>
      </w:rPr>
    </w:lvl>
    <w:lvl w:ilvl="5" w:tentative="0">
      <w:start w:val="0"/>
      <w:numFmt w:val="bullet"/>
      <w:lvlText w:val="•"/>
      <w:lvlJc w:val="left"/>
      <w:pPr>
        <w:ind w:left="5140" w:hanging="660"/>
      </w:pPr>
      <w:rPr>
        <w:rFonts w:hint="default"/>
      </w:rPr>
    </w:lvl>
    <w:lvl w:ilvl="6" w:tentative="0">
      <w:start w:val="0"/>
      <w:numFmt w:val="bullet"/>
      <w:lvlText w:val="•"/>
      <w:lvlJc w:val="left"/>
      <w:pPr>
        <w:ind w:left="6130" w:hanging="660"/>
      </w:pPr>
      <w:rPr>
        <w:rFonts w:hint="default"/>
      </w:rPr>
    </w:lvl>
    <w:lvl w:ilvl="7" w:tentative="0">
      <w:start w:val="0"/>
      <w:numFmt w:val="bullet"/>
      <w:lvlText w:val="•"/>
      <w:lvlJc w:val="left"/>
      <w:pPr>
        <w:ind w:left="7120" w:hanging="660"/>
      </w:pPr>
      <w:rPr>
        <w:rFonts w:hint="default"/>
      </w:rPr>
    </w:lvl>
    <w:lvl w:ilvl="8" w:tentative="0">
      <w:start w:val="0"/>
      <w:numFmt w:val="bullet"/>
      <w:lvlText w:val="•"/>
      <w:lvlJc w:val="left"/>
      <w:pPr>
        <w:ind w:left="8110" w:hanging="660"/>
      </w:pPr>
      <w:rPr>
        <w:rFonts w:hint="default"/>
      </w:rPr>
    </w:lvl>
  </w:abstractNum>
  <w:abstractNum w:abstractNumId="30">
    <w:nsid w:val="79D6516C"/>
    <w:multiLevelType w:val="multilevel"/>
    <w:tmpl w:val="79D6516C"/>
    <w:lvl w:ilvl="0" w:tentative="0">
      <w:start w:val="7"/>
      <w:numFmt w:val="decimal"/>
      <w:lvlText w:val="%1"/>
      <w:lvlJc w:val="left"/>
      <w:pPr>
        <w:ind w:left="1112" w:hanging="420"/>
        <w:jc w:val="left"/>
      </w:pPr>
      <w:rPr>
        <w:rFonts w:hint="default"/>
      </w:rPr>
    </w:lvl>
    <w:lvl w:ilvl="1" w:tentative="0">
      <w:start w:val="1"/>
      <w:numFmt w:val="decimal"/>
      <w:lvlText w:val="%1.%2"/>
      <w:lvlJc w:val="left"/>
      <w:pPr>
        <w:ind w:left="1112" w:hanging="420"/>
        <w:jc w:val="left"/>
      </w:pPr>
      <w:rPr>
        <w:rFonts w:hint="default" w:ascii="宋体" w:hAnsi="宋体" w:eastAsia="宋体" w:cs="宋体"/>
        <w:w w:val="100"/>
        <w:sz w:val="24"/>
        <w:szCs w:val="24"/>
      </w:rPr>
    </w:lvl>
    <w:lvl w:ilvl="2" w:tentative="0">
      <w:start w:val="0"/>
      <w:numFmt w:val="bullet"/>
      <w:lvlText w:val="•"/>
      <w:lvlJc w:val="left"/>
      <w:pPr>
        <w:ind w:left="2914" w:hanging="420"/>
      </w:pPr>
      <w:rPr>
        <w:rFonts w:hint="default"/>
      </w:rPr>
    </w:lvl>
    <w:lvl w:ilvl="3" w:tentative="0">
      <w:start w:val="0"/>
      <w:numFmt w:val="bullet"/>
      <w:lvlText w:val="•"/>
      <w:lvlJc w:val="left"/>
      <w:pPr>
        <w:ind w:left="3811" w:hanging="420"/>
      </w:pPr>
      <w:rPr>
        <w:rFonts w:hint="default"/>
      </w:rPr>
    </w:lvl>
    <w:lvl w:ilvl="4" w:tentative="0">
      <w:start w:val="0"/>
      <w:numFmt w:val="bullet"/>
      <w:lvlText w:val="•"/>
      <w:lvlJc w:val="left"/>
      <w:pPr>
        <w:ind w:left="4708" w:hanging="420"/>
      </w:pPr>
      <w:rPr>
        <w:rFonts w:hint="default"/>
      </w:rPr>
    </w:lvl>
    <w:lvl w:ilvl="5" w:tentative="0">
      <w:start w:val="0"/>
      <w:numFmt w:val="bullet"/>
      <w:lvlText w:val="•"/>
      <w:lvlJc w:val="left"/>
      <w:pPr>
        <w:ind w:left="5605" w:hanging="420"/>
      </w:pPr>
      <w:rPr>
        <w:rFonts w:hint="default"/>
      </w:rPr>
    </w:lvl>
    <w:lvl w:ilvl="6" w:tentative="0">
      <w:start w:val="0"/>
      <w:numFmt w:val="bullet"/>
      <w:lvlText w:val="•"/>
      <w:lvlJc w:val="left"/>
      <w:pPr>
        <w:ind w:left="6502" w:hanging="420"/>
      </w:pPr>
      <w:rPr>
        <w:rFonts w:hint="default"/>
      </w:rPr>
    </w:lvl>
    <w:lvl w:ilvl="7" w:tentative="0">
      <w:start w:val="0"/>
      <w:numFmt w:val="bullet"/>
      <w:lvlText w:val="•"/>
      <w:lvlJc w:val="left"/>
      <w:pPr>
        <w:ind w:left="7399" w:hanging="420"/>
      </w:pPr>
      <w:rPr>
        <w:rFonts w:hint="default"/>
      </w:rPr>
    </w:lvl>
    <w:lvl w:ilvl="8" w:tentative="0">
      <w:start w:val="0"/>
      <w:numFmt w:val="bullet"/>
      <w:lvlText w:val="•"/>
      <w:lvlJc w:val="left"/>
      <w:pPr>
        <w:ind w:left="8296" w:hanging="420"/>
      </w:pPr>
      <w:rPr>
        <w:rFonts w:hint="default"/>
      </w:rPr>
    </w:lvl>
  </w:abstractNum>
  <w:abstractNum w:abstractNumId="31">
    <w:nsid w:val="7B5D689A"/>
    <w:multiLevelType w:val="multilevel"/>
    <w:tmpl w:val="7B5D689A"/>
    <w:lvl w:ilvl="0" w:tentative="0">
      <w:start w:val="5"/>
      <w:numFmt w:val="decimal"/>
      <w:lvlText w:val="%1"/>
      <w:lvlJc w:val="left"/>
      <w:pPr>
        <w:ind w:left="212" w:hanging="420"/>
        <w:jc w:val="left"/>
      </w:pPr>
      <w:rPr>
        <w:rFonts w:hint="default"/>
      </w:rPr>
    </w:lvl>
    <w:lvl w:ilvl="1" w:tentative="0">
      <w:start w:val="5"/>
      <w:numFmt w:val="decimal"/>
      <w:lvlText w:val="%1.%2"/>
      <w:lvlJc w:val="left"/>
      <w:pPr>
        <w:ind w:left="212" w:hanging="420"/>
        <w:jc w:val="left"/>
      </w:pPr>
      <w:rPr>
        <w:rFonts w:hint="default" w:ascii="宋体" w:hAnsi="宋体" w:eastAsia="宋体" w:cs="宋体"/>
        <w:w w:val="100"/>
        <w:sz w:val="24"/>
        <w:szCs w:val="24"/>
      </w:rPr>
    </w:lvl>
    <w:lvl w:ilvl="2" w:tentative="0">
      <w:start w:val="0"/>
      <w:numFmt w:val="bullet"/>
      <w:lvlText w:val="•"/>
      <w:lvlJc w:val="left"/>
      <w:pPr>
        <w:ind w:left="2194" w:hanging="420"/>
      </w:pPr>
      <w:rPr>
        <w:rFonts w:hint="default"/>
      </w:rPr>
    </w:lvl>
    <w:lvl w:ilvl="3" w:tentative="0">
      <w:start w:val="0"/>
      <w:numFmt w:val="bullet"/>
      <w:lvlText w:val="•"/>
      <w:lvlJc w:val="left"/>
      <w:pPr>
        <w:ind w:left="3181" w:hanging="420"/>
      </w:pPr>
      <w:rPr>
        <w:rFonts w:hint="default"/>
      </w:rPr>
    </w:lvl>
    <w:lvl w:ilvl="4" w:tentative="0">
      <w:start w:val="0"/>
      <w:numFmt w:val="bullet"/>
      <w:lvlText w:val="•"/>
      <w:lvlJc w:val="left"/>
      <w:pPr>
        <w:ind w:left="4168" w:hanging="420"/>
      </w:pPr>
      <w:rPr>
        <w:rFonts w:hint="default"/>
      </w:rPr>
    </w:lvl>
    <w:lvl w:ilvl="5" w:tentative="0">
      <w:start w:val="0"/>
      <w:numFmt w:val="bullet"/>
      <w:lvlText w:val="•"/>
      <w:lvlJc w:val="left"/>
      <w:pPr>
        <w:ind w:left="5155" w:hanging="420"/>
      </w:pPr>
      <w:rPr>
        <w:rFonts w:hint="default"/>
      </w:rPr>
    </w:lvl>
    <w:lvl w:ilvl="6" w:tentative="0">
      <w:start w:val="0"/>
      <w:numFmt w:val="bullet"/>
      <w:lvlText w:val="•"/>
      <w:lvlJc w:val="left"/>
      <w:pPr>
        <w:ind w:left="6142" w:hanging="420"/>
      </w:pPr>
      <w:rPr>
        <w:rFonts w:hint="default"/>
      </w:rPr>
    </w:lvl>
    <w:lvl w:ilvl="7" w:tentative="0">
      <w:start w:val="0"/>
      <w:numFmt w:val="bullet"/>
      <w:lvlText w:val="•"/>
      <w:lvlJc w:val="left"/>
      <w:pPr>
        <w:ind w:left="7129" w:hanging="420"/>
      </w:pPr>
      <w:rPr>
        <w:rFonts w:hint="default"/>
      </w:rPr>
    </w:lvl>
    <w:lvl w:ilvl="8" w:tentative="0">
      <w:start w:val="0"/>
      <w:numFmt w:val="bullet"/>
      <w:lvlText w:val="•"/>
      <w:lvlJc w:val="left"/>
      <w:pPr>
        <w:ind w:left="8116" w:hanging="420"/>
      </w:pPr>
      <w:rPr>
        <w:rFonts w:hint="default"/>
      </w:rPr>
    </w:lvl>
  </w:abstractNum>
  <w:num w:numId="1">
    <w:abstractNumId w:val="5"/>
  </w:num>
  <w:num w:numId="2">
    <w:abstractNumId w:val="9"/>
  </w:num>
  <w:num w:numId="3">
    <w:abstractNumId w:val="15"/>
  </w:num>
  <w:num w:numId="4">
    <w:abstractNumId w:val="18"/>
  </w:num>
  <w:num w:numId="5">
    <w:abstractNumId w:val="3"/>
  </w:num>
  <w:num w:numId="6">
    <w:abstractNumId w:val="4"/>
  </w:num>
  <w:num w:numId="7">
    <w:abstractNumId w:val="2"/>
  </w:num>
  <w:num w:numId="8">
    <w:abstractNumId w:val="1"/>
  </w:num>
  <w:num w:numId="9">
    <w:abstractNumId w:val="30"/>
  </w:num>
  <w:num w:numId="10">
    <w:abstractNumId w:val="22"/>
  </w:num>
  <w:num w:numId="11">
    <w:abstractNumId w:val="27"/>
  </w:num>
  <w:num w:numId="12">
    <w:abstractNumId w:val="10"/>
  </w:num>
  <w:num w:numId="13">
    <w:abstractNumId w:val="25"/>
  </w:num>
  <w:num w:numId="14">
    <w:abstractNumId w:val="13"/>
  </w:num>
  <w:num w:numId="15">
    <w:abstractNumId w:val="24"/>
  </w:num>
  <w:num w:numId="16">
    <w:abstractNumId w:val="19"/>
  </w:num>
  <w:num w:numId="17">
    <w:abstractNumId w:val="8"/>
  </w:num>
  <w:num w:numId="18">
    <w:abstractNumId w:val="28"/>
  </w:num>
  <w:num w:numId="19">
    <w:abstractNumId w:val="16"/>
  </w:num>
  <w:num w:numId="20">
    <w:abstractNumId w:val="17"/>
  </w:num>
  <w:num w:numId="21">
    <w:abstractNumId w:val="23"/>
  </w:num>
  <w:num w:numId="22">
    <w:abstractNumId w:val="21"/>
  </w:num>
  <w:num w:numId="23">
    <w:abstractNumId w:val="29"/>
  </w:num>
  <w:num w:numId="24">
    <w:abstractNumId w:val="14"/>
  </w:num>
  <w:num w:numId="25">
    <w:abstractNumId w:val="6"/>
  </w:num>
  <w:num w:numId="26">
    <w:abstractNumId w:val="0"/>
  </w:num>
  <w:num w:numId="27">
    <w:abstractNumId w:val="31"/>
  </w:num>
  <w:num w:numId="28">
    <w:abstractNumId w:val="26"/>
  </w:num>
  <w:num w:numId="29">
    <w:abstractNumId w:val="12"/>
  </w:num>
  <w:num w:numId="30">
    <w:abstractNumId w:val="11"/>
  </w:num>
  <w:num w:numId="31">
    <w:abstractNumId w:val="7"/>
  </w:num>
  <w:num w:numId="3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720"/>
  <w:drawingGridHorizontalSpacing w:val="110"/>
  <w:displayHorizontalDrawingGridEvery w:val="2"/>
  <w:characterSpacingControl w:val="doNotCompress"/>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kyNGU4MmVmZTM3MWQ0NDVlMzNiM2JhZTBlMTFjZWQifQ=="/>
  </w:docVars>
  <w:rsids>
    <w:rsidRoot w:val="00803C95"/>
    <w:rsid w:val="0000750C"/>
    <w:rsid w:val="0012528D"/>
    <w:rsid w:val="001A682E"/>
    <w:rsid w:val="001C2213"/>
    <w:rsid w:val="00225D7A"/>
    <w:rsid w:val="00231DE6"/>
    <w:rsid w:val="002743B1"/>
    <w:rsid w:val="002C7745"/>
    <w:rsid w:val="003C3163"/>
    <w:rsid w:val="004664AD"/>
    <w:rsid w:val="004A6684"/>
    <w:rsid w:val="004F73D8"/>
    <w:rsid w:val="005877D7"/>
    <w:rsid w:val="005F41D3"/>
    <w:rsid w:val="0065008C"/>
    <w:rsid w:val="0068678B"/>
    <w:rsid w:val="007613B9"/>
    <w:rsid w:val="00803C95"/>
    <w:rsid w:val="008D08E4"/>
    <w:rsid w:val="009C0678"/>
    <w:rsid w:val="00AD3DF0"/>
    <w:rsid w:val="00C422CF"/>
    <w:rsid w:val="00CB3DC0"/>
    <w:rsid w:val="00CD6F1F"/>
    <w:rsid w:val="00DE19F4"/>
    <w:rsid w:val="00DF5D0F"/>
    <w:rsid w:val="00E174B2"/>
    <w:rsid w:val="00F417C1"/>
    <w:rsid w:val="3254114A"/>
    <w:rsid w:val="3350345A"/>
    <w:rsid w:val="38511EAD"/>
    <w:rsid w:val="525D7664"/>
    <w:rsid w:val="700A2F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1" w:semiHidden="0" w:name="toc 1"/>
    <w:lsdException w:qFormat="1" w:unhideWhenUsed="0" w:uiPriority="1"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en-US" w:eastAsia="en-US" w:bidi="ar-SA"/>
    </w:rPr>
  </w:style>
  <w:style w:type="paragraph" w:styleId="2">
    <w:name w:val="heading 1"/>
    <w:basedOn w:val="1"/>
    <w:next w:val="1"/>
    <w:qFormat/>
    <w:uiPriority w:val="1"/>
    <w:pPr>
      <w:spacing w:before="36"/>
      <w:ind w:right="14"/>
      <w:jc w:val="center"/>
      <w:outlineLvl w:val="0"/>
    </w:pPr>
    <w:rPr>
      <w:b/>
      <w:bCs/>
      <w:sz w:val="30"/>
      <w:szCs w:val="30"/>
    </w:rPr>
  </w:style>
  <w:style w:type="paragraph" w:styleId="3">
    <w:name w:val="heading 2"/>
    <w:basedOn w:val="1"/>
    <w:next w:val="1"/>
    <w:qFormat/>
    <w:uiPriority w:val="1"/>
    <w:pPr>
      <w:ind w:left="212"/>
      <w:outlineLvl w:val="1"/>
    </w:pPr>
    <w:rPr>
      <w:b/>
      <w:bCs/>
      <w:sz w:val="24"/>
      <w:szCs w:val="24"/>
    </w:rPr>
  </w:style>
  <w:style w:type="paragraph" w:styleId="4">
    <w:name w:val="heading 3"/>
    <w:basedOn w:val="1"/>
    <w:next w:val="1"/>
    <w:link w:val="13"/>
    <w:semiHidden/>
    <w:unhideWhenUsed/>
    <w:qFormat/>
    <w:uiPriority w:val="9"/>
    <w:pPr>
      <w:keepNext/>
      <w:keepLines/>
      <w:spacing w:before="260" w:after="260" w:line="416" w:lineRule="auto"/>
      <w:outlineLvl w:val="2"/>
    </w:pPr>
    <w:rPr>
      <w:b/>
      <w:bCs/>
      <w:sz w:val="32"/>
      <w:szCs w:val="32"/>
    </w:rPr>
  </w:style>
  <w:style w:type="character" w:default="1" w:styleId="9">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5">
    <w:name w:val="Body Text"/>
    <w:basedOn w:val="1"/>
    <w:qFormat/>
    <w:uiPriority w:val="1"/>
    <w:pPr>
      <w:ind w:left="212"/>
    </w:pPr>
    <w:rPr>
      <w:sz w:val="24"/>
      <w:szCs w:val="24"/>
    </w:rPr>
  </w:style>
  <w:style w:type="paragraph" w:styleId="6">
    <w:name w:val="toc 1"/>
    <w:basedOn w:val="1"/>
    <w:next w:val="1"/>
    <w:qFormat/>
    <w:uiPriority w:val="1"/>
    <w:pPr>
      <w:spacing w:before="158"/>
      <w:ind w:left="212"/>
    </w:pPr>
    <w:rPr>
      <w:sz w:val="24"/>
      <w:szCs w:val="24"/>
    </w:rPr>
  </w:style>
  <w:style w:type="paragraph" w:styleId="7">
    <w:name w:val="toc 2"/>
    <w:basedOn w:val="1"/>
    <w:next w:val="1"/>
    <w:qFormat/>
    <w:uiPriority w:val="1"/>
    <w:pPr>
      <w:spacing w:before="158"/>
      <w:ind w:left="654"/>
    </w:pPr>
    <w:rPr>
      <w:sz w:val="24"/>
      <w:szCs w:val="24"/>
    </w:rPr>
  </w:style>
  <w:style w:type="table" w:customStyle="1" w:styleId="10">
    <w:name w:val="Table Normal"/>
    <w:semiHidden/>
    <w:unhideWhenUsed/>
    <w:qFormat/>
    <w:uiPriority w:val="2"/>
    <w:tblPr>
      <w:tblCellMar>
        <w:top w:w="0" w:type="dxa"/>
        <w:left w:w="0" w:type="dxa"/>
        <w:bottom w:w="0" w:type="dxa"/>
        <w:right w:w="0" w:type="dxa"/>
      </w:tblCellMar>
    </w:tblPr>
  </w:style>
  <w:style w:type="paragraph" w:styleId="11">
    <w:name w:val="List Paragraph"/>
    <w:basedOn w:val="1"/>
    <w:qFormat/>
    <w:uiPriority w:val="1"/>
    <w:pPr>
      <w:ind w:left="212" w:firstLine="480"/>
    </w:pPr>
  </w:style>
  <w:style w:type="paragraph" w:customStyle="1" w:styleId="12">
    <w:name w:val="Table Paragraph"/>
    <w:basedOn w:val="1"/>
    <w:qFormat/>
    <w:uiPriority w:val="1"/>
  </w:style>
  <w:style w:type="character" w:customStyle="1" w:styleId="13">
    <w:name w:val="标题 3 Char"/>
    <w:basedOn w:val="9"/>
    <w:link w:val="4"/>
    <w:semiHidden/>
    <w:qFormat/>
    <w:uiPriority w:val="9"/>
    <w:rPr>
      <w:rFonts w:ascii="宋体" w:hAnsi="宋体" w:eastAsia="宋体" w:cs="宋体"/>
      <w:b/>
      <w:bCs/>
      <w:sz w:val="32"/>
      <w:szCs w:val="32"/>
    </w:rPr>
  </w:style>
  <w:style w:type="paragraph" w:customStyle="1" w:styleId="14">
    <w:name w:val="文一"/>
    <w:basedOn w:val="1"/>
    <w:qFormat/>
    <w:uiPriority w:val="0"/>
    <w:pPr>
      <w:topLinePunct/>
      <w:autoSpaceDE/>
      <w:autoSpaceDN/>
      <w:adjustRightInd w:val="0"/>
      <w:snapToGrid w:val="0"/>
      <w:spacing w:line="360" w:lineRule="auto"/>
      <w:ind w:firstLine="200" w:firstLineChars="200"/>
      <w:jc w:val="both"/>
    </w:pPr>
    <w:rPr>
      <w:rFonts w:ascii="Times New Roman" w:hAnsi="Times New Roman" w:cs="Times New Roman"/>
      <w:spacing w:val="4"/>
      <w:sz w:val="24"/>
      <w:szCs w:val="24"/>
      <w:lang w:eastAsia="zh-CN"/>
    </w:rPr>
  </w:style>
</w:styles>
</file>

<file path=word/_rels/document.xml.rels><?xml version="1.0" encoding="UTF-8" standalone="yes"?>
<Relationships xmlns="http://schemas.openxmlformats.org/package/2006/relationships"><Relationship Id="rId9" Type="http://schemas.openxmlformats.org/officeDocument/2006/relationships/image" Target="media/image1.jpeg"/><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44</Pages>
  <Words>4316</Words>
  <Characters>24605</Characters>
  <Lines>205</Lines>
  <Paragraphs>57</Paragraphs>
  <TotalTime>0</TotalTime>
  <ScaleCrop>false</ScaleCrop>
  <LinksUpToDate>false</LinksUpToDate>
  <CharactersWithSpaces>28864</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2023-02-20T10:03:00Z</dcterms:created>
  <dc:creator>Administrator</dc:creator>
  <cp:lastModifiedBy>温工</cp:lastModifiedBy>
  <dcterms:modified xsi:type="dcterms:W3CDTF">2023-03-03T01:31:23Z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2022-11-03T00:00:00Z</vt:filetime>
  </property>
  <property fmtid="{D5CDD505-2E9C-101B-9397-08002B2CF9AE}" pid="3" name="Creator">
    <vt:lpwstr>WPS 文字</vt:lpwstr>
  </property>
  <property fmtid="{D5CDD505-2E9C-101B-9397-08002B2CF9AE}" pid="4" name="LastSaved">
    <vt:filetime>2023-01-05T00:00:00Z</vt:filetime>
  </property>
  <property fmtid="{D5CDD505-2E9C-101B-9397-08002B2CF9AE}" pid="5" name="KSOProductBuildVer">
    <vt:lpwstr>2052-11.1.0.12980</vt:lpwstr>
  </property>
  <property fmtid="{D5CDD505-2E9C-101B-9397-08002B2CF9AE}" pid="6" name="ICV">
    <vt:lpwstr>5431E709B73B40C3A41D9C72502D416D</vt:lpwstr>
  </property>
</Properties>
</file>