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二、如投标人仅为趸船的制造商（不含厂家下级分公司、厂家销售公司、经销商、厂家授权代理机构及其他代理公司），须同时提供趸船的制造商声明函及装船机的制造商授予的代理资质证明或项目授权证明书。</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注：提供趸船的制造商声明函及装船机的制造商授予的代理资质证明或项目授权证明书。（制造商声明函、项目授权证明书可参照以下格式填写，格式仅供参考，投标人也可采用其他格式）</w:t>
      </w:r>
    </w:p>
    <w:p w14:paraId="01ACA04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p>
    <w:p w14:paraId="009C0C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制造商声明函（趸船）</w:t>
      </w:r>
    </w:p>
    <w:p w14:paraId="4C152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肇庆市港口投资发展有限公司：</w:t>
      </w:r>
    </w:p>
    <w:p w14:paraId="2AB5CA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我公司</w:t>
      </w:r>
      <w:r>
        <w:rPr>
          <w:rFonts w:hint="eastAsia" w:ascii="宋体" w:hAnsi="宋体" w:eastAsia="宋体" w:cs="宋体"/>
          <w:b w:val="0"/>
          <w:bCs w:val="0"/>
          <w:color w:val="auto"/>
          <w:sz w:val="24"/>
          <w:szCs w:val="24"/>
          <w:highlight w:val="none"/>
          <w:lang w:val="en-US" w:eastAsia="zh-CN"/>
        </w:rPr>
        <w:t>是按中华人民共和国法律成立的一家可制造趸船的制造商，主要营业地点在</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。兹声明我公司就</w:t>
      </w:r>
      <w:r>
        <w:rPr>
          <w:rFonts w:hint="eastAsia" w:ascii="宋体" w:hAnsi="宋体" w:eastAsia="宋体" w:cs="宋体"/>
          <w:b w:val="0"/>
          <w:bCs w:val="0"/>
          <w:color w:val="auto"/>
          <w:sz w:val="24"/>
          <w:szCs w:val="24"/>
          <w:highlight w:val="none"/>
          <w:u w:val="single"/>
          <w:lang w:val="en-US" w:eastAsia="zh-CN"/>
        </w:rPr>
        <w:t>肇庆市港口投资发展有限公司可拆装式砂石装船设备采购与安装项目（三次）</w:t>
      </w:r>
      <w:r>
        <w:rPr>
          <w:rFonts w:hint="eastAsia" w:ascii="宋体" w:hAnsi="宋体" w:eastAsia="宋体" w:cs="宋体"/>
          <w:b w:val="0"/>
          <w:bCs w:val="0"/>
          <w:color w:val="auto"/>
          <w:sz w:val="24"/>
          <w:szCs w:val="24"/>
          <w:highlight w:val="none"/>
          <w:lang w:val="en-US" w:eastAsia="zh-CN"/>
        </w:rPr>
        <w:t>使用我公司自行生产制造的设备参与投标。</w:t>
      </w:r>
    </w:p>
    <w:p w14:paraId="2AA4205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2BE311B9">
      <w:pPr>
        <w:pStyle w:val="2"/>
        <w:rPr>
          <w:rFonts w:hint="eastAsia" w:ascii="宋体" w:hAnsi="宋体" w:eastAsia="宋体" w:cs="宋体"/>
          <w:b w:val="0"/>
          <w:bCs w:val="0"/>
          <w:color w:val="auto"/>
          <w:sz w:val="24"/>
          <w:szCs w:val="24"/>
          <w:highlight w:val="none"/>
          <w:lang w:val="en-US" w:eastAsia="zh-CN"/>
        </w:rPr>
      </w:pPr>
    </w:p>
    <w:p w14:paraId="4CB0CEB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052F402E">
      <w:pPr>
        <w:pStyle w:val="2"/>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782ACB7E">
      <w:pPr>
        <w:rPr>
          <w:rFonts w:hint="eastAsia" w:ascii="宋体" w:hAnsi="宋体" w:eastAsia="宋体" w:cs="宋体"/>
          <w:b/>
          <w:bCs/>
          <w:color w:val="FF0000"/>
          <w:sz w:val="24"/>
          <w:szCs w:val="24"/>
          <w:highlight w:val="none"/>
          <w:lang w:val="en-US" w:eastAsia="zh-CN"/>
        </w:rPr>
      </w:pPr>
    </w:p>
    <w:p w14:paraId="1D7FAAF7">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F69EFA5">
      <w:pPr>
        <w:jc w:val="center"/>
        <w:rPr>
          <w:rFonts w:hint="eastAsia" w:ascii="宋体" w:hAnsi="宋体" w:eastAsia="宋体" w:cs="宋体"/>
          <w:b/>
          <w:bCs/>
          <w:color w:val="auto"/>
          <w:sz w:val="24"/>
          <w:szCs w:val="24"/>
          <w:highlight w:val="none"/>
          <w:lang w:val="en-US" w:eastAsia="zh-CN"/>
        </w:rPr>
      </w:pPr>
    </w:p>
    <w:p w14:paraId="5321857A">
      <w:pPr>
        <w:jc w:val="cente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项目授权证明书（装船机）</w:t>
      </w:r>
    </w:p>
    <w:p w14:paraId="52836D4B">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肇庆市港口投资发展有限公司：</w:t>
      </w:r>
    </w:p>
    <w:p w14:paraId="3FA2D29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(制造商家名称)</w:t>
      </w:r>
      <w:r>
        <w:rPr>
          <w:rFonts w:hint="eastAsia" w:ascii="宋体" w:hAnsi="宋体" w:eastAsia="宋体" w:cs="宋体"/>
          <w:b w:val="0"/>
          <w:bCs/>
          <w:sz w:val="24"/>
          <w:szCs w:val="24"/>
          <w:lang w:val="en-US" w:eastAsia="zh-CN"/>
        </w:rPr>
        <w:t>是在</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(国家)</w:t>
      </w:r>
      <w:r>
        <w:rPr>
          <w:rFonts w:hint="eastAsia" w:ascii="宋体" w:hAnsi="宋体" w:eastAsia="宋体" w:cs="宋体"/>
          <w:b w:val="0"/>
          <w:bCs/>
          <w:sz w:val="24"/>
          <w:szCs w:val="24"/>
          <w:lang w:val="en-US" w:eastAsia="zh-CN"/>
        </w:rPr>
        <w:t>依法登记注册的装船机制造商。</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(制造商家名称)授权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(被授权公司名称)为我方制造的装船机的合法代理商（经销商），参加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7720A3FC">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755979DC">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228AC5A">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63D340E">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73B16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2022年10月1日至投标截止日）1个已完成的合同金额≥2000万元的货物业绩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13F87534">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若我司有幸中标，我公司为趸船设备制造商，我公司承诺自身企业满足下列要求</w:t>
      </w:r>
      <w:r>
        <w:rPr>
          <w:rFonts w:hint="eastAsia" w:ascii="宋体" w:hAnsi="宋体" w:eastAsia="宋体" w:cs="宋体"/>
          <w:b w:val="0"/>
          <w:bCs w:val="0"/>
          <w:color w:val="auto"/>
          <w:sz w:val="24"/>
          <w:szCs w:val="24"/>
          <w:highlight w:val="none"/>
        </w:rPr>
        <w:t>：</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若我司有幸中标，我公司为代理商（经销商）,我公司承诺装船机设备制造商满足下列要求：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完成过1个内河港口码头水运工程业绩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bookmarkStart w:id="1" w:name="_GoBack"/>
      <w:bookmarkEnd w:id="1"/>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6E74D"/>
    <w:multiLevelType w:val="singleLevel"/>
    <w:tmpl w:val="3556E74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01F6E"/>
    <w:rsid w:val="061A5470"/>
    <w:rsid w:val="06527BA2"/>
    <w:rsid w:val="09D34636"/>
    <w:rsid w:val="0C2A3F33"/>
    <w:rsid w:val="1643235A"/>
    <w:rsid w:val="1DA67F64"/>
    <w:rsid w:val="20EE4E2F"/>
    <w:rsid w:val="234611FA"/>
    <w:rsid w:val="26F47BA6"/>
    <w:rsid w:val="29B665AC"/>
    <w:rsid w:val="2BA56E0F"/>
    <w:rsid w:val="2F032695"/>
    <w:rsid w:val="2FCE5C87"/>
    <w:rsid w:val="304D711C"/>
    <w:rsid w:val="33CD6DCE"/>
    <w:rsid w:val="37CB6AAC"/>
    <w:rsid w:val="3BDD32A8"/>
    <w:rsid w:val="42B86E9B"/>
    <w:rsid w:val="42BB1E1C"/>
    <w:rsid w:val="459C5E2B"/>
    <w:rsid w:val="492C093B"/>
    <w:rsid w:val="4DBB4A66"/>
    <w:rsid w:val="4EA13E1D"/>
    <w:rsid w:val="555420CC"/>
    <w:rsid w:val="55872E29"/>
    <w:rsid w:val="60B4222C"/>
    <w:rsid w:val="713F0604"/>
    <w:rsid w:val="723950CB"/>
    <w:rsid w:val="728A3B01"/>
    <w:rsid w:val="74C51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2462</Words>
  <Characters>2575</Characters>
  <Lines>0</Lines>
  <Paragraphs>0</Paragraphs>
  <TotalTime>1</TotalTime>
  <ScaleCrop>false</ScaleCrop>
  <LinksUpToDate>false</LinksUpToDate>
  <CharactersWithSpaces>2760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2025-11-25T01:55:52Z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