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G9411莞佛高速公路太平互通立交至坦尾互通立交段安全韧性提升工程（GX标）钢结构制造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G9411莞佛高速公路太平互通立交至坦尾互通立交段安全韧性提升工程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粤发改投审〔2025〕53号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粤交基〔2025〕549号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广东虎门大桥有限公司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中央支持资金、企业自筹和银行贷款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资本金不低于25%，其他银行贷款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广东虎门大桥有限公司  </w:t>
      </w:r>
      <w:r>
        <w:rPr>
          <w:rFonts w:ascii="标宋" w:eastAsia="标宋" w:hint="eastAsia"/>
          <w:sz w:val="21.0"/>
          <w:szCs w:val="21.0"/>
          <w:color w:val="000000"/>
        </w:rPr>
        <w:t xml:space="preserve">。项目已具备招标条件，现对该项目的钢结构制造采用资格后审方式进行公开招标。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本项目位于广州市南沙区、东莞市虎门镇，路线呈东西走向，起于广深高速太平立交(K29+566)，经虎门镇、南沙区，终于大涌桥(K45+328)，路线全长15.762公里，双向6车道高速公路。</w:t>
      </w:r>
    </w:p>
    <w:p>
      <w:pPr/>
      <w:r>
        <w:rPr>
          <w:rFonts w:ascii="" w:eastAsia="" w:hint="eastAsia"/>
          <w:sz w:val="21.0"/>
          <w:szCs w:val="21.0"/>
          <w:color w:val="000000"/>
        </w:rPr>
        <w:t xml:space="preserve">本次招标主要工作内容包含：</w:t>
      </w:r>
    </w:p>
    <w:p>
      <w:pPr/>
      <w:r>
        <w:rPr>
          <w:rFonts w:ascii="" w:eastAsia="" w:hint="eastAsia"/>
          <w:sz w:val="21.0"/>
          <w:szCs w:val="21.0"/>
          <w:color w:val="000000"/>
        </w:rPr>
        <w:t xml:space="preserve">（1）辅航道桥：上部结构为左右分幅连续钢箱梁体系，跨径布置为150m＋270m＋150m,。跨中梁高7.0m，墩顶梁高13.5m，过渡墩位置梁高降低为4.5m。单幅钢梁横断面采用单箱单室截面+外伸挑臂形式，单幅桥宽15.25m，桥梁总宽31m（不含抗风措施）。顶板以及顶板加劲钢材材质采用Q355MD、Q420MD。</w:t>
      </w:r>
    </w:p>
    <w:p>
      <w:pPr/>
      <w:r>
        <w:rPr>
          <w:rFonts w:ascii="" w:eastAsia="" w:hint="eastAsia"/>
          <w:sz w:val="21.0"/>
          <w:szCs w:val="21.0"/>
          <w:color w:val="000000"/>
        </w:rPr>
        <w:t xml:space="preserve">（2）东引桥（K37+508）：上部结构为左右分幅连续钢箱梁体系，上游侧跨径布置为3*70m，下游侧跨径布置为45m+2*70m。钢箱梁梁宽15.25m。钢箱梁中心处梁高2.7 m，梁高与跨径比值为1/25.9。采用闭口单箱三室断面。顶板采用18mm 的厚度，钢材材质采用Q355MD。</w:t>
      </w:r>
    </w:p>
    <w:p>
      <w:pPr/>
      <w:r>
        <w:rPr>
          <w:rFonts w:ascii="" w:eastAsia="" w:hint="eastAsia"/>
          <w:sz w:val="21.0"/>
          <w:szCs w:val="21.0"/>
          <w:color w:val="000000"/>
        </w:rPr>
        <w:t xml:space="preserve">（3）南面村1、2、3号桥：上部结构为连续组合梁体系，跨径布置为南面村1号桥：17+25+36.6+25+17m；南面村2号桥：2×20+22+24.4+22+20m；南面村3号桥：25+3×30+25+16m。上部结构全宽15.75m，主体结构采用Q355MD钢材。</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C类特大桥梁工程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GX标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K34+517.061 ～K39+776.000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5.259</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辅航道桥钢梁制造（含运输至桥位、现场焊接、螺栓连接及焊缝补涂、现场配切等）及检修通道采购及安装；东引桥钢梁制造（含运输至桥位，现场组拼、配切、焊接及补涂等）；南面村1、2、3号桥钢梁制造（含运输至桥位、现场环缝焊接）。</w:t>
            </w:r>
          </w:p>
          <w:p>
            <w:pPr>
              <w:spacing w:line="280" w:lineRule="auto"/>
            </w:pPr>
            <w:r>
              <w:rPr>
                <w:rFonts w:ascii="" w:eastAsia="" w:hint="eastAsia"/>
                <w:sz w:val="21.0"/>
                <w:szCs w:val="21.0"/>
                <w:color w:val="000000"/>
              </w:rPr>
              <w:t xml:space="preserve">（2）首件制、涂装、焊接等制造工艺的设计、评定及相关人员的培训等。</w:t>
            </w:r>
          </w:p>
          <w:p>
            <w:pPr>
              <w:spacing w:line="280" w:lineRule="auto"/>
            </w:pPr>
            <w:r>
              <w:rPr>
                <w:rFonts w:ascii="" w:eastAsia="" w:hint="eastAsia"/>
                <w:sz w:val="21.0"/>
                <w:szCs w:val="21.0"/>
                <w:color w:val="000000"/>
              </w:rPr>
              <w:t xml:space="preserve">（3）悬索桥（含抛丸和底漆）、辅航道桥、东引桥STC所用栓钉采购、制作、涂装、焊接。</w:t>
            </w:r>
          </w:p>
          <w:p>
            <w:pPr>
              <w:spacing w:line="280" w:lineRule="auto"/>
            </w:pPr>
            <w:r>
              <w:rPr>
                <w:rFonts w:ascii="" w:eastAsia="" w:hint="eastAsia"/>
                <w:sz w:val="21.0"/>
                <w:szCs w:val="21.0"/>
                <w:color w:val="000000"/>
              </w:rPr>
              <w:t xml:space="preserve">（4）悬索桥钢梁桥面板及U肋等部位裂纹检测及修复（含U肋内焊），旧检查车拆除及新检查车制造、安装。</w:t>
            </w:r>
          </w:p>
          <w:p>
            <w:pPr>
              <w:spacing w:line="280" w:lineRule="auto"/>
            </w:pPr>
            <w:r>
              <w:rPr>
                <w:rFonts w:ascii="" w:eastAsia="" w:hint="eastAsia"/>
                <w:sz w:val="21.0"/>
                <w:szCs w:val="21.0"/>
                <w:color w:val="000000"/>
              </w:rPr>
              <w:t xml:space="preserve">（5）悬索桥护栏翻新（含拆安）以及护栏备件的制造、钢梁箱外表面涂装；辅航道桥和东引桥钢护栏制造、涂装及安装。</w:t>
            </w:r>
          </w:p>
          <w:p>
            <w:pPr>
              <w:spacing w:line="280" w:lineRule="auto"/>
            </w:pPr>
            <w:r>
              <w:rPr>
                <w:rFonts w:ascii="" w:eastAsia="" w:hint="eastAsia"/>
                <w:sz w:val="21.0"/>
                <w:szCs w:val="21.0"/>
                <w:color w:val="000000"/>
              </w:rPr>
              <w:t xml:space="preserve">（6）除湿机采购及安装（含全线新装除湿系统与虎门大桥既有系统的集成）。</w:t>
            </w:r>
          </w:p>
          <w:p>
            <w:pPr>
              <w:spacing w:line="280" w:lineRule="auto"/>
            </w:pPr>
            <w:r>
              <w:rPr>
                <w:rFonts w:ascii="" w:eastAsia="" w:hint="eastAsia"/>
                <w:sz w:val="21.0"/>
                <w:szCs w:val="21.0"/>
                <w:color w:val="000000"/>
              </w:rPr>
              <w:t xml:space="preserve">（7）钢箱梁施工完成后，钢箱梁及附属钢构件涂装的修补、补涂工作。</w:t>
            </w:r>
          </w:p>
          <w:p>
            <w:pPr>
              <w:spacing w:line="280" w:lineRule="auto"/>
            </w:pPr>
            <w:r>
              <w:rPr>
                <w:rFonts w:ascii="" w:eastAsia="" w:hint="eastAsia"/>
                <w:sz w:val="21.0"/>
                <w:szCs w:val="21.0"/>
                <w:color w:val="000000"/>
              </w:rPr>
              <w:t xml:space="preserve">（8）维护和照管期内对工程的维护和照管工作。</w:t>
            </w:r>
          </w:p>
          <w:p>
            <w:pPr>
              <w:spacing w:line="280" w:lineRule="auto"/>
            </w:pPr>
            <w:r>
              <w:rPr>
                <w:rFonts w:ascii="" w:eastAsia="" w:hint="eastAsia"/>
                <w:sz w:val="21.0"/>
                <w:szCs w:val="21.0"/>
                <w:color w:val="000000"/>
              </w:rPr>
              <w:t xml:space="preserve">（9）预计钢结构总重量21920吨。</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具有国家行政主管部门颁发的有效钢结构工程专业承包一级资质。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 本次工程招标要求的投标人应具有独立法人资格；持有有效的企业法人营业执照；具有国家住建部核发的有效的钢结构工程专业承包一级资质；并在人员、业绩、设备、财务、履约、信誉等方面具备相应的能力（具体要求详见资格审查条件附录1至附录7）</w:t>
      </w:r>
    </w:p>
    <w:p>
      <w:pPr/>
      <w:r>
        <w:rPr>
          <w:rFonts w:ascii="" w:eastAsia="" w:hint="eastAsia"/>
          <w:sz w:val="21.0"/>
          <w:szCs w:val="21.0"/>
          <w:color w:val="000000"/>
        </w:rPr>
        <w:t xml:space="preserve">3.2 本次招标 不接受 联合体投标。</w:t>
      </w:r>
    </w:p>
    <w:p>
      <w:pPr/>
      <w:r>
        <w:rPr>
          <w:rFonts w:ascii="" w:eastAsia="" w:hint="eastAsia"/>
          <w:sz w:val="21.0"/>
          <w:szCs w:val="21.0"/>
          <w:color w:val="000000"/>
        </w:rPr>
        <w:t xml:space="preserve">3.3 与招标人存在利害关系可能影响招标公正性的法人，不得参加投标；若单位负责人[ 单位负责人是指单位的法定代表人或者法律、行政法规规定代表单位行使职权的主要负责人。]为同一人、或者存在控股[ 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 管理关系是指不具有出资持股关系的其它单位之间存在的管理与被管理关系。]的不同单位，不得参加同一标段投标或者未划分标段的同一招标项目投标，否则按否决其投标处理。</w:t>
      </w:r>
    </w:p>
    <w:p>
      <w:pPr/>
      <w:r>
        <w:rPr>
          <w:rFonts w:ascii="" w:eastAsia="" w:hint="eastAsia"/>
          <w:sz w:val="21.0"/>
          <w:szCs w:val="21.0"/>
          <w:color w:val="000000"/>
        </w:rPr>
        <w:t xml:space="preserve">3.4 在“信用中国”网站（http://www.creditchina.gov.cn）中被列入失信被执行人名单的投标人，在国家企业信用信息公示系统（https://www.gsxt.gov.cn）中被列入严重违法失信企业名单的投标人，均按否决投标处理。</w:t>
      </w:r>
    </w:p>
    <w:p>
      <w:pPr/>
      <w:r>
        <w:rPr>
          <w:rFonts w:ascii="" w:eastAsia="" w:hint="eastAsia"/>
          <w:sz w:val="21.0"/>
          <w:szCs w:val="21.0"/>
          <w:color w:val="000000"/>
        </w:rPr>
        <w:t xml:space="preserve">3.5 投标人应在报名前到广州公共资源交易中心办理投标企业信息登记，获取并激活企业编号，企业编号未在广州公共资源交易中心系统激活的投标申请将不予受理。企业信息登记的办理详情参见广州公共资源交易中心网（http://www.gzggzy.cn）服务指南栏目。</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2025年11月28日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2025年12月04日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选择对应标段进行投标登记，并在广东省公路水运工程建设项目电子招投标交易平台（http://219.137.32.201:30887/tenderlogin）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2025年12月26日10时00分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2025年12月5日00时00分至2025年12月26日10时00分将电子文件完整上传。递交投标文件纸质文件截止时间为2025年12月26日10时00分，投标人应于2025年12月26日9时00分至2025年12月26日10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本次招标公告同时在广东省招标投标监管网、广州公共资源交易中心网站、“粤采易”阳光采购平台（http://www.gdycy.com）上发布。如公告详细内容不一致者，以广东省招标投标监管网公告为准。</w:t>
      </w:r>
    </w:p>
    <w:p>
      <w:pPr>
        <w:spacing w:line="280" w:lineRule="auto"/>
      </w:pPr>
      <w:r>
        <w:rPr>
          <w:rFonts w:ascii="" w:eastAsia="" w:hint="eastAsia"/>
          <w:sz w:val="21.0"/>
          <w:szCs w:val="21.0"/>
          <w:color w:val="000000"/>
        </w:rPr>
        <w:t xml:space="preserve">7. 在规定的报名时间内，如某个标段报名并购买招标文件的投标人不足3家时，招标人依法有权选择以下任一方式：（1）在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pPr>
      <w:r>
        <w:rPr>
          <w:rFonts w:ascii="" w:eastAsia="" w:hint="eastAsia"/>
          <w:sz w:val="21.0"/>
          <w:szCs w:val="21.0"/>
          <w:color w:val="000000"/>
        </w:rPr>
        <w:t xml:space="preserve">8.异议的提出：</w:t>
      </w:r>
    </w:p>
    <w:p>
      <w:pPr>
        <w:spacing w:line="280" w:lineRule="auto"/>
      </w:pPr>
      <w:r>
        <w:rPr>
          <w:rFonts w:ascii="" w:eastAsia="" w:hint="eastAsia"/>
          <w:sz w:val="21.0"/>
          <w:szCs w:val="21.0"/>
          <w:color w:val="000000"/>
        </w:rPr>
        <w:t xml:space="preserve">如对本次招标活动、招标公告有异议的，请向招标人提交异议书(联系方式见本招标公告第9条)。异议书必须由法定代表人或其授权代表签字并加盖单位公章，并在规定时间内递交。如果异议书由授权代表签字，则应同时提交授权委托书原件及法定代表人、授权代表的身份证复印件。异议书应包括以下内容：</w:t>
      </w:r>
    </w:p>
    <w:p>
      <w:pPr>
        <w:spacing w:line="280" w:lineRule="auto"/>
      </w:pPr>
      <w:r>
        <w:rPr>
          <w:rFonts w:ascii="" w:eastAsia="" w:hint="eastAsia"/>
          <w:sz w:val="21.0"/>
          <w:szCs w:val="21.0"/>
          <w:color w:val="000000"/>
        </w:rPr>
        <w:t xml:space="preserve">(1)异议人的名称、地址及有效联系方式；</w:t>
      </w:r>
    </w:p>
    <w:p>
      <w:pPr>
        <w:spacing w:line="280" w:lineRule="auto"/>
      </w:pPr>
      <w:r>
        <w:rPr>
          <w:rFonts w:ascii="" w:eastAsia="" w:hint="eastAsia"/>
          <w:sz w:val="21.0"/>
          <w:szCs w:val="21.0"/>
          <w:color w:val="000000"/>
        </w:rPr>
        <w:t xml:space="preserve">(2)异议事项的基本事实；</w:t>
      </w:r>
    </w:p>
    <w:p>
      <w:pPr>
        <w:spacing w:line="280" w:lineRule="auto"/>
      </w:pPr>
      <w:r>
        <w:rPr>
          <w:rFonts w:ascii="" w:eastAsia="" w:hint="eastAsia"/>
          <w:sz w:val="21.0"/>
          <w:szCs w:val="21.0"/>
          <w:color w:val="000000"/>
        </w:rPr>
        <w:t xml:space="preserve">(3)相关请求及主张；</w:t>
      </w:r>
    </w:p>
    <w:p>
      <w:pPr>
        <w:spacing w:line="280" w:lineRule="auto"/>
      </w:pPr>
      <w:r>
        <w:rPr>
          <w:rFonts w:ascii="" w:eastAsia="" w:hint="eastAsia"/>
          <w:sz w:val="21.0"/>
          <w:szCs w:val="21.0"/>
          <w:color w:val="000000"/>
        </w:rPr>
        <w:t xml:space="preserve">(4)相关证明材料。 </w:t>
      </w:r>
    </w:p>
    <w:p>
      <w:pPr>
        <w:spacing w:line="280" w:lineRule="auto"/>
        <w:jc w:val="center"/>
      </w:pPr>
    </w:p>
    <w:p>
      <w:pPr>
        <w:spacing w:line="280" w:lineRule="auto"/>
        <w:outlineLvl w:val="3"/>
      </w:pPr>
      <w:r>
        <w:rPr>
          <w:rFonts w:ascii="标宋" w:eastAsia="标宋" w:hint="eastAsia"/>
          <w:sz w:val="21.0"/>
          <w:szCs w:val="21.0"/>
          <w:color w:val="000000"/>
        </w:rPr>
        <w:t xml:space="preserve">9.联系方式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广东虎门大桥有限公司</w:t>
            </w:r>
          </w:p>
          <w:p>
            <w:pPr/>
            <w:r>
              <w:rPr>
                <w:rFonts w:ascii="标宋" w:eastAsia="标宋" w:hint="eastAsia"/>
                <w:sz w:val="21.0"/>
                <w:szCs w:val="21.0"/>
                <w:color w:val="000000"/>
              </w:rPr>
              <w:t xml:space="preserve">地址：  广东省东莞市虎门镇威远虎门大桥管理中心</w:t>
            </w:r>
          </w:p>
          <w:p>
            <w:pPr/>
            <w:r>
              <w:rPr>
                <w:rFonts w:ascii="标宋" w:eastAsia="标宋" w:hint="eastAsia"/>
                <w:sz w:val="21.0"/>
                <w:szCs w:val="21.0"/>
                <w:color w:val="000000"/>
              </w:rPr>
              <w:t xml:space="preserve">邮政编码：  523910</w:t>
            </w:r>
          </w:p>
          <w:p>
            <w:pPr/>
            <w:r>
              <w:rPr>
                <w:rFonts w:ascii="标宋" w:eastAsia="标宋" w:hint="eastAsia"/>
                <w:sz w:val="21.0"/>
                <w:szCs w:val="21.0"/>
                <w:color w:val="000000"/>
              </w:rPr>
              <w:t xml:space="preserve">联系人：  梁先生</w:t>
            </w:r>
          </w:p>
          <w:p>
            <w:pPr/>
            <w:r>
              <w:rPr>
                <w:rFonts w:ascii="标宋" w:eastAsia="标宋" w:hint="eastAsia"/>
                <w:sz w:val="21.0"/>
                <w:szCs w:val="21.0"/>
                <w:color w:val="000000"/>
              </w:rPr>
              <w:t xml:space="preserve">电 话：  13822265356</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257243445@qq.com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2025年11月27日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