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E7FFF">
      <w:pPr>
        <w:pStyle w:val="4"/>
        <w:ind w:firstLine="640"/>
        <w:rPr>
          <w:rFonts w:hint="eastAsia" w:ascii="宋体" w:hAnsi="宋体" w:eastAsia="宋体" w:cs="宋体"/>
        </w:rPr>
      </w:pPr>
      <w:r>
        <w:rPr>
          <w:rFonts w:hint="eastAsia" w:ascii="宋体" w:hAnsi="宋体" w:eastAsia="宋体" w:cs="宋体"/>
        </w:rPr>
        <w:t>设计任务书</w:t>
      </w:r>
    </w:p>
    <w:p w14:paraId="7832AADF">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项目基本情况</w:t>
      </w:r>
    </w:p>
    <w:p w14:paraId="1FF9BB4A">
      <w:pPr>
        <w:pStyle w:val="7"/>
        <w:numPr>
          <w:ilvl w:val="0"/>
          <w:numId w:val="2"/>
        </w:numPr>
        <w:ind w:firstLineChars="0"/>
        <w:rPr>
          <w:rFonts w:hint="eastAsia" w:ascii="宋体" w:hAnsi="宋体" w:eastAsia="宋体" w:cs="宋体"/>
          <w:sz w:val="24"/>
          <w:szCs w:val="28"/>
        </w:rPr>
      </w:pPr>
      <w:r>
        <w:rPr>
          <w:rFonts w:hint="eastAsia" w:ascii="宋体" w:hAnsi="宋体" w:eastAsia="宋体" w:cs="宋体"/>
          <w:sz w:val="24"/>
          <w:szCs w:val="28"/>
        </w:rPr>
        <w:t>项目概况</w:t>
      </w:r>
    </w:p>
    <w:p w14:paraId="4CEE2502">
      <w:pPr>
        <w:pStyle w:val="7"/>
        <w:numPr>
          <w:ilvl w:val="0"/>
          <w:numId w:val="3"/>
        </w:numPr>
        <w:ind w:firstLineChars="0"/>
        <w:rPr>
          <w:rFonts w:hint="eastAsia" w:ascii="宋体" w:hAnsi="宋体" w:eastAsia="宋体" w:cs="宋体"/>
          <w:sz w:val="24"/>
          <w:szCs w:val="28"/>
        </w:rPr>
      </w:pPr>
      <w:r>
        <w:rPr>
          <w:rFonts w:hint="eastAsia" w:ascii="宋体" w:hAnsi="宋体" w:eastAsia="宋体" w:cs="宋体"/>
          <w:sz w:val="24"/>
          <w:szCs w:val="28"/>
        </w:rPr>
        <w:t>项目名称：</w:t>
      </w:r>
      <w:r>
        <w:rPr>
          <w:rFonts w:hint="eastAsia" w:ascii="宋体" w:hAnsi="宋体" w:eastAsia="宋体" w:cs="宋体"/>
          <w:sz w:val="24"/>
          <w:szCs w:val="28"/>
          <w:lang w:eastAsia="zh-CN"/>
        </w:rPr>
        <w:t>生态设计小镇水务配套设施及附属交通设施建设项目</w:t>
      </w:r>
    </w:p>
    <w:p w14:paraId="0172E0B5">
      <w:pPr>
        <w:pStyle w:val="7"/>
        <w:numPr>
          <w:ilvl w:val="0"/>
          <w:numId w:val="3"/>
        </w:numPr>
        <w:ind w:firstLineChars="0"/>
        <w:rPr>
          <w:rFonts w:hint="eastAsia" w:ascii="宋体" w:hAnsi="宋体" w:eastAsia="宋体" w:cs="宋体"/>
          <w:sz w:val="24"/>
          <w:szCs w:val="28"/>
        </w:rPr>
      </w:pPr>
      <w:r>
        <w:rPr>
          <w:rFonts w:hint="eastAsia" w:ascii="宋体" w:hAnsi="宋体" w:eastAsia="宋体" w:cs="宋体"/>
          <w:sz w:val="24"/>
          <w:szCs w:val="28"/>
        </w:rPr>
        <w:t>项目性质：新建</w:t>
      </w:r>
    </w:p>
    <w:p w14:paraId="404EC6A7">
      <w:pPr>
        <w:pStyle w:val="7"/>
        <w:numPr>
          <w:ilvl w:val="0"/>
          <w:numId w:val="3"/>
        </w:numPr>
        <w:ind w:firstLineChars="0"/>
        <w:rPr>
          <w:rFonts w:hint="eastAsia" w:ascii="宋体" w:hAnsi="宋体" w:eastAsia="宋体" w:cs="宋体"/>
          <w:sz w:val="24"/>
          <w:szCs w:val="28"/>
        </w:rPr>
      </w:pPr>
      <w:r>
        <w:rPr>
          <w:rFonts w:hint="eastAsia" w:ascii="宋体" w:hAnsi="宋体" w:eastAsia="宋体" w:cs="宋体"/>
          <w:sz w:val="24"/>
          <w:szCs w:val="28"/>
        </w:rPr>
        <w:t>建设地点：</w:t>
      </w:r>
      <w:r>
        <w:rPr>
          <w:rFonts w:hint="eastAsia" w:ascii="宋体" w:hAnsi="宋体" w:eastAsia="宋体" w:cs="宋体"/>
          <w:color w:val="000000"/>
          <w:sz w:val="24"/>
          <w:szCs w:val="24"/>
        </w:rPr>
        <w:t>广州市从化区良口镇鸭洞河北岸，105国道东部。</w:t>
      </w:r>
    </w:p>
    <w:p w14:paraId="56A1401A">
      <w:pPr>
        <w:pStyle w:val="7"/>
        <w:numPr>
          <w:ilvl w:val="0"/>
          <w:numId w:val="3"/>
        </w:numPr>
        <w:ind w:firstLineChars="0"/>
        <w:rPr>
          <w:rFonts w:hint="eastAsia" w:ascii="宋体" w:hAnsi="宋体" w:eastAsia="宋体" w:cs="宋体"/>
          <w:sz w:val="24"/>
          <w:szCs w:val="28"/>
        </w:rPr>
      </w:pPr>
      <w:r>
        <w:rPr>
          <w:rFonts w:hint="eastAsia" w:ascii="宋体" w:hAnsi="宋体" w:eastAsia="宋体" w:cs="宋体"/>
          <w:sz w:val="24"/>
          <w:szCs w:val="28"/>
        </w:rPr>
        <w:t>建设内容及规模：项目占地约</w:t>
      </w:r>
      <w:r>
        <w:rPr>
          <w:rFonts w:hint="eastAsia" w:ascii="宋体" w:hAnsi="宋体" w:eastAsia="宋体" w:cs="宋体"/>
          <w:color w:val="000000"/>
          <w:sz w:val="24"/>
          <w:szCs w:val="24"/>
        </w:rPr>
        <w:t>6341㎡</w:t>
      </w:r>
      <w:r>
        <w:rPr>
          <w:rFonts w:hint="eastAsia" w:ascii="宋体" w:hAnsi="宋体" w:eastAsia="宋体" w:cs="宋体"/>
          <w:sz w:val="24"/>
          <w:szCs w:val="28"/>
        </w:rPr>
        <w:t>，建设内容包括建筑工程及室外工程两项。</w:t>
      </w:r>
    </w:p>
    <w:p w14:paraId="175383F1">
      <w:pPr>
        <w:rPr>
          <w:rFonts w:hint="eastAsia" w:ascii="宋体" w:hAnsi="宋体" w:eastAsia="宋体" w:cs="宋体"/>
          <w:sz w:val="24"/>
          <w:szCs w:val="28"/>
        </w:rPr>
      </w:pPr>
      <w:r>
        <w:rPr>
          <w:rFonts w:hint="eastAsia" w:ascii="宋体" w:hAnsi="宋体" w:eastAsia="宋体" w:cs="宋体"/>
          <w:sz w:val="24"/>
          <w:szCs w:val="28"/>
        </w:rPr>
        <w:t>建设内容包括水环境治理、生物多样性展示、水务管理及配套用房和交通服务设施、其他环卫设施等。项目占地面积约6341平方米，总建筑面积约1700平方米，其中建筑基底占地面积约1000平方米，绿地面积约1600平方米。(具体建设指标以建设单位最终选定方案和后期项目规划报批文件为准)。</w:t>
      </w:r>
    </w:p>
    <w:p w14:paraId="1E7C6D23">
      <w:pPr>
        <w:rPr>
          <w:rFonts w:hint="eastAsia" w:ascii="宋体" w:hAnsi="宋体" w:eastAsia="宋体" w:cs="宋体"/>
          <w:sz w:val="24"/>
          <w:szCs w:val="28"/>
        </w:rPr>
      </w:pPr>
      <w:r>
        <w:rPr>
          <w:rFonts w:hint="eastAsia" w:ascii="宋体" w:hAnsi="宋体" w:eastAsia="宋体" w:cs="宋体"/>
          <w:sz w:val="24"/>
          <w:szCs w:val="28"/>
        </w:rPr>
        <w:t>室外工程包括</w:t>
      </w:r>
      <w:r>
        <w:rPr>
          <w:rFonts w:hint="eastAsia" w:ascii="宋体" w:hAnsi="宋体" w:eastAsia="宋体" w:cs="宋体"/>
          <w:sz w:val="24"/>
          <w:szCs w:val="28"/>
          <w:lang w:val="en-US" w:eastAsia="zh-CN"/>
        </w:rPr>
        <w:t>除建筑主体外约5000平方米设计范围，主要含</w:t>
      </w:r>
      <w:r>
        <w:rPr>
          <w:rFonts w:hint="eastAsia" w:ascii="宋体" w:hAnsi="宋体" w:eastAsia="宋体" w:cs="宋体"/>
          <w:sz w:val="24"/>
          <w:szCs w:val="28"/>
        </w:rPr>
        <w:t>室外道路、活动广场、园林绿化、室外管网、供配电、</w:t>
      </w:r>
      <w:r>
        <w:rPr>
          <w:rFonts w:hint="eastAsia" w:ascii="宋体" w:hAnsi="宋体" w:eastAsia="宋体" w:cs="宋体"/>
          <w:sz w:val="24"/>
          <w:szCs w:val="28"/>
          <w:lang w:val="en-US" w:eastAsia="zh-CN"/>
        </w:rPr>
        <w:t>标识标牌</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以及</w:t>
      </w:r>
      <w:r>
        <w:rPr>
          <w:rFonts w:hint="eastAsia" w:ascii="宋体" w:hAnsi="宋体" w:eastAsia="宋体" w:cs="宋体"/>
          <w:sz w:val="24"/>
          <w:szCs w:val="28"/>
        </w:rPr>
        <w:t>红线外周边配套设施环境提升等工程；</w:t>
      </w:r>
    </w:p>
    <w:p w14:paraId="4D765288">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规划设计原则</w:t>
      </w:r>
    </w:p>
    <w:p w14:paraId="6FF3EB3B">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符合国土空间规划及由主管部门制定的相关规划条件；</w:t>
      </w:r>
    </w:p>
    <w:p w14:paraId="71031259">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整合资源，科学布局，结合周边景观资源，实现景观资源优化配置；</w:t>
      </w:r>
    </w:p>
    <w:p w14:paraId="1063D583">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依据项目需求、材料供应及施工条件，选用适宜的结构体系；</w:t>
      </w:r>
    </w:p>
    <w:p w14:paraId="63DF49FC">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建筑应满足功能需求并符合消防安全规定；</w:t>
      </w:r>
    </w:p>
    <w:p w14:paraId="078E0EEF">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注重建筑与当地文化的协调统一，立面造型既体现地域特色，又彰显自身风格；</w:t>
      </w:r>
    </w:p>
    <w:p w14:paraId="323BA395">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合理划分功能分区，有序组织人流与车流，确保交通便捷、管理高效，降低能耗；</w:t>
      </w:r>
    </w:p>
    <w:p w14:paraId="4D5ACD51">
      <w:pPr>
        <w:pStyle w:val="7"/>
        <w:numPr>
          <w:ilvl w:val="0"/>
          <w:numId w:val="4"/>
        </w:numPr>
        <w:ind w:firstLineChars="0"/>
        <w:rPr>
          <w:rFonts w:hint="eastAsia" w:ascii="宋体" w:hAnsi="宋体" w:eastAsia="宋体" w:cs="宋体"/>
          <w:sz w:val="24"/>
          <w:szCs w:val="28"/>
        </w:rPr>
      </w:pPr>
      <w:r>
        <w:rPr>
          <w:rFonts w:hint="eastAsia" w:ascii="宋体" w:hAnsi="宋体" w:eastAsia="宋体" w:cs="宋体"/>
          <w:sz w:val="24"/>
          <w:szCs w:val="28"/>
        </w:rPr>
        <w:t>在满足建筑形态与功能的前提下，实现安全、适用、经济、美观、节能环保的综合目标。</w:t>
      </w:r>
    </w:p>
    <w:p w14:paraId="5634CE1F">
      <w:pPr>
        <w:ind w:firstLine="0" w:firstLineChars="0"/>
        <w:rPr>
          <w:rFonts w:hint="eastAsia" w:ascii="宋体" w:hAnsi="宋体" w:eastAsia="宋体" w:cs="宋体"/>
          <w:sz w:val="24"/>
          <w:szCs w:val="28"/>
        </w:rPr>
      </w:pPr>
    </w:p>
    <w:p w14:paraId="72AD170D">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设计依据</w:t>
      </w:r>
    </w:p>
    <w:p w14:paraId="237D0B7A">
      <w:pPr>
        <w:ind w:firstLineChars="0"/>
        <w:rPr>
          <w:rFonts w:hint="eastAsia" w:ascii="宋体" w:hAnsi="宋体" w:eastAsia="宋体" w:cs="宋体"/>
          <w:sz w:val="24"/>
          <w:szCs w:val="28"/>
        </w:rPr>
      </w:pPr>
      <w:r>
        <w:rPr>
          <w:rFonts w:hint="eastAsia" w:ascii="宋体" w:hAnsi="宋体" w:eastAsia="宋体" w:cs="宋体"/>
          <w:sz w:val="24"/>
          <w:szCs w:val="28"/>
        </w:rPr>
        <w:t>按国家、省、市现行有关工程建设标准和规范进行设计。</w:t>
      </w:r>
    </w:p>
    <w:p w14:paraId="546BF0AB">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总体要求</w:t>
      </w:r>
    </w:p>
    <w:p w14:paraId="465F5281">
      <w:pPr>
        <w:rPr>
          <w:rFonts w:hint="eastAsia" w:ascii="宋体" w:hAnsi="宋体" w:eastAsia="宋体" w:cs="宋体"/>
          <w:sz w:val="24"/>
          <w:szCs w:val="28"/>
        </w:rPr>
      </w:pPr>
      <w:r>
        <w:rPr>
          <w:rFonts w:hint="eastAsia" w:ascii="宋体" w:hAnsi="宋体" w:eastAsia="宋体" w:cs="宋体"/>
          <w:sz w:val="24"/>
          <w:szCs w:val="28"/>
        </w:rPr>
        <w:t>设计应基于综合使用需求和建筑功能，秉持经济与适用的原则，满足项目要求，严格控制面积指标，科学合理地布置各功能空间。应贯彻“以人为本”的设计理念，营造安全、便捷、健康、紧凑且和谐的环境，同时符合国家相关技术标准与规范，满足规划、消防、安全、节能、环保、绿色建筑及海绵城市等方面的要求。</w:t>
      </w:r>
    </w:p>
    <w:p w14:paraId="2A53B6B5">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总平面布置</w:t>
      </w:r>
      <w:r>
        <w:rPr>
          <w:rFonts w:hint="eastAsia" w:ascii="宋体" w:hAnsi="宋体" w:eastAsia="宋体" w:cs="宋体"/>
          <w:sz w:val="24"/>
          <w:szCs w:val="28"/>
        </w:rPr>
        <w:br w:type="textWrapping"/>
      </w:r>
      <w:r>
        <w:rPr>
          <w:rFonts w:hint="eastAsia" w:ascii="宋体" w:hAnsi="宋体" w:eastAsia="宋体" w:cs="宋体"/>
          <w:sz w:val="24"/>
          <w:szCs w:val="28"/>
        </w:rPr>
        <w:t>（1）总平面布置应在满足功能需求的基础上，清晰表达总体方案的构思意图与布局特点。以《广州市城乡规划技术规定》为指导，统筹考虑竖向设计、交通组织与环境保护，并符合城市规划红线和周边建筑退缩要求。</w:t>
      </w:r>
      <w:r>
        <w:rPr>
          <w:rFonts w:hint="eastAsia" w:ascii="宋体" w:hAnsi="宋体" w:eastAsia="宋体" w:cs="宋体"/>
          <w:sz w:val="24"/>
          <w:szCs w:val="28"/>
        </w:rPr>
        <w:br w:type="textWrapping"/>
      </w:r>
      <w:r>
        <w:rPr>
          <w:rFonts w:hint="eastAsia" w:ascii="宋体" w:hAnsi="宋体" w:eastAsia="宋体" w:cs="宋体"/>
          <w:sz w:val="24"/>
          <w:szCs w:val="28"/>
        </w:rPr>
        <w:t>（2）应确保空间布局合理、功能完备、交通流畅，合理规划建筑基底与绿化景观，突出实用性与整体性。</w:t>
      </w:r>
      <w:r>
        <w:rPr>
          <w:rFonts w:hint="eastAsia" w:ascii="宋体" w:hAnsi="宋体" w:eastAsia="宋体" w:cs="宋体"/>
          <w:sz w:val="24"/>
          <w:szCs w:val="28"/>
        </w:rPr>
        <w:br w:type="textWrapping"/>
      </w:r>
      <w:r>
        <w:rPr>
          <w:rFonts w:hint="eastAsia" w:ascii="宋体" w:hAnsi="宋体" w:eastAsia="宋体" w:cs="宋体"/>
          <w:sz w:val="24"/>
          <w:szCs w:val="28"/>
        </w:rPr>
        <w:t>（3）交通组织应便捷经济、衔接科学。</w:t>
      </w:r>
    </w:p>
    <w:p w14:paraId="41AFD60E">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建筑平面布置应在满足功能需求的前提下，体现总体方案的构思意图与布局特点，并符合消防安全、节能环保等相关要求。</w:t>
      </w:r>
    </w:p>
    <w:p w14:paraId="41D3490A">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各功能用房应充分利用自然条件实现采光与通风，降低使用成本。</w:t>
      </w:r>
    </w:p>
    <w:p w14:paraId="23CA68E0">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功能分区应明确，流线组织清晰，确保使用合理便利。</w:t>
      </w:r>
    </w:p>
    <w:p w14:paraId="1AA73A92">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各专业图纸须严格遵循现行消防、建筑结构、水电等专业设计规范，图纸深度应满足《建筑工程设计文件编制深度规定》（2016年版）。</w:t>
      </w:r>
    </w:p>
    <w:p w14:paraId="13499EC9">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所选材料及规格应为本地区通用产品，确保质量可靠、价格适中、节能环保。施工做法应技术可行、质量与工期可控，并契合本项目实际特点。</w:t>
      </w:r>
    </w:p>
    <w:p w14:paraId="2DB3A015">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应充分考虑与室外市政道路排水等系统的衔接，结合人流状况、地理区位及周边停车条件制定科学合理的交通组织方案。</w:t>
      </w:r>
    </w:p>
    <w:p w14:paraId="37DFEED7">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设计单位应依据业主投资开发需求确定建筑设计方案。优先选用节能、环保、健康材料，采用合理施工技术与工期安排，严格控制建造成本与运营费用。</w:t>
      </w:r>
    </w:p>
    <w:p w14:paraId="63C43BB5">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在项目报建阶段应满足建设单位各项报批手续要求，分阶段提供符合规定的设计文件。</w:t>
      </w:r>
    </w:p>
    <w:p w14:paraId="7D6AE913">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所有专业图纸应符合国家现行技术规范与标准，并达到《建筑工程设计文件编制深度规定》（2016年版）要求。施工阶段须对施工单位深化设计成果进行审核确认，并加盖审核章。</w:t>
      </w:r>
    </w:p>
    <w:p w14:paraId="2F797F23">
      <w:pPr>
        <w:pStyle w:val="7"/>
        <w:numPr>
          <w:ilvl w:val="0"/>
          <w:numId w:val="5"/>
        </w:numPr>
        <w:ind w:firstLineChars="0"/>
        <w:rPr>
          <w:rFonts w:hint="eastAsia" w:ascii="宋体" w:hAnsi="宋体" w:eastAsia="宋体" w:cs="宋体"/>
          <w:sz w:val="24"/>
          <w:szCs w:val="28"/>
        </w:rPr>
      </w:pPr>
      <w:r>
        <w:rPr>
          <w:rFonts w:hint="eastAsia" w:ascii="宋体" w:hAnsi="宋体" w:eastAsia="宋体" w:cs="宋体"/>
          <w:sz w:val="24"/>
          <w:szCs w:val="28"/>
        </w:rPr>
        <w:t>海绵城市建设要求：建设项目须采用雨污分流系统，并按照《广州市建设项目雨水径流控制办法》相关规定实施雨水径流控制，确保满足规划设计条件。</w:t>
      </w:r>
    </w:p>
    <w:p w14:paraId="11E46884">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项目设计范围</w:t>
      </w:r>
      <w:bookmarkStart w:id="3" w:name="_GoBack"/>
      <w:bookmarkEnd w:id="3"/>
    </w:p>
    <w:p w14:paraId="6BE4AE2D">
      <w:pPr>
        <w:rPr>
          <w:rFonts w:hint="eastAsia" w:ascii="宋体" w:hAnsi="宋体" w:eastAsia="宋体" w:cs="宋体"/>
          <w:sz w:val="24"/>
          <w:szCs w:val="28"/>
        </w:rPr>
      </w:pPr>
      <w:r>
        <w:rPr>
          <w:rFonts w:hint="eastAsia" w:ascii="宋体" w:hAnsi="宋体" w:eastAsia="宋体" w:cs="宋体"/>
          <w:sz w:val="24"/>
          <w:szCs w:val="28"/>
        </w:rPr>
        <w:t>本项目占地面积约6341平方米，总建筑面积约1700平方米，其中建筑基底占地面积约1000平方米，绿地面积约1600平方米。建设内容包括水环境治理、生物多样性展示、水务管理及配套用房和交通服务设施、其他环卫设施等。还包括室外道路、活动广场、园林绿化、室外管网、供配电、</w:t>
      </w:r>
      <w:r>
        <w:rPr>
          <w:rFonts w:hint="eastAsia" w:ascii="宋体" w:hAnsi="宋体" w:eastAsia="宋体" w:cs="宋体"/>
          <w:sz w:val="24"/>
          <w:szCs w:val="28"/>
          <w:lang w:val="en-US" w:eastAsia="zh-CN"/>
        </w:rPr>
        <w:t>标识标牌</w:t>
      </w:r>
      <w:r>
        <w:rPr>
          <w:rFonts w:hint="eastAsia" w:ascii="宋体" w:hAnsi="宋体" w:eastAsia="宋体" w:cs="宋体"/>
          <w:sz w:val="24"/>
          <w:szCs w:val="28"/>
        </w:rPr>
        <w:t>等配套工程</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以及</w:t>
      </w:r>
      <w:r>
        <w:rPr>
          <w:rFonts w:hint="eastAsia" w:ascii="宋体" w:hAnsi="宋体" w:eastAsia="宋体" w:cs="宋体"/>
          <w:sz w:val="24"/>
          <w:szCs w:val="28"/>
        </w:rPr>
        <w:t>红线外周边配套设施环境提升等工程；；(具体建设指标以建设单位最终选定方案和后期项目规划报批文件为准)。</w:t>
      </w:r>
    </w:p>
    <w:p w14:paraId="256CAB9B">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项目设计内容</w:t>
      </w:r>
    </w:p>
    <w:p w14:paraId="7251AC1D">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工程设计包含：方案设计及规划报建、初步设计及概算、施工图设计、图纸变更、施工配合及跟踪服务、审核确认竣工图等。（具体设计内容以建设单位最终选定方案和后期项目规划报批文件为准）。</w:t>
      </w:r>
    </w:p>
    <w:p w14:paraId="4C504722">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建筑专业</w:t>
      </w:r>
    </w:p>
    <w:p w14:paraId="09168EF6">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总平面设计原则</w:t>
      </w:r>
    </w:p>
    <w:p w14:paraId="49AEEE0E">
      <w:pPr>
        <w:ind w:left="420"/>
        <w:rPr>
          <w:rFonts w:hint="eastAsia" w:ascii="宋体" w:hAnsi="宋体" w:eastAsia="宋体" w:cs="宋体"/>
          <w:sz w:val="24"/>
          <w:szCs w:val="28"/>
        </w:rPr>
      </w:pPr>
      <w:r>
        <w:rPr>
          <w:rFonts w:hint="eastAsia" w:ascii="宋体" w:hAnsi="宋体" w:eastAsia="宋体" w:cs="宋体"/>
          <w:color w:val="0F1115"/>
          <w:sz w:val="24"/>
          <w:szCs w:val="28"/>
          <w:shd w:val="clear" w:color="auto" w:fill="FFFFFF"/>
        </w:rPr>
        <w:t>总平面布置应充分考虑水环境治理、生物多样性展示、水务管理及配套用房、交通服务设施和其他环卫设施等功能需求，体现生态优先、功能复合的规划理念。建筑形态与风格应与周边自然环境和景观风貌协调，融合生态理念与绿色技术内涵，突出科技性与功能性。设计需注重各类设施之间的有机联系，通过合理布局增强参观、服务及管理流线的连贯性与便利性，塑造具有识别性的建筑群形象。建筑空间应集约布置，满足管理办公、展示教育、游客服务及环卫处理等多重功能需求。设计中应贯彻节能环保与绿色低碳原则，积极采用与场地相适应的生态技术与创新工艺，并严格遵循国家安全与消防规范，保障设施运行高效与使用安全。</w:t>
      </w:r>
    </w:p>
    <w:p w14:paraId="0514950E">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道路和交通</w:t>
      </w:r>
    </w:p>
    <w:p w14:paraId="2617C0A0">
      <w:pPr>
        <w:ind w:firstLineChars="0"/>
        <w:rPr>
          <w:rFonts w:hint="eastAsia" w:ascii="宋体" w:hAnsi="宋体" w:eastAsia="宋体" w:cs="宋体"/>
          <w:sz w:val="24"/>
          <w:szCs w:val="28"/>
        </w:rPr>
      </w:pPr>
      <w:r>
        <w:rPr>
          <w:rFonts w:hint="eastAsia" w:ascii="宋体" w:hAnsi="宋体" w:eastAsia="宋体" w:cs="宋体"/>
          <w:sz w:val="24"/>
          <w:szCs w:val="28"/>
        </w:rPr>
        <w:t>根据规划条件，本项目机动车主要出入口设于地块西南侧，次要出入口设于地块西北侧。本项目地面室外停车区，机动车停车位、非机动车停车位按需布置，满足项目停车需求。</w:t>
      </w:r>
    </w:p>
    <w:p w14:paraId="7391F184">
      <w:pPr>
        <w:ind w:firstLineChars="0"/>
        <w:rPr>
          <w:rFonts w:hint="eastAsia" w:ascii="宋体" w:hAnsi="宋体" w:eastAsia="宋体" w:cs="宋体"/>
          <w:sz w:val="24"/>
          <w:szCs w:val="28"/>
        </w:rPr>
      </w:pPr>
      <w:r>
        <w:rPr>
          <w:rFonts w:hint="eastAsia" w:ascii="宋体" w:hAnsi="宋体" w:eastAsia="宋体" w:cs="宋体"/>
          <w:sz w:val="24"/>
          <w:szCs w:val="28"/>
        </w:rPr>
        <w:t>本项目人行主出入口位于项目西侧，南侧可沿着鸭洞河绿道进入项目室外活动广场，建筑入口需根据人流方向合理布置。</w:t>
      </w:r>
    </w:p>
    <w:p w14:paraId="168A8E19">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绿化</w:t>
      </w:r>
    </w:p>
    <w:p w14:paraId="1F74025B">
      <w:pPr>
        <w:ind w:left="420"/>
        <w:rPr>
          <w:rFonts w:hint="eastAsia" w:ascii="宋体" w:hAnsi="宋体" w:eastAsia="宋体" w:cs="宋体"/>
          <w:sz w:val="24"/>
          <w:szCs w:val="28"/>
        </w:rPr>
      </w:pPr>
      <w:r>
        <w:rPr>
          <w:rFonts w:hint="eastAsia" w:ascii="宋体" w:hAnsi="宋体" w:eastAsia="宋体" w:cs="宋体"/>
          <w:sz w:val="24"/>
          <w:szCs w:val="28"/>
        </w:rPr>
        <w:t>项目在西侧建筑入口处以活动广场为主，广场上设置少量绿地，在南北两侧结合自然环境设置园林绿地，布置园林绿化，增强空间层次感。项目景观绿化小品主要设置在建筑物周边。</w:t>
      </w:r>
    </w:p>
    <w:p w14:paraId="7354BB8B">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建筑设计要求</w:t>
      </w:r>
    </w:p>
    <w:p w14:paraId="208F7DD7">
      <w:pPr>
        <w:ind w:left="420"/>
        <w:rPr>
          <w:rFonts w:hint="eastAsia" w:ascii="宋体" w:hAnsi="宋体" w:eastAsia="宋体" w:cs="宋体"/>
          <w:sz w:val="24"/>
          <w:szCs w:val="28"/>
        </w:rPr>
      </w:pPr>
      <w:r>
        <w:rPr>
          <w:rFonts w:hint="eastAsia" w:ascii="宋体" w:hAnsi="宋体" w:eastAsia="宋体" w:cs="宋体"/>
          <w:sz w:val="24"/>
          <w:szCs w:val="28"/>
        </w:rPr>
        <w:t>本项目为一栋地上三层的建筑，各层功能用房组成如下：</w:t>
      </w:r>
    </w:p>
    <w:p w14:paraId="2746F7DD">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（1）首层建筑面积约1000㎡，主要为排水设施附属用房、值班室、设备用房、厕所等功能；。</w:t>
      </w:r>
    </w:p>
    <w:p w14:paraId="0DC861AE">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（2）二层建筑面积约500㎡，主要为排水设施附属用房、休息室、厕所等功能。</w:t>
      </w:r>
    </w:p>
    <w:p w14:paraId="5DC05915">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（3）三层建筑面积约200㎡，主要为排水设施附属用房、设备用房等功能。</w:t>
      </w:r>
    </w:p>
    <w:p w14:paraId="2EA50005">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（4）本项目屋面为不上人屋面，屋面需考虑岭南元素。</w:t>
      </w:r>
    </w:p>
    <w:p w14:paraId="37FFEAFA">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装修方案</w:t>
      </w:r>
    </w:p>
    <w:p w14:paraId="65D1398E">
      <w:pPr>
        <w:ind w:left="420"/>
        <w:rPr>
          <w:rFonts w:hint="eastAsia" w:ascii="宋体" w:hAnsi="宋体" w:eastAsia="宋体" w:cs="宋体"/>
          <w:sz w:val="24"/>
          <w:szCs w:val="28"/>
        </w:rPr>
      </w:pPr>
      <w:r>
        <w:rPr>
          <w:rFonts w:hint="eastAsia" w:ascii="宋体" w:hAnsi="宋体" w:eastAsia="宋体" w:cs="宋体"/>
          <w:sz w:val="24"/>
          <w:szCs w:val="28"/>
        </w:rPr>
        <w:t>在装修材料的选用上，本建筑注重在地性表达，强调材质肌理与色彩搭配，崇尚自然和谐的风格理念。通过适宜材料的高水准运用，贯彻环保节能原则，在关键部位突出重点表现，力求塑造出契合建筑功能、兼具新颖性与大气感的整体形象。</w:t>
      </w:r>
    </w:p>
    <w:p w14:paraId="127B6772">
      <w:pPr>
        <w:pStyle w:val="7"/>
        <w:numPr>
          <w:ilvl w:val="0"/>
          <w:numId w:val="7"/>
        </w:numPr>
        <w:ind w:firstLineChars="0"/>
        <w:rPr>
          <w:rFonts w:hint="eastAsia" w:ascii="宋体" w:hAnsi="宋体" w:eastAsia="宋体" w:cs="宋体"/>
          <w:sz w:val="24"/>
          <w:szCs w:val="28"/>
        </w:rPr>
      </w:pPr>
      <w:r>
        <w:rPr>
          <w:rFonts w:hint="eastAsia" w:ascii="宋体" w:hAnsi="宋体" w:eastAsia="宋体" w:cs="宋体"/>
          <w:sz w:val="24"/>
          <w:szCs w:val="28"/>
        </w:rPr>
        <w:t>无障碍设计</w:t>
      </w:r>
    </w:p>
    <w:p w14:paraId="60C5F6AB">
      <w:pPr>
        <w:ind w:left="420"/>
        <w:rPr>
          <w:rFonts w:hint="eastAsia" w:ascii="宋体" w:hAnsi="宋体" w:eastAsia="宋体" w:cs="宋体"/>
          <w:sz w:val="24"/>
          <w:szCs w:val="28"/>
        </w:rPr>
      </w:pPr>
      <w:r>
        <w:rPr>
          <w:rFonts w:hint="eastAsia" w:ascii="宋体" w:hAnsi="宋体" w:eastAsia="宋体" w:cs="宋体"/>
          <w:sz w:val="24"/>
          <w:szCs w:val="28"/>
        </w:rPr>
        <w:t>本项目应做无障碍设计。建筑无障碍设计部位为：建筑基地、建筑入口及门、水平及垂直交通、厕所、停车位等。</w:t>
      </w:r>
    </w:p>
    <w:p w14:paraId="596460C0">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结构专业</w:t>
      </w:r>
    </w:p>
    <w:p w14:paraId="3BFC9BE8">
      <w:pPr>
        <w:pStyle w:val="7"/>
        <w:numPr>
          <w:ilvl w:val="0"/>
          <w:numId w:val="8"/>
        </w:numPr>
        <w:ind w:firstLineChars="0"/>
        <w:rPr>
          <w:rFonts w:hint="eastAsia" w:ascii="宋体" w:hAnsi="宋体" w:eastAsia="宋体" w:cs="宋体"/>
          <w:sz w:val="24"/>
          <w:szCs w:val="28"/>
        </w:rPr>
      </w:pPr>
      <w:r>
        <w:rPr>
          <w:rFonts w:hint="eastAsia" w:ascii="宋体" w:hAnsi="宋体" w:eastAsia="宋体" w:cs="宋体"/>
          <w:sz w:val="24"/>
          <w:szCs w:val="28"/>
        </w:rPr>
        <w:t>总体设计原则</w:t>
      </w:r>
    </w:p>
    <w:p w14:paraId="4D4371D6">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（1）结构设计应确保安全可靠、经济合理，布置方式须满足建筑功能需求。宜选用成熟可靠的工艺与材料，以节约投资。结构体系应先进合理，并符合国家及地方现行规范、规程及相关要求。</w:t>
      </w:r>
    </w:p>
    <w:p w14:paraId="23CA54F2">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（2）抗震设计应严格执行现行国家规范、规程及广州市地方标准。</w:t>
      </w:r>
    </w:p>
    <w:p w14:paraId="5CFD2A18">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（3）永久建筑须采用合理、可靠且便于施工的结构体系；临时建筑的主要结构构件应兼顾重复利用的可能性。</w:t>
      </w:r>
    </w:p>
    <w:p w14:paraId="3D8D79FC">
      <w:pPr>
        <w:pStyle w:val="7"/>
        <w:numPr>
          <w:ilvl w:val="0"/>
          <w:numId w:val="8"/>
        </w:numPr>
        <w:ind w:firstLineChars="0"/>
        <w:rPr>
          <w:rFonts w:hint="eastAsia" w:ascii="宋体" w:hAnsi="宋体" w:eastAsia="宋体" w:cs="宋体"/>
          <w:sz w:val="24"/>
          <w:szCs w:val="28"/>
        </w:rPr>
      </w:pPr>
      <w:r>
        <w:rPr>
          <w:rFonts w:hint="eastAsia" w:ascii="宋体" w:hAnsi="宋体" w:eastAsia="宋体" w:cs="宋体"/>
          <w:sz w:val="24"/>
          <w:szCs w:val="28"/>
        </w:rPr>
        <w:t>基础设计</w:t>
      </w:r>
    </w:p>
    <w:p w14:paraId="403D3852">
      <w:pPr>
        <w:pStyle w:val="7"/>
        <w:ind w:left="780" w:firstLine="0" w:firstLineChars="0"/>
        <w:rPr>
          <w:rFonts w:hint="eastAsia" w:ascii="宋体" w:hAnsi="宋体" w:eastAsia="宋体" w:cs="宋体"/>
          <w:sz w:val="24"/>
          <w:szCs w:val="28"/>
        </w:rPr>
      </w:pPr>
      <w:r>
        <w:rPr>
          <w:rFonts w:hint="eastAsia" w:ascii="宋体" w:hAnsi="宋体" w:eastAsia="宋体" w:cs="宋体"/>
          <w:sz w:val="24"/>
          <w:szCs w:val="28"/>
        </w:rPr>
        <w:t>根据地质情况选取合适基础形式，同时提交基础选型的经济技术多方案比选报告。</w:t>
      </w:r>
    </w:p>
    <w:p w14:paraId="5F41660C">
      <w:pPr>
        <w:pStyle w:val="7"/>
        <w:numPr>
          <w:ilvl w:val="0"/>
          <w:numId w:val="8"/>
        </w:numPr>
        <w:ind w:firstLineChars="0"/>
        <w:rPr>
          <w:rFonts w:hint="eastAsia" w:ascii="宋体" w:hAnsi="宋体" w:eastAsia="宋体" w:cs="宋体"/>
          <w:sz w:val="24"/>
          <w:szCs w:val="28"/>
        </w:rPr>
      </w:pPr>
      <w:r>
        <w:rPr>
          <w:rFonts w:hint="eastAsia" w:ascii="宋体" w:hAnsi="宋体" w:eastAsia="宋体" w:cs="宋体"/>
          <w:sz w:val="24"/>
          <w:szCs w:val="28"/>
        </w:rPr>
        <w:t>基坑设计</w:t>
      </w:r>
    </w:p>
    <w:p w14:paraId="01F7118A">
      <w:pPr>
        <w:ind w:left="420"/>
        <w:rPr>
          <w:rFonts w:hint="eastAsia" w:ascii="宋体" w:hAnsi="宋体" w:eastAsia="宋体" w:cs="宋体"/>
          <w:sz w:val="24"/>
          <w:szCs w:val="28"/>
        </w:rPr>
      </w:pPr>
      <w:r>
        <w:rPr>
          <w:rFonts w:hint="eastAsia" w:ascii="宋体" w:hAnsi="宋体" w:eastAsia="宋体" w:cs="宋体"/>
          <w:sz w:val="24"/>
          <w:szCs w:val="28"/>
        </w:rPr>
        <w:t>基坑支护与地基处理方案应进行多方案经济技术比选，并提交专题论证报告。</w:t>
      </w:r>
    </w:p>
    <w:p w14:paraId="77082CAA">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给排水专业</w:t>
      </w:r>
    </w:p>
    <w:p w14:paraId="0D60A730">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雨水径流控制应立足于建设项目整体，统筹协调防洪排涝、雨水资源化利用与初期雨水污染治理，确保符合《广州市水务管理条例》《广州市排水管理办法》《广州市建设项目雨水径流控制管理办法》等法规要求。雨水径流控制设施应与项目主体工程同步设计，相关内容须纳入初步设计及施工图设计文件。</w:t>
      </w:r>
    </w:p>
    <w:p w14:paraId="572F1680">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给、排水系统设计应具备先进性与可靠性，并结合项目性质与规模，进行技术、经济及环境等多方面综合比较，实现安全、环保、节水、节能、节地和经济合理的目标。应优先利用市政供水压力实行直接供水。</w:t>
      </w:r>
    </w:p>
    <w:p w14:paraId="6C2B1C83">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应采用雨污分流、粪便污水与废水分流的排水体制。生活污水经室内污废分流管道收集后，排至室外污水管网。雨水系统宜优先考虑就地入渗和收集回用，最大限度减轻市政管网排放负荷。</w:t>
      </w:r>
    </w:p>
    <w:p w14:paraId="40953C9B">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应实现水资源的合理配置与高效利用，贯彻“优质优用、低质低用”原则，推进水资源阶梯利用。</w:t>
      </w:r>
    </w:p>
    <w:p w14:paraId="7DE7D74B">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给水系统设计应遵循供水主管部门颁布的相关技术规范。</w:t>
      </w:r>
    </w:p>
    <w:p w14:paraId="7C4C23B0">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给水方式及分区设计应结合市政水压、场地标高与市政条件综合确定。</w:t>
      </w:r>
    </w:p>
    <w:p w14:paraId="1207AD75">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污水管材选型须符合水务管理部门的具体规定。</w:t>
      </w:r>
    </w:p>
    <w:p w14:paraId="6234C986">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室外场地与屋面雨水设计重现期宜取5年。建筑屋面雨水工程应设置溢流设施，重力流雨水排水系统与溢流口的总排水能力不应低于50年重现期的雨水量。</w:t>
      </w:r>
    </w:p>
    <w:p w14:paraId="1F190593">
      <w:pPr>
        <w:pStyle w:val="7"/>
        <w:numPr>
          <w:ilvl w:val="0"/>
          <w:numId w:val="9"/>
        </w:numPr>
        <w:ind w:firstLineChars="0"/>
        <w:rPr>
          <w:rFonts w:hint="eastAsia" w:ascii="宋体" w:hAnsi="宋体" w:eastAsia="宋体" w:cs="宋体"/>
          <w:sz w:val="24"/>
          <w:szCs w:val="28"/>
        </w:rPr>
      </w:pPr>
      <w:r>
        <w:rPr>
          <w:rFonts w:hint="eastAsia" w:ascii="宋体" w:hAnsi="宋体" w:eastAsia="宋体" w:cs="宋体"/>
          <w:sz w:val="24"/>
          <w:szCs w:val="28"/>
        </w:rPr>
        <w:t>生活水池宜采用不锈钢水箱，并应具备卫生部门出具的检测报告及卫生许可。</w:t>
      </w:r>
    </w:p>
    <w:p w14:paraId="3F8D91FE">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消防工程设计</w:t>
      </w:r>
    </w:p>
    <w:p w14:paraId="3D6DCF4C">
      <w:pPr>
        <w:rPr>
          <w:rFonts w:hint="eastAsia" w:ascii="宋体" w:hAnsi="宋体" w:eastAsia="宋体" w:cs="宋体"/>
          <w:sz w:val="24"/>
          <w:szCs w:val="28"/>
        </w:rPr>
      </w:pPr>
      <w:r>
        <w:rPr>
          <w:rFonts w:hint="eastAsia" w:ascii="宋体" w:hAnsi="宋体" w:eastAsia="宋体" w:cs="宋体"/>
          <w:sz w:val="24"/>
          <w:szCs w:val="28"/>
        </w:rPr>
        <w:t>消防系统设计应满足国家现行消防设计规范的要求，在确保安全的前提下，选用经济、合理的消防系统。</w:t>
      </w:r>
    </w:p>
    <w:p w14:paraId="55F03073">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电气设计</w:t>
      </w:r>
    </w:p>
    <w:p w14:paraId="2533A77B">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认真贯彻执行国家和行业规范，根据本工程特点，因地制宜地做好供配电系统、照明系统的规划设计，确保电气及照明系统安全可靠、经济合理。</w:t>
      </w:r>
    </w:p>
    <w:p w14:paraId="2203538E">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暖通专业</w:t>
      </w:r>
    </w:p>
    <w:p w14:paraId="3537D660">
      <w:pPr>
        <w:pStyle w:val="7"/>
        <w:numPr>
          <w:ilvl w:val="0"/>
          <w:numId w:val="10"/>
        </w:numPr>
        <w:ind w:firstLineChars="0"/>
        <w:rPr>
          <w:rFonts w:hint="eastAsia" w:ascii="宋体" w:hAnsi="宋体" w:eastAsia="宋体" w:cs="宋体"/>
          <w:sz w:val="24"/>
          <w:szCs w:val="28"/>
        </w:rPr>
      </w:pPr>
      <w:r>
        <w:rPr>
          <w:rFonts w:hint="eastAsia" w:ascii="宋体" w:hAnsi="宋体" w:eastAsia="宋体" w:cs="宋体"/>
          <w:sz w:val="24"/>
          <w:szCs w:val="28"/>
        </w:rPr>
        <w:t>认真贯彻执行国家和行业规范，根据本工程特点，因地制宜地做好暖通工程系统的规划设计，确保暖通工程系统安全可靠、经济合理。</w:t>
      </w:r>
    </w:p>
    <w:p w14:paraId="4CB86604">
      <w:pPr>
        <w:pStyle w:val="7"/>
        <w:numPr>
          <w:ilvl w:val="0"/>
          <w:numId w:val="10"/>
        </w:numPr>
        <w:ind w:firstLineChars="0"/>
        <w:rPr>
          <w:rFonts w:hint="eastAsia" w:ascii="宋体" w:hAnsi="宋体" w:eastAsia="宋体" w:cs="宋体"/>
          <w:sz w:val="24"/>
          <w:szCs w:val="28"/>
        </w:rPr>
      </w:pPr>
      <w:r>
        <w:rPr>
          <w:rFonts w:hint="eastAsia" w:ascii="宋体" w:hAnsi="宋体" w:eastAsia="宋体" w:cs="宋体"/>
          <w:sz w:val="24"/>
          <w:szCs w:val="28"/>
        </w:rPr>
        <w:t>应保持空调室外机的通风顺畅，空调冷凝水应集中排放。空调室外机搁板的位置应考虑尺寸合适和安装方便。</w:t>
      </w:r>
    </w:p>
    <w:p w14:paraId="48C16C60">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智能化专业</w:t>
      </w:r>
    </w:p>
    <w:p w14:paraId="17C28A4D">
      <w:pPr>
        <w:pStyle w:val="7"/>
        <w:numPr>
          <w:ilvl w:val="0"/>
          <w:numId w:val="11"/>
        </w:numPr>
        <w:ind w:firstLineChars="0"/>
        <w:rPr>
          <w:rFonts w:hint="eastAsia" w:ascii="宋体" w:hAnsi="宋体" w:eastAsia="宋体" w:cs="宋体"/>
          <w:sz w:val="24"/>
          <w:szCs w:val="28"/>
        </w:rPr>
      </w:pPr>
      <w:r>
        <w:rPr>
          <w:rFonts w:hint="eastAsia" w:ascii="宋体" w:hAnsi="宋体" w:eastAsia="宋体" w:cs="宋体"/>
          <w:sz w:val="24"/>
          <w:szCs w:val="28"/>
        </w:rPr>
        <w:t>本项目设计严格遵循国家现行主要规范、规程、行业标准及广东省地方建设相关标准。</w:t>
      </w:r>
    </w:p>
    <w:p w14:paraId="41B9C139">
      <w:pPr>
        <w:pStyle w:val="7"/>
        <w:numPr>
          <w:ilvl w:val="0"/>
          <w:numId w:val="11"/>
        </w:numPr>
        <w:ind w:firstLineChars="0"/>
        <w:rPr>
          <w:rFonts w:hint="eastAsia" w:ascii="宋体" w:hAnsi="宋体" w:eastAsia="宋体" w:cs="宋体"/>
          <w:sz w:val="24"/>
          <w:szCs w:val="28"/>
        </w:rPr>
      </w:pPr>
      <w:r>
        <w:rPr>
          <w:rFonts w:hint="eastAsia" w:ascii="宋体" w:hAnsi="宋体" w:eastAsia="宋体" w:cs="宋体"/>
          <w:sz w:val="24"/>
          <w:szCs w:val="28"/>
        </w:rPr>
        <w:t>在确保先进性、可靠性、标准化与结构化的同时，依据建筑智能化系统总体架构要求，对各子系统进行功能与经济性优化设计，并保障系统具有良好的扩展能力，以实现投资的长期有效性。</w:t>
      </w:r>
    </w:p>
    <w:p w14:paraId="55207EED">
      <w:pPr>
        <w:pStyle w:val="7"/>
        <w:numPr>
          <w:ilvl w:val="0"/>
          <w:numId w:val="11"/>
        </w:numPr>
        <w:ind w:firstLineChars="0"/>
        <w:rPr>
          <w:rFonts w:hint="eastAsia" w:ascii="宋体" w:hAnsi="宋体" w:eastAsia="宋体" w:cs="宋体"/>
          <w:sz w:val="24"/>
          <w:szCs w:val="28"/>
        </w:rPr>
      </w:pPr>
      <w:r>
        <w:rPr>
          <w:rFonts w:hint="eastAsia" w:ascii="宋体" w:hAnsi="宋体" w:eastAsia="宋体" w:cs="宋体"/>
          <w:sz w:val="24"/>
          <w:szCs w:val="28"/>
        </w:rPr>
        <w:t>在满足用户当前使用需求的基础上，充分考量智能化技术的快速发展，确保系统技术先进并适度超前，以适应未来技术发展变化。</w:t>
      </w:r>
    </w:p>
    <w:p w14:paraId="137D3D58">
      <w:pPr>
        <w:pStyle w:val="7"/>
        <w:numPr>
          <w:ilvl w:val="0"/>
          <w:numId w:val="11"/>
        </w:numPr>
        <w:ind w:firstLineChars="0"/>
        <w:rPr>
          <w:rFonts w:hint="eastAsia" w:ascii="宋体" w:hAnsi="宋体" w:eastAsia="宋体" w:cs="宋体"/>
          <w:sz w:val="24"/>
          <w:szCs w:val="28"/>
        </w:rPr>
      </w:pPr>
      <w:r>
        <w:rPr>
          <w:rFonts w:hint="eastAsia" w:ascii="宋体" w:hAnsi="宋体" w:eastAsia="宋体" w:cs="宋体"/>
          <w:sz w:val="24"/>
          <w:szCs w:val="28"/>
        </w:rPr>
        <w:t>充分考虑建筑智能化系统内各子系统之间的集成与信息共享，确保整体架构具备良好的可扩展性与兼容性，能集成各类先进产品，不论其生产厂商或类型。</w:t>
      </w:r>
    </w:p>
    <w:p w14:paraId="19650967">
      <w:pPr>
        <w:pStyle w:val="7"/>
        <w:numPr>
          <w:ilvl w:val="0"/>
          <w:numId w:val="11"/>
        </w:numPr>
        <w:ind w:firstLineChars="0"/>
        <w:rPr>
          <w:rFonts w:hint="eastAsia" w:ascii="宋体" w:hAnsi="宋体" w:eastAsia="宋体" w:cs="宋体"/>
          <w:sz w:val="24"/>
          <w:szCs w:val="28"/>
        </w:rPr>
      </w:pPr>
      <w:r>
        <w:rPr>
          <w:rFonts w:hint="eastAsia" w:ascii="宋体" w:hAnsi="宋体" w:eastAsia="宋体" w:cs="宋体"/>
          <w:sz w:val="24"/>
          <w:szCs w:val="28"/>
        </w:rPr>
        <w:t>在智能系统总体方案规划及设备与系统选型过程中，全面评估各子系统之间的集成能力，并确保信息自动化系统具备接入更广泛信息网络的潜力。</w:t>
      </w:r>
    </w:p>
    <w:p w14:paraId="61646B56">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标识系统</w:t>
      </w:r>
    </w:p>
    <w:p w14:paraId="4A90ACE8">
      <w:pPr>
        <w:pStyle w:val="7"/>
        <w:ind w:left="420"/>
        <w:rPr>
          <w:rFonts w:hint="eastAsia" w:ascii="宋体" w:hAnsi="宋体" w:eastAsia="宋体" w:cs="宋体"/>
          <w:sz w:val="24"/>
          <w:szCs w:val="28"/>
        </w:rPr>
      </w:pPr>
      <w:r>
        <w:rPr>
          <w:rFonts w:hint="eastAsia" w:ascii="宋体" w:hAnsi="宋体" w:eastAsia="宋体" w:cs="宋体"/>
          <w:sz w:val="24"/>
          <w:szCs w:val="28"/>
        </w:rPr>
        <w:t>据实际需要设置标识系统。主要包括：立地式或挂墙式区域、楼层总索引牌、楼层号牌、各功能室名称牌、洗手间、挂墙式橱窗宣传栏、温馨标语提示牌、公共安全标识牌、禁止标识牌等等。</w:t>
      </w:r>
    </w:p>
    <w:p w14:paraId="6233D732">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绿色建筑</w:t>
      </w:r>
    </w:p>
    <w:p w14:paraId="1635512F">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项目</w:t>
      </w:r>
      <w:r>
        <w:rPr>
          <w:rFonts w:hint="eastAsia" w:ascii="宋体" w:hAnsi="宋体" w:eastAsia="宋体" w:cs="宋体"/>
          <w:sz w:val="24"/>
          <w:szCs w:val="28"/>
          <w:lang w:val="en-US" w:eastAsia="zh-CN"/>
        </w:rPr>
        <w:t>满足</w:t>
      </w:r>
      <w:r>
        <w:rPr>
          <w:rFonts w:hint="eastAsia" w:ascii="宋体" w:hAnsi="宋体" w:eastAsia="宋体" w:cs="宋体"/>
          <w:sz w:val="24"/>
          <w:szCs w:val="28"/>
        </w:rPr>
        <w:t>《绿色建筑评价标准》（GB/T 50378-2019）全部控制项要求时，</w:t>
      </w:r>
      <w:r>
        <w:rPr>
          <w:rFonts w:hint="eastAsia" w:ascii="宋体" w:hAnsi="宋体" w:eastAsia="宋体" w:cs="宋体"/>
          <w:sz w:val="24"/>
          <w:szCs w:val="28"/>
          <w:lang w:val="en-US" w:eastAsia="zh-CN"/>
        </w:rPr>
        <w:t>达到绿色建筑基本级</w:t>
      </w:r>
      <w:r>
        <w:rPr>
          <w:rFonts w:hint="eastAsia" w:ascii="宋体" w:hAnsi="宋体" w:eastAsia="宋体" w:cs="宋体"/>
          <w:sz w:val="24"/>
          <w:szCs w:val="28"/>
        </w:rPr>
        <w:t>标准。</w:t>
      </w:r>
    </w:p>
    <w:p w14:paraId="53763999">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主要措施包括：</w:t>
      </w:r>
    </w:p>
    <w:p w14:paraId="49EF7D7B">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整体建筑布局及建筑本体注意物候的特征节能，尽可能利用自然通风及自然采光，减少运行能源消耗。</w:t>
      </w:r>
    </w:p>
    <w:p w14:paraId="587DE7EC">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通过管理自动化系统，使空调、变配电系统、照明系统等处于最佳效率运行，最大限度节约能源。</w:t>
      </w:r>
    </w:p>
    <w:p w14:paraId="442C1C63">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采用高效照明灯具，改善传统照明耗电大，发热高的缺点。</w:t>
      </w:r>
    </w:p>
    <w:p w14:paraId="727D34D0">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合理选用变压器，提高其负荷率，使变压器处于经济运行状态。在变配电房的低压侧安装电容器，进行无功补偿，以提高变压器利用率及降低无功损耗。</w:t>
      </w:r>
    </w:p>
    <w:p w14:paraId="31F73EC3">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选用节水洁具，保护水资源。</w:t>
      </w:r>
    </w:p>
    <w:p w14:paraId="6BE2FDFB">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制定节能管理措施，严抓日常管理，避免人为的浪费。</w:t>
      </w:r>
    </w:p>
    <w:p w14:paraId="4677BFED">
      <w:pPr>
        <w:pStyle w:val="7"/>
        <w:numPr>
          <w:ilvl w:val="0"/>
          <w:numId w:val="12"/>
        </w:numPr>
        <w:ind w:firstLineChars="0"/>
        <w:rPr>
          <w:rFonts w:hint="eastAsia" w:ascii="宋体" w:hAnsi="宋体" w:eastAsia="宋体" w:cs="宋体"/>
          <w:sz w:val="24"/>
          <w:szCs w:val="28"/>
        </w:rPr>
      </w:pPr>
      <w:r>
        <w:rPr>
          <w:rFonts w:hint="eastAsia" w:ascii="宋体" w:hAnsi="宋体" w:eastAsia="宋体" w:cs="宋体"/>
          <w:sz w:val="24"/>
          <w:szCs w:val="28"/>
        </w:rPr>
        <w:t>使用绿色建材。</w:t>
      </w:r>
    </w:p>
    <w:p w14:paraId="6CECF75C">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园林专业</w:t>
      </w:r>
    </w:p>
    <w:p w14:paraId="6DC5BA22">
      <w:pPr>
        <w:pStyle w:val="7"/>
        <w:numPr>
          <w:ilvl w:val="0"/>
          <w:numId w:val="13"/>
        </w:numPr>
        <w:ind w:firstLineChars="0"/>
        <w:rPr>
          <w:rFonts w:hint="eastAsia" w:ascii="宋体" w:hAnsi="宋体" w:eastAsia="宋体" w:cs="宋体"/>
          <w:sz w:val="24"/>
          <w:szCs w:val="28"/>
        </w:rPr>
      </w:pPr>
      <w:r>
        <w:rPr>
          <w:rFonts w:hint="eastAsia" w:ascii="宋体" w:hAnsi="宋体" w:eastAsia="宋体" w:cs="宋体"/>
          <w:sz w:val="24"/>
          <w:szCs w:val="28"/>
        </w:rPr>
        <w:t>设计范围内园林景观设计（含绿化、广场、道路、停车场、园林小品等）、标识系统、室外照明（泛光照明、景观照明）、市政管线综合等。</w:t>
      </w:r>
    </w:p>
    <w:p w14:paraId="13310F27">
      <w:pPr>
        <w:pStyle w:val="7"/>
        <w:numPr>
          <w:ilvl w:val="0"/>
          <w:numId w:val="13"/>
        </w:numPr>
        <w:ind w:firstLineChars="0"/>
        <w:rPr>
          <w:rFonts w:hint="eastAsia" w:ascii="宋体" w:hAnsi="宋体" w:eastAsia="宋体" w:cs="宋体"/>
          <w:sz w:val="24"/>
          <w:szCs w:val="28"/>
        </w:rPr>
      </w:pPr>
      <w:r>
        <w:rPr>
          <w:rFonts w:hint="eastAsia" w:ascii="宋体" w:hAnsi="宋体" w:eastAsia="宋体" w:cs="宋体"/>
          <w:sz w:val="24"/>
          <w:szCs w:val="28"/>
        </w:rPr>
        <w:t>建筑物与周边环境要协调统一,充分协调好与周边环境的位置关系使建筑物合理地融入景观环境中，通过绿化环境营造出大气和庄重的效果。</w:t>
      </w:r>
    </w:p>
    <w:p w14:paraId="38BC4705">
      <w:pPr>
        <w:pStyle w:val="7"/>
        <w:numPr>
          <w:ilvl w:val="0"/>
          <w:numId w:val="13"/>
        </w:numPr>
        <w:ind w:firstLineChars="0"/>
        <w:rPr>
          <w:rFonts w:hint="eastAsia" w:ascii="宋体" w:hAnsi="宋体" w:eastAsia="宋体" w:cs="宋体"/>
          <w:sz w:val="24"/>
          <w:szCs w:val="28"/>
        </w:rPr>
      </w:pPr>
      <w:r>
        <w:rPr>
          <w:rFonts w:hint="eastAsia" w:ascii="宋体" w:hAnsi="宋体" w:eastAsia="宋体" w:cs="宋体"/>
          <w:sz w:val="24"/>
          <w:szCs w:val="28"/>
        </w:rPr>
        <w:t>必须保证内部交通流线顺畅，与外部交通流线连接自然。</w:t>
      </w:r>
    </w:p>
    <w:p w14:paraId="28532981">
      <w:pPr>
        <w:pStyle w:val="7"/>
        <w:numPr>
          <w:ilvl w:val="0"/>
          <w:numId w:val="13"/>
        </w:numPr>
        <w:ind w:firstLineChars="0"/>
        <w:rPr>
          <w:rFonts w:hint="eastAsia" w:ascii="宋体" w:hAnsi="宋体" w:eastAsia="宋体" w:cs="宋体"/>
          <w:sz w:val="24"/>
          <w:szCs w:val="28"/>
        </w:rPr>
      </w:pPr>
      <w:r>
        <w:rPr>
          <w:rFonts w:hint="eastAsia" w:ascii="宋体" w:hAnsi="宋体" w:eastAsia="宋体" w:cs="宋体"/>
          <w:sz w:val="24"/>
          <w:szCs w:val="28"/>
        </w:rPr>
        <w:t>遵循“因地制宜、科学务实”。根据自然地理气候条件、植被生长发育规律、生活生产生态需要，参考《广州主要乡土及适生植物名录》，合理选择绿化树种草种。积极采用乡土树种草种进行绿化，推广抗逆性强、养护成本低的植物，加强外来入侵植物防控，审慎使用外来树种草种。适地适绿、宜乔则乔、宜灌则灌、宜草则草，充分考虑不同植物的生长周期、空间需求和种间关系，避免简单堆砌甚至互相挤压、争夺生长空间。</w:t>
      </w:r>
    </w:p>
    <w:p w14:paraId="76ECE42C">
      <w:pPr>
        <w:pStyle w:val="7"/>
        <w:numPr>
          <w:ilvl w:val="0"/>
          <w:numId w:val="13"/>
        </w:numPr>
        <w:ind w:firstLineChars="0"/>
        <w:rPr>
          <w:rFonts w:hint="eastAsia" w:ascii="宋体" w:hAnsi="宋体" w:eastAsia="宋体" w:cs="宋体"/>
          <w:sz w:val="24"/>
          <w:szCs w:val="28"/>
        </w:rPr>
      </w:pPr>
      <w:r>
        <w:rPr>
          <w:rFonts w:hint="eastAsia" w:ascii="宋体" w:hAnsi="宋体" w:eastAsia="宋体" w:cs="宋体"/>
          <w:sz w:val="24"/>
          <w:szCs w:val="28"/>
        </w:rPr>
        <w:t>注意现状树木的保护利用。</w:t>
      </w:r>
    </w:p>
    <w:p w14:paraId="2235DD67">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海绵城市</w:t>
      </w:r>
    </w:p>
    <w:p w14:paraId="1ECE93D7">
      <w:pPr>
        <w:pStyle w:val="7"/>
        <w:numPr>
          <w:ilvl w:val="0"/>
          <w:numId w:val="14"/>
        </w:numPr>
        <w:ind w:firstLineChars="0"/>
        <w:rPr>
          <w:rFonts w:hint="eastAsia" w:ascii="宋体" w:hAnsi="宋体" w:eastAsia="宋体" w:cs="宋体"/>
          <w:sz w:val="24"/>
          <w:szCs w:val="28"/>
        </w:rPr>
      </w:pPr>
      <w:r>
        <w:rPr>
          <w:rFonts w:hint="eastAsia" w:ascii="宋体" w:hAnsi="宋体" w:eastAsia="宋体" w:cs="宋体"/>
          <w:sz w:val="24"/>
          <w:szCs w:val="28"/>
        </w:rPr>
        <w:t>设计原则</w:t>
      </w:r>
    </w:p>
    <w:p w14:paraId="202A6299">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（1）保护性开发原则</w:t>
      </w:r>
    </w:p>
    <w:p w14:paraId="70849639">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工程建设过程中应保护河流、湖泊、湿地、坑塘、沟渠等水生态敏感区。</w:t>
      </w:r>
    </w:p>
    <w:p w14:paraId="78EDEB2C">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（2）低影响开发原则</w:t>
      </w:r>
    </w:p>
    <w:p w14:paraId="5232AC75">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海绵城市建设应遵循生态优先等原则，将自然途径与人工措施相结合，在确保城市排水防涝安全的前提下，最大限度地实现雨水在城市区域的积存、渗透和净化，促进雨水资源的利用和生态环境保护。建设“海绵城市”并不是推倒重来，取代传统的排水系统，而是对传统排水系统的一种“减负”和补充，最大程度地发挥城市本身的作用。在海绵城市建设过程中，应统筹自然降水、地表水和地下水的系统性，协调给水、排水等水循环利用各环节，并考虑其复杂性和长期性。</w:t>
      </w:r>
    </w:p>
    <w:p w14:paraId="40D87CE6">
      <w:pPr>
        <w:pStyle w:val="7"/>
        <w:numPr>
          <w:ilvl w:val="0"/>
          <w:numId w:val="14"/>
        </w:numPr>
        <w:ind w:firstLineChars="0"/>
        <w:rPr>
          <w:rFonts w:hint="eastAsia" w:ascii="宋体" w:hAnsi="宋体" w:eastAsia="宋体" w:cs="宋体"/>
          <w:sz w:val="24"/>
          <w:szCs w:val="28"/>
        </w:rPr>
      </w:pPr>
      <w:r>
        <w:rPr>
          <w:rFonts w:hint="eastAsia" w:ascii="宋体" w:hAnsi="宋体" w:eastAsia="宋体" w:cs="宋体"/>
          <w:sz w:val="24"/>
          <w:szCs w:val="28"/>
        </w:rPr>
        <w:t>海绵城市建设措施</w:t>
      </w:r>
    </w:p>
    <w:p w14:paraId="1FEA1D32">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（1）下凹式绿地</w:t>
      </w:r>
    </w:p>
    <w:p w14:paraId="246CFA18">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（2）渗透铺装</w:t>
      </w:r>
    </w:p>
    <w:p w14:paraId="48FC240E">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（3）生物滞留设施</w:t>
      </w:r>
    </w:p>
    <w:p w14:paraId="7F1CCFBC">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（4）植草沟</w:t>
      </w:r>
    </w:p>
    <w:p w14:paraId="61ED13E9">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（5）雨水调蓄设施</w:t>
      </w:r>
    </w:p>
    <w:p w14:paraId="2CA2AEC5">
      <w:pPr>
        <w:pStyle w:val="7"/>
        <w:ind w:left="420" w:firstLine="0" w:firstLineChars="0"/>
        <w:rPr>
          <w:rFonts w:hint="eastAsia" w:ascii="宋体" w:hAnsi="宋体" w:eastAsia="宋体" w:cs="宋体"/>
          <w:sz w:val="24"/>
          <w:szCs w:val="28"/>
        </w:rPr>
      </w:pPr>
      <w:r>
        <w:rPr>
          <w:rFonts w:hint="eastAsia" w:ascii="宋体" w:hAnsi="宋体" w:eastAsia="宋体" w:cs="宋体"/>
          <w:sz w:val="24"/>
          <w:szCs w:val="28"/>
        </w:rPr>
        <w:t>（6）生态草坡</w:t>
      </w:r>
    </w:p>
    <w:p w14:paraId="20D32F27">
      <w:pPr>
        <w:pStyle w:val="7"/>
        <w:numPr>
          <w:ilvl w:val="0"/>
          <w:numId w:val="6"/>
        </w:numPr>
        <w:ind w:firstLineChars="0"/>
        <w:rPr>
          <w:rFonts w:hint="eastAsia" w:ascii="宋体" w:hAnsi="宋体" w:eastAsia="宋体" w:cs="宋体"/>
          <w:sz w:val="24"/>
          <w:szCs w:val="28"/>
        </w:rPr>
      </w:pPr>
      <w:r>
        <w:rPr>
          <w:rFonts w:hint="eastAsia" w:ascii="宋体" w:hAnsi="宋体" w:eastAsia="宋体" w:cs="宋体"/>
          <w:sz w:val="24"/>
          <w:szCs w:val="28"/>
        </w:rPr>
        <w:t>红线外周边配套设施环境提升工程</w:t>
      </w:r>
    </w:p>
    <w:p w14:paraId="46838270">
      <w:pPr>
        <w:rPr>
          <w:rFonts w:hint="eastAsia" w:ascii="宋体" w:hAnsi="宋体" w:eastAsia="宋体" w:cs="宋体"/>
          <w:sz w:val="24"/>
          <w:szCs w:val="28"/>
        </w:rPr>
      </w:pPr>
      <w:r>
        <w:rPr>
          <w:rFonts w:hint="eastAsia" w:ascii="宋体" w:hAnsi="宋体" w:eastAsia="宋体" w:cs="宋体"/>
          <w:sz w:val="24"/>
          <w:szCs w:val="28"/>
        </w:rPr>
        <w:t>梳理场地与外部环境的现状建设条件和场地特征，结合项目设计方案，对道路沿线，滨水沿线进行重点提升，进行景观设计。</w:t>
      </w:r>
    </w:p>
    <w:p w14:paraId="50C265C9">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设计阶段性要求</w:t>
      </w:r>
    </w:p>
    <w:p w14:paraId="09115893">
      <w:pPr>
        <w:pStyle w:val="7"/>
        <w:numPr>
          <w:ilvl w:val="0"/>
          <w:numId w:val="15"/>
        </w:numPr>
        <w:spacing w:line="360" w:lineRule="auto"/>
        <w:ind w:firstLineChars="0"/>
        <w:rPr>
          <w:rFonts w:hint="eastAsia" w:ascii="宋体" w:hAnsi="宋体" w:eastAsia="宋体" w:cs="宋体"/>
          <w:sz w:val="24"/>
          <w:szCs w:val="28"/>
        </w:rPr>
      </w:pPr>
      <w:bookmarkStart w:id="0" w:name="_Toc180850600"/>
      <w:r>
        <w:rPr>
          <w:rFonts w:hint="eastAsia" w:ascii="宋体" w:hAnsi="宋体" w:eastAsia="宋体" w:cs="宋体"/>
          <w:sz w:val="24"/>
          <w:szCs w:val="28"/>
        </w:rPr>
        <w:t>方案设计阶段要求</w:t>
      </w:r>
      <w:bookmarkEnd w:id="0"/>
    </w:p>
    <w:p w14:paraId="452FFBCC">
      <w:pPr>
        <w:pStyle w:val="7"/>
        <w:numPr>
          <w:ilvl w:val="0"/>
          <w:numId w:val="16"/>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结合用地合理组织方案总平面图及技术经济指标、各单体建筑平面图、立面图及主要剖面图、各专业设计说明。</w:t>
      </w:r>
    </w:p>
    <w:p w14:paraId="68B52000">
      <w:pPr>
        <w:pStyle w:val="7"/>
        <w:numPr>
          <w:ilvl w:val="0"/>
          <w:numId w:val="16"/>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对建筑功能、道路交通、消防等进行合理分析。</w:t>
      </w:r>
    </w:p>
    <w:p w14:paraId="67FDE94C">
      <w:pPr>
        <w:pStyle w:val="7"/>
        <w:numPr>
          <w:ilvl w:val="0"/>
          <w:numId w:val="16"/>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同时对整个方案通过不同角度鸟瞰图及局部低点效果图进行展示。</w:t>
      </w:r>
    </w:p>
    <w:p w14:paraId="277F899D">
      <w:pPr>
        <w:pStyle w:val="7"/>
        <w:numPr>
          <w:ilvl w:val="0"/>
          <w:numId w:val="15"/>
        </w:numPr>
        <w:spacing w:line="360" w:lineRule="auto"/>
        <w:ind w:firstLineChars="0"/>
        <w:rPr>
          <w:rFonts w:hint="eastAsia" w:ascii="宋体" w:hAnsi="宋体" w:eastAsia="宋体" w:cs="宋体"/>
          <w:sz w:val="24"/>
          <w:szCs w:val="28"/>
        </w:rPr>
      </w:pPr>
      <w:bookmarkStart w:id="1" w:name="_Toc180850601"/>
      <w:r>
        <w:rPr>
          <w:rFonts w:hint="eastAsia" w:ascii="宋体" w:hAnsi="宋体" w:eastAsia="宋体" w:cs="宋体"/>
          <w:sz w:val="24"/>
          <w:szCs w:val="28"/>
        </w:rPr>
        <w:t>初步设计及概算阶段要求</w:t>
      </w:r>
      <w:bookmarkEnd w:id="1"/>
    </w:p>
    <w:p w14:paraId="282CA8A7">
      <w:pPr>
        <w:pStyle w:val="7"/>
        <w:numPr>
          <w:ilvl w:val="0"/>
          <w:numId w:val="17"/>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在合约时间内，按照业主要求，完成初步设计文件和概算编制，并协助项目单位或招标人按规定报政府主管部门批准。</w:t>
      </w:r>
    </w:p>
    <w:p w14:paraId="0B165249">
      <w:pPr>
        <w:pStyle w:val="7"/>
        <w:numPr>
          <w:ilvl w:val="0"/>
          <w:numId w:val="17"/>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概算编制要求准确、全面，清单详尽，</w:t>
      </w:r>
      <w:r>
        <w:rPr>
          <w:rFonts w:hint="eastAsia" w:ascii="宋体" w:hAnsi="宋体" w:eastAsia="宋体" w:cs="宋体"/>
          <w:sz w:val="24"/>
          <w:szCs w:val="28"/>
          <w:lang w:val="en-US" w:eastAsia="zh-CN"/>
        </w:rPr>
        <w:t>符合可研阶段对应的建设规模和投资额，</w:t>
      </w:r>
      <w:r>
        <w:rPr>
          <w:rFonts w:hint="eastAsia" w:ascii="宋体" w:hAnsi="宋体" w:eastAsia="宋体" w:cs="宋体"/>
          <w:sz w:val="24"/>
          <w:szCs w:val="28"/>
        </w:rPr>
        <w:t>并能指导后期施工图设计。</w:t>
      </w:r>
    </w:p>
    <w:p w14:paraId="6FA66002">
      <w:pPr>
        <w:pStyle w:val="7"/>
        <w:numPr>
          <w:ilvl w:val="0"/>
          <w:numId w:val="17"/>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中标人如采用新技术、新材料、新工艺、新设备，且来源唯一或含有专利技术，或需要供应商研发的，则应在编制设计文件前告知招标人；一般材料选用和设备系统的设计，则应在初步设计阶段就提出有关技术参数及其建议的设备型号和规格。</w:t>
      </w:r>
    </w:p>
    <w:p w14:paraId="253E0866">
      <w:pPr>
        <w:pStyle w:val="7"/>
        <w:numPr>
          <w:ilvl w:val="0"/>
          <w:numId w:val="15"/>
        </w:numPr>
        <w:spacing w:line="360" w:lineRule="auto"/>
        <w:ind w:firstLineChars="0"/>
        <w:rPr>
          <w:rFonts w:hint="eastAsia" w:ascii="宋体" w:hAnsi="宋体" w:eastAsia="宋体" w:cs="宋体"/>
          <w:sz w:val="24"/>
          <w:szCs w:val="28"/>
        </w:rPr>
      </w:pPr>
      <w:bookmarkStart w:id="2" w:name="_Toc180850602"/>
      <w:r>
        <w:rPr>
          <w:rFonts w:hint="eastAsia" w:ascii="宋体" w:hAnsi="宋体" w:eastAsia="宋体" w:cs="宋体"/>
          <w:sz w:val="24"/>
          <w:szCs w:val="28"/>
        </w:rPr>
        <w:t>施工图及施工配合阶段</w:t>
      </w:r>
      <w:bookmarkEnd w:id="2"/>
    </w:p>
    <w:p w14:paraId="481312AA">
      <w:pPr>
        <w:pStyle w:val="7"/>
        <w:numPr>
          <w:ilvl w:val="0"/>
          <w:numId w:val="18"/>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提供完整的施工图图纸，积极配合业主做好施工图设计审查工作，根据审查意见修改。</w:t>
      </w:r>
    </w:p>
    <w:p w14:paraId="40061EDC">
      <w:pPr>
        <w:pStyle w:val="7"/>
        <w:numPr>
          <w:ilvl w:val="0"/>
          <w:numId w:val="18"/>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根据项目进度时间，及时参加项目技术交底，解决项目施工过程中的设计技术问题。</w:t>
      </w:r>
    </w:p>
    <w:p w14:paraId="4829AC8E">
      <w:pPr>
        <w:pStyle w:val="7"/>
        <w:numPr>
          <w:ilvl w:val="0"/>
          <w:numId w:val="18"/>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对业主及其他部门提出的合理化建议，在不违反国家相关规范的前提下积极采纳。</w:t>
      </w:r>
    </w:p>
    <w:p w14:paraId="35B80933">
      <w:pPr>
        <w:pStyle w:val="7"/>
        <w:numPr>
          <w:ilvl w:val="0"/>
          <w:numId w:val="18"/>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施工期间，根据项目施工进度和现场需要，及时参加项目各阶段分部分项验收，及时参加项目竣工验收。</w:t>
      </w:r>
    </w:p>
    <w:p w14:paraId="420B194E">
      <w:pPr>
        <w:pStyle w:val="7"/>
        <w:numPr>
          <w:ilvl w:val="0"/>
          <w:numId w:val="15"/>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设计要求及标准</w:t>
      </w:r>
    </w:p>
    <w:p w14:paraId="54807D0D">
      <w:pPr>
        <w:pStyle w:val="7"/>
        <w:numPr>
          <w:ilvl w:val="0"/>
          <w:numId w:val="19"/>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设计限额及标准：承包人承诺在不降低发包人要求的主要设计指标的前提下，本工程项目投资必须按照发包人的投资额度和要求严格控制设计限额，确保经业主审定的概算金额不超过批复的项目投资估算金额，经业主审定的预算金额不超过审定概算中的建安工程费（溶洞处理不可预见，超出估算造价部分另计）。</w:t>
      </w:r>
    </w:p>
    <w:p w14:paraId="6E5BAA70">
      <w:pPr>
        <w:pStyle w:val="7"/>
        <w:numPr>
          <w:ilvl w:val="0"/>
          <w:numId w:val="19"/>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方案设计、初步设计经建设单位审定后，由设计单位编制项目概算并配合概算评审。</w:t>
      </w:r>
    </w:p>
    <w:p w14:paraId="679A28EE">
      <w:pPr>
        <w:pStyle w:val="7"/>
        <w:numPr>
          <w:ilvl w:val="0"/>
          <w:numId w:val="19"/>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造价控制要求：本工程项目实行限额设计，中标价不得超项目投资估算，必须按照发包人的要求严格控制设计限额，确保经审定的概算金额不超过批复的项目投资估算金额，经审定的预算金额不超过审定概算中的建安工程费。承包单位依据其出具的设计图纸编制的概算超岀可研批复金额或预算超出审定概算，承包单位必须无偿重新调整或修改设计直至满足限额要求。</w:t>
      </w:r>
    </w:p>
    <w:p w14:paraId="009B5706">
      <w:pPr>
        <w:pStyle w:val="7"/>
        <w:numPr>
          <w:ilvl w:val="0"/>
          <w:numId w:val="1"/>
        </w:numPr>
        <w:ind w:firstLineChars="0"/>
        <w:rPr>
          <w:rFonts w:hint="eastAsia" w:ascii="宋体" w:hAnsi="宋体" w:eastAsia="宋体" w:cs="宋体"/>
          <w:sz w:val="24"/>
          <w:szCs w:val="28"/>
        </w:rPr>
      </w:pPr>
      <w:r>
        <w:rPr>
          <w:rFonts w:hint="eastAsia" w:ascii="宋体" w:hAnsi="宋体" w:eastAsia="宋体" w:cs="宋体"/>
          <w:sz w:val="24"/>
          <w:szCs w:val="28"/>
        </w:rPr>
        <w:t>设计成果文件要求</w:t>
      </w:r>
    </w:p>
    <w:p w14:paraId="5862BCC2">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设计成果应达到建设部颁发的《建筑工程设计文件编制深度规定》(2016年版)。</w:t>
      </w:r>
    </w:p>
    <w:p w14:paraId="0A5ACEEC">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设计文件应满足广州市、从化区各专业部门的要求，如规划、国土、消防、民防、环保、卫生、交委、交警等部门的报建报审报批要求。在项目报建阶段应满足建设单位报批各种手续的要求，分阶段提供所需的设计文件。</w:t>
      </w:r>
    </w:p>
    <w:p w14:paraId="74E658DD">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0BB2AB29">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装修设计应美观、实用，满足建筑使用相关技术要求。</w:t>
      </w:r>
    </w:p>
    <w:p w14:paraId="46C69D52">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设计费包含设计过程需要设计技术和设计变更论证的设计技术专家评审费。</w:t>
      </w:r>
    </w:p>
    <w:p w14:paraId="5A504A4E">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配合申办《施工许可证》和验收备案提交的设计单位及人员的资质和其他文件。</w:t>
      </w:r>
    </w:p>
    <w:p w14:paraId="5CE9F8B5">
      <w:pPr>
        <w:pStyle w:val="7"/>
        <w:numPr>
          <w:ilvl w:val="0"/>
          <w:numId w:val="20"/>
        </w:numPr>
        <w:spacing w:line="360" w:lineRule="auto"/>
        <w:ind w:firstLineChars="0"/>
        <w:rPr>
          <w:rFonts w:hint="eastAsia" w:ascii="宋体" w:hAnsi="宋体" w:eastAsia="宋体" w:cs="宋体"/>
          <w:sz w:val="24"/>
          <w:szCs w:val="28"/>
        </w:rPr>
      </w:pPr>
      <w:r>
        <w:rPr>
          <w:rFonts w:hint="eastAsia" w:ascii="宋体" w:hAnsi="宋体" w:eastAsia="宋体" w:cs="宋体"/>
          <w:sz w:val="24"/>
          <w:szCs w:val="28"/>
        </w:rPr>
        <w:t>实际设计团队人员架构必须是参与投标文件中核定人员，如有变换，必须有设计单位盖章公函的人员变动证明。</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86" w:bottom="1440" w:left="13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3954">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743B">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8823">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695E">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E05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AAFE">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79FF"/>
    <w:multiLevelType w:val="multilevel"/>
    <w:tmpl w:val="004879FF"/>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F94CDC"/>
    <w:multiLevelType w:val="multilevel"/>
    <w:tmpl w:val="01F94CD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7323649"/>
    <w:multiLevelType w:val="multilevel"/>
    <w:tmpl w:val="07323649"/>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8E73B37"/>
    <w:multiLevelType w:val="multilevel"/>
    <w:tmpl w:val="08E73B3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9693B95"/>
    <w:multiLevelType w:val="multilevel"/>
    <w:tmpl w:val="09693B9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D5F37E6"/>
    <w:multiLevelType w:val="multilevel"/>
    <w:tmpl w:val="0D5F37E6"/>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0F6252F4"/>
    <w:multiLevelType w:val="multilevel"/>
    <w:tmpl w:val="0F6252F4"/>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8AC07E2"/>
    <w:multiLevelType w:val="multilevel"/>
    <w:tmpl w:val="28AC07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370FC6"/>
    <w:multiLevelType w:val="multilevel"/>
    <w:tmpl w:val="2B370FC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7003247"/>
    <w:multiLevelType w:val="multilevel"/>
    <w:tmpl w:val="37003247"/>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377F3FBF"/>
    <w:multiLevelType w:val="multilevel"/>
    <w:tmpl w:val="377F3FBF"/>
    <w:lvl w:ilvl="0" w:tentative="0">
      <w:start w:val="1"/>
      <w:numFmt w:val="upp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3B8052CD"/>
    <w:multiLevelType w:val="multilevel"/>
    <w:tmpl w:val="3B8052C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00947BF"/>
    <w:multiLevelType w:val="multilevel"/>
    <w:tmpl w:val="400947B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06B0D25"/>
    <w:multiLevelType w:val="multilevel"/>
    <w:tmpl w:val="406B0D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071AE7"/>
    <w:multiLevelType w:val="multilevel"/>
    <w:tmpl w:val="43071AE7"/>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5">
    <w:nsid w:val="57424E59"/>
    <w:multiLevelType w:val="multilevel"/>
    <w:tmpl w:val="57424E59"/>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65D6225C"/>
    <w:multiLevelType w:val="multilevel"/>
    <w:tmpl w:val="65D6225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7114AF4"/>
    <w:multiLevelType w:val="multilevel"/>
    <w:tmpl w:val="67114A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7840DEF"/>
    <w:multiLevelType w:val="multilevel"/>
    <w:tmpl w:val="67840DE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B0E54B7"/>
    <w:multiLevelType w:val="multilevel"/>
    <w:tmpl w:val="6B0E54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7"/>
  </w:num>
  <w:num w:numId="3">
    <w:abstractNumId w:val="17"/>
  </w:num>
  <w:num w:numId="4">
    <w:abstractNumId w:val="19"/>
  </w:num>
  <w:num w:numId="5">
    <w:abstractNumId w:val="13"/>
  </w:num>
  <w:num w:numId="6">
    <w:abstractNumId w:val="0"/>
  </w:num>
  <w:num w:numId="7">
    <w:abstractNumId w:val="3"/>
  </w:num>
  <w:num w:numId="8">
    <w:abstractNumId w:val="11"/>
  </w:num>
  <w:num w:numId="9">
    <w:abstractNumId w:val="6"/>
  </w:num>
  <w:num w:numId="10">
    <w:abstractNumId w:val="8"/>
  </w:num>
  <w:num w:numId="11">
    <w:abstractNumId w:val="1"/>
  </w:num>
  <w:num w:numId="12">
    <w:abstractNumId w:val="18"/>
  </w:num>
  <w:num w:numId="13">
    <w:abstractNumId w:val="4"/>
  </w:num>
  <w:num w:numId="14">
    <w:abstractNumId w:val="12"/>
  </w:num>
  <w:num w:numId="15">
    <w:abstractNumId w:val="10"/>
  </w:num>
  <w:num w:numId="16">
    <w:abstractNumId w:val="15"/>
  </w:num>
  <w:num w:numId="17">
    <w:abstractNumId w:val="5"/>
  </w:num>
  <w:num w:numId="18">
    <w:abstractNumId w:val="14"/>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52C7E32"/>
    <w:rsid w:val="2226474F"/>
    <w:rsid w:val="437E5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微软雅黑" w:hAnsi="微软雅黑" w:eastAsia="微软雅黑"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1"/>
    <w:qFormat/>
    <w:uiPriority w:val="10"/>
    <w:pPr>
      <w:spacing w:before="240" w:after="60"/>
      <w:jc w:val="center"/>
      <w:outlineLvl w:val="0"/>
    </w:pPr>
    <w:rPr>
      <w:rFonts w:ascii="等线 Light" w:hAnsi="等线 Light" w:eastAsia="等线 Light"/>
      <w:b/>
      <w:bCs/>
      <w:sz w:val="32"/>
      <w:szCs w:val="32"/>
    </w:rPr>
  </w:style>
  <w:style w:type="paragraph" w:customStyle="1" w:styleId="7">
    <w:name w:val="List Paragraph"/>
    <w:basedOn w:val="1"/>
    <w:qFormat/>
    <w:uiPriority w:val="34"/>
  </w:style>
  <w:style w:type="paragraph" w:customStyle="1" w:styleId="8">
    <w:name w:val="ds-markdown-paragraph"/>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标题 字符"/>
    <w:basedOn w:val="6"/>
    <w:link w:val="4"/>
    <w:qFormat/>
    <w:uiPriority w:val="10"/>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6302</Words>
  <Characters>6364</Characters>
  <Lines>123</Lines>
  <Paragraphs>141</Paragraphs>
  <TotalTime>1</TotalTime>
  <ScaleCrop>false</ScaleCrop>
  <LinksUpToDate>false</LinksUpToDate>
  <CharactersWithSpaces>6365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2025-09-18T09:42:00Z</dcterms:created>
  <dc:creator>Administrator</dc:creator>
  <cp:lastModifiedBy>Administrator</cp:lastModifiedBy>
  <dcterms:modified xsi:type="dcterms:W3CDTF">2025-11-24T15:49:42Z</dcterms:modified>
  <dc:title>设计任务书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eyJoZGlkIjoiNGY0OGIzOGViNWQ3MjRhMDBmZGMzYTg4YmEyMjY2NDUiLCJ1c2VySWQiOiI0NTczMzkwNjkifQ==</vt:lpwstr>
  </property>
  <property fmtid="{D5CDD505-2E9C-101B-9397-08002B2CF9AE}" pid="4" name="ICV">
    <vt:lpwstr>FF0D7006623540DE8F8D0F6E1A68C354_12</vt:lpwstr>
  </property>
</Properties>
</file>