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9E5C9">
      <w:pPr>
        <w:autoSpaceDE w:val="0"/>
        <w:autoSpaceDN w:val="0"/>
        <w:spacing w:before="11" w:line="264" w:lineRule="auto"/>
        <w:ind w:left="222" w:right="228"/>
        <w:jc w:val="center"/>
        <w:rPr>
          <w:rFonts w:hint="eastAsia" w:ascii="宋体" w:hAnsi="宋体" w:eastAsia="宋体" w:cs="宋体"/>
          <w:b/>
          <w:color w:val="000000" w:themeColor="text1"/>
          <w:spacing w:val="-3"/>
          <w:sz w:val="30"/>
          <w:szCs w:val="30"/>
          <w:highlight w:val="none"/>
          <w:lang w:bidi="ar"/>
          <w14:textFill>
            <w14:solidFill>
              <w14:schemeClr w14:val="tx1"/>
            </w14:solidFill>
          </w14:textFill>
        </w:rPr>
      </w:pPr>
      <w:r>
        <w:rPr>
          <w:rFonts w:hint="eastAsia" w:ascii="宋体" w:hAnsi="宋体" w:eastAsia="宋体" w:cs="宋体"/>
          <w:b/>
          <w:color w:val="000000" w:themeColor="text1"/>
          <w:spacing w:val="-3"/>
          <w:sz w:val="30"/>
          <w:szCs w:val="30"/>
          <w:highlight w:val="none"/>
          <w:lang w:bidi="ar"/>
          <w14:textFill>
            <w14:solidFill>
              <w14:schemeClr w14:val="tx1"/>
            </w14:solidFill>
          </w14:textFill>
        </w:rPr>
        <w:t>增城区永宁街110kV新庙乙线迁改工程勘察设计（项目编号：JG2025-5054）</w:t>
      </w:r>
    </w:p>
    <w:p w14:paraId="148B502C">
      <w:pPr>
        <w:autoSpaceDE w:val="0"/>
        <w:autoSpaceDN w:val="0"/>
        <w:spacing w:before="11" w:line="264" w:lineRule="auto"/>
        <w:ind w:left="222" w:right="228"/>
        <w:jc w:val="center"/>
        <w:rPr>
          <w:rFonts w:ascii="Calibri" w:hAnsi="Calibri" w:eastAsia="宋体" w:cs="Times New Roman"/>
          <w:b/>
          <w:color w:val="000000" w:themeColor="text1"/>
          <w:sz w:val="30"/>
          <w:szCs w:val="30"/>
          <w:highlight w:val="none"/>
          <w14:textFill>
            <w14:solidFill>
              <w14:schemeClr w14:val="tx1"/>
            </w14:solidFill>
          </w14:textFill>
        </w:rPr>
      </w:pPr>
      <w:bookmarkStart w:id="5" w:name="_GoBack"/>
      <w:bookmarkEnd w:id="5"/>
      <w:r>
        <w:rPr>
          <w:rFonts w:hint="eastAsia" w:ascii="宋体" w:hAnsi="宋体" w:eastAsia="宋体" w:cs="宋体"/>
          <w:b/>
          <w:color w:val="000000" w:themeColor="text1"/>
          <w:spacing w:val="-4"/>
          <w:kern w:val="0"/>
          <w:sz w:val="30"/>
          <w:szCs w:val="30"/>
          <w:highlight w:val="none"/>
          <w:lang w:bidi="ar"/>
          <w14:textFill>
            <w14:solidFill>
              <w14:schemeClr w14:val="tx1"/>
            </w14:solidFill>
          </w14:textFill>
        </w:rPr>
        <w:t>补充公告</w:t>
      </w:r>
    </w:p>
    <w:p w14:paraId="24F5AC17">
      <w:pPr>
        <w:pStyle w:val="2"/>
        <w:widowControl/>
        <w:spacing w:before="0" w:line="360" w:lineRule="auto"/>
        <w:ind w:left="0" w:right="232"/>
        <w:jc w:val="both"/>
        <w:rPr>
          <w:rFonts w:hint="default" w:cs="宋体"/>
          <w:b w:val="0"/>
          <w:bCs/>
          <w:color w:val="000000" w:themeColor="text1"/>
          <w:highlight w:val="none"/>
          <w14:textFill>
            <w14:solidFill>
              <w14:schemeClr w14:val="tx1"/>
            </w14:solidFill>
          </w14:textFill>
        </w:rPr>
      </w:pPr>
      <w:r>
        <w:rPr>
          <w:rFonts w:cs="宋体"/>
          <w:b w:val="0"/>
          <w:bCs/>
          <w:color w:val="000000" w:themeColor="text1"/>
          <w:highlight w:val="none"/>
          <w14:textFill>
            <w14:solidFill>
              <w14:schemeClr w14:val="tx1"/>
            </w14:solidFill>
          </w14:textFill>
        </w:rPr>
        <w:t xml:space="preserve"> </w:t>
      </w:r>
    </w:p>
    <w:p w14:paraId="1EF241E6">
      <w:pPr>
        <w:pStyle w:val="2"/>
        <w:widowControl/>
        <w:spacing w:before="0" w:line="360" w:lineRule="auto"/>
        <w:ind w:left="0" w:right="232"/>
        <w:jc w:val="both"/>
        <w:rPr>
          <w:rFonts w:hint="default" w:cs="宋体"/>
          <w:b w:val="0"/>
          <w:bCs/>
          <w:color w:val="000000" w:themeColor="text1"/>
          <w:highlight w:val="none"/>
          <w14:textFill>
            <w14:solidFill>
              <w14:schemeClr w14:val="tx1"/>
            </w14:solidFill>
          </w14:textFill>
        </w:rPr>
      </w:pPr>
      <w:r>
        <w:rPr>
          <w:rFonts w:cs="宋体"/>
          <w:b w:val="0"/>
          <w:bCs/>
          <w:color w:val="000000" w:themeColor="text1"/>
          <w:highlight w:val="none"/>
          <w14:textFill>
            <w14:solidFill>
              <w14:schemeClr w14:val="tx1"/>
            </w14:solidFill>
          </w14:textFill>
        </w:rPr>
        <w:t>各相关单位：</w:t>
      </w:r>
    </w:p>
    <w:p w14:paraId="7EC900D8">
      <w:pPr>
        <w:pStyle w:val="2"/>
        <w:widowControl/>
        <w:spacing w:before="0" w:line="360" w:lineRule="auto"/>
        <w:ind w:left="0" w:right="232" w:firstLine="480" w:firstLineChars="200"/>
        <w:jc w:val="both"/>
        <w:rPr>
          <w:rFonts w:hint="default" w:cs="宋体"/>
          <w:b w:val="0"/>
          <w:bCs/>
          <w:color w:val="000000" w:themeColor="text1"/>
          <w:highlight w:val="none"/>
          <w14:textFill>
            <w14:solidFill>
              <w14:schemeClr w14:val="tx1"/>
            </w14:solidFill>
          </w14:textFill>
        </w:rPr>
      </w:pPr>
      <w:r>
        <w:rPr>
          <w:rFonts w:cs="宋体"/>
          <w:b w:val="0"/>
          <w:bCs/>
          <w:color w:val="000000" w:themeColor="text1"/>
          <w:highlight w:val="none"/>
          <w:u w:val="single"/>
          <w14:textFill>
            <w14:solidFill>
              <w14:schemeClr w14:val="tx1"/>
            </w14:solidFill>
          </w14:textFill>
        </w:rPr>
        <w:t>增城区永宁街110kV新庙乙线迁改工程勘察设计（项目编号：JG2025-5054）</w:t>
      </w:r>
      <w:r>
        <w:rPr>
          <w:rFonts w:cs="宋体"/>
          <w:b w:val="0"/>
          <w:bCs/>
          <w:color w:val="000000" w:themeColor="text1"/>
          <w:highlight w:val="none"/>
          <w14:textFill>
            <w14:solidFill>
              <w14:schemeClr w14:val="tx1"/>
            </w14:solidFill>
          </w14:textFill>
        </w:rPr>
        <w:t>于2025年11月6日在广州公共资源交易中心网、广东省招标投标监管网、中国招标投标公共服务平台、广州市增城区人民政府门户网上发布招标公告，现对原招标文件相关内容调整如下：</w:t>
      </w:r>
    </w:p>
    <w:p w14:paraId="660F0B6C">
      <w:pPr>
        <w:pStyle w:val="2"/>
        <w:widowControl/>
        <w:spacing w:before="0" w:line="360" w:lineRule="auto"/>
        <w:ind w:left="0" w:right="232" w:firstLine="482" w:firstLineChars="200"/>
        <w:jc w:val="both"/>
        <w:rPr>
          <w:rFonts w:hint="default"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一、对招标文件第三章评标、定标办法“评标办法前附表”《商务文件评分标准》进行修改</w:t>
      </w:r>
      <w:r>
        <w:rPr>
          <w:rFonts w:hint="eastAsia" w:cs="宋体"/>
          <w:color w:val="000000" w:themeColor="text1"/>
          <w:highlight w:val="none"/>
          <w:lang w:eastAsia="zh-CN"/>
          <w14:textFill>
            <w14:solidFill>
              <w14:schemeClr w14:val="tx1"/>
            </w14:solidFill>
          </w14:textFill>
        </w:rPr>
        <w:t>：</w:t>
      </w:r>
    </w:p>
    <w:tbl>
      <w:tblPr>
        <w:tblStyle w:val="10"/>
        <w:tblW w:w="13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38"/>
        <w:gridCol w:w="918"/>
        <w:gridCol w:w="1056"/>
        <w:gridCol w:w="3842"/>
        <w:gridCol w:w="995"/>
        <w:gridCol w:w="964"/>
        <w:gridCol w:w="3643"/>
      </w:tblGrid>
      <w:tr w14:paraId="2EC1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2775C98F">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b/>
                <w:bCs/>
                <w:color w:val="000000" w:themeColor="text1"/>
                <w:spacing w:val="4"/>
                <w:kern w:val="0"/>
                <w:szCs w:val="21"/>
                <w:highlight w:val="none"/>
                <w14:textFill>
                  <w14:solidFill>
                    <w14:schemeClr w14:val="tx1"/>
                  </w14:solidFill>
                </w14:textFill>
              </w:rPr>
            </w:pPr>
            <w:r>
              <w:rPr>
                <w:rFonts w:hint="eastAsia" w:ascii="宋体" w:hAnsi="宋体" w:eastAsia="宋体" w:cs="宋体"/>
                <w:b/>
                <w:bCs/>
                <w:color w:val="000000" w:themeColor="text1"/>
                <w:spacing w:val="4"/>
                <w:kern w:val="0"/>
                <w:szCs w:val="21"/>
                <w:highlight w:val="none"/>
                <w:lang w:bidi="ar"/>
                <w14:textFill>
                  <w14:solidFill>
                    <w14:schemeClr w14:val="tx1"/>
                  </w14:solidFill>
                </w14:textFill>
              </w:rPr>
              <w:t>序号</w:t>
            </w:r>
          </w:p>
        </w:tc>
        <w:tc>
          <w:tcPr>
            <w:tcW w:w="1638" w:type="dxa"/>
            <w:tcBorders>
              <w:top w:val="single" w:color="auto" w:sz="4" w:space="0"/>
              <w:left w:val="nil"/>
              <w:bottom w:val="single" w:color="auto" w:sz="4" w:space="0"/>
              <w:right w:val="single" w:color="auto" w:sz="4" w:space="0"/>
            </w:tcBorders>
            <w:shd w:val="clear" w:color="auto" w:fill="auto"/>
            <w:vAlign w:val="center"/>
          </w:tcPr>
          <w:p w14:paraId="03149771">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b/>
                <w:bCs/>
                <w:color w:val="000000" w:themeColor="text1"/>
                <w:spacing w:val="4"/>
                <w:kern w:val="0"/>
                <w:szCs w:val="21"/>
                <w:highlight w:val="none"/>
                <w14:textFill>
                  <w14:solidFill>
                    <w14:schemeClr w14:val="tx1"/>
                  </w14:solidFill>
                </w14:textFill>
              </w:rPr>
            </w:pPr>
            <w:r>
              <w:rPr>
                <w:rFonts w:hint="eastAsia" w:ascii="宋体" w:hAnsi="宋体" w:eastAsia="宋体" w:cs="宋体"/>
                <w:b/>
                <w:bCs/>
                <w:color w:val="000000" w:themeColor="text1"/>
                <w:spacing w:val="4"/>
                <w:kern w:val="0"/>
                <w:szCs w:val="21"/>
                <w:highlight w:val="none"/>
                <w:lang w:bidi="ar"/>
                <w14:textFill>
                  <w14:solidFill>
                    <w14:schemeClr w14:val="tx1"/>
                  </w14:solidFill>
                </w14:textFill>
              </w:rPr>
              <w:t>修改条款</w:t>
            </w:r>
          </w:p>
        </w:tc>
        <w:tc>
          <w:tcPr>
            <w:tcW w:w="5816" w:type="dxa"/>
            <w:gridSpan w:val="3"/>
            <w:tcBorders>
              <w:top w:val="single" w:color="auto" w:sz="4" w:space="0"/>
              <w:left w:val="nil"/>
              <w:bottom w:val="single" w:color="auto" w:sz="4" w:space="0"/>
              <w:right w:val="single" w:color="auto" w:sz="4" w:space="0"/>
            </w:tcBorders>
            <w:shd w:val="clear" w:color="auto" w:fill="auto"/>
            <w:vAlign w:val="center"/>
          </w:tcPr>
          <w:p w14:paraId="7B44022B">
            <w:pPr>
              <w:pStyle w:val="9"/>
              <w:keepNext w:val="0"/>
              <w:keepLines w:val="0"/>
              <w:pageBreakBefore w:val="0"/>
              <w:widowControl w:val="0"/>
              <w:wordWrap/>
              <w:topLinePunct w:val="0"/>
              <w:bidi w:val="0"/>
              <w:adjustRightInd/>
              <w:snapToGrid/>
              <w:spacing w:line="240" w:lineRule="auto"/>
              <w:jc w:val="center"/>
              <w:textAlignment w:val="auto"/>
              <w:rPr>
                <w:rFonts w:hint="default"/>
                <w:b/>
                <w:bCs/>
                <w:color w:val="000000" w:themeColor="text1"/>
                <w:spacing w:val="4"/>
                <w:sz w:val="21"/>
                <w:szCs w:val="21"/>
                <w:highlight w:val="none"/>
                <w14:textFill>
                  <w14:solidFill>
                    <w14:schemeClr w14:val="tx1"/>
                  </w14:solidFill>
                </w14:textFill>
              </w:rPr>
            </w:pPr>
            <w:r>
              <w:rPr>
                <w:rFonts w:cs="宋体"/>
                <w:b/>
                <w:bCs/>
                <w:color w:val="000000" w:themeColor="text1"/>
                <w:spacing w:val="4"/>
                <w:sz w:val="21"/>
                <w:szCs w:val="21"/>
                <w:highlight w:val="none"/>
                <w:lang w:bidi="ar"/>
                <w14:textFill>
                  <w14:solidFill>
                    <w14:schemeClr w14:val="tx1"/>
                  </w14:solidFill>
                </w14:textFill>
              </w:rPr>
              <w:t>原文</w:t>
            </w:r>
          </w:p>
        </w:tc>
        <w:tc>
          <w:tcPr>
            <w:tcW w:w="5602" w:type="dxa"/>
            <w:gridSpan w:val="3"/>
            <w:tcBorders>
              <w:top w:val="single" w:color="auto" w:sz="4" w:space="0"/>
              <w:left w:val="nil"/>
              <w:bottom w:val="single" w:color="auto" w:sz="4" w:space="0"/>
              <w:right w:val="single" w:color="auto" w:sz="4" w:space="0"/>
            </w:tcBorders>
            <w:shd w:val="clear" w:color="auto" w:fill="auto"/>
            <w:vAlign w:val="center"/>
          </w:tcPr>
          <w:p w14:paraId="62FBE12C">
            <w:pPr>
              <w:pStyle w:val="9"/>
              <w:keepNext w:val="0"/>
              <w:keepLines w:val="0"/>
              <w:pageBreakBefore w:val="0"/>
              <w:widowControl w:val="0"/>
              <w:wordWrap/>
              <w:topLinePunct w:val="0"/>
              <w:bidi w:val="0"/>
              <w:adjustRightInd/>
              <w:snapToGrid/>
              <w:spacing w:line="240" w:lineRule="auto"/>
              <w:ind w:firstLine="105"/>
              <w:jc w:val="center"/>
              <w:textAlignment w:val="auto"/>
              <w:rPr>
                <w:rFonts w:hint="default"/>
                <w:b/>
                <w:bCs/>
                <w:color w:val="000000" w:themeColor="text1"/>
                <w:spacing w:val="4"/>
                <w:sz w:val="21"/>
                <w:szCs w:val="21"/>
                <w:highlight w:val="none"/>
                <w14:textFill>
                  <w14:solidFill>
                    <w14:schemeClr w14:val="tx1"/>
                  </w14:solidFill>
                </w14:textFill>
              </w:rPr>
            </w:pPr>
            <w:r>
              <w:rPr>
                <w:rFonts w:cs="宋体"/>
                <w:b/>
                <w:bCs/>
                <w:color w:val="000000" w:themeColor="text1"/>
                <w:spacing w:val="4"/>
                <w:sz w:val="21"/>
                <w:szCs w:val="21"/>
                <w:highlight w:val="none"/>
                <w:lang w:bidi="ar"/>
                <w14:textFill>
                  <w14:solidFill>
                    <w14:schemeClr w14:val="tx1"/>
                  </w14:solidFill>
                </w14:textFill>
              </w:rPr>
              <w:t>现文</w:t>
            </w:r>
          </w:p>
        </w:tc>
      </w:tr>
      <w:tr w14:paraId="76B5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673" w:type="dxa"/>
            <w:vMerge w:val="restart"/>
            <w:tcBorders>
              <w:top w:val="single" w:color="auto" w:sz="4" w:space="0"/>
              <w:left w:val="single" w:color="auto" w:sz="4" w:space="0"/>
              <w:right w:val="single" w:color="auto" w:sz="4" w:space="0"/>
            </w:tcBorders>
            <w:shd w:val="clear" w:color="auto" w:fill="auto"/>
            <w:vAlign w:val="center"/>
          </w:tcPr>
          <w:p w14:paraId="711DB284">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p>
        </w:tc>
        <w:tc>
          <w:tcPr>
            <w:tcW w:w="1638" w:type="dxa"/>
            <w:vMerge w:val="restart"/>
            <w:tcBorders>
              <w:top w:val="single" w:color="auto" w:sz="4" w:space="0"/>
              <w:left w:val="nil"/>
              <w:right w:val="single" w:color="auto" w:sz="4" w:space="0"/>
            </w:tcBorders>
            <w:shd w:val="clear" w:color="auto" w:fill="auto"/>
            <w:vAlign w:val="center"/>
          </w:tcPr>
          <w:p w14:paraId="3A282020">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r>
              <w:rPr>
                <w:rFonts w:cs="宋体"/>
                <w:color w:val="000000" w:themeColor="text1"/>
                <w:spacing w:val="4"/>
                <w:sz w:val="21"/>
                <w:szCs w:val="21"/>
                <w:highlight w:val="none"/>
                <w:lang w:bidi="ar"/>
                <w14:textFill>
                  <w14:solidFill>
                    <w14:schemeClr w14:val="tx1"/>
                  </w14:solidFill>
                </w14:textFill>
              </w:rPr>
              <w:t>原招标文件第三章评标、定标办法“评标办法前附表”《</w:t>
            </w:r>
            <w:r>
              <w:rPr>
                <w:rFonts w:cs="宋体"/>
                <w:color w:val="000000" w:themeColor="text1"/>
                <w:sz w:val="21"/>
                <w:szCs w:val="21"/>
                <w:highlight w:val="none"/>
                <w:lang w:bidi="ar"/>
                <w14:textFill>
                  <w14:solidFill>
                    <w14:schemeClr w14:val="tx1"/>
                  </w14:solidFill>
                </w14:textFill>
              </w:rPr>
              <w:t>商务文件评分</w:t>
            </w:r>
            <w:r>
              <w:rPr>
                <w:rFonts w:cs="宋体"/>
                <w:color w:val="000000" w:themeColor="text1"/>
                <w:spacing w:val="-3"/>
                <w:sz w:val="21"/>
                <w:szCs w:val="21"/>
                <w:highlight w:val="none"/>
                <w:lang w:bidi="ar"/>
                <w14:textFill>
                  <w14:solidFill>
                    <w14:schemeClr w14:val="tx1"/>
                  </w14:solidFill>
                </w14:textFill>
              </w:rPr>
              <w:t>标</w:t>
            </w:r>
            <w:r>
              <w:rPr>
                <w:rFonts w:cs="宋体"/>
                <w:color w:val="000000" w:themeColor="text1"/>
                <w:sz w:val="21"/>
                <w:szCs w:val="21"/>
                <w:highlight w:val="none"/>
                <w:lang w:bidi="ar"/>
                <w14:textFill>
                  <w14:solidFill>
                    <w14:schemeClr w14:val="tx1"/>
                  </w14:solidFill>
                </w14:textFill>
              </w:rPr>
              <w:t>准》关于“类似项目（55分）”的评分因素和评分标准</w:t>
            </w:r>
          </w:p>
        </w:tc>
        <w:tc>
          <w:tcPr>
            <w:tcW w:w="1974" w:type="dxa"/>
            <w:gridSpan w:val="2"/>
            <w:tcBorders>
              <w:top w:val="single" w:color="auto" w:sz="4" w:space="0"/>
              <w:left w:val="nil"/>
              <w:bottom w:val="single" w:color="auto" w:sz="4" w:space="0"/>
              <w:right w:val="single" w:color="auto" w:sz="4" w:space="0"/>
            </w:tcBorders>
            <w:shd w:val="clear" w:color="auto" w:fill="auto"/>
            <w:vAlign w:val="center"/>
          </w:tcPr>
          <w:p w14:paraId="1388C13B">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7A02E277">
            <w:pPr>
              <w:keepNext w:val="0"/>
              <w:keepLines w:val="0"/>
              <w:pageBreakBefore w:val="0"/>
              <w:widowControl w:val="0"/>
              <w:wordWrap/>
              <w:topLinePunct w:val="0"/>
              <w:bidi w:val="0"/>
              <w:adjustRightInd/>
              <w:snapToGrid/>
              <w:spacing w:line="240" w:lineRule="auto"/>
              <w:jc w:val="center"/>
              <w:textAlignment w:val="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c>
          <w:tcPr>
            <w:tcW w:w="1959" w:type="dxa"/>
            <w:gridSpan w:val="2"/>
            <w:tcBorders>
              <w:top w:val="single" w:color="auto" w:sz="4" w:space="0"/>
              <w:left w:val="nil"/>
              <w:right w:val="single" w:color="auto" w:sz="4" w:space="0"/>
            </w:tcBorders>
            <w:shd w:val="clear" w:color="auto" w:fill="auto"/>
            <w:vAlign w:val="center"/>
          </w:tcPr>
          <w:p w14:paraId="5C1FA718">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643" w:type="dxa"/>
            <w:tcBorders>
              <w:top w:val="single" w:color="auto" w:sz="4" w:space="0"/>
              <w:left w:val="single" w:color="auto" w:sz="4" w:space="0"/>
              <w:right w:val="single" w:color="auto" w:sz="4" w:space="0"/>
            </w:tcBorders>
            <w:shd w:val="clear" w:color="auto" w:fill="auto"/>
            <w:vAlign w:val="center"/>
          </w:tcPr>
          <w:p w14:paraId="4268D4F9">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r>
      <w:tr w14:paraId="166D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425F9EC3">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p>
        </w:tc>
        <w:tc>
          <w:tcPr>
            <w:tcW w:w="1638" w:type="dxa"/>
            <w:vMerge w:val="continue"/>
            <w:tcBorders>
              <w:left w:val="nil"/>
              <w:bottom w:val="single" w:color="auto" w:sz="4" w:space="0"/>
              <w:right w:val="single" w:color="auto" w:sz="4" w:space="0"/>
            </w:tcBorders>
            <w:shd w:val="clear" w:color="auto" w:fill="auto"/>
            <w:vAlign w:val="center"/>
          </w:tcPr>
          <w:p w14:paraId="158C83D3">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p>
        </w:tc>
        <w:tc>
          <w:tcPr>
            <w:tcW w:w="918" w:type="dxa"/>
            <w:vMerge w:val="restart"/>
            <w:tcBorders>
              <w:top w:val="single" w:color="auto" w:sz="4" w:space="0"/>
              <w:left w:val="nil"/>
              <w:right w:val="single" w:color="auto" w:sz="4" w:space="0"/>
            </w:tcBorders>
            <w:shd w:val="clear" w:color="auto" w:fill="auto"/>
            <w:vAlign w:val="center"/>
          </w:tcPr>
          <w:p w14:paraId="7DA97274">
            <w:pPr>
              <w:pStyle w:val="17"/>
              <w:keepNext w:val="0"/>
              <w:keepLines w:val="0"/>
              <w:pageBreakBefore w:val="0"/>
              <w:widowControl w:val="0"/>
              <w:kinsoku w:val="0"/>
              <w:wordWrap/>
              <w:overflowPunct w:val="0"/>
              <w:topLinePunct w:val="0"/>
              <w:bidi w:val="0"/>
              <w:adjustRightInd/>
              <w:snapToGrid/>
              <w:spacing w:before="14" w:line="24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类似项目（55分）</w:t>
            </w:r>
          </w:p>
        </w:tc>
        <w:tc>
          <w:tcPr>
            <w:tcW w:w="1056" w:type="dxa"/>
            <w:tcBorders>
              <w:top w:val="single" w:color="auto" w:sz="4" w:space="0"/>
              <w:left w:val="single" w:color="auto" w:sz="4" w:space="0"/>
              <w:right w:val="single" w:color="auto" w:sz="4" w:space="0"/>
            </w:tcBorders>
            <w:shd w:val="clear" w:color="auto" w:fill="auto"/>
            <w:vAlign w:val="center"/>
          </w:tcPr>
          <w:p w14:paraId="63475A77">
            <w:pPr>
              <w:keepNext w:val="0"/>
              <w:keepLines w:val="0"/>
              <w:pageBreakBefore w:val="0"/>
              <w:widowControl w:val="0"/>
              <w:wordWrap/>
              <w:topLinePunct w:val="0"/>
              <w:bidi w:val="0"/>
              <w:adjustRightInd/>
              <w:snapToGrid/>
              <w:spacing w:line="240" w:lineRule="auto"/>
              <w:jc w:val="center"/>
              <w:textAlignment w:val="auto"/>
              <w:rPr>
                <w:rFonts w:ascii="宋体" w:hAnsi="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企业类似业绩（30分）</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03FB714F">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2020年1月1日至今类似业绩：有类似业绩的，每项得 5 分，最多得30分。</w:t>
            </w:r>
          </w:p>
          <w:p w14:paraId="798A5984">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注：业绩时间以竣工报告为准。</w:t>
            </w:r>
          </w:p>
        </w:tc>
        <w:tc>
          <w:tcPr>
            <w:tcW w:w="1959" w:type="dxa"/>
            <w:gridSpan w:val="2"/>
            <w:tcBorders>
              <w:left w:val="nil"/>
              <w:right w:val="single" w:color="auto" w:sz="4" w:space="0"/>
            </w:tcBorders>
            <w:shd w:val="clear" w:color="auto" w:fill="auto"/>
            <w:vAlign w:val="center"/>
          </w:tcPr>
          <w:p w14:paraId="5C57C493">
            <w:pPr>
              <w:keepNext w:val="0"/>
              <w:keepLines w:val="0"/>
              <w:pageBreakBefore w:val="0"/>
              <w:widowControl w:val="0"/>
              <w:wordWrap/>
              <w:topLinePunct w:val="0"/>
              <w:autoSpaceDE w:val="0"/>
              <w:autoSpaceDN w:val="0"/>
              <w:bidi w:val="0"/>
              <w:adjustRightInd/>
              <w:snapToGrid/>
              <w:spacing w:line="240" w:lineRule="auto"/>
              <w:jc w:val="center"/>
              <w:textAlignment w:val="auto"/>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投标形式</w:t>
            </w:r>
          </w:p>
          <w:p w14:paraId="2AC7A350">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5</w:t>
            </w:r>
            <w:r>
              <w:rPr>
                <w:rFonts w:hint="eastAsia" w:ascii="宋体" w:hAnsi="宋体" w:cs="宋体"/>
                <w:color w:val="000000" w:themeColor="text1"/>
                <w:kern w:val="0"/>
                <w:szCs w:val="21"/>
                <w:highlight w:val="none"/>
                <w:lang w:bidi="ar"/>
                <w14:textFill>
                  <w14:solidFill>
                    <w14:schemeClr w14:val="tx1"/>
                  </w14:solidFill>
                </w14:textFill>
              </w:rPr>
              <w:t>分）</w:t>
            </w:r>
          </w:p>
        </w:tc>
        <w:tc>
          <w:tcPr>
            <w:tcW w:w="3643" w:type="dxa"/>
            <w:tcBorders>
              <w:left w:val="single" w:color="auto" w:sz="4" w:space="0"/>
              <w:right w:val="single" w:color="auto" w:sz="4" w:space="0"/>
            </w:tcBorders>
            <w:shd w:val="clear" w:color="auto" w:fill="auto"/>
            <w:vAlign w:val="center"/>
          </w:tcPr>
          <w:p w14:paraId="397B3B48">
            <w:pPr>
              <w:keepNext w:val="0"/>
              <w:keepLines w:val="0"/>
              <w:pageBreakBefore w:val="0"/>
              <w:widowControl w:val="0"/>
              <w:wordWrap/>
              <w:topLinePunct w:val="0"/>
              <w:bidi w:val="0"/>
              <w:adjustRightInd/>
              <w:snapToGrid/>
              <w:spacing w:line="240" w:lineRule="auto"/>
              <w:jc w:val="left"/>
              <w:textAlignment w:val="auto"/>
              <w:rPr>
                <w:rFonts w:hint="eastAsia" w:ascii="宋体" w:hAnsi="宋体" w:cs="宋体" w:eastAsiaTheme="minorEastAsia"/>
                <w:color w:val="000000" w:themeColor="text1"/>
                <w:spacing w:val="4"/>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投标人为独立投标的得</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分，联合体投标的得</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分</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7F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605889D6">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p>
        </w:tc>
        <w:tc>
          <w:tcPr>
            <w:tcW w:w="1638" w:type="dxa"/>
            <w:vMerge w:val="continue"/>
            <w:tcBorders>
              <w:left w:val="nil"/>
              <w:bottom w:val="single" w:color="auto" w:sz="4" w:space="0"/>
              <w:right w:val="single" w:color="auto" w:sz="4" w:space="0"/>
            </w:tcBorders>
            <w:shd w:val="clear" w:color="auto" w:fill="auto"/>
            <w:vAlign w:val="center"/>
          </w:tcPr>
          <w:p w14:paraId="769766E7">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p>
        </w:tc>
        <w:tc>
          <w:tcPr>
            <w:tcW w:w="918" w:type="dxa"/>
            <w:vMerge w:val="continue"/>
            <w:tcBorders>
              <w:left w:val="nil"/>
              <w:bottom w:val="single" w:color="auto" w:sz="4" w:space="0"/>
              <w:right w:val="single" w:color="auto" w:sz="4" w:space="0"/>
            </w:tcBorders>
            <w:shd w:val="clear" w:color="auto" w:fill="auto"/>
            <w:vAlign w:val="center"/>
          </w:tcPr>
          <w:p w14:paraId="58EE6398">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14:textFill>
                  <w14:solidFill>
                    <w14:schemeClr w14:val="tx1"/>
                  </w14:solidFill>
                </w14:textFill>
              </w:rPr>
            </w:pPr>
          </w:p>
        </w:tc>
        <w:tc>
          <w:tcPr>
            <w:tcW w:w="1056" w:type="dxa"/>
            <w:tcBorders>
              <w:left w:val="single" w:color="auto" w:sz="4" w:space="0"/>
              <w:bottom w:val="single" w:color="auto" w:sz="4" w:space="0"/>
              <w:right w:val="single" w:color="auto" w:sz="4" w:space="0"/>
            </w:tcBorders>
            <w:shd w:val="clear" w:color="auto" w:fill="auto"/>
            <w:vAlign w:val="center"/>
          </w:tcPr>
          <w:p w14:paraId="1E7854DA">
            <w:pPr>
              <w:keepNext w:val="0"/>
              <w:keepLines w:val="0"/>
              <w:pageBreakBefore w:val="0"/>
              <w:widowControl w:val="0"/>
              <w:wordWrap/>
              <w:topLinePunct w:val="0"/>
              <w:autoSpaceDE w:val="0"/>
              <w:autoSpaceDN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企业业绩获奖</w:t>
            </w:r>
          </w:p>
          <w:p w14:paraId="2E838C59">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（25分）</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53B77992">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2020年1月1日至今类似项目获国家级奖项每项得 5分；获省（部）级或行业级奖项，每项得 4 分；获市（副省级）奖项，每项得 3 分。</w:t>
            </w:r>
          </w:p>
          <w:p w14:paraId="52162491">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以上各项合计最多得25 分。</w:t>
            </w:r>
          </w:p>
          <w:p w14:paraId="72B6866E">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注：获奖时间以证书颁发日期或获奖发文日期为准。</w:t>
            </w:r>
          </w:p>
        </w:tc>
        <w:tc>
          <w:tcPr>
            <w:tcW w:w="995" w:type="dxa"/>
            <w:tcBorders>
              <w:left w:val="nil"/>
              <w:bottom w:val="single" w:color="auto" w:sz="4" w:space="0"/>
              <w:right w:val="single" w:color="auto" w:sz="4" w:space="0"/>
            </w:tcBorders>
            <w:shd w:val="clear" w:color="auto" w:fill="auto"/>
            <w:vAlign w:val="center"/>
          </w:tcPr>
          <w:p w14:paraId="218A3DFA">
            <w:pPr>
              <w:pStyle w:val="17"/>
              <w:keepNext w:val="0"/>
              <w:keepLines w:val="0"/>
              <w:pageBreakBefore w:val="0"/>
              <w:widowControl w:val="0"/>
              <w:kinsoku w:val="0"/>
              <w:wordWrap/>
              <w:overflowPunct w:val="0"/>
              <w:topLinePunct w:val="0"/>
              <w:bidi w:val="0"/>
              <w:adjustRightInd/>
              <w:snapToGrid/>
              <w:spacing w:before="14" w:line="240" w:lineRule="auto"/>
              <w:jc w:val="center"/>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类似项目</w:t>
            </w:r>
          </w:p>
          <w:p w14:paraId="56704CB5">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（30分）</w:t>
            </w:r>
          </w:p>
        </w:tc>
        <w:tc>
          <w:tcPr>
            <w:tcW w:w="964" w:type="dxa"/>
            <w:tcBorders>
              <w:left w:val="single" w:color="auto" w:sz="4" w:space="0"/>
              <w:bottom w:val="single" w:color="auto" w:sz="4" w:space="0"/>
              <w:right w:val="single" w:color="auto" w:sz="4" w:space="0"/>
            </w:tcBorders>
            <w:shd w:val="clear" w:color="auto" w:fill="auto"/>
            <w:vAlign w:val="center"/>
          </w:tcPr>
          <w:p w14:paraId="4A6551A4">
            <w:pPr>
              <w:keepNext w:val="0"/>
              <w:keepLines w:val="0"/>
              <w:pageBreakBefore w:val="0"/>
              <w:widowControl w:val="0"/>
              <w:kinsoku w:val="0"/>
              <w:wordWrap/>
              <w:overflowPunct w:val="0"/>
              <w:topLinePunct w:val="0"/>
              <w:autoSpaceDE w:val="0"/>
              <w:autoSpaceDN w:val="0"/>
              <w:bidi w:val="0"/>
              <w:adjustRightInd/>
              <w:snapToGrid/>
              <w:spacing w:before="14" w:line="240" w:lineRule="auto"/>
              <w:jc w:val="center"/>
              <w:textAlignment w:val="auto"/>
              <w:rPr>
                <w:rFonts w:ascii="宋体" w:hAnsi="宋体"/>
                <w:color w:val="000000" w:themeColor="text1"/>
                <w:kern w:val="0"/>
                <w:szCs w:val="20"/>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企业类似业绩</w:t>
            </w:r>
          </w:p>
          <w:p w14:paraId="6E47A277">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color w:val="000000" w:themeColor="text1"/>
                <w:kern w:val="0"/>
                <w:szCs w:val="20"/>
                <w:highlight w:val="none"/>
                <w14:textFill>
                  <w14:solidFill>
                    <w14:schemeClr w14:val="tx1"/>
                  </w14:solidFill>
                </w14:textFill>
              </w:rPr>
              <w:t>（30分）</w:t>
            </w:r>
          </w:p>
        </w:tc>
        <w:tc>
          <w:tcPr>
            <w:tcW w:w="3643" w:type="dxa"/>
            <w:tcBorders>
              <w:left w:val="single" w:color="auto" w:sz="4" w:space="0"/>
              <w:bottom w:val="single" w:color="auto" w:sz="4" w:space="0"/>
              <w:right w:val="single" w:color="auto" w:sz="4" w:space="0"/>
            </w:tcBorders>
            <w:shd w:val="clear" w:color="auto" w:fill="auto"/>
            <w:vAlign w:val="center"/>
          </w:tcPr>
          <w:p w14:paraId="01C11273">
            <w:pPr>
              <w:keepNext w:val="0"/>
              <w:keepLines w:val="0"/>
              <w:pageBreakBefore w:val="0"/>
              <w:widowControl w:val="0"/>
              <w:wordWrap/>
              <w:topLinePunct w:val="0"/>
              <w:autoSpaceDE w:val="0"/>
              <w:autoSpaceDN w:val="0"/>
              <w:bidi w:val="0"/>
              <w:adjustRightInd/>
              <w:snapToGrid/>
              <w:spacing w:line="24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2022年1月1日至今类似业绩：有类似业绩的，每项得 10 分，最多得30分。</w:t>
            </w:r>
          </w:p>
          <w:p w14:paraId="692C3D5E">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注：业绩时间以竣工报告为准。</w:t>
            </w:r>
          </w:p>
        </w:tc>
      </w:tr>
      <w:tr w14:paraId="6C76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restart"/>
            <w:tcBorders>
              <w:top w:val="single" w:color="auto" w:sz="4" w:space="0"/>
              <w:left w:val="single" w:color="auto" w:sz="4" w:space="0"/>
              <w:right w:val="single" w:color="auto" w:sz="4" w:space="0"/>
            </w:tcBorders>
            <w:shd w:val="clear" w:color="auto" w:fill="auto"/>
            <w:vAlign w:val="center"/>
          </w:tcPr>
          <w:p w14:paraId="7F8996CB">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2</w:t>
            </w:r>
          </w:p>
        </w:tc>
        <w:tc>
          <w:tcPr>
            <w:tcW w:w="1638" w:type="dxa"/>
            <w:vMerge w:val="restart"/>
            <w:tcBorders>
              <w:top w:val="single" w:color="auto" w:sz="4" w:space="0"/>
              <w:left w:val="nil"/>
              <w:right w:val="single" w:color="auto" w:sz="4" w:space="0"/>
            </w:tcBorders>
            <w:shd w:val="clear" w:color="auto" w:fill="auto"/>
            <w:vAlign w:val="center"/>
          </w:tcPr>
          <w:p w14:paraId="7DBB77C2">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cs="宋体"/>
                <w:color w:val="000000" w:themeColor="text1"/>
                <w:spacing w:val="4"/>
                <w:sz w:val="21"/>
                <w:szCs w:val="21"/>
                <w:highlight w:val="none"/>
                <w:lang w:bidi="ar"/>
                <w14:textFill>
                  <w14:solidFill>
                    <w14:schemeClr w14:val="tx1"/>
                  </w14:solidFill>
                </w14:textFill>
              </w:rPr>
            </w:pPr>
            <w:r>
              <w:rPr>
                <w:rFonts w:cs="宋体"/>
                <w:color w:val="000000" w:themeColor="text1"/>
                <w:spacing w:val="4"/>
                <w:sz w:val="21"/>
                <w:szCs w:val="21"/>
                <w:highlight w:val="none"/>
                <w:lang w:bidi="ar"/>
                <w14:textFill>
                  <w14:solidFill>
                    <w14:schemeClr w14:val="tx1"/>
                  </w14:solidFill>
                </w14:textFill>
              </w:rPr>
              <w:t>原招标文件第三章评标、定标办法“评标办法前附表”《</w:t>
            </w:r>
            <w:r>
              <w:rPr>
                <w:rFonts w:cs="宋体"/>
                <w:color w:val="000000" w:themeColor="text1"/>
                <w:sz w:val="21"/>
                <w:szCs w:val="21"/>
                <w:highlight w:val="none"/>
                <w:lang w:bidi="ar"/>
                <w14:textFill>
                  <w14:solidFill>
                    <w14:schemeClr w14:val="tx1"/>
                  </w14:solidFill>
                </w14:textFill>
              </w:rPr>
              <w:t>商务文件评分</w:t>
            </w:r>
            <w:r>
              <w:rPr>
                <w:rFonts w:cs="宋体"/>
                <w:color w:val="000000" w:themeColor="text1"/>
                <w:spacing w:val="-3"/>
                <w:sz w:val="21"/>
                <w:szCs w:val="21"/>
                <w:highlight w:val="none"/>
                <w:lang w:bidi="ar"/>
                <w14:textFill>
                  <w14:solidFill>
                    <w14:schemeClr w14:val="tx1"/>
                  </w14:solidFill>
                </w14:textFill>
              </w:rPr>
              <w:t>标</w:t>
            </w:r>
            <w:r>
              <w:rPr>
                <w:rFonts w:cs="宋体"/>
                <w:color w:val="000000" w:themeColor="text1"/>
                <w:sz w:val="21"/>
                <w:szCs w:val="21"/>
                <w:highlight w:val="none"/>
                <w:lang w:bidi="ar"/>
                <w14:textFill>
                  <w14:solidFill>
                    <w14:schemeClr w14:val="tx1"/>
                  </w14:solidFill>
                </w14:textFill>
              </w:rPr>
              <w:t>准》关于“</w:t>
            </w:r>
            <w:r>
              <w:rPr>
                <w:rFonts w:hint="eastAsia" w:ascii="宋体" w:hAnsi="宋体" w:eastAsia="宋体" w:cs="宋体"/>
                <w:color w:val="000000" w:themeColor="text1"/>
                <w:sz w:val="21"/>
                <w:szCs w:val="21"/>
                <w:highlight w:val="none"/>
                <w:lang w:val="zh-CN"/>
                <w14:textFill>
                  <w14:solidFill>
                    <w14:schemeClr w14:val="tx1"/>
                  </w14:solidFill>
                </w14:textFill>
              </w:rPr>
              <w:t>服务及措施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cs="宋体"/>
                <w:color w:val="000000" w:themeColor="text1"/>
                <w:sz w:val="21"/>
                <w:szCs w:val="21"/>
                <w:highlight w:val="none"/>
                <w:lang w:bidi="ar"/>
                <w14:textFill>
                  <w14:solidFill>
                    <w14:schemeClr w14:val="tx1"/>
                  </w14:solidFill>
                </w14:textFill>
              </w:rPr>
              <w:t>”的评分因素和评分标准</w:t>
            </w:r>
          </w:p>
        </w:tc>
        <w:tc>
          <w:tcPr>
            <w:tcW w:w="1974" w:type="dxa"/>
            <w:gridSpan w:val="2"/>
            <w:tcBorders>
              <w:top w:val="single" w:color="auto" w:sz="4" w:space="0"/>
              <w:left w:val="nil"/>
              <w:bottom w:val="single" w:color="auto" w:sz="4" w:space="0"/>
              <w:right w:val="single" w:color="auto" w:sz="4" w:space="0"/>
            </w:tcBorders>
            <w:shd w:val="clear" w:color="auto" w:fill="auto"/>
            <w:vAlign w:val="center"/>
          </w:tcPr>
          <w:p w14:paraId="786E631C">
            <w:pPr>
              <w:keepNext w:val="0"/>
              <w:keepLines w:val="0"/>
              <w:pageBreakBefore w:val="0"/>
              <w:widowControl w:val="0"/>
              <w:wordWrap/>
              <w:topLinePunct w:val="0"/>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1747FDCB">
            <w:pPr>
              <w:keepNext w:val="0"/>
              <w:keepLines w:val="0"/>
              <w:pageBreakBefore w:val="0"/>
              <w:widowControl w:val="0"/>
              <w:wordWrap/>
              <w:topLinePunct w:val="0"/>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14:paraId="2622C3E3">
            <w:pPr>
              <w:keepNext w:val="0"/>
              <w:keepLines w:val="0"/>
              <w:pageBreakBefore w:val="0"/>
              <w:widowControl w:val="0"/>
              <w:wordWrap/>
              <w:topLinePunct w:val="0"/>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14:paraId="6F41FDC4">
            <w:pPr>
              <w:keepNext w:val="0"/>
              <w:keepLines w:val="0"/>
              <w:pageBreakBefore w:val="0"/>
              <w:widowControl w:val="0"/>
              <w:wordWrap/>
              <w:topLinePunct w:val="0"/>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r>
      <w:tr w14:paraId="70E7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continue"/>
            <w:tcBorders>
              <w:left w:val="single" w:color="auto" w:sz="4" w:space="0"/>
              <w:right w:val="single" w:color="auto" w:sz="4" w:space="0"/>
            </w:tcBorders>
            <w:shd w:val="clear" w:color="auto" w:fill="auto"/>
            <w:vAlign w:val="center"/>
          </w:tcPr>
          <w:p w14:paraId="2D064FCE">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宋体" w:cs="宋体"/>
                <w:color w:val="000000" w:themeColor="text1"/>
                <w:szCs w:val="21"/>
                <w:highlight w:val="none"/>
                <w:lang w:bidi="ar"/>
                <w14:textFill>
                  <w14:solidFill>
                    <w14:schemeClr w14:val="tx1"/>
                  </w14:solidFill>
                </w14:textFill>
              </w:rPr>
            </w:pPr>
          </w:p>
        </w:tc>
        <w:tc>
          <w:tcPr>
            <w:tcW w:w="1638" w:type="dxa"/>
            <w:vMerge w:val="continue"/>
            <w:tcBorders>
              <w:left w:val="nil"/>
              <w:right w:val="single" w:color="auto" w:sz="4" w:space="0"/>
            </w:tcBorders>
            <w:shd w:val="clear" w:color="auto" w:fill="auto"/>
            <w:vAlign w:val="center"/>
          </w:tcPr>
          <w:p w14:paraId="5E8A2B38">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cs="宋体"/>
                <w:color w:val="000000" w:themeColor="text1"/>
                <w:spacing w:val="4"/>
                <w:sz w:val="21"/>
                <w:szCs w:val="21"/>
                <w:highlight w:val="none"/>
                <w:lang w:bidi="ar"/>
                <w14:textFill>
                  <w14:solidFill>
                    <w14:schemeClr w14:val="tx1"/>
                  </w14:solidFill>
                </w14:textFill>
              </w:rPr>
            </w:pPr>
          </w:p>
        </w:tc>
        <w:tc>
          <w:tcPr>
            <w:tcW w:w="1974" w:type="dxa"/>
            <w:gridSpan w:val="2"/>
            <w:tcBorders>
              <w:top w:val="single" w:color="auto" w:sz="4" w:space="0"/>
              <w:left w:val="nil"/>
              <w:bottom w:val="single" w:color="auto" w:sz="4" w:space="0"/>
              <w:right w:val="single" w:color="auto" w:sz="4" w:space="0"/>
            </w:tcBorders>
            <w:shd w:val="clear" w:color="auto" w:fill="auto"/>
            <w:vAlign w:val="center"/>
          </w:tcPr>
          <w:p w14:paraId="135E96D2">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Theme="minorEastAsia"/>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126FDA27">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Theme="minorEastAsia"/>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w:t>
            </w: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14:paraId="65D3D08B">
            <w:pPr>
              <w:keepNext w:val="0"/>
              <w:keepLines w:val="0"/>
              <w:pageBreakBefore w:val="0"/>
              <w:widowControl w:val="0"/>
              <w:wordWrap/>
              <w:topLinePunct w:val="0"/>
              <w:bidi w:val="0"/>
              <w:adjustRightInd/>
              <w:snapToGrid/>
              <w:spacing w:line="240" w:lineRule="auto"/>
              <w:jc w:val="center"/>
              <w:textAlignment w:val="auto"/>
              <w:rPr>
                <w:rFonts w:hint="default" w:ascii="宋体" w:hAnsi="宋体" w:eastAsia="宋体"/>
                <w:b/>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服务及措施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(15分)</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14:paraId="701E3E1E">
            <w:pPr>
              <w:keepNext w:val="0"/>
              <w:keepLines w:val="0"/>
              <w:pageBreakBefore w:val="0"/>
              <w:widowControl w:val="0"/>
              <w:wordWrap/>
              <w:topLinePunct w:val="0"/>
              <w:bidi w:val="0"/>
              <w:adjustRightInd/>
              <w:snapToGrid/>
              <w:spacing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有针对本项目所制定的设计进度安排、质量保证措施、协助业主确保工程质量、控制工程规模、降低工程造价、减少设计变更等措施的得</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15 </w:t>
            </w:r>
            <w:r>
              <w:rPr>
                <w:rFonts w:hint="eastAsia" w:ascii="宋体" w:hAnsi="宋体" w:eastAsia="宋体" w:cs="宋体"/>
                <w:color w:val="000000" w:themeColor="text1"/>
                <w:sz w:val="21"/>
                <w:szCs w:val="21"/>
                <w:highlight w:val="none"/>
                <w:lang w:val="zh-CN"/>
                <w14:textFill>
                  <w14:solidFill>
                    <w14:schemeClr w14:val="tx1"/>
                  </w14:solidFill>
                </w14:textFill>
              </w:rPr>
              <w:t>分，无得0分。</w:t>
            </w:r>
          </w:p>
        </w:tc>
      </w:tr>
      <w:tr w14:paraId="2DE5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restart"/>
            <w:tcBorders>
              <w:top w:val="single" w:color="auto" w:sz="4" w:space="0"/>
              <w:left w:val="single" w:color="auto" w:sz="4" w:space="0"/>
              <w:right w:val="single" w:color="auto" w:sz="4" w:space="0"/>
            </w:tcBorders>
            <w:shd w:val="clear" w:color="auto" w:fill="auto"/>
            <w:vAlign w:val="center"/>
          </w:tcPr>
          <w:p w14:paraId="1266D9C5">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w:t>
            </w:r>
          </w:p>
        </w:tc>
        <w:tc>
          <w:tcPr>
            <w:tcW w:w="1638" w:type="dxa"/>
            <w:vMerge w:val="restart"/>
            <w:tcBorders>
              <w:top w:val="single" w:color="auto" w:sz="4" w:space="0"/>
              <w:left w:val="nil"/>
              <w:right w:val="single" w:color="auto" w:sz="4" w:space="0"/>
            </w:tcBorders>
            <w:shd w:val="clear" w:color="auto" w:fill="auto"/>
            <w:vAlign w:val="center"/>
          </w:tcPr>
          <w:p w14:paraId="765F2ACE">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r>
              <w:rPr>
                <w:rFonts w:cs="宋体"/>
                <w:color w:val="000000" w:themeColor="text1"/>
                <w:spacing w:val="4"/>
                <w:sz w:val="21"/>
                <w:szCs w:val="21"/>
                <w:highlight w:val="none"/>
                <w:lang w:bidi="ar"/>
                <w14:textFill>
                  <w14:solidFill>
                    <w14:schemeClr w14:val="tx1"/>
                  </w14:solidFill>
                </w14:textFill>
              </w:rPr>
              <w:t>原招标文件第三章评标、定标办法“评标办法前附表”《</w:t>
            </w:r>
            <w:r>
              <w:rPr>
                <w:rFonts w:cs="宋体"/>
                <w:color w:val="000000" w:themeColor="text1"/>
                <w:sz w:val="21"/>
                <w:szCs w:val="21"/>
                <w:highlight w:val="none"/>
                <w:lang w:bidi="ar"/>
                <w14:textFill>
                  <w14:solidFill>
                    <w14:schemeClr w14:val="tx1"/>
                  </w14:solidFill>
                </w14:textFill>
              </w:rPr>
              <w:t>商务文件评分</w:t>
            </w:r>
            <w:r>
              <w:rPr>
                <w:rFonts w:cs="宋体"/>
                <w:color w:val="000000" w:themeColor="text1"/>
                <w:spacing w:val="-3"/>
                <w:sz w:val="21"/>
                <w:szCs w:val="21"/>
                <w:highlight w:val="none"/>
                <w:lang w:bidi="ar"/>
                <w14:textFill>
                  <w14:solidFill>
                    <w14:schemeClr w14:val="tx1"/>
                  </w14:solidFill>
                </w14:textFill>
              </w:rPr>
              <w:t>标</w:t>
            </w:r>
            <w:r>
              <w:rPr>
                <w:rFonts w:cs="宋体"/>
                <w:color w:val="000000" w:themeColor="text1"/>
                <w:sz w:val="21"/>
                <w:szCs w:val="21"/>
                <w:highlight w:val="none"/>
                <w:lang w:bidi="ar"/>
                <w14:textFill>
                  <w14:solidFill>
                    <w14:schemeClr w14:val="tx1"/>
                  </w14:solidFill>
                </w14:textFill>
              </w:rPr>
              <w:t>准》关于“</w:t>
            </w:r>
            <w:r>
              <w:rPr>
                <w:rFonts w:cs="宋体"/>
                <w:color w:val="000000" w:themeColor="text1"/>
                <w:kern w:val="2"/>
                <w:sz w:val="21"/>
                <w:szCs w:val="21"/>
                <w:highlight w:val="none"/>
                <w:lang w:bidi="ar"/>
                <w14:textFill>
                  <w14:solidFill>
                    <w14:schemeClr w14:val="tx1"/>
                  </w14:solidFill>
                </w14:textFill>
              </w:rPr>
              <w:t>信誉（10分）</w:t>
            </w:r>
            <w:r>
              <w:rPr>
                <w:rFonts w:cs="宋体"/>
                <w:color w:val="000000" w:themeColor="text1"/>
                <w:sz w:val="21"/>
                <w:szCs w:val="21"/>
                <w:highlight w:val="none"/>
                <w:lang w:bidi="ar"/>
                <w14:textFill>
                  <w14:solidFill>
                    <w14:schemeClr w14:val="tx1"/>
                  </w14:solidFill>
                </w14:textFill>
              </w:rPr>
              <w:t>”的评分因素和评分标准</w:t>
            </w:r>
          </w:p>
        </w:tc>
        <w:tc>
          <w:tcPr>
            <w:tcW w:w="1974" w:type="dxa"/>
            <w:gridSpan w:val="2"/>
            <w:tcBorders>
              <w:top w:val="single" w:color="auto" w:sz="4" w:space="0"/>
              <w:left w:val="nil"/>
              <w:bottom w:val="single" w:color="auto" w:sz="4" w:space="0"/>
              <w:right w:val="single" w:color="auto" w:sz="4" w:space="0"/>
            </w:tcBorders>
            <w:shd w:val="clear" w:color="auto" w:fill="auto"/>
            <w:vAlign w:val="center"/>
          </w:tcPr>
          <w:p w14:paraId="58D16704">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842" w:type="dxa"/>
            <w:tcBorders>
              <w:top w:val="single" w:color="auto" w:sz="4" w:space="0"/>
              <w:left w:val="single" w:color="auto" w:sz="4" w:space="0"/>
              <w:bottom w:val="single" w:color="auto" w:sz="4" w:space="0"/>
              <w:right w:val="single" w:color="auto" w:sz="4" w:space="0"/>
            </w:tcBorders>
            <w:shd w:val="clear" w:color="auto" w:fill="auto"/>
            <w:vAlign w:val="center"/>
          </w:tcPr>
          <w:p w14:paraId="7C828C65">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c>
          <w:tcPr>
            <w:tcW w:w="1959" w:type="dxa"/>
            <w:gridSpan w:val="2"/>
            <w:tcBorders>
              <w:top w:val="single" w:color="auto" w:sz="4" w:space="0"/>
              <w:left w:val="nil"/>
              <w:bottom w:val="single" w:color="auto" w:sz="4" w:space="0"/>
              <w:right w:val="single" w:color="auto" w:sz="4" w:space="0"/>
            </w:tcBorders>
            <w:shd w:val="clear" w:color="auto" w:fill="auto"/>
            <w:vAlign w:val="center"/>
          </w:tcPr>
          <w:p w14:paraId="3C1E6C00">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14:paraId="4C0B7D67">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r>
      <w:tr w14:paraId="7AD4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73" w:type="dxa"/>
            <w:vMerge w:val="continue"/>
            <w:tcBorders>
              <w:left w:val="single" w:color="auto" w:sz="4" w:space="0"/>
              <w:right w:val="single" w:color="auto" w:sz="4" w:space="0"/>
            </w:tcBorders>
            <w:shd w:val="clear" w:color="auto" w:fill="auto"/>
            <w:vAlign w:val="center"/>
          </w:tcPr>
          <w:p w14:paraId="0354DFBA">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p>
        </w:tc>
        <w:tc>
          <w:tcPr>
            <w:tcW w:w="1638" w:type="dxa"/>
            <w:vMerge w:val="continue"/>
            <w:tcBorders>
              <w:left w:val="nil"/>
              <w:right w:val="single" w:color="auto" w:sz="4" w:space="0"/>
            </w:tcBorders>
            <w:shd w:val="clear" w:color="auto" w:fill="auto"/>
            <w:vAlign w:val="center"/>
          </w:tcPr>
          <w:p w14:paraId="048FE5F2">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p>
        </w:tc>
        <w:tc>
          <w:tcPr>
            <w:tcW w:w="1974" w:type="dxa"/>
            <w:gridSpan w:val="2"/>
            <w:tcBorders>
              <w:top w:val="single" w:color="auto" w:sz="4" w:space="0"/>
              <w:left w:val="nil"/>
              <w:right w:val="single" w:color="auto" w:sz="4" w:space="0"/>
            </w:tcBorders>
            <w:shd w:val="clear" w:color="auto" w:fill="auto"/>
            <w:vAlign w:val="center"/>
          </w:tcPr>
          <w:p w14:paraId="32386928">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信誉（10分）</w:t>
            </w:r>
          </w:p>
        </w:tc>
        <w:tc>
          <w:tcPr>
            <w:tcW w:w="3842" w:type="dxa"/>
            <w:tcBorders>
              <w:top w:val="single" w:color="auto" w:sz="4" w:space="0"/>
              <w:left w:val="single" w:color="auto" w:sz="4" w:space="0"/>
              <w:right w:val="single" w:color="auto" w:sz="4" w:space="0"/>
            </w:tcBorders>
            <w:shd w:val="clear" w:color="auto" w:fill="auto"/>
            <w:vAlign w:val="center"/>
          </w:tcPr>
          <w:p w14:paraId="2223120F">
            <w:pPr>
              <w:keepNext w:val="0"/>
              <w:keepLines w:val="0"/>
              <w:pageBreakBefore w:val="0"/>
              <w:widowControl w:val="0"/>
              <w:wordWrap/>
              <w:topLinePunct w:val="0"/>
              <w:autoSpaceDE w:val="0"/>
              <w:autoSpaceDN w:val="0"/>
              <w:bidi w:val="0"/>
              <w:adjustRightInd/>
              <w:snapToGrid/>
              <w:spacing w:line="240" w:lineRule="auto"/>
              <w:jc w:val="left"/>
              <w:textAlignment w:val="auto"/>
              <w:rPr>
                <w:rFonts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具有有效期内的高新技术企业证书得10分，无得0分。</w:t>
            </w:r>
          </w:p>
          <w:p w14:paraId="30A7E0E6">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注：提供相关证书复印件或扫描件作为认定的证明材料。</w:t>
            </w:r>
          </w:p>
        </w:tc>
        <w:tc>
          <w:tcPr>
            <w:tcW w:w="1959" w:type="dxa"/>
            <w:gridSpan w:val="2"/>
            <w:tcBorders>
              <w:top w:val="single" w:color="auto" w:sz="4" w:space="0"/>
              <w:left w:val="nil"/>
              <w:right w:val="single" w:color="auto" w:sz="4" w:space="0"/>
            </w:tcBorders>
            <w:shd w:val="clear" w:color="auto" w:fill="auto"/>
            <w:vAlign w:val="center"/>
          </w:tcPr>
          <w:p w14:paraId="23C1784C">
            <w:pPr>
              <w:keepNext w:val="0"/>
              <w:keepLines w:val="0"/>
              <w:pageBreakBefore w:val="0"/>
              <w:widowControl w:val="0"/>
              <w:wordWrap/>
              <w:topLinePunct w:val="0"/>
              <w:bidi w:val="0"/>
              <w:adjustRightInd/>
              <w:snapToGrid/>
              <w:spacing w:line="240" w:lineRule="auto"/>
              <w:jc w:val="center"/>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信誉（1</w:t>
            </w:r>
            <w:r>
              <w:rPr>
                <w:rFonts w:hint="eastAsia" w:ascii="宋体" w:hAnsi="宋体" w:eastAsia="宋体" w:cs="宋体"/>
                <w:color w:val="000000" w:themeColor="text1"/>
                <w:szCs w:val="21"/>
                <w:highlight w:val="none"/>
                <w:lang w:val="en-US" w:eastAsia="zh-CN"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分）</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tcPr>
          <w:p w14:paraId="7A8A9FEE">
            <w:pPr>
              <w:keepNext w:val="0"/>
              <w:keepLines w:val="0"/>
              <w:pageBreakBefore w:val="0"/>
              <w:widowControl w:val="0"/>
              <w:wordWrap/>
              <w:topLinePunct w:val="0"/>
              <w:autoSpaceDE w:val="0"/>
              <w:autoSpaceDN w:val="0"/>
              <w:bidi w:val="0"/>
              <w:adjustRightInd/>
              <w:snapToGrid/>
              <w:spacing w:line="240" w:lineRule="auto"/>
              <w:jc w:val="left"/>
              <w:textAlignment w:val="auto"/>
              <w:rPr>
                <w:rFonts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具有有效期内的高新技术企业证书得</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15</w:t>
            </w:r>
            <w:r>
              <w:rPr>
                <w:rFonts w:hint="eastAsia" w:ascii="宋体" w:hAnsi="宋体" w:eastAsia="宋体" w:cs="宋体"/>
                <w:color w:val="000000" w:themeColor="text1"/>
                <w:kern w:val="0"/>
                <w:szCs w:val="21"/>
                <w:highlight w:val="none"/>
                <w:lang w:bidi="ar"/>
                <w14:textFill>
                  <w14:solidFill>
                    <w14:schemeClr w14:val="tx1"/>
                  </w14:solidFill>
                </w14:textFill>
              </w:rPr>
              <w:t>分，无得0分。</w:t>
            </w:r>
          </w:p>
          <w:p w14:paraId="615B599E">
            <w:pPr>
              <w:keepNext w:val="0"/>
              <w:keepLines w:val="0"/>
              <w:pageBreakBefore w:val="0"/>
              <w:widowControl w:val="0"/>
              <w:wordWrap/>
              <w:topLinePunct w:val="0"/>
              <w:autoSpaceDE w:val="0"/>
              <w:autoSpaceDN w:val="0"/>
              <w:bidi w:val="0"/>
              <w:adjustRightInd/>
              <w:snapToGrid/>
              <w:spacing w:line="240" w:lineRule="auto"/>
              <w:textAlignment w:val="auto"/>
              <w:rPr>
                <w:rFonts w:ascii="宋体" w:hAnsi="宋体" w:eastAsia="宋体" w:cs="宋体"/>
                <w:color w:val="000000" w:themeColor="text1"/>
                <w:spacing w:val="4"/>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注：提供相关证书复印件或扫描件作为认定的证明材料。</w:t>
            </w:r>
            <w:r>
              <w:rPr>
                <w:rFonts w:hint="eastAsia" w:ascii="宋体" w:hAnsi="宋体" w:cs="宋体"/>
                <w:color w:val="000000" w:themeColor="text1"/>
                <w:kern w:val="0"/>
                <w:szCs w:val="21"/>
                <w:highlight w:val="none"/>
                <w14:textFill>
                  <w14:solidFill>
                    <w14:schemeClr w14:val="tx1"/>
                  </w14:solidFill>
                </w14:textFill>
              </w:rPr>
              <w:t>(高新技术企业由科技行政部门认定)</w:t>
            </w:r>
          </w:p>
        </w:tc>
      </w:tr>
      <w:tr w14:paraId="60EA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73" w:type="dxa"/>
            <w:tcBorders>
              <w:left w:val="single" w:color="auto" w:sz="4" w:space="0"/>
              <w:bottom w:val="single" w:color="auto" w:sz="4" w:space="0"/>
              <w:right w:val="single" w:color="auto" w:sz="4" w:space="0"/>
            </w:tcBorders>
            <w:shd w:val="clear" w:color="auto" w:fill="auto"/>
            <w:vAlign w:val="center"/>
          </w:tcPr>
          <w:p w14:paraId="40B5D4BC">
            <w:pPr>
              <w:keepNext w:val="0"/>
              <w:keepLines w:val="0"/>
              <w:pageBreakBefore w:val="0"/>
              <w:widowControl w:val="0"/>
              <w:wordWrap/>
              <w:topLinePunct w:val="0"/>
              <w:bidi w:val="0"/>
              <w:adjustRightInd/>
              <w:snapToGrid/>
              <w:spacing w:line="240" w:lineRule="auto"/>
              <w:jc w:val="center"/>
              <w:textAlignment w:val="auto"/>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4</w:t>
            </w:r>
          </w:p>
        </w:tc>
        <w:tc>
          <w:tcPr>
            <w:tcW w:w="1638" w:type="dxa"/>
            <w:tcBorders>
              <w:left w:val="nil"/>
              <w:bottom w:val="single" w:color="auto" w:sz="4" w:space="0"/>
              <w:right w:val="single" w:color="auto" w:sz="4" w:space="0"/>
            </w:tcBorders>
            <w:shd w:val="clear" w:color="auto" w:fill="auto"/>
            <w:vAlign w:val="center"/>
          </w:tcPr>
          <w:p w14:paraId="24CB2855">
            <w:pPr>
              <w:pStyle w:val="9"/>
              <w:keepNext w:val="0"/>
              <w:keepLines w:val="0"/>
              <w:pageBreakBefore w:val="0"/>
              <w:widowControl w:val="0"/>
              <w:kinsoku w:val="0"/>
              <w:wordWrap/>
              <w:overflowPunct w:val="0"/>
              <w:topLinePunct w:val="0"/>
              <w:autoSpaceDE w:val="0"/>
              <w:autoSpaceDN w:val="0"/>
              <w:bidi w:val="0"/>
              <w:adjustRightInd/>
              <w:snapToGrid/>
              <w:spacing w:beforeAutospacing="0" w:afterAutospacing="0" w:line="240" w:lineRule="auto"/>
              <w:jc w:val="center"/>
              <w:textAlignment w:val="auto"/>
              <w:rPr>
                <w:rFonts w:hint="default"/>
                <w:color w:val="000000" w:themeColor="text1"/>
                <w:spacing w:val="4"/>
                <w:sz w:val="21"/>
                <w:szCs w:val="21"/>
                <w:highlight w:val="none"/>
                <w14:textFill>
                  <w14:solidFill>
                    <w14:schemeClr w14:val="tx1"/>
                  </w14:solidFill>
                </w14:textFill>
              </w:rPr>
            </w:pPr>
            <w:r>
              <w:rPr>
                <w:rFonts w:cs="宋体"/>
                <w:color w:val="000000" w:themeColor="text1"/>
                <w:spacing w:val="4"/>
                <w:sz w:val="21"/>
                <w:szCs w:val="21"/>
                <w:highlight w:val="none"/>
                <w:lang w:bidi="ar"/>
                <w14:textFill>
                  <w14:solidFill>
                    <w14:schemeClr w14:val="tx1"/>
                  </w14:solidFill>
                </w14:textFill>
              </w:rPr>
              <w:t>原招标文件第三章评标、定标办法“评标办法前附表”备注</w:t>
            </w:r>
          </w:p>
        </w:tc>
        <w:tc>
          <w:tcPr>
            <w:tcW w:w="5816" w:type="dxa"/>
            <w:gridSpan w:val="3"/>
            <w:tcBorders>
              <w:left w:val="nil"/>
              <w:bottom w:val="single" w:color="auto" w:sz="4" w:space="0"/>
              <w:right w:val="single" w:color="auto" w:sz="4" w:space="0"/>
            </w:tcBorders>
            <w:shd w:val="clear" w:color="auto" w:fill="auto"/>
            <w:vAlign w:val="center"/>
          </w:tcPr>
          <w:p w14:paraId="74F79A85">
            <w:pPr>
              <w:keepNext w:val="0"/>
              <w:keepLines w:val="0"/>
              <w:pageBreakBefore w:val="0"/>
              <w:widowControl w:val="0"/>
              <w:wordWrap/>
              <w:topLinePunct w:val="0"/>
              <w:bidi w:val="0"/>
              <w:adjustRightInd/>
              <w:snapToGrid/>
              <w:spacing w:line="240" w:lineRule="auto"/>
              <w:jc w:val="left"/>
              <w:textAlignment w:val="auto"/>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业绩获奖须提交获奖证书或获奖证明发文文件，</w:t>
            </w:r>
            <w:r>
              <w:rPr>
                <w:rFonts w:hint="eastAsia" w:ascii="宋体" w:hAnsi="宋体" w:eastAsia="宋体"/>
                <w:color w:val="000000" w:themeColor="text1"/>
                <w:szCs w:val="24"/>
                <w:highlight w:val="none"/>
                <w14:textFill>
                  <w14:solidFill>
                    <w14:schemeClr w14:val="tx1"/>
                  </w14:solidFill>
                </w14:textFill>
              </w:rPr>
              <w:t>国家级的奖项指国家相关部委及以上级别机构直管、设立或颁发的国家级奖项；省级奖的奖项指省政府、自治区、直辖市及省级直属机构直管、设立或颁发的省级奖项（各类国家级行业协会、国家电网公司、南方电网公司或同级别单位获奖等同于省部级奖）；市级奖指市政府、省级直辖市设立或颁发的市级奖项（广东电网公司或同级别单位获奖等同于市级奖）。同一工程获多项奖项的按所获最高奖项计算，不重复计列。仅各类国家级协会颁布的奖项纳入计分，其他级别协会的奖项不予统计。</w:t>
            </w:r>
          </w:p>
        </w:tc>
        <w:tc>
          <w:tcPr>
            <w:tcW w:w="5602" w:type="dxa"/>
            <w:gridSpan w:val="3"/>
            <w:tcBorders>
              <w:left w:val="nil"/>
              <w:bottom w:val="single" w:color="auto" w:sz="4" w:space="0"/>
              <w:right w:val="single" w:color="auto" w:sz="4" w:space="0"/>
            </w:tcBorders>
            <w:shd w:val="clear" w:color="auto" w:fill="auto"/>
            <w:vAlign w:val="center"/>
          </w:tcPr>
          <w:p w14:paraId="448AA9FC">
            <w:pPr>
              <w:keepNext w:val="0"/>
              <w:keepLines w:val="0"/>
              <w:pageBreakBefore w:val="0"/>
              <w:widowControl w:val="0"/>
              <w:wordWrap/>
              <w:topLinePunct w:val="0"/>
              <w:autoSpaceDE w:val="0"/>
              <w:autoSpaceDN w:val="0"/>
              <w:bidi w:val="0"/>
              <w:adjustRightInd/>
              <w:snapToGrid/>
              <w:spacing w:line="240" w:lineRule="auto"/>
              <w:jc w:val="center"/>
              <w:textAlignment w:val="auto"/>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p>
        </w:tc>
      </w:tr>
    </w:tbl>
    <w:p w14:paraId="6C51C90D">
      <w:pPr>
        <w:autoSpaceDE w:val="0"/>
        <w:autoSpaceDN w:val="0"/>
        <w:spacing w:before="81" w:line="360" w:lineRule="auto"/>
        <w:ind w:left="215" w:right="232" w:firstLine="480"/>
        <w:rPr>
          <w:rFonts w:ascii="Calibri" w:hAnsi="Calibri" w:eastAsia="宋体" w:cs="Times New Roman"/>
          <w:b/>
          <w:color w:val="000000" w:themeColor="text1"/>
          <w:spacing w:val="-1"/>
          <w:sz w:val="24"/>
          <w:szCs w:val="24"/>
          <w:highlight w:val="none"/>
          <w:u w:val="single"/>
          <w14:textFill>
            <w14:solidFill>
              <w14:schemeClr w14:val="tx1"/>
            </w14:solidFill>
          </w14:textFill>
        </w:rPr>
      </w:pPr>
      <w:r>
        <w:rPr>
          <w:rFonts w:hint="eastAsia" w:ascii="宋体" w:hAnsi="宋体" w:eastAsia="宋体" w:cs="宋体"/>
          <w:b/>
          <w:color w:val="000000" w:themeColor="text1"/>
          <w:spacing w:val="-1"/>
          <w:kern w:val="0"/>
          <w:sz w:val="24"/>
          <w:szCs w:val="24"/>
          <w:highlight w:val="none"/>
          <w:u w:val="single"/>
          <w:lang w:bidi="ar"/>
          <w14:textFill>
            <w14:solidFill>
              <w14:schemeClr w14:val="tx1"/>
            </w14:solidFill>
          </w14:textFill>
        </w:rPr>
        <w:t>二、本项目原定的投标登记时间、递交投标文件截止时间、投标文件解密时间、开标时间、递交投标文件备用光盘时间及场地安排现进行调整，具体交易活动日程、场地安排详见广州公共资源交易中心网站“建设工程→项目查询（日程安排、答疑纪要）”栏目，输入项目编号或项目名称查询最新信息。</w:t>
      </w:r>
    </w:p>
    <w:p w14:paraId="3AC477B7">
      <w:pPr>
        <w:autoSpaceDE w:val="0"/>
        <w:autoSpaceDN w:val="0"/>
        <w:spacing w:before="81" w:line="360" w:lineRule="auto"/>
        <w:ind w:left="215" w:right="232" w:firstLine="480"/>
        <w:rPr>
          <w:rFonts w:ascii="Calibri" w:hAnsi="Calibri" w:eastAsia="宋体" w:cs="Times New Roman"/>
          <w:b/>
          <w:color w:val="000000" w:themeColor="text1"/>
          <w:spacing w:val="-1"/>
          <w:sz w:val="24"/>
          <w:szCs w:val="24"/>
          <w:highlight w:val="none"/>
          <w:u w:val="single"/>
          <w14:textFill>
            <w14:solidFill>
              <w14:schemeClr w14:val="tx1"/>
            </w14:solidFill>
          </w14:textFill>
        </w:rPr>
      </w:pPr>
      <w:r>
        <w:rPr>
          <w:rFonts w:hint="eastAsia" w:ascii="宋体" w:hAnsi="宋体" w:eastAsia="宋体" w:cs="宋体"/>
          <w:b/>
          <w:color w:val="000000" w:themeColor="text1"/>
          <w:spacing w:val="-1"/>
          <w:kern w:val="0"/>
          <w:sz w:val="24"/>
          <w:szCs w:val="24"/>
          <w:highlight w:val="none"/>
          <w:u w:val="single"/>
          <w:lang w:bidi="ar"/>
          <w14:textFill>
            <w14:solidFill>
              <w14:schemeClr w14:val="tx1"/>
            </w14:solidFill>
          </w14:textFill>
        </w:rPr>
        <w:t>三、原招标文件内容与本补充公告内容不一致之处，以本补充公告为准，其他内容不变。</w:t>
      </w:r>
    </w:p>
    <w:p w14:paraId="38CC1BB7">
      <w:pPr>
        <w:pStyle w:val="9"/>
        <w:widowControl w:val="0"/>
        <w:kinsoku w:val="0"/>
        <w:overflowPunct w:val="0"/>
        <w:autoSpaceDE w:val="0"/>
        <w:autoSpaceDN w:val="0"/>
        <w:spacing w:beforeAutospacing="0" w:afterAutospacing="0" w:line="336" w:lineRule="auto"/>
        <w:ind w:firstLine="476" w:firstLineChars="200"/>
        <w:jc w:val="right"/>
        <w:rPr>
          <w:rFonts w:ascii="宋体" w:hAnsi="宋体" w:eastAsia="宋体" w:cs="宋体"/>
          <w:color w:val="000000" w:themeColor="text1"/>
          <w:spacing w:val="-1"/>
          <w:kern w:val="0"/>
          <w:sz w:val="24"/>
          <w:szCs w:val="24"/>
          <w:highlight w:val="none"/>
          <w:lang w:bidi="ar"/>
          <w14:textFill>
            <w14:solidFill>
              <w14:schemeClr w14:val="tx1"/>
            </w14:solidFill>
          </w14:textFill>
        </w:rPr>
      </w:pPr>
      <w:r>
        <w:rPr>
          <w:rFonts w:cs="宋体"/>
          <w:color w:val="000000" w:themeColor="text1"/>
          <w:spacing w:val="-1"/>
          <w:highlight w:val="none"/>
          <w:lang w:bidi="ar"/>
          <w14:textFill>
            <w14:solidFill>
              <w14:schemeClr w14:val="tx1"/>
            </w14:solidFill>
          </w14:textFill>
        </w:rPr>
        <w:t xml:space="preserve"> </w:t>
      </w:r>
      <w:r>
        <w:rPr>
          <w:rFonts w:hint="eastAsia" w:ascii="宋体" w:hAnsi="宋体" w:eastAsia="宋体" w:cs="宋体"/>
          <w:color w:val="000000" w:themeColor="text1"/>
          <w:spacing w:val="-1"/>
          <w:kern w:val="0"/>
          <w:sz w:val="24"/>
          <w:szCs w:val="24"/>
          <w:highlight w:val="none"/>
          <w:lang w:bidi="ar"/>
          <w14:textFill>
            <w14:solidFill>
              <w14:schemeClr w14:val="tx1"/>
            </w14:solidFill>
          </w14:textFill>
        </w:rPr>
        <w:t>招标单位：广州市增城区人民政府永宁街道办事处</w:t>
      </w:r>
    </w:p>
    <w:p w14:paraId="21AC8D89">
      <w:pPr>
        <w:autoSpaceDE w:val="0"/>
        <w:autoSpaceDN w:val="0"/>
        <w:spacing w:before="81" w:line="360" w:lineRule="auto"/>
        <w:ind w:left="215" w:right="232" w:firstLine="480"/>
        <w:jc w:val="right"/>
        <w:rPr>
          <w:rFonts w:ascii="宋体" w:hAnsi="宋体" w:eastAsia="宋体" w:cs="宋体"/>
          <w:color w:val="000000" w:themeColor="text1"/>
          <w:spacing w:val="-1"/>
          <w:kern w:val="0"/>
          <w:sz w:val="24"/>
          <w:szCs w:val="24"/>
          <w:highlight w:val="none"/>
          <w:lang w:bidi="ar"/>
          <w14:textFill>
            <w14:solidFill>
              <w14:schemeClr w14:val="tx1"/>
            </w14:solidFill>
          </w14:textFill>
        </w:rPr>
      </w:pPr>
      <w:r>
        <w:rPr>
          <w:rFonts w:hint="eastAsia" w:ascii="宋体" w:hAnsi="宋体" w:eastAsia="宋体" w:cs="宋体"/>
          <w:color w:val="000000" w:themeColor="text1"/>
          <w:spacing w:val="-1"/>
          <w:kern w:val="0"/>
          <w:sz w:val="24"/>
          <w:szCs w:val="24"/>
          <w:highlight w:val="none"/>
          <w:lang w:bidi="ar"/>
          <w14:textFill>
            <w14:solidFill>
              <w14:schemeClr w14:val="tx1"/>
            </w14:solidFill>
          </w14:textFill>
        </w:rPr>
        <w:t xml:space="preserve">                                招标代理：建成工程咨询股份有限公司</w:t>
      </w:r>
    </w:p>
    <w:p w14:paraId="3FFFB2AF">
      <w:pPr>
        <w:autoSpaceDE w:val="0"/>
        <w:autoSpaceDN w:val="0"/>
        <w:spacing w:before="81" w:line="360" w:lineRule="auto"/>
        <w:ind w:left="215" w:right="232" w:firstLine="480"/>
        <w:jc w:val="right"/>
        <w:rPr>
          <w:rFonts w:ascii="宋体" w:hAnsi="宋体" w:eastAsia="宋体" w:cs="宋体"/>
          <w:color w:val="000000" w:themeColor="text1"/>
          <w:spacing w:val="-1"/>
          <w:kern w:val="0"/>
          <w:sz w:val="24"/>
          <w:szCs w:val="24"/>
          <w:highlight w:val="none"/>
          <w:lang w:bidi="ar"/>
          <w14:textFill>
            <w14:solidFill>
              <w14:schemeClr w14:val="tx1"/>
            </w14:solidFill>
          </w14:textFill>
        </w:rPr>
      </w:pPr>
      <w:r>
        <w:rPr>
          <w:rFonts w:hint="eastAsia" w:ascii="宋体" w:hAnsi="宋体" w:eastAsia="宋体" w:cs="宋体"/>
          <w:color w:val="000000" w:themeColor="text1"/>
          <w:spacing w:val="-1"/>
          <w:kern w:val="0"/>
          <w:sz w:val="24"/>
          <w:szCs w:val="24"/>
          <w:highlight w:val="none"/>
          <w:lang w:bidi="ar"/>
          <w14:textFill>
            <w14:solidFill>
              <w14:schemeClr w14:val="tx1"/>
            </w14:solidFill>
          </w14:textFill>
        </w:rPr>
        <w:t xml:space="preserve">                                 2025年11月</w:t>
      </w:r>
      <w:r>
        <w:rPr>
          <w:rFonts w:hint="eastAsia" w:ascii="宋体" w:hAnsi="宋体" w:eastAsia="宋体" w:cs="宋体"/>
          <w:color w:val="000000" w:themeColor="text1"/>
          <w:spacing w:val="-1"/>
          <w:kern w:val="0"/>
          <w:sz w:val="24"/>
          <w:szCs w:val="24"/>
          <w:highlight w:val="none"/>
          <w:lang w:val="en-US" w:eastAsia="zh-CN" w:bidi="ar"/>
          <w14:textFill>
            <w14:solidFill>
              <w14:schemeClr w14:val="tx1"/>
            </w14:solidFill>
          </w14:textFill>
        </w:rPr>
        <w:t>17</w:t>
      </w:r>
      <w:r>
        <w:rPr>
          <w:rFonts w:hint="eastAsia" w:ascii="宋体" w:hAnsi="宋体" w:eastAsia="宋体" w:cs="宋体"/>
          <w:color w:val="000000" w:themeColor="text1"/>
          <w:spacing w:val="-1"/>
          <w:kern w:val="0"/>
          <w:sz w:val="24"/>
          <w:szCs w:val="24"/>
          <w:highlight w:val="none"/>
          <w:lang w:bidi="ar"/>
          <w14:textFill>
            <w14:solidFill>
              <w14:schemeClr w14:val="tx1"/>
            </w14:solidFill>
          </w14:textFill>
        </w:rPr>
        <w:t>日</w:t>
      </w:r>
    </w:p>
    <w:p w14:paraId="3A6FEF51">
      <w:pPr>
        <w:autoSpaceDE w:val="0"/>
        <w:autoSpaceDN w:val="0"/>
        <w:spacing w:before="81" w:line="360" w:lineRule="auto"/>
        <w:ind w:left="215" w:right="232" w:firstLine="480"/>
        <w:jc w:val="right"/>
        <w:rPr>
          <w:rFonts w:ascii="宋体" w:hAnsi="宋体" w:eastAsia="宋体" w:cs="宋体"/>
          <w:color w:val="000000" w:themeColor="text1"/>
          <w:spacing w:val="-1"/>
          <w:kern w:val="0"/>
          <w:sz w:val="24"/>
          <w:szCs w:val="24"/>
          <w:highlight w:val="none"/>
          <w:lang w:bidi="ar"/>
          <w14:textFill>
            <w14:solidFill>
              <w14:schemeClr w14:val="tx1"/>
            </w14:solidFill>
          </w14:textFill>
        </w:rPr>
        <w:sectPr>
          <w:headerReference r:id="rId3" w:type="default"/>
          <w:footerReference r:id="rId4" w:type="default"/>
          <w:pgSz w:w="15842" w:h="12242" w:orient="landscape"/>
          <w:pgMar w:top="1134" w:right="1134" w:bottom="1134" w:left="1134" w:header="851" w:footer="992" w:gutter="0"/>
          <w:cols w:space="425" w:num="1"/>
          <w:docGrid w:type="lines" w:linePitch="312" w:charSpace="0"/>
        </w:sectPr>
      </w:pPr>
    </w:p>
    <w:p w14:paraId="203DF417">
      <w:pPr>
        <w:jc w:val="left"/>
        <w:rPr>
          <w:rFonts w:hint="eastAsia"/>
          <w:b/>
          <w:bCs/>
          <w:color w:val="000000" w:themeColor="text1"/>
          <w:sz w:val="28"/>
          <w:szCs w:val="28"/>
          <w:highlight w:val="none"/>
          <w14:textFill>
            <w14:solidFill>
              <w14:schemeClr w14:val="tx1"/>
            </w14:solidFill>
          </w14:textFill>
        </w:rPr>
      </w:pPr>
      <w:bookmarkStart w:id="0" w:name="_Toc20642"/>
      <w:bookmarkStart w:id="1" w:name="_Toc11740"/>
      <w:bookmarkStart w:id="2" w:name="_Toc20579"/>
      <w:bookmarkStart w:id="3" w:name="_Toc3401"/>
      <w:bookmarkStart w:id="4" w:name="_Toc22390"/>
      <w:r>
        <w:rPr>
          <w:rFonts w:cs="宋体"/>
          <w:color w:val="000000" w:themeColor="text1"/>
          <w:spacing w:val="-1"/>
          <w:highlight w:val="none"/>
          <w:lang w:bidi="ar"/>
          <w14:textFill>
            <w14:solidFill>
              <w14:schemeClr w14:val="tx1"/>
            </w14:solidFill>
          </w14:textFill>
        </w:rPr>
        <w:t>附件：《</w:t>
      </w:r>
      <w:r>
        <w:rPr>
          <w:rFonts w:cs="宋体"/>
          <w:color w:val="000000" w:themeColor="text1"/>
          <w:sz w:val="21"/>
          <w:szCs w:val="21"/>
          <w:highlight w:val="none"/>
          <w:lang w:bidi="ar"/>
          <w14:textFill>
            <w14:solidFill>
              <w14:schemeClr w14:val="tx1"/>
            </w14:solidFill>
          </w14:textFill>
        </w:rPr>
        <w:t>商务文件评分</w:t>
      </w:r>
      <w:r>
        <w:rPr>
          <w:rFonts w:cs="宋体"/>
          <w:color w:val="000000" w:themeColor="text1"/>
          <w:spacing w:val="-3"/>
          <w:sz w:val="21"/>
          <w:szCs w:val="21"/>
          <w:highlight w:val="none"/>
          <w:lang w:bidi="ar"/>
          <w14:textFill>
            <w14:solidFill>
              <w14:schemeClr w14:val="tx1"/>
            </w14:solidFill>
          </w14:textFill>
        </w:rPr>
        <w:t>标</w:t>
      </w:r>
      <w:r>
        <w:rPr>
          <w:rFonts w:cs="宋体"/>
          <w:color w:val="000000" w:themeColor="text1"/>
          <w:sz w:val="21"/>
          <w:szCs w:val="21"/>
          <w:highlight w:val="none"/>
          <w:lang w:bidi="ar"/>
          <w14:textFill>
            <w14:solidFill>
              <w14:schemeClr w14:val="tx1"/>
            </w14:solidFill>
          </w14:textFill>
        </w:rPr>
        <w:t>准</w:t>
      </w:r>
      <w:r>
        <w:rPr>
          <w:rFonts w:cs="宋体"/>
          <w:color w:val="000000" w:themeColor="text1"/>
          <w:spacing w:val="-1"/>
          <w:highlight w:val="none"/>
          <w:lang w:bidi="ar"/>
          <w14:textFill>
            <w14:solidFill>
              <w14:schemeClr w14:val="tx1"/>
            </w14:solidFill>
          </w14:textFill>
        </w:rPr>
        <w:t>》</w:t>
      </w:r>
      <w:r>
        <w:rPr>
          <w:rFonts w:hint="default" w:cs="宋体"/>
          <w:color w:val="000000" w:themeColor="text1"/>
          <w:spacing w:val="-1"/>
          <w:highlight w:val="none"/>
          <w:lang w:bidi="ar"/>
          <w14:textFill>
            <w14:solidFill>
              <w14:schemeClr w14:val="tx1"/>
            </w14:solidFill>
          </w14:textFill>
        </w:rPr>
        <w:t>（修正版）</w:t>
      </w:r>
    </w:p>
    <w:p w14:paraId="6307C1D4">
      <w:pPr>
        <w:jc w:val="center"/>
        <w:rPr>
          <w:rFonts w:ascii="宋体" w:hAnsi="宋体"/>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商务文件评分标准</w:t>
      </w:r>
      <w:bookmarkEnd w:id="0"/>
      <w:bookmarkEnd w:id="1"/>
      <w:bookmarkEnd w:id="2"/>
      <w:bookmarkEnd w:id="3"/>
      <w:bookmarkEnd w:id="4"/>
      <w:r>
        <w:rPr>
          <w:rFonts w:hint="eastAsia"/>
          <w:b/>
          <w:bCs/>
          <w:color w:val="000000" w:themeColor="text1"/>
          <w:sz w:val="28"/>
          <w:szCs w:val="28"/>
          <w:highlight w:val="none"/>
          <w14:textFill>
            <w14:solidFill>
              <w14:schemeClr w14:val="tx1"/>
            </w14:solidFill>
          </w14:textFill>
        </w:rPr>
        <w:t>（修正版）</w:t>
      </w:r>
    </w:p>
    <w:p w14:paraId="1875C401">
      <w:pPr>
        <w:pStyle w:val="15"/>
        <w:snapToGrid w:val="0"/>
        <w:spacing w:line="300" w:lineRule="exact"/>
        <w:rPr>
          <w:rFonts w:hAnsi="宋体"/>
          <w:bCs/>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 xml:space="preserve">                  </w:t>
      </w:r>
      <w:r>
        <w:rPr>
          <w:rFonts w:hint="eastAsia" w:hAnsi="宋体"/>
          <w:bCs/>
          <w:color w:val="000000" w:themeColor="text1"/>
          <w:sz w:val="20"/>
          <w:highlight w:val="none"/>
          <w14:textFill>
            <w14:solidFill>
              <w14:schemeClr w14:val="tx1"/>
            </w14:solidFill>
          </w14:textFill>
        </w:rPr>
        <w:t xml:space="preserve">                                                                               </w:t>
      </w:r>
    </w:p>
    <w:tbl>
      <w:tblPr>
        <w:tblStyle w:val="10"/>
        <w:tblW w:w="13118" w:type="dxa"/>
        <w:jc w:val="center"/>
        <w:tblLayout w:type="fixed"/>
        <w:tblCellMar>
          <w:top w:w="0" w:type="dxa"/>
          <w:left w:w="108" w:type="dxa"/>
          <w:bottom w:w="0" w:type="dxa"/>
          <w:right w:w="108" w:type="dxa"/>
        </w:tblCellMar>
      </w:tblPr>
      <w:tblGrid>
        <w:gridCol w:w="860"/>
        <w:gridCol w:w="941"/>
        <w:gridCol w:w="1155"/>
        <w:gridCol w:w="1246"/>
        <w:gridCol w:w="8916"/>
      </w:tblGrid>
      <w:tr w14:paraId="7AFE12DE">
        <w:tblPrEx>
          <w:tblCellMar>
            <w:top w:w="0" w:type="dxa"/>
            <w:left w:w="108" w:type="dxa"/>
            <w:bottom w:w="0" w:type="dxa"/>
            <w:right w:w="108" w:type="dxa"/>
          </w:tblCellMar>
        </w:tblPrEx>
        <w:trPr>
          <w:trHeight w:val="90" w:hRule="atLeast"/>
          <w:jc w:val="center"/>
        </w:trPr>
        <w:tc>
          <w:tcPr>
            <w:tcW w:w="1801" w:type="dxa"/>
            <w:gridSpan w:val="2"/>
            <w:tcBorders>
              <w:top w:val="single" w:color="000000" w:sz="4" w:space="0"/>
              <w:left w:val="single" w:color="000000" w:sz="4" w:space="0"/>
              <w:bottom w:val="single" w:color="000000" w:sz="4" w:space="0"/>
              <w:right w:val="single" w:color="000000" w:sz="4" w:space="0"/>
            </w:tcBorders>
            <w:vAlign w:val="center"/>
          </w:tcPr>
          <w:p w14:paraId="29F24A3D">
            <w:pPr>
              <w:pStyle w:val="17"/>
              <w:kinsoku w:val="0"/>
              <w:overflowPunct w:val="0"/>
              <w:spacing w:before="71"/>
              <w:ind w:left="81" w:right="25"/>
              <w:jc w:val="center"/>
              <w:rPr>
                <w:rFonts w:eastAsia="Times New Roman"/>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条款号</w:t>
            </w:r>
          </w:p>
        </w:tc>
        <w:tc>
          <w:tcPr>
            <w:tcW w:w="2401" w:type="dxa"/>
            <w:gridSpan w:val="2"/>
            <w:tcBorders>
              <w:top w:val="single" w:color="000000" w:sz="4" w:space="0"/>
              <w:left w:val="single" w:color="000000" w:sz="4" w:space="0"/>
              <w:bottom w:val="single" w:color="000000" w:sz="4" w:space="0"/>
              <w:right w:val="single" w:color="000000" w:sz="4" w:space="0"/>
            </w:tcBorders>
            <w:vAlign w:val="center"/>
          </w:tcPr>
          <w:p w14:paraId="763999A7">
            <w:pPr>
              <w:pStyle w:val="17"/>
              <w:kinsoku w:val="0"/>
              <w:overflowPunct w:val="0"/>
              <w:spacing w:before="71"/>
              <w:ind w:firstLine="632" w:firstLineChars="300"/>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评分因素</w:t>
            </w:r>
          </w:p>
        </w:tc>
        <w:tc>
          <w:tcPr>
            <w:tcW w:w="8916" w:type="dxa"/>
            <w:tcBorders>
              <w:top w:val="single" w:color="000000" w:sz="4" w:space="0"/>
              <w:left w:val="single" w:color="000000" w:sz="4" w:space="0"/>
              <w:bottom w:val="single" w:color="000000" w:sz="4" w:space="0"/>
              <w:right w:val="single" w:color="000000" w:sz="4" w:space="0"/>
            </w:tcBorders>
          </w:tcPr>
          <w:p w14:paraId="66511B6A">
            <w:pPr>
              <w:pStyle w:val="17"/>
              <w:kinsoku w:val="0"/>
              <w:overflowPunct w:val="0"/>
              <w:spacing w:before="71"/>
              <w:ind w:right="3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评分标准</w:t>
            </w:r>
          </w:p>
        </w:tc>
      </w:tr>
      <w:tr w14:paraId="79E29189">
        <w:tblPrEx>
          <w:tblCellMar>
            <w:top w:w="0" w:type="dxa"/>
            <w:left w:w="108" w:type="dxa"/>
            <w:bottom w:w="0" w:type="dxa"/>
            <w:right w:w="108" w:type="dxa"/>
          </w:tblCellMar>
        </w:tblPrEx>
        <w:trPr>
          <w:trHeight w:val="120" w:hRule="atLeast"/>
          <w:jc w:val="center"/>
        </w:trPr>
        <w:tc>
          <w:tcPr>
            <w:tcW w:w="860" w:type="dxa"/>
            <w:vMerge w:val="restart"/>
            <w:tcBorders>
              <w:left w:val="single" w:color="000000" w:sz="4" w:space="0"/>
              <w:right w:val="single" w:color="000000" w:sz="4" w:space="0"/>
            </w:tcBorders>
            <w:vAlign w:val="center"/>
          </w:tcPr>
          <w:p w14:paraId="27D46CB0">
            <w:pPr>
              <w:pStyle w:val="9"/>
              <w:widowControl w:val="0"/>
              <w:kinsoku w:val="0"/>
              <w:overflowPunct w:val="0"/>
              <w:autoSpaceDE w:val="0"/>
              <w:autoSpaceDN w:val="0"/>
              <w:spacing w:beforeAutospacing="0" w:afterAutospacing="0"/>
              <w:jc w:val="center"/>
              <w:rPr>
                <w:rFonts w:hint="default" w:ascii="Times New Roman" w:hAnsi="Times New Roman" w:eastAsia="方正楷体_GB2312"/>
                <w:color w:val="000000" w:themeColor="text1"/>
                <w:sz w:val="21"/>
                <w:szCs w:val="21"/>
                <w:highlight w:val="none"/>
                <w14:textFill>
                  <w14:solidFill>
                    <w14:schemeClr w14:val="tx1"/>
                  </w14:solidFill>
                </w14:textFill>
              </w:rPr>
            </w:pPr>
            <w:r>
              <w:rPr>
                <w:rFonts w:hint="default" w:ascii="Times New Roman" w:hAnsi="Times New Roman" w:eastAsia="方正楷体_GB2312"/>
                <w:color w:val="000000" w:themeColor="text1"/>
                <w:sz w:val="21"/>
                <w:szCs w:val="21"/>
                <w:highlight w:val="none"/>
                <w:lang w:bidi="ar"/>
                <w14:textFill>
                  <w14:solidFill>
                    <w14:schemeClr w14:val="tx1"/>
                  </w14:solidFill>
                </w14:textFill>
              </w:rPr>
              <w:t>2.2.4</w:t>
            </w:r>
          </w:p>
          <w:p w14:paraId="75E159C6">
            <w:pPr>
              <w:pStyle w:val="9"/>
              <w:widowControl w:val="0"/>
              <w:kinsoku w:val="0"/>
              <w:overflowPunct w:val="0"/>
              <w:autoSpaceDE w:val="0"/>
              <w:autoSpaceDN w:val="0"/>
              <w:spacing w:before="71" w:beforeAutospacing="0" w:afterAutospacing="0"/>
              <w:ind w:left="81" w:right="25"/>
              <w:jc w:val="center"/>
              <w:rPr>
                <w:rFonts w:hint="default"/>
                <w:color w:val="000000" w:themeColor="text1"/>
                <w:sz w:val="21"/>
                <w:highlight w:val="none"/>
                <w14:textFill>
                  <w14:solidFill>
                    <w14:schemeClr w14:val="tx1"/>
                  </w14:solidFill>
                </w14:textFill>
              </w:rPr>
            </w:pPr>
            <w:r>
              <w:rPr>
                <w:rFonts w:cs="宋体"/>
                <w:color w:val="000000" w:themeColor="text1"/>
                <w:spacing w:val="-1"/>
                <w:sz w:val="21"/>
                <w:szCs w:val="21"/>
                <w:highlight w:val="none"/>
                <w:lang w:bidi="ar"/>
                <w14:textFill>
                  <w14:solidFill>
                    <w14:schemeClr w14:val="tx1"/>
                  </w14:solidFill>
                </w14:textFill>
              </w:rPr>
              <w:t>（</w:t>
            </w:r>
            <w:r>
              <w:rPr>
                <w:rFonts w:hint="default" w:ascii="Times New Roman" w:hAnsi="Times New Roman" w:eastAsia="方正楷体_GB2312"/>
                <w:color w:val="000000" w:themeColor="text1"/>
                <w:sz w:val="21"/>
                <w:szCs w:val="21"/>
                <w:highlight w:val="none"/>
                <w:lang w:bidi="ar"/>
                <w14:textFill>
                  <w14:solidFill>
                    <w14:schemeClr w14:val="tx1"/>
                  </w14:solidFill>
                </w14:textFill>
              </w:rPr>
              <w:t>1</w:t>
            </w:r>
            <w:r>
              <w:rPr>
                <w:rFonts w:cs="宋体"/>
                <w:color w:val="000000" w:themeColor="text1"/>
                <w:sz w:val="21"/>
                <w:szCs w:val="21"/>
                <w:highlight w:val="none"/>
                <w:lang w:bidi="ar"/>
                <w14:textFill>
                  <w14:solidFill>
                    <w14:schemeClr w14:val="tx1"/>
                  </w14:solidFill>
                </w14:textFill>
              </w:rPr>
              <w:t>）</w:t>
            </w:r>
          </w:p>
        </w:tc>
        <w:tc>
          <w:tcPr>
            <w:tcW w:w="941" w:type="dxa"/>
            <w:vMerge w:val="restart"/>
            <w:tcBorders>
              <w:left w:val="single" w:color="000000" w:sz="4" w:space="0"/>
              <w:right w:val="single" w:color="000000" w:sz="4" w:space="0"/>
            </w:tcBorders>
            <w:vAlign w:val="center"/>
          </w:tcPr>
          <w:p w14:paraId="6C8D42D2">
            <w:pPr>
              <w:pStyle w:val="9"/>
              <w:widowControl w:val="0"/>
              <w:kinsoku w:val="0"/>
              <w:overflowPunct w:val="0"/>
              <w:autoSpaceDE w:val="0"/>
              <w:autoSpaceDN w:val="0"/>
              <w:spacing w:beforeAutospacing="0" w:afterAutospacing="0" w:line="336" w:lineRule="auto"/>
              <w:jc w:val="center"/>
              <w:rPr>
                <w:rFonts w:hint="default"/>
                <w:color w:val="000000" w:themeColor="text1"/>
                <w:sz w:val="21"/>
                <w:szCs w:val="21"/>
                <w:highlight w:val="none"/>
                <w14:textFill>
                  <w14:solidFill>
                    <w14:schemeClr w14:val="tx1"/>
                  </w14:solidFill>
                </w14:textFill>
              </w:rPr>
            </w:pPr>
            <w:r>
              <w:rPr>
                <w:rFonts w:cs="宋体"/>
                <w:color w:val="000000" w:themeColor="text1"/>
                <w:sz w:val="21"/>
                <w:szCs w:val="21"/>
                <w:highlight w:val="none"/>
                <w:lang w:bidi="ar"/>
                <w14:textFill>
                  <w14:solidFill>
                    <w14:schemeClr w14:val="tx1"/>
                  </w14:solidFill>
                </w14:textFill>
              </w:rPr>
              <w:t>商务文件评分</w:t>
            </w:r>
            <w:r>
              <w:rPr>
                <w:rFonts w:cs="宋体"/>
                <w:color w:val="000000" w:themeColor="text1"/>
                <w:spacing w:val="-3"/>
                <w:sz w:val="21"/>
                <w:szCs w:val="21"/>
                <w:highlight w:val="none"/>
                <w:lang w:bidi="ar"/>
                <w14:textFill>
                  <w14:solidFill>
                    <w14:schemeClr w14:val="tx1"/>
                  </w14:solidFill>
                </w14:textFill>
              </w:rPr>
              <w:t>标</w:t>
            </w:r>
            <w:r>
              <w:rPr>
                <w:rFonts w:cs="宋体"/>
                <w:color w:val="000000" w:themeColor="text1"/>
                <w:sz w:val="21"/>
                <w:szCs w:val="21"/>
                <w:highlight w:val="none"/>
                <w:lang w:bidi="ar"/>
                <w14:textFill>
                  <w14:solidFill>
                    <w14:schemeClr w14:val="tx1"/>
                  </w14:solidFill>
                </w14:textFill>
              </w:rPr>
              <w:t>准（100分）</w:t>
            </w:r>
          </w:p>
          <w:p w14:paraId="4DE6FE00">
            <w:pPr>
              <w:pStyle w:val="9"/>
              <w:widowControl w:val="0"/>
              <w:kinsoku w:val="0"/>
              <w:overflowPunct w:val="0"/>
              <w:autoSpaceDE w:val="0"/>
              <w:autoSpaceDN w:val="0"/>
              <w:spacing w:before="71" w:beforeAutospacing="0" w:afterAutospacing="0"/>
              <w:ind w:left="81" w:right="25"/>
              <w:jc w:val="center"/>
              <w:rPr>
                <w:rFonts w:hint="default"/>
                <w:color w:val="000000" w:themeColor="text1"/>
                <w:sz w:val="21"/>
                <w:highlight w:val="none"/>
                <w14:textFill>
                  <w14:solidFill>
                    <w14:schemeClr w14:val="tx1"/>
                  </w14:solidFill>
                </w14:textFill>
              </w:rPr>
            </w:pPr>
          </w:p>
        </w:tc>
        <w:tc>
          <w:tcPr>
            <w:tcW w:w="2401" w:type="dxa"/>
            <w:gridSpan w:val="2"/>
            <w:tcBorders>
              <w:top w:val="single" w:color="000000" w:sz="4" w:space="0"/>
              <w:left w:val="single" w:color="000000" w:sz="4" w:space="0"/>
              <w:bottom w:val="single" w:color="auto" w:sz="4" w:space="0"/>
              <w:right w:val="single" w:color="auto" w:sz="4" w:space="0"/>
            </w:tcBorders>
            <w:vAlign w:val="center"/>
          </w:tcPr>
          <w:p w14:paraId="541BD0A8">
            <w:pPr>
              <w:autoSpaceDE w:val="0"/>
              <w:autoSpaceDN w:val="0"/>
              <w:adjustRightInd w:val="0"/>
              <w:jc w:val="center"/>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投标形式</w:t>
            </w:r>
          </w:p>
          <w:p w14:paraId="3AA0076F">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w:t>
            </w:r>
            <w:r>
              <w:rPr>
                <w:rFonts w:hint="eastAsia" w:ascii="宋体" w:hAnsi="宋体" w:cs="宋体"/>
                <w:b/>
                <w:bCs/>
                <w:color w:val="000000" w:themeColor="text1"/>
                <w:kern w:val="0"/>
                <w:szCs w:val="21"/>
                <w:highlight w:val="none"/>
                <w:lang w:val="en-US" w:eastAsia="zh-CN" w:bidi="ar"/>
                <w14:textFill>
                  <w14:solidFill>
                    <w14:schemeClr w14:val="tx1"/>
                  </w14:solidFill>
                </w14:textFill>
              </w:rPr>
              <w:t>5</w:t>
            </w:r>
            <w:r>
              <w:rPr>
                <w:rFonts w:hint="eastAsia" w:ascii="宋体" w:hAnsi="宋体" w:cs="宋体"/>
                <w:b/>
                <w:bCs/>
                <w:color w:val="000000" w:themeColor="text1"/>
                <w:kern w:val="0"/>
                <w:szCs w:val="21"/>
                <w:highlight w:val="none"/>
                <w:lang w:bidi="ar"/>
                <w14:textFill>
                  <w14:solidFill>
                    <w14:schemeClr w14:val="tx1"/>
                  </w14:solidFill>
                </w14:textFill>
              </w:rPr>
              <w:t>分）</w:t>
            </w:r>
          </w:p>
        </w:tc>
        <w:tc>
          <w:tcPr>
            <w:tcW w:w="8916" w:type="dxa"/>
            <w:tcBorders>
              <w:top w:val="single" w:color="auto" w:sz="4" w:space="0"/>
              <w:left w:val="single" w:color="auto" w:sz="4" w:space="0"/>
              <w:bottom w:val="single" w:color="auto" w:sz="4" w:space="0"/>
              <w:right w:val="single" w:color="auto" w:sz="4" w:space="0"/>
            </w:tcBorders>
            <w:vAlign w:val="center"/>
          </w:tcPr>
          <w:p w14:paraId="4D9C20DB">
            <w:pPr>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投标人为独立投标的得</w:t>
            </w:r>
            <w:r>
              <w:rPr>
                <w:rFonts w:hint="eastAsia" w:ascii="宋体" w:hAnsi="宋体" w:cs="宋体"/>
                <w:b/>
                <w:bCs/>
                <w:color w:val="000000" w:themeColor="text1"/>
                <w:kern w:val="0"/>
                <w:szCs w:val="21"/>
                <w:highlight w:val="none"/>
                <w:lang w:val="en-US" w:eastAsia="zh-CN"/>
                <w14:textFill>
                  <w14:solidFill>
                    <w14:schemeClr w14:val="tx1"/>
                  </w14:solidFill>
                </w14:textFill>
              </w:rPr>
              <w:t>5</w:t>
            </w:r>
            <w:r>
              <w:rPr>
                <w:rFonts w:hint="eastAsia" w:ascii="宋体" w:hAnsi="宋体" w:cs="宋体"/>
                <w:b/>
                <w:bCs/>
                <w:color w:val="000000" w:themeColor="text1"/>
                <w:kern w:val="0"/>
                <w:szCs w:val="21"/>
                <w:highlight w:val="none"/>
                <w14:textFill>
                  <w14:solidFill>
                    <w14:schemeClr w14:val="tx1"/>
                  </w14:solidFill>
                </w14:textFill>
              </w:rPr>
              <w:t>分，联合体投标的得</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分</w:t>
            </w:r>
            <w:r>
              <w:rPr>
                <w:rFonts w:hint="eastAsia" w:ascii="宋体" w:hAnsi="宋体" w:cs="宋体"/>
                <w:b/>
                <w:bCs/>
                <w:color w:val="000000" w:themeColor="text1"/>
                <w:kern w:val="0"/>
                <w:szCs w:val="21"/>
                <w:highlight w:val="none"/>
                <w:lang w:eastAsia="zh-CN"/>
                <w14:textFill>
                  <w14:solidFill>
                    <w14:schemeClr w14:val="tx1"/>
                  </w14:solidFill>
                </w14:textFill>
              </w:rPr>
              <w:t>。</w:t>
            </w:r>
          </w:p>
        </w:tc>
      </w:tr>
      <w:tr w14:paraId="6A8C88F2">
        <w:tblPrEx>
          <w:tblCellMar>
            <w:top w:w="0" w:type="dxa"/>
            <w:left w:w="108" w:type="dxa"/>
            <w:bottom w:w="0" w:type="dxa"/>
            <w:right w:w="108" w:type="dxa"/>
          </w:tblCellMar>
        </w:tblPrEx>
        <w:trPr>
          <w:trHeight w:val="182" w:hRule="atLeast"/>
          <w:jc w:val="center"/>
        </w:trPr>
        <w:tc>
          <w:tcPr>
            <w:tcW w:w="860" w:type="dxa"/>
            <w:vMerge w:val="continue"/>
            <w:tcBorders>
              <w:left w:val="single" w:color="000000" w:sz="4" w:space="0"/>
              <w:right w:val="single" w:color="000000" w:sz="4" w:space="0"/>
            </w:tcBorders>
            <w:vAlign w:val="center"/>
          </w:tcPr>
          <w:p w14:paraId="30460269">
            <w:pPr>
              <w:pStyle w:val="17"/>
              <w:kinsoku w:val="0"/>
              <w:overflowPunct w:val="0"/>
              <w:spacing w:before="14"/>
              <w:jc w:val="center"/>
              <w:rPr>
                <w:color w:val="000000" w:themeColor="text1"/>
                <w:highlight w:val="none"/>
                <w14:textFill>
                  <w14:solidFill>
                    <w14:schemeClr w14:val="tx1"/>
                  </w14:solidFill>
                </w14:textFill>
              </w:rPr>
            </w:pPr>
          </w:p>
        </w:tc>
        <w:tc>
          <w:tcPr>
            <w:tcW w:w="941" w:type="dxa"/>
            <w:vMerge w:val="continue"/>
            <w:tcBorders>
              <w:left w:val="single" w:color="000000" w:sz="4" w:space="0"/>
              <w:right w:val="single" w:color="000000" w:sz="4" w:space="0"/>
            </w:tcBorders>
            <w:vAlign w:val="center"/>
          </w:tcPr>
          <w:p w14:paraId="11FF055B">
            <w:pPr>
              <w:pStyle w:val="17"/>
              <w:kinsoku w:val="0"/>
              <w:overflowPunct w:val="0"/>
              <w:spacing w:before="14"/>
              <w:jc w:val="center"/>
              <w:rPr>
                <w:color w:val="000000" w:themeColor="text1"/>
                <w:highlight w:val="none"/>
                <w14:textFill>
                  <w14:solidFill>
                    <w14:schemeClr w14:val="tx1"/>
                  </w14:solidFill>
                </w14:textFill>
              </w:rPr>
            </w:pPr>
          </w:p>
        </w:tc>
        <w:tc>
          <w:tcPr>
            <w:tcW w:w="1155" w:type="dxa"/>
            <w:tcBorders>
              <w:top w:val="single" w:color="auto" w:sz="4" w:space="0"/>
              <w:left w:val="single" w:color="000000" w:sz="4" w:space="0"/>
              <w:bottom w:val="single" w:color="000000" w:sz="4" w:space="0"/>
              <w:right w:val="single" w:color="000000" w:sz="4" w:space="0"/>
            </w:tcBorders>
            <w:vAlign w:val="center"/>
          </w:tcPr>
          <w:p w14:paraId="5557D721">
            <w:pPr>
              <w:pStyle w:val="17"/>
              <w:kinsoku w:val="0"/>
              <w:overflowPunct w:val="0"/>
              <w:spacing w:before="14"/>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类似项目</w:t>
            </w:r>
          </w:p>
          <w:p w14:paraId="44E4CB8E">
            <w:pPr>
              <w:jc w:val="center"/>
              <w:rPr>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（30分）</w:t>
            </w:r>
          </w:p>
        </w:tc>
        <w:tc>
          <w:tcPr>
            <w:tcW w:w="1246" w:type="dxa"/>
            <w:tcBorders>
              <w:top w:val="single" w:color="auto" w:sz="4" w:space="0"/>
              <w:left w:val="single" w:color="000000" w:sz="4" w:space="0"/>
              <w:bottom w:val="single" w:color="000000" w:sz="4" w:space="0"/>
              <w:right w:val="single" w:color="auto" w:sz="4" w:space="0"/>
            </w:tcBorders>
            <w:vAlign w:val="center"/>
          </w:tcPr>
          <w:p w14:paraId="62E14054">
            <w:pPr>
              <w:kinsoku w:val="0"/>
              <w:overflowPunct w:val="0"/>
              <w:autoSpaceDE w:val="0"/>
              <w:autoSpaceDN w:val="0"/>
              <w:spacing w:before="14"/>
              <w:jc w:val="center"/>
              <w:rPr>
                <w:rFonts w:ascii="宋体" w:hAnsi="宋体"/>
                <w:b/>
                <w:bCs/>
                <w:color w:val="000000" w:themeColor="text1"/>
                <w:kern w:val="0"/>
                <w:szCs w:val="20"/>
                <w:highlight w:val="none"/>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企业类似业绩</w:t>
            </w:r>
          </w:p>
          <w:p w14:paraId="10473F74">
            <w:pPr>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b/>
                <w:bCs/>
                <w:color w:val="000000" w:themeColor="text1"/>
                <w:kern w:val="0"/>
                <w:szCs w:val="20"/>
                <w:highlight w:val="none"/>
                <w14:textFill>
                  <w14:solidFill>
                    <w14:schemeClr w14:val="tx1"/>
                  </w14:solidFill>
                </w14:textFill>
              </w:rPr>
              <w:t>（30分）</w:t>
            </w:r>
          </w:p>
        </w:tc>
        <w:tc>
          <w:tcPr>
            <w:tcW w:w="8916" w:type="dxa"/>
            <w:tcBorders>
              <w:top w:val="single" w:color="auto" w:sz="4" w:space="0"/>
              <w:left w:val="single" w:color="auto" w:sz="4" w:space="0"/>
              <w:bottom w:val="single" w:color="auto" w:sz="4" w:space="0"/>
              <w:right w:val="single" w:color="auto" w:sz="4" w:space="0"/>
            </w:tcBorders>
            <w:vAlign w:val="center"/>
          </w:tcPr>
          <w:p w14:paraId="776BE6BC">
            <w:pPr>
              <w:autoSpaceDE w:val="0"/>
              <w:autoSpaceDN w:val="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2022年1月1日至今类似业绩：有类似业绩的，每项得 10 分，最多得30分。</w:t>
            </w:r>
          </w:p>
          <w:p w14:paraId="666CB41C">
            <w:pPr>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注：业绩时间以竣工报告为准。</w:t>
            </w:r>
          </w:p>
        </w:tc>
      </w:tr>
      <w:tr w14:paraId="17DACC06">
        <w:tblPrEx>
          <w:tblCellMar>
            <w:top w:w="0" w:type="dxa"/>
            <w:left w:w="108" w:type="dxa"/>
            <w:bottom w:w="0" w:type="dxa"/>
            <w:right w:w="108" w:type="dxa"/>
          </w:tblCellMar>
        </w:tblPrEx>
        <w:trPr>
          <w:trHeight w:val="592" w:hRule="atLeast"/>
          <w:jc w:val="center"/>
        </w:trPr>
        <w:tc>
          <w:tcPr>
            <w:tcW w:w="860" w:type="dxa"/>
            <w:vMerge w:val="continue"/>
            <w:tcBorders>
              <w:left w:val="single" w:color="000000" w:sz="4" w:space="0"/>
              <w:right w:val="single" w:color="000000" w:sz="4" w:space="0"/>
            </w:tcBorders>
            <w:vAlign w:val="center"/>
          </w:tcPr>
          <w:p w14:paraId="5FC2EA0D">
            <w:pPr>
              <w:rPr>
                <w:rFonts w:ascii="宋体" w:hAnsi="宋体" w:eastAsia="宋体" w:cs="宋体"/>
                <w:color w:val="000000" w:themeColor="text1"/>
                <w:szCs w:val="21"/>
                <w:highlight w:val="none"/>
                <w14:textFill>
                  <w14:solidFill>
                    <w14:schemeClr w14:val="tx1"/>
                  </w14:solidFill>
                </w14:textFill>
              </w:rPr>
            </w:pPr>
          </w:p>
        </w:tc>
        <w:tc>
          <w:tcPr>
            <w:tcW w:w="941" w:type="dxa"/>
            <w:vMerge w:val="continue"/>
            <w:tcBorders>
              <w:left w:val="single" w:color="000000" w:sz="4" w:space="0"/>
              <w:right w:val="single" w:color="000000" w:sz="4" w:space="0"/>
            </w:tcBorders>
            <w:vAlign w:val="center"/>
          </w:tcPr>
          <w:p w14:paraId="0384E5F9">
            <w:pPr>
              <w:rPr>
                <w:rFonts w:ascii="宋体" w:hAnsi="宋体" w:eastAsia="宋体" w:cs="宋体"/>
                <w:color w:val="000000" w:themeColor="text1"/>
                <w:szCs w:val="21"/>
                <w:highlight w:val="none"/>
                <w14:textFill>
                  <w14:solidFill>
                    <w14:schemeClr w14:val="tx1"/>
                  </w14:solidFill>
                </w14:textFill>
              </w:rPr>
            </w:pPr>
          </w:p>
        </w:tc>
        <w:tc>
          <w:tcPr>
            <w:tcW w:w="1155" w:type="dxa"/>
            <w:vMerge w:val="restart"/>
            <w:tcBorders>
              <w:top w:val="single" w:color="000000" w:sz="4" w:space="0"/>
              <w:left w:val="single" w:color="000000" w:sz="4" w:space="0"/>
              <w:right w:val="single" w:color="000000" w:sz="4" w:space="0"/>
            </w:tcBorders>
            <w:vAlign w:val="center"/>
          </w:tcPr>
          <w:p w14:paraId="138EAD7D">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人员配备及技术水平</w:t>
            </w:r>
          </w:p>
          <w:p w14:paraId="483D7683">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（35分）</w:t>
            </w:r>
          </w:p>
        </w:tc>
        <w:tc>
          <w:tcPr>
            <w:tcW w:w="1246" w:type="dxa"/>
            <w:tcBorders>
              <w:top w:val="single" w:color="000000" w:sz="4" w:space="0"/>
              <w:left w:val="single" w:color="000000" w:sz="4" w:space="0"/>
              <w:bottom w:val="single" w:color="000000" w:sz="4" w:space="0"/>
              <w:right w:val="single" w:color="000000" w:sz="4" w:space="0"/>
            </w:tcBorders>
            <w:vAlign w:val="center"/>
          </w:tcPr>
          <w:p w14:paraId="4B6436B4">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项目负责人业务能力（17分）</w:t>
            </w:r>
          </w:p>
        </w:tc>
        <w:tc>
          <w:tcPr>
            <w:tcW w:w="8916" w:type="dxa"/>
            <w:tcBorders>
              <w:top w:val="single" w:color="auto" w:sz="4" w:space="0"/>
              <w:left w:val="single" w:color="000000" w:sz="4" w:space="0"/>
              <w:bottom w:val="single" w:color="000000" w:sz="4" w:space="0"/>
              <w:right w:val="single" w:color="000000" w:sz="4" w:space="0"/>
            </w:tcBorders>
          </w:tcPr>
          <w:p w14:paraId="16ADAC46">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（1）设计经历在15年（含）或以上的得3分，设计经历在15年以下的得1分；其余不得分。</w:t>
            </w:r>
          </w:p>
          <w:p w14:paraId="3025D6C1">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（2）具有高级工程师或以上职称得3分，具有工程师职称得1分；其余不得分。</w:t>
            </w:r>
          </w:p>
          <w:p w14:paraId="34753228">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（3）2020年1月1日至今参与类似项目获国家级奖项每项得5分；获省（部）级或行业级奖项，每项得3分；获市（副省级）奖项，每项得1分。本项最多得5分。</w:t>
            </w:r>
          </w:p>
          <w:p w14:paraId="6199A3E5">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（4）2020年1月1日至今作为项目负责人（或设计负责人）主持过类似业绩每项得3分，本项最高得6分。</w:t>
            </w:r>
          </w:p>
          <w:p w14:paraId="43BD7368">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①以上各项合计最多得17分；②设计经历以大专或以上学历毕业证书时间为准；职称证书按最高级别计分，不累计计算。③获奖时间以证书颁发日期为准，获奖证书须体现设计人员名字，否则不得分；④作为项目负责人（或设计负责人）主持的类似业绩须提供合同文件证明；⑤</w:t>
            </w:r>
            <w:r>
              <w:rPr>
                <w:rFonts w:hint="eastAsia" w:ascii="宋体" w:hAnsi="宋体" w:eastAsia="宋体" w:cs="宋体"/>
                <w:color w:val="000000" w:themeColor="text1"/>
                <w:spacing w:val="2"/>
                <w:szCs w:val="21"/>
                <w:highlight w:val="none"/>
                <w14:textFill>
                  <w14:solidFill>
                    <w14:schemeClr w14:val="tx1"/>
                  </w14:solidFill>
                </w14:textFill>
              </w:rPr>
              <w:t>具有离投标截止时间最近的至少1个月</w:t>
            </w:r>
            <w:r>
              <w:rPr>
                <w:rFonts w:hint="eastAsia" w:eastAsia="宋体" w:cs="宋体"/>
                <w:color w:val="000000" w:themeColor="text1"/>
                <w:szCs w:val="21"/>
                <w:highlight w:val="none"/>
                <w:u w:val="single"/>
                <w14:textFill>
                  <w14:solidFill>
                    <w14:schemeClr w14:val="tx1"/>
                  </w14:solidFill>
                </w14:textFill>
              </w:rPr>
              <w:t>（即2025年10月）</w:t>
            </w:r>
            <w:r>
              <w:rPr>
                <w:rFonts w:hint="eastAsia" w:ascii="宋体" w:hAnsi="宋体" w:eastAsia="宋体" w:cs="宋体"/>
                <w:color w:val="000000" w:themeColor="text1"/>
                <w:spacing w:val="2"/>
                <w:szCs w:val="21"/>
                <w:highlight w:val="none"/>
                <w14:textFill>
                  <w14:solidFill>
                    <w14:schemeClr w14:val="tx1"/>
                  </w14:solidFill>
                </w14:textFill>
              </w:rPr>
              <w:t>在本单位缴纳的社保证明文件</w:t>
            </w:r>
            <w:r>
              <w:rPr>
                <w:rFonts w:hint="eastAsia" w:ascii="宋体" w:hAnsi="宋体" w:eastAsia="宋体"/>
                <w:color w:val="000000" w:themeColor="text1"/>
                <w:sz w:val="20"/>
                <w:szCs w:val="24"/>
                <w:highlight w:val="none"/>
                <w14:textFill>
                  <w14:solidFill>
                    <w14:schemeClr w14:val="tx1"/>
                  </w14:solidFill>
                </w14:textFill>
              </w:rPr>
              <w:t>。</w:t>
            </w:r>
          </w:p>
        </w:tc>
      </w:tr>
      <w:tr w14:paraId="4A22D668">
        <w:tblPrEx>
          <w:tblCellMar>
            <w:top w:w="0" w:type="dxa"/>
            <w:left w:w="108" w:type="dxa"/>
            <w:bottom w:w="0" w:type="dxa"/>
            <w:right w:w="108" w:type="dxa"/>
          </w:tblCellMar>
        </w:tblPrEx>
        <w:trPr>
          <w:trHeight w:val="356" w:hRule="atLeast"/>
          <w:jc w:val="center"/>
        </w:trPr>
        <w:tc>
          <w:tcPr>
            <w:tcW w:w="860" w:type="dxa"/>
            <w:vMerge w:val="continue"/>
            <w:tcBorders>
              <w:left w:val="single" w:color="000000" w:sz="4" w:space="0"/>
              <w:right w:val="single" w:color="000000" w:sz="4" w:space="0"/>
            </w:tcBorders>
            <w:vAlign w:val="center"/>
          </w:tcPr>
          <w:p w14:paraId="317B1C88">
            <w:pPr>
              <w:rPr>
                <w:rFonts w:ascii="宋体" w:hAnsi="宋体" w:eastAsia="宋体" w:cs="宋体"/>
                <w:color w:val="000000" w:themeColor="text1"/>
                <w:szCs w:val="21"/>
                <w:highlight w:val="none"/>
                <w14:textFill>
                  <w14:solidFill>
                    <w14:schemeClr w14:val="tx1"/>
                  </w14:solidFill>
                </w14:textFill>
              </w:rPr>
            </w:pPr>
          </w:p>
        </w:tc>
        <w:tc>
          <w:tcPr>
            <w:tcW w:w="941" w:type="dxa"/>
            <w:vMerge w:val="continue"/>
            <w:tcBorders>
              <w:left w:val="single" w:color="000000" w:sz="4" w:space="0"/>
              <w:right w:val="single" w:color="000000" w:sz="4" w:space="0"/>
            </w:tcBorders>
            <w:vAlign w:val="center"/>
          </w:tcPr>
          <w:p w14:paraId="762D55D3">
            <w:pPr>
              <w:rPr>
                <w:rFonts w:ascii="宋体" w:hAnsi="宋体" w:eastAsia="宋体" w:cs="宋体"/>
                <w:color w:val="000000" w:themeColor="text1"/>
                <w:szCs w:val="21"/>
                <w:highlight w:val="none"/>
                <w14:textFill>
                  <w14:solidFill>
                    <w14:schemeClr w14:val="tx1"/>
                  </w14:solidFill>
                </w14:textFill>
              </w:rPr>
            </w:pPr>
          </w:p>
        </w:tc>
        <w:tc>
          <w:tcPr>
            <w:tcW w:w="1155" w:type="dxa"/>
            <w:vMerge w:val="continue"/>
            <w:tcBorders>
              <w:left w:val="single" w:color="000000" w:sz="4" w:space="0"/>
              <w:bottom w:val="single" w:color="000000" w:sz="4" w:space="0"/>
              <w:right w:val="single" w:color="000000" w:sz="4" w:space="0"/>
            </w:tcBorders>
            <w:vAlign w:val="center"/>
          </w:tcPr>
          <w:p w14:paraId="75B2ADD5">
            <w:pPr>
              <w:jc w:val="left"/>
              <w:rPr>
                <w:rFonts w:ascii="宋体" w:hAnsi="宋体" w:eastAsia="宋体" w:cs="宋体"/>
                <w:color w:val="000000" w:themeColor="text1"/>
                <w:szCs w:val="21"/>
                <w:highlight w:val="none"/>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cBorders>
            <w:vAlign w:val="center"/>
          </w:tcPr>
          <w:p w14:paraId="7BC8244B">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各专业负责人设计经历及业务能力</w:t>
            </w:r>
          </w:p>
          <w:p w14:paraId="455AEE4F">
            <w:pPr>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（18分）</w:t>
            </w:r>
          </w:p>
        </w:tc>
        <w:tc>
          <w:tcPr>
            <w:tcW w:w="8916" w:type="dxa"/>
            <w:tcBorders>
              <w:top w:val="single" w:color="000000" w:sz="4" w:space="0"/>
              <w:left w:val="single" w:color="000000" w:sz="4" w:space="0"/>
              <w:bottom w:val="single" w:color="000000" w:sz="4" w:space="0"/>
              <w:right w:val="single" w:color="000000" w:sz="4" w:space="0"/>
            </w:tcBorders>
          </w:tcPr>
          <w:p w14:paraId="6DB12AC2">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各专业负责人（系统规划、变电一次、变电二次、土建专业、送电专业、技经专业）能力：</w:t>
            </w:r>
          </w:p>
          <w:p w14:paraId="50399E2E">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（1）每1名专业负责人为注册结构工程师或注册公用设备工程师或注册土木工程师或注册电气工程师或注册造价工程师的得2分；其余不得分。本小项最多得12分。</w:t>
            </w:r>
          </w:p>
          <w:p w14:paraId="38B35E94">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（2）每1名专业负责人为高级（或以上）职称的得1分，中级职称的得0.5分；其余不得分。本小项最多得6分。</w:t>
            </w:r>
          </w:p>
          <w:p w14:paraId="0545E295">
            <w:pPr>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①以上各项合计最多得18分。②项目负责人不得兼任专业负责人，各专业负责人不得兼任，需提供相应执业证或职称证扫描件，同一人同时具有两个或以上的注册执业证不重复计算，只计算一次得分；同一人职称证书按最高级别计分，不累计计算。</w:t>
            </w:r>
            <w:r>
              <w:rPr>
                <w:rFonts w:hint="eastAsia" w:ascii="宋体" w:hAnsi="宋体" w:eastAsia="宋体" w:cs="宋体"/>
                <w:color w:val="000000" w:themeColor="text1"/>
                <w:spacing w:val="2"/>
                <w:szCs w:val="21"/>
                <w:highlight w:val="none"/>
                <w14:textFill>
                  <w14:solidFill>
                    <w14:schemeClr w14:val="tx1"/>
                  </w14:solidFill>
                </w14:textFill>
              </w:rPr>
              <w:t>具有离投标截止时间最近的至少1个月</w:t>
            </w:r>
            <w:r>
              <w:rPr>
                <w:rFonts w:hint="eastAsia" w:eastAsia="宋体" w:cs="宋体"/>
                <w:color w:val="000000" w:themeColor="text1"/>
                <w:szCs w:val="21"/>
                <w:highlight w:val="none"/>
                <w:u w:val="single"/>
                <w14:textFill>
                  <w14:solidFill>
                    <w14:schemeClr w14:val="tx1"/>
                  </w14:solidFill>
                </w14:textFill>
              </w:rPr>
              <w:t>（即2025年10月）</w:t>
            </w:r>
            <w:r>
              <w:rPr>
                <w:rFonts w:hint="eastAsia" w:ascii="宋体" w:hAnsi="宋体" w:eastAsia="宋体" w:cs="宋体"/>
                <w:color w:val="000000" w:themeColor="text1"/>
                <w:spacing w:val="2"/>
                <w:szCs w:val="21"/>
                <w:highlight w:val="none"/>
                <w14:textFill>
                  <w14:solidFill>
                    <w14:schemeClr w14:val="tx1"/>
                  </w14:solidFill>
                </w14:textFill>
              </w:rPr>
              <w:t>在本单位缴纳的社保证明文件</w:t>
            </w:r>
            <w:r>
              <w:rPr>
                <w:rFonts w:hint="eastAsia" w:ascii="宋体" w:hAnsi="宋体" w:eastAsia="宋体"/>
                <w:color w:val="000000" w:themeColor="text1"/>
                <w:sz w:val="20"/>
                <w:szCs w:val="24"/>
                <w:highlight w:val="none"/>
                <w14:textFill>
                  <w14:solidFill>
                    <w14:schemeClr w14:val="tx1"/>
                  </w14:solidFill>
                </w14:textFill>
              </w:rPr>
              <w:t>。</w:t>
            </w:r>
          </w:p>
        </w:tc>
      </w:tr>
      <w:tr w14:paraId="0BA1B932">
        <w:tblPrEx>
          <w:tblCellMar>
            <w:top w:w="0" w:type="dxa"/>
            <w:left w:w="108" w:type="dxa"/>
            <w:bottom w:w="0" w:type="dxa"/>
            <w:right w:w="108" w:type="dxa"/>
          </w:tblCellMar>
        </w:tblPrEx>
        <w:trPr>
          <w:trHeight w:val="120" w:hRule="atLeast"/>
          <w:jc w:val="center"/>
        </w:trPr>
        <w:tc>
          <w:tcPr>
            <w:tcW w:w="860" w:type="dxa"/>
            <w:vMerge w:val="continue"/>
            <w:tcBorders>
              <w:left w:val="single" w:color="000000" w:sz="4" w:space="0"/>
              <w:right w:val="single" w:color="000000" w:sz="4" w:space="0"/>
            </w:tcBorders>
            <w:vAlign w:val="center"/>
          </w:tcPr>
          <w:p w14:paraId="575847FA">
            <w:pPr>
              <w:pStyle w:val="17"/>
              <w:kinsoku w:val="0"/>
              <w:overflowPunct w:val="0"/>
              <w:spacing w:before="71"/>
              <w:ind w:left="81" w:right="25"/>
              <w:jc w:val="center"/>
              <w:rPr>
                <w:rFonts w:ascii="宋体" w:hAnsi="宋体"/>
                <w:color w:val="000000" w:themeColor="text1"/>
                <w:highlight w:val="none"/>
                <w14:textFill>
                  <w14:solidFill>
                    <w14:schemeClr w14:val="tx1"/>
                  </w14:solidFill>
                </w14:textFill>
              </w:rPr>
            </w:pPr>
          </w:p>
        </w:tc>
        <w:tc>
          <w:tcPr>
            <w:tcW w:w="941" w:type="dxa"/>
            <w:vMerge w:val="continue"/>
            <w:tcBorders>
              <w:left w:val="single" w:color="000000" w:sz="4" w:space="0"/>
              <w:right w:val="single" w:color="000000" w:sz="4" w:space="0"/>
            </w:tcBorders>
            <w:vAlign w:val="center"/>
          </w:tcPr>
          <w:p w14:paraId="62F445B1">
            <w:pPr>
              <w:pStyle w:val="17"/>
              <w:kinsoku w:val="0"/>
              <w:overflowPunct w:val="0"/>
              <w:spacing w:before="71"/>
              <w:ind w:left="81" w:right="25"/>
              <w:jc w:val="center"/>
              <w:rPr>
                <w:rFonts w:ascii="宋体" w:hAnsi="宋体"/>
                <w:color w:val="000000" w:themeColor="text1"/>
                <w:highlight w:val="none"/>
                <w14:textFill>
                  <w14:solidFill>
                    <w14:schemeClr w14:val="tx1"/>
                  </w14:solidFill>
                </w14:textFill>
              </w:rPr>
            </w:pPr>
          </w:p>
        </w:tc>
        <w:tc>
          <w:tcPr>
            <w:tcW w:w="2401" w:type="dxa"/>
            <w:gridSpan w:val="2"/>
            <w:tcBorders>
              <w:top w:val="single" w:color="000000" w:sz="4" w:space="0"/>
              <w:left w:val="single" w:color="000000" w:sz="4" w:space="0"/>
              <w:right w:val="single" w:color="000000" w:sz="4" w:space="0"/>
            </w:tcBorders>
            <w:vAlign w:val="center"/>
          </w:tcPr>
          <w:p w14:paraId="5A96992D">
            <w:pPr>
              <w:jc w:val="center"/>
              <w:rPr>
                <w:rFonts w:hint="default" w:ascii="宋体" w:hAnsi="宋体" w:eastAsia="宋体" w:cs="宋体"/>
                <w:b/>
                <w:bCs/>
                <w:color w:val="000000" w:themeColor="text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服务及措施</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(15分)</w:t>
            </w:r>
          </w:p>
        </w:tc>
        <w:tc>
          <w:tcPr>
            <w:tcW w:w="8916" w:type="dxa"/>
            <w:tcBorders>
              <w:top w:val="single" w:color="000000" w:sz="4" w:space="0"/>
              <w:left w:val="single" w:color="000000" w:sz="4" w:space="0"/>
              <w:bottom w:val="single" w:color="auto" w:sz="4" w:space="0"/>
              <w:right w:val="single" w:color="000000" w:sz="4" w:space="0"/>
            </w:tcBorders>
            <w:vAlign w:val="center"/>
          </w:tcPr>
          <w:p w14:paraId="30EE42E5">
            <w:pPr>
              <w:autoSpaceDE w:val="0"/>
              <w:autoSpaceDN w:val="0"/>
              <w:rPr>
                <w:rFonts w:hint="eastAsia"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有针对本项目所制定的设计进度安排、质量保证措施、协助业主确保工程质量、控制工程规模、降低工程造价、减少设计变更等措施的得</w:t>
            </w:r>
            <w:r>
              <w:rPr>
                <w:rFonts w:hint="eastAsia" w:ascii="宋体" w:hAnsi="宋体" w:eastAsia="宋体" w:cs="宋体"/>
                <w:b/>
                <w:bCs/>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15 </w:t>
            </w:r>
            <w:r>
              <w:rPr>
                <w:rFonts w:hint="eastAsia" w:ascii="宋体" w:hAnsi="宋体" w:eastAsia="宋体" w:cs="宋体"/>
                <w:b/>
                <w:bCs/>
                <w:color w:val="000000" w:themeColor="text1"/>
                <w:sz w:val="21"/>
                <w:szCs w:val="21"/>
                <w:highlight w:val="none"/>
                <w:lang w:val="zh-CN"/>
                <w14:textFill>
                  <w14:solidFill>
                    <w14:schemeClr w14:val="tx1"/>
                  </w14:solidFill>
                </w14:textFill>
              </w:rPr>
              <w:t>分，无得0分。</w:t>
            </w:r>
          </w:p>
        </w:tc>
      </w:tr>
      <w:tr w14:paraId="334FAE27">
        <w:tblPrEx>
          <w:tblCellMar>
            <w:top w:w="0" w:type="dxa"/>
            <w:left w:w="108" w:type="dxa"/>
            <w:bottom w:w="0" w:type="dxa"/>
            <w:right w:w="108" w:type="dxa"/>
          </w:tblCellMar>
        </w:tblPrEx>
        <w:trPr>
          <w:trHeight w:val="185" w:hRule="atLeast"/>
          <w:jc w:val="center"/>
        </w:trPr>
        <w:tc>
          <w:tcPr>
            <w:tcW w:w="860" w:type="dxa"/>
            <w:vMerge w:val="continue"/>
            <w:tcBorders>
              <w:left w:val="single" w:color="000000" w:sz="4" w:space="0"/>
              <w:bottom w:val="single" w:color="auto" w:sz="4" w:space="0"/>
              <w:right w:val="single" w:color="000000" w:sz="4" w:space="0"/>
            </w:tcBorders>
            <w:vAlign w:val="center"/>
          </w:tcPr>
          <w:p w14:paraId="689A8039">
            <w:pPr>
              <w:pStyle w:val="17"/>
              <w:kinsoku w:val="0"/>
              <w:overflowPunct w:val="0"/>
              <w:spacing w:before="71"/>
              <w:ind w:left="81" w:right="25"/>
              <w:jc w:val="center"/>
              <w:rPr>
                <w:rFonts w:ascii="宋体" w:hAnsi="宋体"/>
                <w:color w:val="000000" w:themeColor="text1"/>
                <w:highlight w:val="none"/>
                <w14:textFill>
                  <w14:solidFill>
                    <w14:schemeClr w14:val="tx1"/>
                  </w14:solidFill>
                </w14:textFill>
              </w:rPr>
            </w:pPr>
          </w:p>
        </w:tc>
        <w:tc>
          <w:tcPr>
            <w:tcW w:w="941" w:type="dxa"/>
            <w:vMerge w:val="continue"/>
            <w:tcBorders>
              <w:left w:val="single" w:color="000000" w:sz="4" w:space="0"/>
              <w:bottom w:val="single" w:color="auto" w:sz="4" w:space="0"/>
              <w:right w:val="single" w:color="000000" w:sz="4" w:space="0"/>
            </w:tcBorders>
            <w:vAlign w:val="center"/>
          </w:tcPr>
          <w:p w14:paraId="40D00215">
            <w:pPr>
              <w:pStyle w:val="17"/>
              <w:kinsoku w:val="0"/>
              <w:overflowPunct w:val="0"/>
              <w:spacing w:before="71"/>
              <w:ind w:left="81" w:right="25"/>
              <w:jc w:val="center"/>
              <w:rPr>
                <w:rFonts w:ascii="宋体" w:hAnsi="宋体"/>
                <w:color w:val="000000" w:themeColor="text1"/>
                <w:highlight w:val="none"/>
                <w14:textFill>
                  <w14:solidFill>
                    <w14:schemeClr w14:val="tx1"/>
                  </w14:solidFill>
                </w14:textFill>
              </w:rPr>
            </w:pPr>
          </w:p>
        </w:tc>
        <w:tc>
          <w:tcPr>
            <w:tcW w:w="2401" w:type="dxa"/>
            <w:gridSpan w:val="2"/>
            <w:tcBorders>
              <w:top w:val="single" w:color="000000" w:sz="4" w:space="0"/>
              <w:left w:val="single" w:color="000000" w:sz="4" w:space="0"/>
              <w:bottom w:val="single" w:color="auto" w:sz="4" w:space="0"/>
              <w:right w:val="single" w:color="000000" w:sz="4" w:space="0"/>
            </w:tcBorders>
            <w:vAlign w:val="center"/>
          </w:tcPr>
          <w:p w14:paraId="3A68A57D">
            <w:pPr>
              <w:jc w:val="center"/>
              <w:rPr>
                <w:rFonts w:ascii="宋体" w:hAnsi="宋体" w:eastAsia="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信誉（</w:t>
            </w:r>
            <w:r>
              <w:rPr>
                <w:rFonts w:hint="eastAsia" w:ascii="宋体" w:hAnsi="宋体" w:eastAsia="宋体" w:cs="宋体"/>
                <w:b/>
                <w:bCs/>
                <w:color w:val="000000" w:themeColor="text1"/>
                <w:szCs w:val="21"/>
                <w:highlight w:val="none"/>
                <w:lang w:val="en-US" w:eastAsia="zh-CN" w:bidi="ar"/>
                <w14:textFill>
                  <w14:solidFill>
                    <w14:schemeClr w14:val="tx1"/>
                  </w14:solidFill>
                </w14:textFill>
              </w:rPr>
              <w:t>15</w:t>
            </w:r>
            <w:r>
              <w:rPr>
                <w:rFonts w:hint="eastAsia" w:ascii="宋体" w:hAnsi="宋体" w:eastAsia="宋体" w:cs="宋体"/>
                <w:b/>
                <w:bCs/>
                <w:color w:val="000000" w:themeColor="text1"/>
                <w:szCs w:val="21"/>
                <w:highlight w:val="none"/>
                <w:lang w:bidi="ar"/>
                <w14:textFill>
                  <w14:solidFill>
                    <w14:schemeClr w14:val="tx1"/>
                  </w14:solidFill>
                </w14:textFill>
              </w:rPr>
              <w:t>分）</w:t>
            </w:r>
          </w:p>
        </w:tc>
        <w:tc>
          <w:tcPr>
            <w:tcW w:w="8916" w:type="dxa"/>
            <w:tcBorders>
              <w:top w:val="single" w:color="000000" w:sz="4" w:space="0"/>
              <w:left w:val="single" w:color="000000" w:sz="4" w:space="0"/>
              <w:bottom w:val="single" w:color="auto" w:sz="4" w:space="0"/>
              <w:right w:val="single" w:color="000000" w:sz="4" w:space="0"/>
            </w:tcBorders>
            <w:vAlign w:val="center"/>
          </w:tcPr>
          <w:p w14:paraId="3425675E">
            <w:pPr>
              <w:autoSpaceDE w:val="0"/>
              <w:autoSpaceDN w:val="0"/>
              <w:jc w:val="left"/>
              <w:rPr>
                <w:rFonts w:ascii="宋体" w:hAnsi="宋体" w:eastAsia="宋体" w:cs="宋体"/>
                <w:b/>
                <w:bCs/>
                <w:strike/>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具有有效期内的高新技术企业证书得</w:t>
            </w: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15</w:t>
            </w:r>
            <w:r>
              <w:rPr>
                <w:rFonts w:hint="eastAsia" w:ascii="宋体" w:hAnsi="宋体" w:eastAsia="宋体" w:cs="宋体"/>
                <w:b/>
                <w:bCs/>
                <w:color w:val="000000" w:themeColor="text1"/>
                <w:kern w:val="0"/>
                <w:szCs w:val="21"/>
                <w:highlight w:val="none"/>
                <w:lang w:bidi="ar"/>
                <w14:textFill>
                  <w14:solidFill>
                    <w14:schemeClr w14:val="tx1"/>
                  </w14:solidFill>
                </w14:textFill>
              </w:rPr>
              <w:t>分，无得0分。</w:t>
            </w:r>
          </w:p>
          <w:p w14:paraId="6B030836">
            <w:pPr>
              <w:autoSpaceDE w:val="0"/>
              <w:autoSpaceDN w:val="0"/>
              <w:rPr>
                <w:rFonts w:ascii="宋体" w:hAnsi="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注：提供相关证书复印件或扫描件作为认定的证明材料。</w:t>
            </w:r>
            <w:r>
              <w:rPr>
                <w:rFonts w:hint="eastAsia" w:ascii="宋体" w:hAnsi="宋体" w:cs="宋体"/>
                <w:b/>
                <w:bCs/>
                <w:color w:val="000000" w:themeColor="text1"/>
                <w:kern w:val="0"/>
                <w:szCs w:val="21"/>
                <w:highlight w:val="none"/>
                <w14:textFill>
                  <w14:solidFill>
                    <w14:schemeClr w14:val="tx1"/>
                  </w14:solidFill>
                </w14:textFill>
              </w:rPr>
              <w:t>(高新技术企业由科技行政部门认定)</w:t>
            </w:r>
          </w:p>
        </w:tc>
      </w:tr>
    </w:tbl>
    <w:p w14:paraId="0CC7090F">
      <w:pPr>
        <w:rPr>
          <w:color w:val="000000" w:themeColor="text1"/>
          <w:highlight w:val="none"/>
          <w14:textFill>
            <w14:solidFill>
              <w14:schemeClr w14:val="tx1"/>
            </w14:solidFill>
          </w14:textFill>
        </w:rPr>
      </w:pPr>
    </w:p>
    <w:p w14:paraId="217C7BAC">
      <w:pPr>
        <w:wordWrap w:val="0"/>
        <w:topLinePunct/>
        <w:autoSpaceDE w:val="0"/>
        <w:autoSpaceDN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注：1、企业类似业绩：类似业绩是指</w:t>
      </w:r>
      <w:r>
        <w:rPr>
          <w:rFonts w:hint="eastAsia" w:ascii="宋体" w:hAnsi="宋体" w:eastAsia="宋体"/>
          <w:color w:val="000000" w:themeColor="text1"/>
          <w:szCs w:val="24"/>
          <w:highlight w:val="none"/>
          <w14:textFill>
            <w14:solidFill>
              <w14:schemeClr w14:val="tx1"/>
            </w14:solidFill>
          </w14:textFill>
        </w:rPr>
        <w:t>同等电压等级及以上的线路迁改工程、输（变）电工程的电力设计，</w:t>
      </w:r>
      <w:r>
        <w:rPr>
          <w:rFonts w:hint="eastAsia" w:ascii="宋体" w:hAnsi="宋体" w:eastAsia="宋体" w:cs="宋体"/>
          <w:color w:val="000000" w:themeColor="text1"/>
          <w:szCs w:val="21"/>
          <w:highlight w:val="none"/>
          <w:lang w:bidi="ar"/>
          <w14:textFill>
            <w14:solidFill>
              <w14:schemeClr w14:val="tx1"/>
            </w14:solidFill>
          </w14:textFill>
        </w:rPr>
        <w:t>业绩须同时提供合同文本关键页（至少包括封面页、项目范围及金额页、甲乙双方签字盖章页）、竣工报告，否则相关项目的业绩不计分。</w:t>
      </w:r>
    </w:p>
    <w:p w14:paraId="2E7928B4">
      <w:pPr>
        <w:wordWrap w:val="0"/>
        <w:topLinePunct/>
        <w:autoSpaceDE w:val="0"/>
        <w:autoSpaceDN w:val="0"/>
        <w:spacing w:line="360" w:lineRule="auto"/>
        <w:ind w:firstLine="840" w:firstLineChars="400"/>
        <w:rPr>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2、以联合体方式投标的，按联合体主办方（即牵头人）的证明材料计算得分。</w:t>
      </w:r>
    </w:p>
    <w:p w14:paraId="235B88B4">
      <w:pPr>
        <w:rPr>
          <w:color w:val="000000" w:themeColor="text1"/>
          <w:highlight w:val="none"/>
          <w14:textFill>
            <w14:solidFill>
              <w14:schemeClr w14:val="tx1"/>
            </w14:solidFill>
          </w14:textFill>
        </w:rPr>
      </w:pPr>
    </w:p>
    <w:sectPr>
      <w:pgSz w:w="15840" w:h="12240"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楷体_GB2312">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EC2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2ED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Y2M4OTc1ZDg3Nzc3ZGZiNzQ2OGU1M2MyMDMxNjMifQ=="/>
  </w:docVars>
  <w:rsids>
    <w:rsidRoot w:val="006E26ED"/>
    <w:rsid w:val="000E3242"/>
    <w:rsid w:val="000F03B9"/>
    <w:rsid w:val="0013590A"/>
    <w:rsid w:val="001446CE"/>
    <w:rsid w:val="001754D1"/>
    <w:rsid w:val="001F60FD"/>
    <w:rsid w:val="00273BF6"/>
    <w:rsid w:val="00295693"/>
    <w:rsid w:val="00313F3B"/>
    <w:rsid w:val="00337FF6"/>
    <w:rsid w:val="00374CBA"/>
    <w:rsid w:val="003A6F87"/>
    <w:rsid w:val="003B5761"/>
    <w:rsid w:val="003B6C90"/>
    <w:rsid w:val="003C4331"/>
    <w:rsid w:val="00405559"/>
    <w:rsid w:val="00411EC5"/>
    <w:rsid w:val="00446591"/>
    <w:rsid w:val="00476E8C"/>
    <w:rsid w:val="00533EFE"/>
    <w:rsid w:val="00673A94"/>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27F1C9E"/>
    <w:rsid w:val="03557B4E"/>
    <w:rsid w:val="03657407"/>
    <w:rsid w:val="047B7C68"/>
    <w:rsid w:val="0482661E"/>
    <w:rsid w:val="05FF33E3"/>
    <w:rsid w:val="063F18A3"/>
    <w:rsid w:val="081418D2"/>
    <w:rsid w:val="08C76FC4"/>
    <w:rsid w:val="09D23572"/>
    <w:rsid w:val="0AD97031"/>
    <w:rsid w:val="0B7B0A6D"/>
    <w:rsid w:val="0BB35770"/>
    <w:rsid w:val="0BB5073B"/>
    <w:rsid w:val="0E4E3824"/>
    <w:rsid w:val="0EB71C1D"/>
    <w:rsid w:val="14056D2E"/>
    <w:rsid w:val="1559533D"/>
    <w:rsid w:val="15F54E00"/>
    <w:rsid w:val="16FF9C72"/>
    <w:rsid w:val="17555BDC"/>
    <w:rsid w:val="1DEF27E3"/>
    <w:rsid w:val="22E90E98"/>
    <w:rsid w:val="2C0025A9"/>
    <w:rsid w:val="2D1C7F52"/>
    <w:rsid w:val="2DC312AE"/>
    <w:rsid w:val="30CF6B49"/>
    <w:rsid w:val="34087D7A"/>
    <w:rsid w:val="36221B34"/>
    <w:rsid w:val="38F31552"/>
    <w:rsid w:val="3C975BCF"/>
    <w:rsid w:val="3CBC20D5"/>
    <w:rsid w:val="3ECF3C71"/>
    <w:rsid w:val="3FBA7511"/>
    <w:rsid w:val="3FE557D3"/>
    <w:rsid w:val="40856914"/>
    <w:rsid w:val="41EA6F47"/>
    <w:rsid w:val="42054AA9"/>
    <w:rsid w:val="429E50AD"/>
    <w:rsid w:val="42AF3048"/>
    <w:rsid w:val="48510856"/>
    <w:rsid w:val="49005FB7"/>
    <w:rsid w:val="49F25388"/>
    <w:rsid w:val="4C155A1A"/>
    <w:rsid w:val="4D1060F9"/>
    <w:rsid w:val="51B76978"/>
    <w:rsid w:val="54072E06"/>
    <w:rsid w:val="55A0640F"/>
    <w:rsid w:val="575D5796"/>
    <w:rsid w:val="58131835"/>
    <w:rsid w:val="5BA04553"/>
    <w:rsid w:val="5BB478E2"/>
    <w:rsid w:val="5C550E60"/>
    <w:rsid w:val="5C594FF6"/>
    <w:rsid w:val="5D8D0C62"/>
    <w:rsid w:val="5D962BBC"/>
    <w:rsid w:val="5EBD5B0D"/>
    <w:rsid w:val="66267776"/>
    <w:rsid w:val="6860298C"/>
    <w:rsid w:val="69091C39"/>
    <w:rsid w:val="6BE41902"/>
    <w:rsid w:val="6CB86F86"/>
    <w:rsid w:val="6EFD26D4"/>
    <w:rsid w:val="714B68C0"/>
    <w:rsid w:val="76BF6E56"/>
    <w:rsid w:val="78B440AA"/>
    <w:rsid w:val="79751B03"/>
    <w:rsid w:val="79A64922"/>
    <w:rsid w:val="7A7830D7"/>
    <w:rsid w:val="7CA71700"/>
    <w:rsid w:val="7F140AA3"/>
    <w:rsid w:val="7F961D37"/>
    <w:rsid w:val="7FBF9F90"/>
    <w:rsid w:val="7FEF5048"/>
    <w:rsid w:val="91F94B40"/>
    <w:rsid w:val="EFFD4356"/>
    <w:rsid w:val="FD9904DA"/>
    <w:rsid w:val="FF2D81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autoSpaceDE w:val="0"/>
      <w:autoSpaceDN w:val="0"/>
      <w:spacing w:before="2"/>
      <w:ind w:left="215"/>
      <w:jc w:val="left"/>
      <w:outlineLvl w:val="0"/>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pPr>
    <w:rPr>
      <w:rFonts w:ascii="Times New Roman" w:hAnsi="Times New Roman" w:eastAsia="宋体" w:cs="Times New Roman"/>
      <w:kern w:val="0"/>
      <w:sz w:val="20"/>
      <w:szCs w:val="20"/>
    </w:rPr>
  </w:style>
  <w:style w:type="paragraph" w:styleId="4">
    <w:name w:val="annotation text"/>
    <w:basedOn w:val="1"/>
    <w:qFormat/>
    <w:uiPriority w:val="0"/>
    <w:pPr>
      <w:jc w:val="left"/>
    </w:pPr>
    <w:rPr>
      <w:kern w:val="0"/>
      <w:sz w:val="20"/>
    </w:rPr>
  </w:style>
  <w:style w:type="paragraph" w:styleId="5">
    <w:name w:val="Body Text"/>
    <w:basedOn w:val="1"/>
    <w:autoRedefine/>
    <w:semiHidden/>
    <w:unhideWhenUsed/>
    <w:qFormat/>
    <w:uiPriority w:val="99"/>
    <w:pPr>
      <w:autoSpaceDE w:val="0"/>
      <w:autoSpaceDN w:val="0"/>
      <w:jc w:val="left"/>
    </w:pPr>
    <w:rPr>
      <w:rFonts w:hint="eastAsia" w:ascii="宋体" w:hAnsi="宋体" w:eastAsia="宋体" w:cs="Times New Roman"/>
      <w:kern w:val="0"/>
      <w:szCs w:val="21"/>
    </w:rPr>
  </w:style>
  <w:style w:type="paragraph" w:styleId="6">
    <w:name w:val="footer"/>
    <w:basedOn w:val="1"/>
    <w:autoRedefine/>
    <w:semiHidden/>
    <w:unhideWhenUsed/>
    <w:qFormat/>
    <w:uiPriority w:val="99"/>
    <w:pPr>
      <w:tabs>
        <w:tab w:val="center" w:pos="4153"/>
        <w:tab w:val="right" w:pos="8306"/>
      </w:tabs>
      <w:snapToGrid w:val="0"/>
      <w:jc w:val="left"/>
    </w:pPr>
    <w:rPr>
      <w:sz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autoRedefine/>
    <w:qFormat/>
    <w:uiPriority w:val="0"/>
    <w:pPr>
      <w:ind w:left="200" w:leftChars="200"/>
    </w:pPr>
  </w:style>
  <w:style w:type="paragraph" w:styleId="9">
    <w:name w:val="Normal (Web)"/>
    <w:basedOn w:val="1"/>
    <w:autoRedefine/>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character" w:styleId="12">
    <w:name w:val="Hyperlink"/>
    <w:basedOn w:val="11"/>
    <w:autoRedefine/>
    <w:semiHidden/>
    <w:unhideWhenUsed/>
    <w:qFormat/>
    <w:uiPriority w:val="99"/>
    <w:rPr>
      <w:color w:val="0000FF"/>
      <w:u w:val="single"/>
    </w:rPr>
  </w:style>
  <w:style w:type="paragraph" w:customStyle="1" w:styleId="13">
    <w:name w:val="样式 宋体 行距: 1.5 倍行距"/>
    <w:basedOn w:val="1"/>
    <w:autoRedefine/>
    <w:qFormat/>
    <w:uiPriority w:val="0"/>
    <w:pPr>
      <w:spacing w:line="360" w:lineRule="auto"/>
      <w:ind w:firstLine="200" w:firstLineChars="200"/>
    </w:pPr>
    <w:rPr>
      <w:rFonts w:ascii="宋体" w:cs="宋体"/>
      <w:sz w:val="28"/>
      <w:szCs w:val="20"/>
    </w:rPr>
  </w:style>
  <w:style w:type="character" w:customStyle="1" w:styleId="14">
    <w:name w:val="15"/>
    <w:basedOn w:val="11"/>
    <w:autoRedefine/>
    <w:qFormat/>
    <w:uiPriority w:val="0"/>
    <w:rPr>
      <w:rFonts w:hint="default" w:ascii="Calibri" w:hAnsi="Calibri" w:eastAsia="宋体" w:cs="Times New Roman"/>
      <w:color w:val="0000FF"/>
      <w:u w:val="single"/>
    </w:rPr>
  </w:style>
  <w:style w:type="paragraph" w:customStyle="1" w:styleId="15">
    <w:name w:val="正文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6">
    <w:name w:val="Plain Text1"/>
    <w:basedOn w:val="1"/>
    <w:autoRedefine/>
    <w:qFormat/>
    <w:uiPriority w:val="0"/>
    <w:pPr>
      <w:autoSpaceDE w:val="0"/>
      <w:autoSpaceDN w:val="0"/>
      <w:adjustRightInd w:val="0"/>
      <w:spacing w:line="312" w:lineRule="atLeast"/>
      <w:ind w:firstLine="200" w:firstLineChars="200"/>
      <w:textAlignment w:val="baseline"/>
    </w:pPr>
    <w:rPr>
      <w:rFonts w:ascii="宋体"/>
      <w:kern w:val="0"/>
      <w:szCs w:val="20"/>
    </w:rPr>
  </w:style>
  <w:style w:type="paragraph" w:customStyle="1" w:styleId="17">
    <w:name w:val="Table Paragraph"/>
    <w:basedOn w:val="1"/>
    <w:unhideWhenUsed/>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1454</Words>
  <Characters>1526</Characters>
  <Lines>23</Lines>
  <Paragraphs>6</Paragraphs>
  <TotalTime>24</TotalTime>
  <ScaleCrop>false</ScaleCrop>
  <LinksUpToDate>false</LinksUpToDate>
  <CharactersWithSpaces>1702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2025-11-10T06:25:00Z</dcterms:created>
  <dc:creator>测试2</dc:creator>
  <cp:lastModifiedBy>Loubin_lblb</cp:lastModifiedBy>
  <dcterms:modified xsi:type="dcterms:W3CDTF">2025-11-17T06:10:50Z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61EA7D31519D406697AA7D72767839DC_12</vt:lpwstr>
  </property>
  <property fmtid="{D5CDD505-2E9C-101B-9397-08002B2CF9AE}" pid="4" name="KSOTemplateDocerSaveRecord">
    <vt:lpwstr>eyJoZGlkIjoiNzBjM2Q5Nzg5ZjM3NDYzN2ViMmZlYjRmOWZlYTU1YTIiLCJ1c2VySWQiOiIyMzQxMDE5MjAifQ==</vt:lpwstr>
  </property>
</Properties>
</file>