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auto"/>
        </w:rPr>
        <w:t xml:space="preserve"> 招标公告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6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highlight w:val="none"/>
          <w:shd w:val="clear" w:color="auto" w:fill="auto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pacing w:val="12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highlight w:val="none"/>
          <w:shd w:val="clear" w:color="auto" w:fill="auto"/>
        </w:rPr>
        <w:t>招标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4"/>
          <w:szCs w:val="24"/>
          <w:highlight w:val="none"/>
          <w:shd w:val="clear" w:color="auto" w:fill="auto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普宁市中心城区公共停车泊位资源有偿使用项目经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普宁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市人民政府批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准，采用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公共资源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有偿使用模式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实施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招标人为普宁市城市管理和综合执法局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，现对该项目有偿使用者进行公开招标。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shd w:val="clear" w:color="auto" w:fill="auto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shd w:val="clear" w:color="auto" w:fill="auto"/>
        </w:rPr>
        <w:t>项目概况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2.1 项目名称：普宁市中心城区公共停车泊位资源有偿使用项目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2.2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建设内容和规模：对普宁市流沙北街道、流沙东街道、流沙南街道、流沙西街道、燎原街道、池尾街道共6个街道辖区内市政道路、公共停车场泊位进行智慧停车改造、建设智慧停车平台、新能源汽车充电基础设施及其配套工程。项目总计停车泊位数12759个，包括路内普通停车位11561个，路内充电桩车位1068个，路外停车场普通车位90个，路外停车场充电桩车位40个，并新增新能源汽车充电基础设施1108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招标范围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：普宁市中心城区公共停车泊位资源有偿使用项目招标，有偿使用范围为普宁市流沙北街道、流沙东街道、流沙南街道、流沙西街道、燎原街道以及池尾街道的12759个市政道路及公共停车场的停车位进行智慧停车改造（包括普通停车位11651个，充电桩车位1108个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2.4实施方式：本项目采用有偿使用模式，政府方提供停车泊位资源，通过公开招标方式确定受让方，由受让方一次性支付项目全部有偿使用费，由此获得项目经营期限内的使用权、经营权、收益权；受让方负责本项目的【☑项目有偿使用费支付；☑投融资；☑建设；☑运营维护；☑收益；☑移交】，并享有获取项目运营期间产生的收益权利。项目期满或终止后，项目形成资产所有权、使用权无偿移交给政府方所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有偿使用期限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：本项目有偿使用期限总计22年，其中建设期2年，运营期20年。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有偿使用费：本项目有偿使用费用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按42200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万元（大写：人民币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肆亿贰仟贰佰万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元整）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为最低限价公开招标，以中标价为准。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4"/>
          <w:szCs w:val="24"/>
          <w:highlight w:val="none"/>
          <w:shd w:val="clear" w:color="auto" w:fill="auto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4"/>
          <w:szCs w:val="24"/>
          <w:highlight w:val="none"/>
          <w:shd w:val="clear" w:color="auto" w:fill="auto"/>
        </w:rPr>
        <w:t>投标人资格要求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-51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3.1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具有独立承担民事责任的能力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中国境内依法注册、有效存续的企业法人、其他组织或具有完全民事行为能力的自然人；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-51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3.2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具有良好的商业信誉和健全的财务会计制度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-51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3.3 有依法缴纳税收和社会保障资金的良好记录；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-51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3.4 投标人参加本次招标活动前三年内在经营活动中没有重大违法记录；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-51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3.5与招标人存在利害关系可能影响招标公正性的法人、其他组织，不得参加投标。单位负责人为同一人或者存在直接控股、管理关系的不同投标人，不得同时参加本项目投标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</w:rPr>
        <w:t>按招标文件中《投标函》的格式提供书面声明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-51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3.6 本项目不接受联合体投标；</w:t>
      </w:r>
    </w:p>
    <w:p>
      <w:pPr>
        <w:keepNext w:val="0"/>
        <w:keepLines w:val="0"/>
        <w:pageBreakBefore w:val="0"/>
        <w:widowControl/>
        <w:tabs>
          <w:tab w:val="left" w:pos="946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49" w:rightChars="0" w:firstLine="436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3.7 信用要求：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已在国家企业信用信息公示系统登记，且在该系统中没有被列入严重违法失信名单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（黑名单）信息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、投标人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未被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“信用中国”网站或各级信用信息共享平台中列入失信被执行人名单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、投标人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及其法定代表人近三年没有行贿犯罪记录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shd w:val="clear" w:color="auto" w:fill="auto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4"/>
          <w:szCs w:val="24"/>
          <w:highlight w:val="none"/>
          <w:shd w:val="clear" w:color="auto" w:fill="auto"/>
        </w:rPr>
        <w:t>投标登记、获取招标文件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4.1 凡有意参加投标者，请于 2025 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日自行登录广州交易集团有限公司（广州公共资源交易中心）交易平台网站办理网上投标登记手续。按照交易平台关于全流程电子化项目的相关指南进行操作。下载招标文件。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 w:right="-49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 xml:space="preserve">4.2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招标文件一经在广东省公共资源交易平台及广州交易集团有限公司（广州公共资源交易中心）网站发布，视作已发放给所有投标人，各投标人应及时下载电子版招标文件等资料并在投标截止时间前 须密切留意电子交易平台上项目发出的补充文件、澄清、答疑以及与本项目相关的信息，否则由此引起的投标损失自负。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4"/>
          <w:sz w:val="24"/>
          <w:szCs w:val="24"/>
          <w:highlight w:val="none"/>
          <w:shd w:val="clear" w:color="auto" w:fill="auto"/>
        </w:rPr>
        <w:t>5．投标文件的递交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 w:right="-49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5.1 投标文件递交的截止时间为2025 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日 09 时 30 分，投标人应在截止时间前通过广州交易集团有限公司（广州公共资源交易中心）交易平台（网址：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instrText xml:space="preserve"> HYPERLINK "http://www.gzggzy.cn"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http://www.gzggzy.cn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）递交电子投标文件。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4"/>
          <w:szCs w:val="24"/>
          <w:highlight w:val="none"/>
          <w:shd w:val="clear" w:color="auto" w:fill="auto"/>
        </w:rPr>
        <w:t>6．发布公告的媒介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 w:right="-49" w:rightChars="0" w:firstLine="42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本次招标公告同时在广东省公共资源交易平台、广州交易集团有限公司（广州公共资源交易中心）网站发布。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5"/>
          <w:sz w:val="24"/>
          <w:szCs w:val="24"/>
          <w:highlight w:val="none"/>
          <w:shd w:val="clear" w:color="auto" w:fill="auto"/>
        </w:rPr>
        <w:t>7．联系方式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87" w:leftChars="51" w:hanging="6480" w:hangingChars="27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普宁市城市管理和综合执法局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9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 xml:space="preserve">联系电话：0663-2267518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9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 xml:space="preserve">彭工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87" w:leftChars="51" w:hanging="6480" w:hangingChars="27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587" w:leftChars="51" w:hanging="6480" w:hangingChars="2700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</w:rPr>
        <w:t>招标代理机构：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shd w:val="clear" w:color="auto" w:fill="auto"/>
          <w:lang w:eastAsia="zh-CN"/>
        </w:rPr>
        <w:t>广州穗科建设管理有限公司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9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eastAsia="zh-CN"/>
        </w:rPr>
        <w:t>联系人：魏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9"/>
        <w:jc w:val="both"/>
        <w:textAlignment w:val="baseline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联系电话：0663-6180668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9"/>
        <w:textAlignment w:val="baseline"/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9"/>
        <w:textAlignment w:val="baseline"/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  <w:shd w:val="clear" w:color="auto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TU0MDUzYjI0YzY2NzEwYWFiYjliMDRmOWI5NGIifQ=="/>
  </w:docVars>
  <w:rsids>
    <w:rsidRoot w:val="2A443C4C"/>
    <w:rsid w:val="1DD8521E"/>
    <w:rsid w:val="2A443C4C"/>
    <w:rsid w:val="558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Arial" w:hAnsi="Arial" w:eastAsia="宋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1506</Words>
  <Characters>1624</Characters>
  <Lines>0</Lines>
  <Paragraphs>0</Paragraphs>
  <TotalTime>1</TotalTime>
  <ScaleCrop>false</ScaleCrop>
  <LinksUpToDate>false</LinksUpToDate>
  <CharactersWithSpaces>1721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2025-11-24T13:38:00Z</dcterms:created>
  <dc:creator>幸福相牵</dc:creator>
  <cp:lastModifiedBy>广S</cp:lastModifiedBy>
  <dcterms:modified xsi:type="dcterms:W3CDTF">2025-11-25T04:21:52Z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8EFDDD60BF8742C2B56A4EF555BCB819_11</vt:lpwstr>
  </property>
  <property fmtid="{D5CDD505-2E9C-101B-9397-08002B2CF9AE}" pid="4" name="KSOTemplateDocerSaveRecord">
    <vt:lpwstr>eyJoZGlkIjoiN2YzNjBkOTgyNWQ1YTMxYzM3MzMwNWFiODNmOWIzYWMiLCJ1c2VySWQiOiIyMjM2NTI4OTkifQ==</vt:lpwstr>
  </property>
</Properties>
</file>