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70B592">
      <w:pPr>
        <w:pStyle w:val="27"/>
        <w:snapToGrid w:val="0"/>
        <w:spacing w:line="360" w:lineRule="auto"/>
        <w:ind w:right="25" w:rightChars="12"/>
        <w:jc w:val="center"/>
        <w:rPr>
          <w:rFonts w:hint="eastAsia" w:cs="宋体"/>
          <w:b/>
          <w:color w:val="auto"/>
          <w:sz w:val="48"/>
          <w:szCs w:val="48"/>
          <w:highlight w:val="none"/>
          <w:u w:val="none"/>
        </w:rPr>
      </w:pPr>
    </w:p>
    <w:p w14:paraId="0A0FFC08">
      <w:pPr>
        <w:snapToGrid w:val="0"/>
        <w:spacing w:line="360" w:lineRule="auto"/>
        <w:jc w:val="center"/>
        <w:rPr>
          <w:rFonts w:ascii="宋体" w:hAnsi="宋体" w:cs="宋体"/>
          <w:color w:val="auto"/>
          <w:sz w:val="32"/>
          <w:szCs w:val="32"/>
          <w:highlight w:val="none"/>
          <w:u w:val="single"/>
        </w:rPr>
      </w:pPr>
      <w:r>
        <w:rPr>
          <w:rFonts w:hint="eastAsia" w:cs="宋体"/>
          <w:b/>
          <w:color w:val="auto"/>
          <w:sz w:val="48"/>
          <w:szCs w:val="48"/>
          <w:highlight w:val="none"/>
          <w:u w:val="none"/>
        </w:rPr>
        <w:t>粤港澳大湾区国际智能检测产业园一期项目施工总承包</w:t>
      </w:r>
    </w:p>
    <w:p w14:paraId="07C933F8">
      <w:pPr>
        <w:pStyle w:val="17"/>
        <w:snapToGrid w:val="0"/>
        <w:spacing w:line="360" w:lineRule="auto"/>
        <w:rPr>
          <w:rFonts w:hAnsi="宋体" w:cs="宋体"/>
          <w:color w:val="auto"/>
          <w:sz w:val="36"/>
          <w:szCs w:val="36"/>
          <w:highlight w:val="none"/>
          <w:u w:val="single"/>
        </w:rPr>
      </w:pPr>
    </w:p>
    <w:p w14:paraId="66AFE26A">
      <w:pPr>
        <w:pStyle w:val="17"/>
        <w:snapToGrid w:val="0"/>
        <w:spacing w:line="360" w:lineRule="auto"/>
        <w:rPr>
          <w:rFonts w:hAnsi="宋体" w:cs="宋体"/>
          <w:color w:val="auto"/>
          <w:sz w:val="36"/>
          <w:szCs w:val="36"/>
          <w:highlight w:val="none"/>
          <w:u w:val="single"/>
        </w:rPr>
      </w:pPr>
    </w:p>
    <w:p w14:paraId="4DA6FAC0">
      <w:pPr>
        <w:spacing w:line="300" w:lineRule="auto"/>
        <w:jc w:val="center"/>
        <w:rPr>
          <w:rFonts w:ascii="宋体" w:hAnsi="宋体" w:cs="宋体"/>
          <w:b/>
          <w:bCs/>
          <w:shadow/>
          <w:color w:val="auto"/>
          <w:spacing w:val="26"/>
          <w:sz w:val="96"/>
          <w:szCs w:val="96"/>
          <w:highlight w:val="none"/>
        </w:rPr>
      </w:pPr>
      <w:r>
        <w:rPr>
          <w:rFonts w:hint="eastAsia" w:ascii="宋体" w:hAnsi="宋体" w:cs="宋体"/>
          <w:b/>
          <w:bCs/>
          <w:shadow/>
          <w:color w:val="auto"/>
          <w:spacing w:val="26"/>
          <w:sz w:val="96"/>
          <w:szCs w:val="96"/>
          <w:highlight w:val="none"/>
        </w:rPr>
        <w:t>招标文件</w:t>
      </w:r>
    </w:p>
    <w:p w14:paraId="766E3D5A">
      <w:pPr>
        <w:snapToGrid w:val="0"/>
        <w:spacing w:line="360" w:lineRule="auto"/>
        <w:jc w:val="center"/>
        <w:rPr>
          <w:rFonts w:ascii="宋体" w:hAnsi="宋体" w:cs="宋体"/>
          <w:color w:val="auto"/>
          <w:sz w:val="32"/>
          <w:szCs w:val="32"/>
          <w:highlight w:val="none"/>
        </w:rPr>
      </w:pPr>
    </w:p>
    <w:p w14:paraId="63829101">
      <w:pPr>
        <w:snapToGrid w:val="0"/>
        <w:spacing w:line="360" w:lineRule="auto"/>
        <w:ind w:firstLine="2560" w:firstLineChars="800"/>
        <w:rPr>
          <w:rFonts w:ascii="宋体" w:hAnsi="宋体" w:cs="宋体"/>
          <w:color w:val="auto"/>
          <w:sz w:val="32"/>
          <w:szCs w:val="32"/>
          <w:highlight w:val="none"/>
        </w:rPr>
      </w:pPr>
    </w:p>
    <w:p w14:paraId="42687881">
      <w:pPr>
        <w:rPr>
          <w:rFonts w:ascii="宋体" w:hAnsi="宋体" w:cs="宋体"/>
          <w:color w:val="auto"/>
          <w:sz w:val="32"/>
          <w:szCs w:val="32"/>
          <w:highlight w:val="none"/>
        </w:rPr>
      </w:pPr>
    </w:p>
    <w:p w14:paraId="0315E9AD">
      <w:pPr>
        <w:rPr>
          <w:rStyle w:val="38"/>
          <w:rFonts w:ascii="宋体" w:hAnsi="宋体" w:cs="宋体"/>
          <w:b/>
          <w:bCs/>
          <w:color w:val="auto"/>
          <w:szCs w:val="21"/>
          <w:highlight w:val="none"/>
          <w:u w:val="none"/>
        </w:rPr>
      </w:pPr>
    </w:p>
    <w:p w14:paraId="4973730E">
      <w:pPr>
        <w:snapToGrid w:val="0"/>
        <w:spacing w:line="360" w:lineRule="auto"/>
        <w:ind w:firstLine="1200" w:firstLineChars="400"/>
        <w:rPr>
          <w:rFonts w:ascii="宋体" w:hAnsi="宋体" w:cs="宋体"/>
          <w:color w:val="auto"/>
          <w:sz w:val="30"/>
          <w:szCs w:val="30"/>
          <w:highlight w:val="none"/>
        </w:rPr>
      </w:pPr>
    </w:p>
    <w:p w14:paraId="2B1F597C">
      <w:pPr>
        <w:pStyle w:val="17"/>
        <w:snapToGrid w:val="0"/>
        <w:spacing w:line="360" w:lineRule="auto"/>
        <w:rPr>
          <w:rFonts w:hAnsi="宋体" w:cs="宋体"/>
          <w:color w:val="auto"/>
          <w:highlight w:val="none"/>
        </w:rPr>
      </w:pPr>
    </w:p>
    <w:p w14:paraId="0791BC8A">
      <w:pPr>
        <w:pStyle w:val="17"/>
        <w:snapToGrid w:val="0"/>
        <w:spacing w:line="360" w:lineRule="auto"/>
        <w:rPr>
          <w:rFonts w:hAnsi="宋体" w:cs="宋体"/>
          <w:color w:val="auto"/>
          <w:sz w:val="32"/>
          <w:szCs w:val="32"/>
          <w:highlight w:val="none"/>
        </w:rPr>
      </w:pPr>
    </w:p>
    <w:p w14:paraId="6100FD26">
      <w:pPr>
        <w:pStyle w:val="17"/>
        <w:snapToGrid w:val="0"/>
        <w:spacing w:line="360" w:lineRule="auto"/>
        <w:rPr>
          <w:rFonts w:hAnsi="宋体" w:cs="宋体"/>
          <w:color w:val="auto"/>
          <w:sz w:val="32"/>
          <w:szCs w:val="32"/>
          <w:highlight w:val="none"/>
        </w:rPr>
      </w:pPr>
    </w:p>
    <w:p w14:paraId="297DF7D2">
      <w:pPr>
        <w:pStyle w:val="17"/>
        <w:snapToGrid w:val="0"/>
        <w:spacing w:line="360" w:lineRule="auto"/>
        <w:rPr>
          <w:rFonts w:hAnsi="宋体" w:cs="宋体"/>
          <w:color w:val="auto"/>
          <w:sz w:val="32"/>
          <w:szCs w:val="32"/>
          <w:highlight w:val="none"/>
        </w:rPr>
      </w:pPr>
    </w:p>
    <w:p w14:paraId="4DC8F202">
      <w:pPr>
        <w:pStyle w:val="17"/>
        <w:snapToGrid w:val="0"/>
        <w:spacing w:line="360" w:lineRule="auto"/>
        <w:rPr>
          <w:rFonts w:hAnsi="宋体" w:cs="宋体"/>
          <w:color w:val="auto"/>
          <w:sz w:val="32"/>
          <w:szCs w:val="32"/>
          <w:highlight w:val="none"/>
        </w:rPr>
      </w:pPr>
    </w:p>
    <w:p w14:paraId="79B8F562">
      <w:pPr>
        <w:snapToGrid w:val="0"/>
        <w:spacing w:line="360" w:lineRule="auto"/>
        <w:ind w:firstLine="1089" w:firstLineChars="363"/>
        <w:rPr>
          <w:rFonts w:hint="eastAsia" w:ascii="宋体" w:hAnsi="宋体" w:eastAsia="宋体" w:cs="宋体"/>
          <w:color w:val="auto"/>
          <w:sz w:val="30"/>
          <w:szCs w:val="30"/>
          <w:highlight w:val="none"/>
          <w:lang w:eastAsia="zh-CN"/>
        </w:rPr>
      </w:pPr>
      <w:r>
        <w:rPr>
          <w:rFonts w:hint="eastAsia" w:ascii="宋体" w:hAnsi="宋体" w:cs="宋体"/>
          <w:color w:val="auto"/>
          <w:sz w:val="30"/>
          <w:szCs w:val="30"/>
          <w:highlight w:val="none"/>
        </w:rPr>
        <w:t>招标单位：</w:t>
      </w:r>
      <w:r>
        <w:rPr>
          <w:rFonts w:hint="eastAsia" w:ascii="宋体" w:hAnsi="宋体" w:cs="宋体"/>
          <w:color w:val="auto"/>
          <w:sz w:val="30"/>
          <w:szCs w:val="30"/>
          <w:highlight w:val="none"/>
          <w:lang w:eastAsia="zh-CN"/>
        </w:rPr>
        <w:t>广州太平洋马口铁有限公司</w:t>
      </w:r>
    </w:p>
    <w:p w14:paraId="0268A3FF">
      <w:pPr>
        <w:snapToGrid w:val="0"/>
        <w:spacing w:line="360" w:lineRule="auto"/>
        <w:ind w:firstLine="1089" w:firstLineChars="363"/>
        <w:rPr>
          <w:rFonts w:hint="eastAsia" w:ascii="宋体" w:hAnsi="宋体" w:eastAsia="宋体" w:cs="宋体"/>
          <w:color w:val="auto"/>
          <w:sz w:val="30"/>
          <w:szCs w:val="30"/>
          <w:highlight w:val="none"/>
          <w:lang w:eastAsia="zh-CN"/>
        </w:rPr>
      </w:pPr>
      <w:r>
        <w:rPr>
          <w:rFonts w:hint="eastAsia" w:ascii="宋体" w:hAnsi="宋体" w:cs="宋体"/>
          <w:color w:val="auto"/>
          <w:sz w:val="30"/>
          <w:szCs w:val="30"/>
          <w:highlight w:val="none"/>
        </w:rPr>
        <w:t>招标代理单位：</w:t>
      </w:r>
      <w:r>
        <w:rPr>
          <w:rFonts w:hint="eastAsia" w:ascii="宋体" w:hAnsi="宋体" w:cs="宋体"/>
          <w:color w:val="auto"/>
          <w:sz w:val="30"/>
          <w:szCs w:val="30"/>
          <w:highlight w:val="none"/>
          <w:lang w:eastAsia="zh-CN"/>
        </w:rPr>
        <w:t>广东省建粤建筑工程咨询有限公司</w:t>
      </w:r>
    </w:p>
    <w:p w14:paraId="62248141">
      <w:pPr>
        <w:snapToGrid w:val="0"/>
        <w:spacing w:line="360" w:lineRule="auto"/>
        <w:ind w:firstLine="1089" w:firstLineChars="363"/>
        <w:rPr>
          <w:rFonts w:ascii="宋体" w:hAnsi="宋体" w:cs="宋体"/>
          <w:color w:val="auto"/>
          <w:sz w:val="30"/>
          <w:szCs w:val="30"/>
          <w:highlight w:val="none"/>
          <w:u w:val="single"/>
        </w:rPr>
      </w:pPr>
      <w:r>
        <w:rPr>
          <w:rFonts w:hint="eastAsia" w:ascii="宋体" w:hAnsi="宋体" w:cs="宋体"/>
          <w:color w:val="auto"/>
          <w:sz w:val="30"/>
          <w:szCs w:val="30"/>
          <w:highlight w:val="none"/>
        </w:rPr>
        <w:t>日    期：2025年</w:t>
      </w:r>
      <w:r>
        <w:rPr>
          <w:rFonts w:hint="eastAsia" w:ascii="宋体" w:hAnsi="宋体" w:cs="宋体"/>
          <w:color w:val="auto"/>
          <w:sz w:val="30"/>
          <w:szCs w:val="30"/>
          <w:highlight w:val="none"/>
          <w:lang w:val="en-US" w:eastAsia="zh-CN"/>
        </w:rPr>
        <w:t>11</w:t>
      </w:r>
      <w:r>
        <w:rPr>
          <w:rFonts w:hint="eastAsia" w:ascii="宋体" w:hAnsi="宋体" w:cs="宋体"/>
          <w:color w:val="auto"/>
          <w:sz w:val="30"/>
          <w:szCs w:val="30"/>
          <w:highlight w:val="none"/>
        </w:rPr>
        <w:t>月</w:t>
      </w:r>
    </w:p>
    <w:p w14:paraId="05A5AAEF">
      <w:pPr>
        <w:pStyle w:val="26"/>
        <w:spacing w:line="240" w:lineRule="auto"/>
        <w:ind w:left="0" w:leftChars="0"/>
        <w:jc w:val="both"/>
        <w:rPr>
          <w:color w:val="auto"/>
          <w:sz w:val="21"/>
          <w:szCs w:val="21"/>
          <w:highlight w:val="none"/>
        </w:rPr>
      </w:pPr>
    </w:p>
    <w:p w14:paraId="79332656">
      <w:pPr>
        <w:snapToGrid w:val="0"/>
        <w:rPr>
          <w:rStyle w:val="38"/>
          <w:rFonts w:ascii="宋体" w:hAnsi="宋体" w:cs="宋体"/>
          <w:b/>
          <w:bCs/>
          <w:color w:val="auto"/>
          <w:szCs w:val="21"/>
          <w:highlight w:val="none"/>
          <w:u w:val="none"/>
        </w:rPr>
        <w:sectPr>
          <w:headerReference r:id="rId5" w:type="first"/>
          <w:footerReference r:id="rId8" w:type="first"/>
          <w:headerReference r:id="rId3" w:type="default"/>
          <w:footerReference r:id="rId6" w:type="default"/>
          <w:headerReference r:id="rId4" w:type="even"/>
          <w:footerReference r:id="rId7" w:type="even"/>
          <w:endnotePr>
            <w:numFmt w:val="decimal"/>
          </w:endnotePr>
          <w:pgSz w:w="11906" w:h="16838"/>
          <w:pgMar w:top="1440" w:right="1440" w:bottom="1440" w:left="1440" w:header="851" w:footer="907" w:gutter="0"/>
          <w:cols w:space="720" w:num="1"/>
          <w:titlePg/>
          <w:docGrid w:type="lines" w:linePitch="312" w:charSpace="0"/>
        </w:sectPr>
      </w:pPr>
    </w:p>
    <w:p w14:paraId="5E98BBA0">
      <w:pPr>
        <w:snapToGrid w:val="0"/>
        <w:rPr>
          <w:rStyle w:val="38"/>
          <w:rFonts w:ascii="宋体" w:hAnsi="宋体" w:cs="宋体"/>
          <w:b/>
          <w:bCs/>
          <w:color w:val="auto"/>
          <w:szCs w:val="21"/>
          <w:highlight w:val="none"/>
          <w:u w:val="none"/>
        </w:rPr>
      </w:pPr>
    </w:p>
    <w:p w14:paraId="70209CD7">
      <w:pPr>
        <w:snapToGrid w:val="0"/>
        <w:spacing w:line="360" w:lineRule="auto"/>
        <w:jc w:val="center"/>
        <w:rPr>
          <w:rStyle w:val="38"/>
          <w:rFonts w:ascii="宋体" w:hAnsi="宋体" w:cs="宋体"/>
          <w:b/>
          <w:bCs/>
          <w:color w:val="auto"/>
          <w:sz w:val="36"/>
          <w:szCs w:val="36"/>
          <w:highlight w:val="none"/>
        </w:rPr>
      </w:pPr>
      <w:r>
        <w:rPr>
          <w:rStyle w:val="38"/>
          <w:rFonts w:hint="eastAsia" w:ascii="宋体" w:hAnsi="宋体" w:cs="宋体"/>
          <w:b/>
          <w:bCs/>
          <w:color w:val="auto"/>
          <w:sz w:val="36"/>
          <w:szCs w:val="36"/>
          <w:highlight w:val="none"/>
          <w:u w:val="none"/>
        </w:rPr>
        <w:t>目  录</w:t>
      </w:r>
    </w:p>
    <w:p w14:paraId="2E0B7A04">
      <w:pPr>
        <w:snapToGrid w:val="0"/>
        <w:spacing w:line="360" w:lineRule="auto"/>
        <w:jc w:val="center"/>
        <w:rPr>
          <w:rFonts w:ascii="宋体" w:hAnsi="宋体" w:cs="宋体"/>
          <w:b/>
          <w:caps/>
          <w:color w:val="auto"/>
          <w:kern w:val="0"/>
          <w:sz w:val="36"/>
          <w:szCs w:val="36"/>
          <w:highlight w:val="none"/>
        </w:rPr>
      </w:pPr>
    </w:p>
    <w:p w14:paraId="4BA6C73C">
      <w:pPr>
        <w:pStyle w:val="23"/>
        <w:tabs>
          <w:tab w:val="right" w:leader="dot" w:pos="9040"/>
          <w:tab w:val="clear" w:pos="9060"/>
        </w:tabs>
        <w:rPr>
          <w:rFonts w:cs="宋体"/>
          <w:color w:val="auto"/>
          <w:highlight w:val="none"/>
        </w:rPr>
      </w:pPr>
      <w:r>
        <w:rPr>
          <w:rFonts w:hint="eastAsia" w:cs="宋体"/>
          <w:color w:val="auto"/>
          <w:szCs w:val="24"/>
          <w:highlight w:val="none"/>
        </w:rPr>
        <w:fldChar w:fldCharType="begin"/>
      </w:r>
      <w:r>
        <w:rPr>
          <w:rFonts w:hint="eastAsia" w:cs="宋体"/>
          <w:color w:val="auto"/>
          <w:szCs w:val="24"/>
          <w:highlight w:val="none"/>
        </w:rPr>
        <w:instrText xml:space="preserve"> TOC \o "1-3" \h \z \u </w:instrText>
      </w:r>
      <w:r>
        <w:rPr>
          <w:rFonts w:hint="eastAsia" w:cs="宋体"/>
          <w:color w:val="auto"/>
          <w:szCs w:val="24"/>
          <w:highlight w:val="none"/>
        </w:rPr>
        <w:fldChar w:fldCharType="separate"/>
      </w:r>
      <w:r>
        <w:rPr>
          <w:color w:val="auto"/>
          <w:highlight w:val="none"/>
        </w:rPr>
        <w:fldChar w:fldCharType="begin"/>
      </w:r>
      <w:r>
        <w:rPr>
          <w:color w:val="auto"/>
          <w:highlight w:val="none"/>
        </w:rPr>
        <w:instrText xml:space="preserve"> HYPERLINK \l "_Toc6280" </w:instrText>
      </w:r>
      <w:r>
        <w:rPr>
          <w:color w:val="auto"/>
          <w:highlight w:val="none"/>
        </w:rPr>
        <w:fldChar w:fldCharType="separate"/>
      </w:r>
      <w:r>
        <w:rPr>
          <w:rFonts w:hint="eastAsia" w:cs="宋体"/>
          <w:bCs/>
          <w:color w:val="auto"/>
          <w:highlight w:val="none"/>
        </w:rPr>
        <w:t>第一章  投标须知</w:t>
      </w:r>
      <w:r>
        <w:rPr>
          <w:rFonts w:hint="eastAsia" w:cs="宋体"/>
          <w:color w:val="auto"/>
          <w:highlight w:val="none"/>
        </w:rPr>
        <w:tab/>
      </w:r>
      <w:r>
        <w:rPr>
          <w:rFonts w:hint="eastAsia" w:cs="宋体"/>
          <w:color w:val="auto"/>
          <w:highlight w:val="none"/>
        </w:rPr>
        <w:fldChar w:fldCharType="begin"/>
      </w:r>
      <w:r>
        <w:rPr>
          <w:rFonts w:hint="eastAsia" w:cs="宋体"/>
          <w:color w:val="auto"/>
          <w:highlight w:val="none"/>
        </w:rPr>
        <w:instrText xml:space="preserve"> PAGEREF _Toc6280 \h </w:instrText>
      </w:r>
      <w:r>
        <w:rPr>
          <w:rFonts w:hint="eastAsia" w:cs="宋体"/>
          <w:color w:val="auto"/>
          <w:highlight w:val="none"/>
        </w:rPr>
        <w:fldChar w:fldCharType="separate"/>
      </w:r>
      <w:r>
        <w:rPr>
          <w:rFonts w:hint="eastAsia" w:cs="宋体"/>
          <w:color w:val="auto"/>
          <w:highlight w:val="none"/>
        </w:rPr>
        <w:t>3</w:t>
      </w:r>
      <w:r>
        <w:rPr>
          <w:rFonts w:hint="eastAsia" w:cs="宋体"/>
          <w:color w:val="auto"/>
          <w:highlight w:val="none"/>
        </w:rPr>
        <w:fldChar w:fldCharType="end"/>
      </w:r>
      <w:r>
        <w:rPr>
          <w:rFonts w:hint="eastAsia" w:cs="宋体"/>
          <w:color w:val="auto"/>
          <w:highlight w:val="none"/>
        </w:rPr>
        <w:fldChar w:fldCharType="end"/>
      </w:r>
    </w:p>
    <w:p w14:paraId="6510E908">
      <w:pPr>
        <w:pStyle w:val="26"/>
        <w:tabs>
          <w:tab w:val="right" w:leader="dot" w:pos="9040"/>
          <w:tab w:val="clear" w:pos="9060"/>
        </w:tabs>
        <w:rPr>
          <w:rFonts w:ascii="宋体" w:hAnsi="宋体" w:cs="宋体"/>
          <w:color w:val="auto"/>
          <w:highlight w:val="none"/>
        </w:rPr>
      </w:pPr>
      <w:r>
        <w:rPr>
          <w:color w:val="auto"/>
          <w:highlight w:val="none"/>
        </w:rPr>
        <w:fldChar w:fldCharType="begin"/>
      </w:r>
      <w:r>
        <w:rPr>
          <w:color w:val="auto"/>
          <w:highlight w:val="none"/>
        </w:rPr>
        <w:instrText xml:space="preserve"> HYPERLINK \l "_Toc27735" </w:instrText>
      </w:r>
      <w:r>
        <w:rPr>
          <w:color w:val="auto"/>
          <w:highlight w:val="none"/>
        </w:rPr>
        <w:fldChar w:fldCharType="separate"/>
      </w:r>
      <w:r>
        <w:rPr>
          <w:rFonts w:hint="eastAsia" w:ascii="宋体" w:hAnsi="宋体" w:cs="宋体"/>
          <w:color w:val="auto"/>
          <w:highlight w:val="none"/>
        </w:rPr>
        <w:t>一、投标须知前附表</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_Toc27735 \h </w:instrText>
      </w:r>
      <w:r>
        <w:rPr>
          <w:rFonts w:hint="eastAsia" w:ascii="宋体" w:hAnsi="宋体" w:cs="宋体"/>
          <w:color w:val="auto"/>
          <w:highlight w:val="none"/>
        </w:rPr>
        <w:fldChar w:fldCharType="separate"/>
      </w:r>
      <w:r>
        <w:rPr>
          <w:rFonts w:hint="eastAsia" w:ascii="宋体" w:hAnsi="宋体" w:cs="宋体"/>
          <w:color w:val="auto"/>
          <w:highlight w:val="none"/>
        </w:rPr>
        <w:t>3</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20F715F6">
      <w:pPr>
        <w:pStyle w:val="26"/>
        <w:tabs>
          <w:tab w:val="right" w:leader="dot" w:pos="9040"/>
          <w:tab w:val="clear" w:pos="9060"/>
        </w:tabs>
        <w:rPr>
          <w:rFonts w:ascii="宋体" w:hAnsi="宋体" w:cs="宋体"/>
          <w:color w:val="auto"/>
          <w:highlight w:val="none"/>
        </w:rPr>
      </w:pPr>
      <w:r>
        <w:rPr>
          <w:color w:val="auto"/>
          <w:highlight w:val="none"/>
        </w:rPr>
        <w:fldChar w:fldCharType="begin"/>
      </w:r>
      <w:r>
        <w:rPr>
          <w:color w:val="auto"/>
          <w:highlight w:val="none"/>
        </w:rPr>
        <w:instrText xml:space="preserve"> HYPERLINK \l "_Toc6608" </w:instrText>
      </w:r>
      <w:r>
        <w:rPr>
          <w:color w:val="auto"/>
          <w:highlight w:val="none"/>
        </w:rPr>
        <w:fldChar w:fldCharType="separate"/>
      </w:r>
      <w:r>
        <w:rPr>
          <w:rFonts w:hint="eastAsia" w:ascii="宋体" w:hAnsi="宋体" w:cs="宋体"/>
          <w:color w:val="auto"/>
          <w:szCs w:val="32"/>
          <w:highlight w:val="none"/>
        </w:rPr>
        <w:t>二、投标须知修改表</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_Toc6608 \h </w:instrText>
      </w:r>
      <w:r>
        <w:rPr>
          <w:rFonts w:hint="eastAsia" w:ascii="宋体" w:hAnsi="宋体" w:cs="宋体"/>
          <w:color w:val="auto"/>
          <w:highlight w:val="none"/>
        </w:rPr>
        <w:fldChar w:fldCharType="separate"/>
      </w:r>
      <w:r>
        <w:rPr>
          <w:rFonts w:hint="eastAsia" w:ascii="宋体" w:hAnsi="宋体" w:cs="宋体"/>
          <w:color w:val="auto"/>
          <w:highlight w:val="none"/>
        </w:rPr>
        <w:t>11</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2D4025DE">
      <w:pPr>
        <w:pStyle w:val="26"/>
        <w:tabs>
          <w:tab w:val="right" w:leader="dot" w:pos="9040"/>
          <w:tab w:val="clear" w:pos="9060"/>
        </w:tabs>
        <w:rPr>
          <w:rFonts w:ascii="宋体" w:hAnsi="宋体" w:cs="宋体"/>
          <w:color w:val="auto"/>
          <w:highlight w:val="none"/>
        </w:rPr>
      </w:pPr>
      <w:r>
        <w:rPr>
          <w:color w:val="auto"/>
          <w:highlight w:val="none"/>
        </w:rPr>
        <w:fldChar w:fldCharType="begin"/>
      </w:r>
      <w:r>
        <w:rPr>
          <w:color w:val="auto"/>
          <w:highlight w:val="none"/>
        </w:rPr>
        <w:instrText xml:space="preserve"> HYPERLINK \l "_Toc31334" </w:instrText>
      </w:r>
      <w:r>
        <w:rPr>
          <w:color w:val="auto"/>
          <w:highlight w:val="none"/>
        </w:rPr>
        <w:fldChar w:fldCharType="separate"/>
      </w:r>
      <w:r>
        <w:rPr>
          <w:rFonts w:hint="eastAsia" w:ascii="宋体" w:hAnsi="宋体" w:cs="宋体"/>
          <w:color w:val="auto"/>
          <w:highlight w:val="none"/>
        </w:rPr>
        <w:t>三、投标须知通用条款</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_Toc31334 \h </w:instrText>
      </w:r>
      <w:r>
        <w:rPr>
          <w:rFonts w:hint="eastAsia" w:ascii="宋体" w:hAnsi="宋体" w:cs="宋体"/>
          <w:color w:val="auto"/>
          <w:highlight w:val="none"/>
        </w:rPr>
        <w:fldChar w:fldCharType="separate"/>
      </w:r>
      <w:r>
        <w:rPr>
          <w:rFonts w:hint="eastAsia" w:ascii="宋体" w:hAnsi="宋体" w:cs="宋体"/>
          <w:color w:val="auto"/>
          <w:highlight w:val="none"/>
        </w:rPr>
        <w:t>26</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3046FE40">
      <w:pPr>
        <w:pStyle w:val="16"/>
        <w:tabs>
          <w:tab w:val="right" w:leader="dot" w:pos="9040"/>
        </w:tabs>
        <w:ind w:left="840"/>
        <w:rPr>
          <w:rFonts w:ascii="宋体" w:hAnsi="宋体" w:cs="宋体"/>
          <w:color w:val="auto"/>
          <w:highlight w:val="none"/>
        </w:rPr>
      </w:pPr>
      <w:r>
        <w:rPr>
          <w:color w:val="auto"/>
          <w:highlight w:val="none"/>
        </w:rPr>
        <w:fldChar w:fldCharType="begin"/>
      </w:r>
      <w:r>
        <w:rPr>
          <w:color w:val="auto"/>
          <w:highlight w:val="none"/>
        </w:rPr>
        <w:instrText xml:space="preserve"> HYPERLINK \l "_Toc12947" </w:instrText>
      </w:r>
      <w:r>
        <w:rPr>
          <w:color w:val="auto"/>
          <w:highlight w:val="none"/>
        </w:rPr>
        <w:fldChar w:fldCharType="separate"/>
      </w:r>
      <w:r>
        <w:rPr>
          <w:rFonts w:hint="eastAsia" w:ascii="宋体" w:hAnsi="宋体" w:cs="宋体"/>
          <w:color w:val="auto"/>
          <w:szCs w:val="21"/>
          <w:highlight w:val="none"/>
        </w:rPr>
        <w:t>（一）总则</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_Toc12947 \h </w:instrText>
      </w:r>
      <w:r>
        <w:rPr>
          <w:rFonts w:hint="eastAsia" w:ascii="宋体" w:hAnsi="宋体" w:cs="宋体"/>
          <w:color w:val="auto"/>
          <w:highlight w:val="none"/>
        </w:rPr>
        <w:fldChar w:fldCharType="separate"/>
      </w:r>
      <w:r>
        <w:rPr>
          <w:rFonts w:hint="eastAsia" w:ascii="宋体" w:hAnsi="宋体" w:cs="宋体"/>
          <w:color w:val="auto"/>
          <w:highlight w:val="none"/>
        </w:rPr>
        <w:t>26</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1B385688">
      <w:pPr>
        <w:pStyle w:val="16"/>
        <w:tabs>
          <w:tab w:val="right" w:leader="dot" w:pos="9040"/>
        </w:tabs>
        <w:ind w:left="840"/>
        <w:rPr>
          <w:rFonts w:ascii="宋体" w:hAnsi="宋体" w:cs="宋体"/>
          <w:color w:val="auto"/>
          <w:highlight w:val="none"/>
        </w:rPr>
      </w:pPr>
      <w:r>
        <w:rPr>
          <w:color w:val="auto"/>
          <w:highlight w:val="none"/>
        </w:rPr>
        <w:fldChar w:fldCharType="begin"/>
      </w:r>
      <w:r>
        <w:rPr>
          <w:color w:val="auto"/>
          <w:highlight w:val="none"/>
        </w:rPr>
        <w:instrText xml:space="preserve"> HYPERLINK \l "_Toc32111" </w:instrText>
      </w:r>
      <w:r>
        <w:rPr>
          <w:color w:val="auto"/>
          <w:highlight w:val="none"/>
        </w:rPr>
        <w:fldChar w:fldCharType="separate"/>
      </w:r>
      <w:r>
        <w:rPr>
          <w:rFonts w:hint="eastAsia" w:ascii="宋体" w:hAnsi="宋体" w:cs="宋体"/>
          <w:color w:val="auto"/>
          <w:szCs w:val="21"/>
          <w:highlight w:val="none"/>
        </w:rPr>
        <w:t>（二）招标文件</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_Toc32111 \h </w:instrText>
      </w:r>
      <w:r>
        <w:rPr>
          <w:rFonts w:hint="eastAsia" w:ascii="宋体" w:hAnsi="宋体" w:cs="宋体"/>
          <w:color w:val="auto"/>
          <w:highlight w:val="none"/>
        </w:rPr>
        <w:fldChar w:fldCharType="separate"/>
      </w:r>
      <w:r>
        <w:rPr>
          <w:rFonts w:hint="eastAsia" w:ascii="宋体" w:hAnsi="宋体" w:cs="宋体"/>
          <w:color w:val="auto"/>
          <w:highlight w:val="none"/>
        </w:rPr>
        <w:t>27</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11F847F8">
      <w:pPr>
        <w:pStyle w:val="16"/>
        <w:tabs>
          <w:tab w:val="right" w:leader="dot" w:pos="9040"/>
        </w:tabs>
        <w:ind w:left="840"/>
        <w:rPr>
          <w:rFonts w:ascii="宋体" w:hAnsi="宋体" w:cs="宋体"/>
          <w:color w:val="auto"/>
          <w:highlight w:val="none"/>
        </w:rPr>
      </w:pPr>
      <w:r>
        <w:rPr>
          <w:color w:val="auto"/>
          <w:highlight w:val="none"/>
        </w:rPr>
        <w:fldChar w:fldCharType="begin"/>
      </w:r>
      <w:r>
        <w:rPr>
          <w:color w:val="auto"/>
          <w:highlight w:val="none"/>
        </w:rPr>
        <w:instrText xml:space="preserve"> HYPERLINK \l "_Toc32542" </w:instrText>
      </w:r>
      <w:r>
        <w:rPr>
          <w:color w:val="auto"/>
          <w:highlight w:val="none"/>
        </w:rPr>
        <w:fldChar w:fldCharType="separate"/>
      </w:r>
      <w:r>
        <w:rPr>
          <w:rFonts w:hint="eastAsia" w:ascii="宋体" w:hAnsi="宋体" w:cs="宋体"/>
          <w:color w:val="auto"/>
          <w:szCs w:val="21"/>
          <w:highlight w:val="none"/>
        </w:rPr>
        <w:t>（三）投标文件的编制</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_Toc32542 \h </w:instrText>
      </w:r>
      <w:r>
        <w:rPr>
          <w:rFonts w:hint="eastAsia" w:ascii="宋体" w:hAnsi="宋体" w:cs="宋体"/>
          <w:color w:val="auto"/>
          <w:highlight w:val="none"/>
        </w:rPr>
        <w:fldChar w:fldCharType="separate"/>
      </w:r>
      <w:r>
        <w:rPr>
          <w:rFonts w:hint="eastAsia" w:ascii="宋体" w:hAnsi="宋体" w:cs="宋体"/>
          <w:color w:val="auto"/>
          <w:highlight w:val="none"/>
        </w:rPr>
        <w:t>28</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4B1A7E3F">
      <w:pPr>
        <w:pStyle w:val="16"/>
        <w:tabs>
          <w:tab w:val="right" w:leader="dot" w:pos="9040"/>
        </w:tabs>
        <w:ind w:left="840"/>
        <w:rPr>
          <w:rFonts w:ascii="宋体" w:hAnsi="宋体" w:cs="宋体"/>
          <w:color w:val="auto"/>
          <w:highlight w:val="none"/>
        </w:rPr>
      </w:pPr>
      <w:r>
        <w:rPr>
          <w:color w:val="auto"/>
          <w:highlight w:val="none"/>
        </w:rPr>
        <w:fldChar w:fldCharType="begin"/>
      </w:r>
      <w:r>
        <w:rPr>
          <w:color w:val="auto"/>
          <w:highlight w:val="none"/>
        </w:rPr>
        <w:instrText xml:space="preserve"> HYPERLINK \l "_Toc24057" </w:instrText>
      </w:r>
      <w:r>
        <w:rPr>
          <w:color w:val="auto"/>
          <w:highlight w:val="none"/>
        </w:rPr>
        <w:fldChar w:fldCharType="separate"/>
      </w:r>
      <w:r>
        <w:rPr>
          <w:rFonts w:hint="eastAsia" w:ascii="宋体" w:hAnsi="宋体" w:cs="宋体"/>
          <w:color w:val="auto"/>
          <w:szCs w:val="21"/>
          <w:highlight w:val="none"/>
        </w:rPr>
        <w:t>（四）投标文件的提交</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_Toc24057 \h </w:instrText>
      </w:r>
      <w:r>
        <w:rPr>
          <w:rFonts w:hint="eastAsia" w:ascii="宋体" w:hAnsi="宋体" w:cs="宋体"/>
          <w:color w:val="auto"/>
          <w:highlight w:val="none"/>
        </w:rPr>
        <w:fldChar w:fldCharType="separate"/>
      </w:r>
      <w:r>
        <w:rPr>
          <w:rFonts w:hint="eastAsia" w:ascii="宋体" w:hAnsi="宋体" w:cs="宋体"/>
          <w:color w:val="auto"/>
          <w:highlight w:val="none"/>
        </w:rPr>
        <w:t>34</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6D6988A4">
      <w:pPr>
        <w:pStyle w:val="16"/>
        <w:tabs>
          <w:tab w:val="right" w:leader="dot" w:pos="9040"/>
        </w:tabs>
        <w:ind w:left="840"/>
        <w:rPr>
          <w:rFonts w:ascii="宋体" w:hAnsi="宋体" w:cs="宋体"/>
          <w:color w:val="auto"/>
          <w:highlight w:val="none"/>
        </w:rPr>
      </w:pPr>
      <w:r>
        <w:rPr>
          <w:color w:val="auto"/>
          <w:highlight w:val="none"/>
        </w:rPr>
        <w:fldChar w:fldCharType="begin"/>
      </w:r>
      <w:r>
        <w:rPr>
          <w:color w:val="auto"/>
          <w:highlight w:val="none"/>
        </w:rPr>
        <w:instrText xml:space="preserve"> HYPERLINK \l "_Toc13732" </w:instrText>
      </w:r>
      <w:r>
        <w:rPr>
          <w:color w:val="auto"/>
          <w:highlight w:val="none"/>
        </w:rPr>
        <w:fldChar w:fldCharType="separate"/>
      </w:r>
      <w:r>
        <w:rPr>
          <w:rFonts w:hint="eastAsia" w:ascii="宋体" w:hAnsi="宋体" w:cs="宋体"/>
          <w:color w:val="auto"/>
          <w:szCs w:val="21"/>
          <w:highlight w:val="none"/>
        </w:rPr>
        <w:t>（五）开标、评标、定标及合同签定</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_Toc13732 \h </w:instrText>
      </w:r>
      <w:r>
        <w:rPr>
          <w:rFonts w:hint="eastAsia" w:ascii="宋体" w:hAnsi="宋体" w:cs="宋体"/>
          <w:color w:val="auto"/>
          <w:highlight w:val="none"/>
        </w:rPr>
        <w:fldChar w:fldCharType="separate"/>
      </w:r>
      <w:r>
        <w:rPr>
          <w:rFonts w:hint="eastAsia" w:ascii="宋体" w:hAnsi="宋体" w:cs="宋体"/>
          <w:color w:val="auto"/>
          <w:highlight w:val="none"/>
        </w:rPr>
        <w:t>35</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40D60102">
      <w:pPr>
        <w:pStyle w:val="23"/>
        <w:tabs>
          <w:tab w:val="right" w:leader="dot" w:pos="9040"/>
          <w:tab w:val="clear" w:pos="9060"/>
        </w:tabs>
        <w:rPr>
          <w:rFonts w:cs="宋体"/>
          <w:color w:val="auto"/>
          <w:highlight w:val="none"/>
        </w:rPr>
      </w:pPr>
      <w:r>
        <w:rPr>
          <w:color w:val="auto"/>
          <w:highlight w:val="none"/>
        </w:rPr>
        <w:fldChar w:fldCharType="begin"/>
      </w:r>
      <w:r>
        <w:rPr>
          <w:color w:val="auto"/>
          <w:highlight w:val="none"/>
        </w:rPr>
        <w:instrText xml:space="preserve"> HYPERLINK \l "_Toc12835" </w:instrText>
      </w:r>
      <w:r>
        <w:rPr>
          <w:color w:val="auto"/>
          <w:highlight w:val="none"/>
        </w:rPr>
        <w:fldChar w:fldCharType="separate"/>
      </w:r>
      <w:r>
        <w:rPr>
          <w:rFonts w:hint="eastAsia" w:cs="宋体"/>
          <w:bCs/>
          <w:color w:val="auto"/>
          <w:szCs w:val="24"/>
          <w:highlight w:val="none"/>
        </w:rPr>
        <w:t>第二章  开标、评标及定标办法</w:t>
      </w:r>
      <w:r>
        <w:rPr>
          <w:rFonts w:hint="eastAsia" w:cs="宋体"/>
          <w:color w:val="auto"/>
          <w:highlight w:val="none"/>
        </w:rPr>
        <w:tab/>
      </w:r>
      <w:r>
        <w:rPr>
          <w:rFonts w:hint="eastAsia" w:cs="宋体"/>
          <w:color w:val="auto"/>
          <w:highlight w:val="none"/>
        </w:rPr>
        <w:fldChar w:fldCharType="begin"/>
      </w:r>
      <w:r>
        <w:rPr>
          <w:rFonts w:hint="eastAsia" w:cs="宋体"/>
          <w:color w:val="auto"/>
          <w:highlight w:val="none"/>
        </w:rPr>
        <w:instrText xml:space="preserve"> PAGEREF _Toc12835 \h </w:instrText>
      </w:r>
      <w:r>
        <w:rPr>
          <w:rFonts w:hint="eastAsia" w:cs="宋体"/>
          <w:color w:val="auto"/>
          <w:highlight w:val="none"/>
        </w:rPr>
        <w:fldChar w:fldCharType="separate"/>
      </w:r>
      <w:r>
        <w:rPr>
          <w:rFonts w:hint="eastAsia" w:cs="宋体"/>
          <w:color w:val="auto"/>
          <w:highlight w:val="none"/>
        </w:rPr>
        <w:t>37</w:t>
      </w:r>
      <w:r>
        <w:rPr>
          <w:rFonts w:hint="eastAsia" w:cs="宋体"/>
          <w:color w:val="auto"/>
          <w:highlight w:val="none"/>
        </w:rPr>
        <w:fldChar w:fldCharType="end"/>
      </w:r>
      <w:r>
        <w:rPr>
          <w:rFonts w:hint="eastAsia" w:cs="宋体"/>
          <w:color w:val="auto"/>
          <w:highlight w:val="none"/>
        </w:rPr>
        <w:fldChar w:fldCharType="end"/>
      </w:r>
    </w:p>
    <w:p w14:paraId="115F06D4">
      <w:pPr>
        <w:pStyle w:val="26"/>
        <w:tabs>
          <w:tab w:val="right" w:leader="dot" w:pos="9040"/>
          <w:tab w:val="clear" w:pos="9060"/>
        </w:tabs>
        <w:rPr>
          <w:rFonts w:ascii="宋体" w:hAnsi="宋体" w:cs="宋体"/>
          <w:color w:val="auto"/>
          <w:highlight w:val="none"/>
        </w:rPr>
      </w:pPr>
      <w:r>
        <w:rPr>
          <w:color w:val="auto"/>
          <w:highlight w:val="none"/>
        </w:rPr>
        <w:fldChar w:fldCharType="begin"/>
      </w:r>
      <w:r>
        <w:rPr>
          <w:color w:val="auto"/>
          <w:highlight w:val="none"/>
        </w:rPr>
        <w:instrText xml:space="preserve"> HYPERLINK \l "_Toc20882" </w:instrText>
      </w:r>
      <w:r>
        <w:rPr>
          <w:color w:val="auto"/>
          <w:highlight w:val="none"/>
        </w:rPr>
        <w:fldChar w:fldCharType="separate"/>
      </w:r>
      <w:r>
        <w:rPr>
          <w:rFonts w:hint="eastAsia" w:ascii="宋体" w:hAnsi="宋体" w:cs="宋体"/>
          <w:color w:val="auto"/>
          <w:highlight w:val="none"/>
        </w:rPr>
        <w:t>一、开标、评标及定标办法修改表</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_Toc20882 \h </w:instrText>
      </w:r>
      <w:r>
        <w:rPr>
          <w:rFonts w:hint="eastAsia" w:ascii="宋体" w:hAnsi="宋体" w:cs="宋体"/>
          <w:color w:val="auto"/>
          <w:highlight w:val="none"/>
        </w:rPr>
        <w:fldChar w:fldCharType="separate"/>
      </w:r>
      <w:r>
        <w:rPr>
          <w:rFonts w:hint="eastAsia" w:ascii="宋体" w:hAnsi="宋体" w:cs="宋体"/>
          <w:color w:val="auto"/>
          <w:highlight w:val="none"/>
        </w:rPr>
        <w:t>37</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5ECF6394">
      <w:pPr>
        <w:pStyle w:val="26"/>
        <w:tabs>
          <w:tab w:val="right" w:leader="dot" w:pos="9040"/>
          <w:tab w:val="clear" w:pos="9060"/>
        </w:tabs>
        <w:rPr>
          <w:rFonts w:ascii="宋体" w:hAnsi="宋体" w:cs="宋体"/>
          <w:color w:val="auto"/>
          <w:highlight w:val="none"/>
        </w:rPr>
      </w:pPr>
      <w:r>
        <w:rPr>
          <w:color w:val="auto"/>
          <w:highlight w:val="none"/>
        </w:rPr>
        <w:fldChar w:fldCharType="begin"/>
      </w:r>
      <w:r>
        <w:rPr>
          <w:color w:val="auto"/>
          <w:highlight w:val="none"/>
        </w:rPr>
        <w:instrText xml:space="preserve"> HYPERLINK \l "_Toc5678" </w:instrText>
      </w:r>
      <w:r>
        <w:rPr>
          <w:color w:val="auto"/>
          <w:highlight w:val="none"/>
        </w:rPr>
        <w:fldChar w:fldCharType="separate"/>
      </w:r>
      <w:r>
        <w:rPr>
          <w:rFonts w:hint="eastAsia" w:ascii="宋体" w:hAnsi="宋体" w:cs="宋体"/>
          <w:color w:val="auto"/>
          <w:highlight w:val="none"/>
        </w:rPr>
        <w:t>二、开标、评标及定标办法</w:t>
      </w:r>
      <w:r>
        <w:rPr>
          <w:rFonts w:hint="eastAsia" w:ascii="宋体" w:hAnsi="宋体" w:cs="宋体"/>
          <w:color w:val="auto"/>
          <w:szCs w:val="30"/>
          <w:highlight w:val="none"/>
        </w:rPr>
        <w:t>通用条款</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_Toc5678 \h </w:instrText>
      </w:r>
      <w:r>
        <w:rPr>
          <w:rFonts w:hint="eastAsia" w:ascii="宋体" w:hAnsi="宋体" w:cs="宋体"/>
          <w:color w:val="auto"/>
          <w:highlight w:val="none"/>
        </w:rPr>
        <w:fldChar w:fldCharType="separate"/>
      </w:r>
      <w:r>
        <w:rPr>
          <w:rFonts w:hint="eastAsia" w:ascii="宋体" w:hAnsi="宋体" w:cs="宋体"/>
          <w:color w:val="auto"/>
          <w:highlight w:val="none"/>
        </w:rPr>
        <w:t>48</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7B04CA07">
      <w:pPr>
        <w:pStyle w:val="16"/>
        <w:tabs>
          <w:tab w:val="right" w:leader="dot" w:pos="9040"/>
        </w:tabs>
        <w:ind w:left="840"/>
        <w:rPr>
          <w:rFonts w:ascii="宋体" w:hAnsi="宋体" w:cs="宋体"/>
          <w:color w:val="auto"/>
          <w:highlight w:val="none"/>
        </w:rPr>
      </w:pPr>
      <w:r>
        <w:rPr>
          <w:color w:val="auto"/>
          <w:highlight w:val="none"/>
        </w:rPr>
        <w:fldChar w:fldCharType="begin"/>
      </w:r>
      <w:r>
        <w:rPr>
          <w:color w:val="auto"/>
          <w:highlight w:val="none"/>
        </w:rPr>
        <w:instrText xml:space="preserve"> HYPERLINK \l "_Toc31373" </w:instrText>
      </w:r>
      <w:r>
        <w:rPr>
          <w:color w:val="auto"/>
          <w:highlight w:val="none"/>
        </w:rPr>
        <w:fldChar w:fldCharType="separate"/>
      </w:r>
      <w:r>
        <w:rPr>
          <w:rFonts w:hint="eastAsia" w:ascii="宋体" w:hAnsi="宋体" w:cs="宋体"/>
          <w:bCs/>
          <w:color w:val="auto"/>
          <w:highlight w:val="none"/>
        </w:rPr>
        <w:t>（一）总则</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_Toc31373 \h </w:instrText>
      </w:r>
      <w:r>
        <w:rPr>
          <w:rFonts w:hint="eastAsia" w:ascii="宋体" w:hAnsi="宋体" w:cs="宋体"/>
          <w:color w:val="auto"/>
          <w:highlight w:val="none"/>
        </w:rPr>
        <w:fldChar w:fldCharType="separate"/>
      </w:r>
      <w:r>
        <w:rPr>
          <w:rFonts w:hint="eastAsia" w:ascii="宋体" w:hAnsi="宋体" w:cs="宋体"/>
          <w:color w:val="auto"/>
          <w:highlight w:val="none"/>
        </w:rPr>
        <w:t>48</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57EA47A2">
      <w:pPr>
        <w:pStyle w:val="16"/>
        <w:tabs>
          <w:tab w:val="right" w:leader="dot" w:pos="9040"/>
        </w:tabs>
        <w:ind w:left="840"/>
        <w:rPr>
          <w:rFonts w:ascii="宋体" w:hAnsi="宋体" w:cs="宋体"/>
          <w:color w:val="auto"/>
          <w:highlight w:val="none"/>
        </w:rPr>
      </w:pPr>
      <w:r>
        <w:rPr>
          <w:color w:val="auto"/>
          <w:highlight w:val="none"/>
        </w:rPr>
        <w:fldChar w:fldCharType="begin"/>
      </w:r>
      <w:r>
        <w:rPr>
          <w:color w:val="auto"/>
          <w:highlight w:val="none"/>
        </w:rPr>
        <w:instrText xml:space="preserve"> HYPERLINK \l "_Toc9740" </w:instrText>
      </w:r>
      <w:r>
        <w:rPr>
          <w:color w:val="auto"/>
          <w:highlight w:val="none"/>
        </w:rPr>
        <w:fldChar w:fldCharType="separate"/>
      </w:r>
      <w:r>
        <w:rPr>
          <w:rFonts w:hint="eastAsia" w:ascii="宋体" w:hAnsi="宋体" w:cs="宋体"/>
          <w:bCs/>
          <w:color w:val="auto"/>
          <w:highlight w:val="none"/>
        </w:rPr>
        <w:t>（二）开标评标办法程序和细则</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_Toc9740 \h </w:instrText>
      </w:r>
      <w:r>
        <w:rPr>
          <w:rFonts w:hint="eastAsia" w:ascii="宋体" w:hAnsi="宋体" w:cs="宋体"/>
          <w:color w:val="auto"/>
          <w:highlight w:val="none"/>
        </w:rPr>
        <w:fldChar w:fldCharType="separate"/>
      </w:r>
      <w:r>
        <w:rPr>
          <w:rFonts w:hint="eastAsia" w:ascii="宋体" w:hAnsi="宋体" w:cs="宋体"/>
          <w:color w:val="auto"/>
          <w:highlight w:val="none"/>
        </w:rPr>
        <w:t>50</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3E43DB12">
      <w:pPr>
        <w:pStyle w:val="23"/>
        <w:tabs>
          <w:tab w:val="right" w:leader="dot" w:pos="9040"/>
          <w:tab w:val="clear" w:pos="9060"/>
        </w:tabs>
        <w:rPr>
          <w:rFonts w:cs="宋体"/>
          <w:color w:val="auto"/>
          <w:highlight w:val="none"/>
        </w:rPr>
      </w:pPr>
      <w:r>
        <w:rPr>
          <w:color w:val="auto"/>
          <w:highlight w:val="none"/>
        </w:rPr>
        <w:fldChar w:fldCharType="begin"/>
      </w:r>
      <w:r>
        <w:rPr>
          <w:color w:val="auto"/>
          <w:highlight w:val="none"/>
        </w:rPr>
        <w:instrText xml:space="preserve"> HYPERLINK \l "_Toc5789" </w:instrText>
      </w:r>
      <w:r>
        <w:rPr>
          <w:color w:val="auto"/>
          <w:highlight w:val="none"/>
        </w:rPr>
        <w:fldChar w:fldCharType="separate"/>
      </w:r>
      <w:r>
        <w:rPr>
          <w:rFonts w:hint="eastAsia" w:cs="宋体"/>
          <w:color w:val="auto"/>
          <w:szCs w:val="44"/>
          <w:highlight w:val="none"/>
        </w:rPr>
        <w:t>第三章  合同条款</w:t>
      </w:r>
      <w:r>
        <w:rPr>
          <w:rFonts w:hint="eastAsia" w:cs="宋体"/>
          <w:color w:val="auto"/>
          <w:highlight w:val="none"/>
        </w:rPr>
        <w:tab/>
      </w:r>
      <w:r>
        <w:rPr>
          <w:rFonts w:hint="eastAsia" w:cs="宋体"/>
          <w:color w:val="auto"/>
          <w:highlight w:val="none"/>
        </w:rPr>
        <w:fldChar w:fldCharType="begin"/>
      </w:r>
      <w:r>
        <w:rPr>
          <w:rFonts w:hint="eastAsia" w:cs="宋体"/>
          <w:color w:val="auto"/>
          <w:highlight w:val="none"/>
        </w:rPr>
        <w:instrText xml:space="preserve"> PAGEREF _Toc5789 \h </w:instrText>
      </w:r>
      <w:r>
        <w:rPr>
          <w:rFonts w:hint="eastAsia" w:cs="宋体"/>
          <w:color w:val="auto"/>
          <w:highlight w:val="none"/>
        </w:rPr>
        <w:fldChar w:fldCharType="separate"/>
      </w:r>
      <w:r>
        <w:rPr>
          <w:rFonts w:hint="eastAsia" w:cs="宋体"/>
          <w:color w:val="auto"/>
          <w:highlight w:val="none"/>
        </w:rPr>
        <w:t>71</w:t>
      </w:r>
      <w:r>
        <w:rPr>
          <w:rFonts w:hint="eastAsia" w:cs="宋体"/>
          <w:color w:val="auto"/>
          <w:highlight w:val="none"/>
        </w:rPr>
        <w:fldChar w:fldCharType="end"/>
      </w:r>
      <w:r>
        <w:rPr>
          <w:rFonts w:hint="eastAsia" w:cs="宋体"/>
          <w:color w:val="auto"/>
          <w:highlight w:val="none"/>
        </w:rPr>
        <w:fldChar w:fldCharType="end"/>
      </w:r>
    </w:p>
    <w:p w14:paraId="0B168004">
      <w:pPr>
        <w:pStyle w:val="23"/>
        <w:tabs>
          <w:tab w:val="right" w:leader="dot" w:pos="9040"/>
          <w:tab w:val="clear" w:pos="9060"/>
        </w:tabs>
        <w:rPr>
          <w:rFonts w:cs="宋体"/>
          <w:color w:val="auto"/>
          <w:highlight w:val="none"/>
        </w:rPr>
      </w:pPr>
      <w:r>
        <w:rPr>
          <w:color w:val="auto"/>
          <w:highlight w:val="none"/>
        </w:rPr>
        <w:fldChar w:fldCharType="begin"/>
      </w:r>
      <w:r>
        <w:rPr>
          <w:color w:val="auto"/>
          <w:highlight w:val="none"/>
        </w:rPr>
        <w:instrText xml:space="preserve"> HYPERLINK \l "_Toc30083" </w:instrText>
      </w:r>
      <w:r>
        <w:rPr>
          <w:color w:val="auto"/>
          <w:highlight w:val="none"/>
        </w:rPr>
        <w:fldChar w:fldCharType="separate"/>
      </w:r>
      <w:r>
        <w:rPr>
          <w:rFonts w:hint="eastAsia" w:cs="宋体"/>
          <w:color w:val="auto"/>
          <w:highlight w:val="none"/>
        </w:rPr>
        <w:t>第四章  投标文件格式</w:t>
      </w:r>
      <w:r>
        <w:rPr>
          <w:rFonts w:hint="eastAsia" w:cs="宋体"/>
          <w:color w:val="auto"/>
          <w:highlight w:val="none"/>
        </w:rPr>
        <w:tab/>
      </w:r>
      <w:r>
        <w:rPr>
          <w:rFonts w:hint="eastAsia" w:cs="宋体"/>
          <w:color w:val="auto"/>
          <w:highlight w:val="none"/>
        </w:rPr>
        <w:fldChar w:fldCharType="begin"/>
      </w:r>
      <w:r>
        <w:rPr>
          <w:rFonts w:hint="eastAsia" w:cs="宋体"/>
          <w:color w:val="auto"/>
          <w:highlight w:val="none"/>
        </w:rPr>
        <w:instrText xml:space="preserve"> PAGEREF _Toc30083 \h </w:instrText>
      </w:r>
      <w:r>
        <w:rPr>
          <w:rFonts w:hint="eastAsia" w:cs="宋体"/>
          <w:color w:val="auto"/>
          <w:highlight w:val="none"/>
        </w:rPr>
        <w:fldChar w:fldCharType="separate"/>
      </w:r>
      <w:r>
        <w:rPr>
          <w:rFonts w:hint="eastAsia" w:cs="宋体"/>
          <w:color w:val="auto"/>
          <w:highlight w:val="none"/>
        </w:rPr>
        <w:t>78</w:t>
      </w:r>
      <w:r>
        <w:rPr>
          <w:rFonts w:hint="eastAsia" w:cs="宋体"/>
          <w:color w:val="auto"/>
          <w:highlight w:val="none"/>
        </w:rPr>
        <w:fldChar w:fldCharType="end"/>
      </w:r>
      <w:r>
        <w:rPr>
          <w:rFonts w:hint="eastAsia" w:cs="宋体"/>
          <w:color w:val="auto"/>
          <w:highlight w:val="none"/>
        </w:rPr>
        <w:fldChar w:fldCharType="end"/>
      </w:r>
    </w:p>
    <w:p w14:paraId="7A9BF5A7">
      <w:pPr>
        <w:pStyle w:val="23"/>
        <w:tabs>
          <w:tab w:val="right" w:leader="dot" w:pos="9040"/>
          <w:tab w:val="clear" w:pos="9060"/>
        </w:tabs>
        <w:rPr>
          <w:rFonts w:cs="宋体"/>
          <w:color w:val="auto"/>
          <w:highlight w:val="none"/>
        </w:rPr>
      </w:pPr>
      <w:r>
        <w:rPr>
          <w:color w:val="auto"/>
          <w:highlight w:val="none"/>
        </w:rPr>
        <w:fldChar w:fldCharType="begin"/>
      </w:r>
      <w:r>
        <w:rPr>
          <w:color w:val="auto"/>
          <w:highlight w:val="none"/>
        </w:rPr>
        <w:instrText xml:space="preserve"> HYPERLINK \l "_Toc9312" </w:instrText>
      </w:r>
      <w:r>
        <w:rPr>
          <w:color w:val="auto"/>
          <w:highlight w:val="none"/>
        </w:rPr>
        <w:fldChar w:fldCharType="separate"/>
      </w:r>
      <w:r>
        <w:rPr>
          <w:rFonts w:hint="eastAsia" w:cs="宋体"/>
          <w:color w:val="auto"/>
          <w:szCs w:val="24"/>
          <w:highlight w:val="none"/>
        </w:rPr>
        <w:t>第五章  技术条件（工程建设标准）</w:t>
      </w:r>
      <w:r>
        <w:rPr>
          <w:rFonts w:hint="eastAsia" w:cs="宋体"/>
          <w:color w:val="auto"/>
          <w:highlight w:val="none"/>
        </w:rPr>
        <w:tab/>
      </w:r>
      <w:r>
        <w:rPr>
          <w:rFonts w:hint="eastAsia" w:cs="宋体"/>
          <w:color w:val="auto"/>
          <w:highlight w:val="none"/>
        </w:rPr>
        <w:fldChar w:fldCharType="begin"/>
      </w:r>
      <w:r>
        <w:rPr>
          <w:rFonts w:hint="eastAsia" w:cs="宋体"/>
          <w:color w:val="auto"/>
          <w:highlight w:val="none"/>
        </w:rPr>
        <w:instrText xml:space="preserve"> PAGEREF _Toc9312 \h </w:instrText>
      </w:r>
      <w:r>
        <w:rPr>
          <w:rFonts w:hint="eastAsia" w:cs="宋体"/>
          <w:color w:val="auto"/>
          <w:highlight w:val="none"/>
        </w:rPr>
        <w:fldChar w:fldCharType="separate"/>
      </w:r>
      <w:r>
        <w:rPr>
          <w:rFonts w:hint="eastAsia" w:cs="宋体"/>
          <w:color w:val="auto"/>
          <w:highlight w:val="none"/>
        </w:rPr>
        <w:t>96</w:t>
      </w:r>
      <w:r>
        <w:rPr>
          <w:rFonts w:hint="eastAsia" w:cs="宋体"/>
          <w:color w:val="auto"/>
          <w:highlight w:val="none"/>
        </w:rPr>
        <w:fldChar w:fldCharType="end"/>
      </w:r>
      <w:r>
        <w:rPr>
          <w:rFonts w:hint="eastAsia" w:cs="宋体"/>
          <w:color w:val="auto"/>
          <w:highlight w:val="none"/>
        </w:rPr>
        <w:fldChar w:fldCharType="end"/>
      </w:r>
    </w:p>
    <w:p w14:paraId="0E0FAAB6">
      <w:pPr>
        <w:pStyle w:val="23"/>
        <w:tabs>
          <w:tab w:val="right" w:leader="dot" w:pos="9040"/>
          <w:tab w:val="clear" w:pos="9060"/>
        </w:tabs>
        <w:rPr>
          <w:rFonts w:cs="宋体"/>
          <w:color w:val="auto"/>
          <w:highlight w:val="none"/>
        </w:rPr>
      </w:pPr>
      <w:r>
        <w:rPr>
          <w:color w:val="auto"/>
          <w:highlight w:val="none"/>
        </w:rPr>
        <w:fldChar w:fldCharType="begin"/>
      </w:r>
      <w:r>
        <w:rPr>
          <w:color w:val="auto"/>
          <w:highlight w:val="none"/>
        </w:rPr>
        <w:instrText xml:space="preserve"> HYPERLINK \l "_Toc9353" </w:instrText>
      </w:r>
      <w:r>
        <w:rPr>
          <w:color w:val="auto"/>
          <w:highlight w:val="none"/>
        </w:rPr>
        <w:fldChar w:fldCharType="separate"/>
      </w:r>
      <w:r>
        <w:rPr>
          <w:rFonts w:hint="eastAsia" w:cs="宋体"/>
          <w:color w:val="auto"/>
          <w:szCs w:val="24"/>
          <w:highlight w:val="none"/>
        </w:rPr>
        <w:t>第六章  图纸及勘察资料</w:t>
      </w:r>
      <w:r>
        <w:rPr>
          <w:rFonts w:hint="eastAsia" w:cs="宋体"/>
          <w:color w:val="auto"/>
          <w:highlight w:val="none"/>
        </w:rPr>
        <w:tab/>
      </w:r>
      <w:r>
        <w:rPr>
          <w:rFonts w:hint="eastAsia" w:cs="宋体"/>
          <w:color w:val="auto"/>
          <w:highlight w:val="none"/>
        </w:rPr>
        <w:fldChar w:fldCharType="begin"/>
      </w:r>
      <w:r>
        <w:rPr>
          <w:rFonts w:hint="eastAsia" w:cs="宋体"/>
          <w:color w:val="auto"/>
          <w:highlight w:val="none"/>
        </w:rPr>
        <w:instrText xml:space="preserve"> PAGEREF _Toc9353 \h </w:instrText>
      </w:r>
      <w:r>
        <w:rPr>
          <w:rFonts w:hint="eastAsia" w:cs="宋体"/>
          <w:color w:val="auto"/>
          <w:highlight w:val="none"/>
        </w:rPr>
        <w:fldChar w:fldCharType="separate"/>
      </w:r>
      <w:r>
        <w:rPr>
          <w:rFonts w:hint="eastAsia" w:cs="宋体"/>
          <w:color w:val="auto"/>
          <w:highlight w:val="none"/>
        </w:rPr>
        <w:t>101</w:t>
      </w:r>
      <w:r>
        <w:rPr>
          <w:rFonts w:hint="eastAsia" w:cs="宋体"/>
          <w:color w:val="auto"/>
          <w:highlight w:val="none"/>
        </w:rPr>
        <w:fldChar w:fldCharType="end"/>
      </w:r>
      <w:r>
        <w:rPr>
          <w:rFonts w:hint="eastAsia" w:cs="宋体"/>
          <w:color w:val="auto"/>
          <w:highlight w:val="none"/>
        </w:rPr>
        <w:fldChar w:fldCharType="end"/>
      </w:r>
    </w:p>
    <w:p w14:paraId="5C96FD63">
      <w:pPr>
        <w:pStyle w:val="23"/>
        <w:tabs>
          <w:tab w:val="right" w:leader="dot" w:pos="9040"/>
          <w:tab w:val="clear" w:pos="9060"/>
        </w:tabs>
        <w:rPr>
          <w:rFonts w:cs="宋体"/>
          <w:color w:val="auto"/>
          <w:highlight w:val="none"/>
        </w:rPr>
      </w:pPr>
      <w:r>
        <w:rPr>
          <w:color w:val="auto"/>
          <w:highlight w:val="none"/>
        </w:rPr>
        <w:fldChar w:fldCharType="begin"/>
      </w:r>
      <w:r>
        <w:rPr>
          <w:color w:val="auto"/>
          <w:highlight w:val="none"/>
        </w:rPr>
        <w:instrText xml:space="preserve"> HYPERLINK \l "_Toc22481" </w:instrText>
      </w:r>
      <w:r>
        <w:rPr>
          <w:color w:val="auto"/>
          <w:highlight w:val="none"/>
        </w:rPr>
        <w:fldChar w:fldCharType="separate"/>
      </w:r>
      <w:r>
        <w:rPr>
          <w:rFonts w:hint="eastAsia" w:cs="宋体"/>
          <w:color w:val="auto"/>
          <w:szCs w:val="24"/>
          <w:highlight w:val="none"/>
        </w:rPr>
        <w:t>第七章  工程量清单</w:t>
      </w:r>
      <w:r>
        <w:rPr>
          <w:rFonts w:hint="eastAsia" w:cs="宋体"/>
          <w:color w:val="auto"/>
          <w:highlight w:val="none"/>
        </w:rPr>
        <w:tab/>
      </w:r>
      <w:r>
        <w:rPr>
          <w:rFonts w:hint="eastAsia" w:cs="宋体"/>
          <w:color w:val="auto"/>
          <w:highlight w:val="none"/>
        </w:rPr>
        <w:fldChar w:fldCharType="begin"/>
      </w:r>
      <w:r>
        <w:rPr>
          <w:rFonts w:hint="eastAsia" w:cs="宋体"/>
          <w:color w:val="auto"/>
          <w:highlight w:val="none"/>
        </w:rPr>
        <w:instrText xml:space="preserve"> PAGEREF _Toc22481 \h </w:instrText>
      </w:r>
      <w:r>
        <w:rPr>
          <w:rFonts w:hint="eastAsia" w:cs="宋体"/>
          <w:color w:val="auto"/>
          <w:highlight w:val="none"/>
        </w:rPr>
        <w:fldChar w:fldCharType="separate"/>
      </w:r>
      <w:r>
        <w:rPr>
          <w:rFonts w:hint="eastAsia" w:cs="宋体"/>
          <w:color w:val="auto"/>
          <w:highlight w:val="none"/>
        </w:rPr>
        <w:t>102</w:t>
      </w:r>
      <w:r>
        <w:rPr>
          <w:rFonts w:hint="eastAsia" w:cs="宋体"/>
          <w:color w:val="auto"/>
          <w:highlight w:val="none"/>
        </w:rPr>
        <w:fldChar w:fldCharType="end"/>
      </w:r>
      <w:r>
        <w:rPr>
          <w:rFonts w:hint="eastAsia" w:cs="宋体"/>
          <w:color w:val="auto"/>
          <w:highlight w:val="none"/>
        </w:rPr>
        <w:fldChar w:fldCharType="end"/>
      </w:r>
    </w:p>
    <w:p w14:paraId="49F1EE7B">
      <w:pPr>
        <w:pStyle w:val="23"/>
        <w:tabs>
          <w:tab w:val="right" w:leader="dot" w:pos="9040"/>
          <w:tab w:val="clear" w:pos="9060"/>
        </w:tabs>
        <w:rPr>
          <w:rFonts w:cs="宋体"/>
          <w:color w:val="auto"/>
          <w:highlight w:val="none"/>
        </w:rPr>
      </w:pPr>
      <w:r>
        <w:rPr>
          <w:color w:val="auto"/>
          <w:highlight w:val="none"/>
        </w:rPr>
        <w:fldChar w:fldCharType="begin"/>
      </w:r>
      <w:r>
        <w:rPr>
          <w:color w:val="auto"/>
          <w:highlight w:val="none"/>
        </w:rPr>
        <w:instrText xml:space="preserve"> HYPERLINK \l "_Toc3710" </w:instrText>
      </w:r>
      <w:r>
        <w:rPr>
          <w:color w:val="auto"/>
          <w:highlight w:val="none"/>
        </w:rPr>
        <w:fldChar w:fldCharType="separate"/>
      </w:r>
      <w:r>
        <w:rPr>
          <w:rFonts w:hint="eastAsia" w:cs="宋体"/>
          <w:color w:val="auto"/>
          <w:szCs w:val="24"/>
          <w:highlight w:val="none"/>
        </w:rPr>
        <w:t>第八章  最高投标限价</w:t>
      </w:r>
      <w:r>
        <w:rPr>
          <w:rFonts w:hint="eastAsia" w:cs="宋体"/>
          <w:color w:val="auto"/>
          <w:highlight w:val="none"/>
        </w:rPr>
        <w:tab/>
      </w:r>
      <w:r>
        <w:rPr>
          <w:rFonts w:hint="eastAsia" w:cs="宋体"/>
          <w:color w:val="auto"/>
          <w:highlight w:val="none"/>
        </w:rPr>
        <w:fldChar w:fldCharType="begin"/>
      </w:r>
      <w:r>
        <w:rPr>
          <w:rFonts w:hint="eastAsia" w:cs="宋体"/>
          <w:color w:val="auto"/>
          <w:highlight w:val="none"/>
        </w:rPr>
        <w:instrText xml:space="preserve"> PAGEREF _Toc3710 \h </w:instrText>
      </w:r>
      <w:r>
        <w:rPr>
          <w:rFonts w:hint="eastAsia" w:cs="宋体"/>
          <w:color w:val="auto"/>
          <w:highlight w:val="none"/>
        </w:rPr>
        <w:fldChar w:fldCharType="separate"/>
      </w:r>
      <w:r>
        <w:rPr>
          <w:rFonts w:hint="eastAsia" w:cs="宋体"/>
          <w:color w:val="auto"/>
          <w:highlight w:val="none"/>
        </w:rPr>
        <w:t>103</w:t>
      </w:r>
      <w:r>
        <w:rPr>
          <w:rFonts w:hint="eastAsia" w:cs="宋体"/>
          <w:color w:val="auto"/>
          <w:highlight w:val="none"/>
        </w:rPr>
        <w:fldChar w:fldCharType="end"/>
      </w:r>
      <w:r>
        <w:rPr>
          <w:rFonts w:hint="eastAsia" w:cs="宋体"/>
          <w:color w:val="auto"/>
          <w:highlight w:val="none"/>
        </w:rPr>
        <w:fldChar w:fldCharType="end"/>
      </w:r>
    </w:p>
    <w:p w14:paraId="368A0A30">
      <w:pPr>
        <w:pStyle w:val="31"/>
        <w:rPr>
          <w:rFonts w:ascii="宋体" w:hAnsi="宋体" w:cs="宋体"/>
          <w:color w:val="auto"/>
          <w:highlight w:val="none"/>
        </w:rPr>
      </w:pPr>
      <w:r>
        <w:rPr>
          <w:rFonts w:hint="eastAsia" w:ascii="宋体" w:hAnsi="宋体" w:cs="宋体"/>
          <w:color w:val="auto"/>
          <w:szCs w:val="24"/>
          <w:highlight w:val="none"/>
        </w:rPr>
        <w:fldChar w:fldCharType="end"/>
      </w:r>
    </w:p>
    <w:p w14:paraId="062476A0">
      <w:pPr>
        <w:snapToGrid w:val="0"/>
        <w:spacing w:line="360" w:lineRule="auto"/>
        <w:rPr>
          <w:rFonts w:ascii="宋体" w:hAnsi="宋体" w:cs="宋体"/>
          <w:b/>
          <w:bCs/>
          <w:color w:val="auto"/>
          <w:sz w:val="32"/>
          <w:szCs w:val="32"/>
          <w:highlight w:val="none"/>
        </w:rPr>
      </w:pPr>
      <w:r>
        <w:rPr>
          <w:rFonts w:hint="eastAsia" w:ascii="宋体" w:hAnsi="宋体" w:cs="宋体"/>
          <w:b/>
          <w:bCs/>
          <w:color w:val="auto"/>
          <w:sz w:val="32"/>
          <w:szCs w:val="32"/>
          <w:highlight w:val="none"/>
        </w:rPr>
        <w:br w:type="page"/>
      </w:r>
    </w:p>
    <w:p w14:paraId="7BF51F9D">
      <w:pPr>
        <w:pStyle w:val="3"/>
        <w:snapToGrid w:val="0"/>
        <w:spacing w:after="0"/>
        <w:jc w:val="center"/>
        <w:rPr>
          <w:rFonts w:ascii="宋体" w:hAnsi="宋体" w:cs="宋体"/>
          <w:b/>
          <w:color w:val="auto"/>
          <w:sz w:val="32"/>
          <w:szCs w:val="32"/>
          <w:highlight w:val="none"/>
        </w:rPr>
      </w:pPr>
      <w:bookmarkStart w:id="0" w:name="_Toc6280"/>
      <w:r>
        <w:rPr>
          <w:rFonts w:hint="eastAsia" w:ascii="宋体" w:hAnsi="宋体" w:cs="宋体"/>
          <w:b/>
          <w:color w:val="auto"/>
          <w:sz w:val="32"/>
          <w:szCs w:val="32"/>
          <w:highlight w:val="none"/>
        </w:rPr>
        <w:t>第一章  投标须知</w:t>
      </w:r>
      <w:bookmarkEnd w:id="0"/>
    </w:p>
    <w:p w14:paraId="384BB926">
      <w:pPr>
        <w:pStyle w:val="4"/>
        <w:snapToGrid w:val="0"/>
        <w:spacing w:before="0" w:after="0" w:line="360" w:lineRule="auto"/>
        <w:rPr>
          <w:rFonts w:ascii="宋体" w:hAnsi="宋体" w:cs="宋体"/>
          <w:color w:val="auto"/>
          <w:highlight w:val="none"/>
        </w:rPr>
      </w:pPr>
      <w:bookmarkStart w:id="1" w:name="_Toc27735"/>
      <w:r>
        <w:rPr>
          <w:rFonts w:hint="eastAsia" w:ascii="宋体" w:hAnsi="宋体" w:cs="宋体"/>
          <w:color w:val="auto"/>
          <w:highlight w:val="none"/>
        </w:rPr>
        <w:t>一、投标须知前附表</w:t>
      </w:r>
      <w:bookmarkEnd w:id="1"/>
    </w:p>
    <w:p w14:paraId="3D27B7DB">
      <w:pPr>
        <w:pStyle w:val="2"/>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声明：本投标须知前附表使用GZZB2018-3招标文件范本，与范本不同之处均以下划线标明，所有标明下划线部分属于本表的组成部分，同其他部分具有同样的效力。对范本《投标须知通用条款》和《开标、评标和定标办法通用条款》可选择部分的选择使用，均已在本表中注明，通用条款可选择部分中未被本投标须知前附表选择的部分无效。</w:t>
      </w:r>
    </w:p>
    <w:tbl>
      <w:tblPr>
        <w:tblStyle w:val="33"/>
        <w:tblW w:w="4981" w:type="pct"/>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
        <w:gridCol w:w="914"/>
        <w:gridCol w:w="1823"/>
        <w:gridCol w:w="5899"/>
      </w:tblGrid>
      <w:tr w14:paraId="018652C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686" w:type="dxa"/>
            <w:tcBorders>
              <w:top w:val="double" w:color="auto" w:sz="4" w:space="0"/>
              <w:left w:val="double" w:color="auto" w:sz="4" w:space="0"/>
            </w:tcBorders>
            <w:noWrap/>
            <w:vAlign w:val="center"/>
          </w:tcPr>
          <w:p w14:paraId="1D161C54">
            <w:pPr>
              <w:snapToGrid w:val="0"/>
              <w:spacing w:line="288" w:lineRule="auto"/>
              <w:jc w:val="center"/>
              <w:rPr>
                <w:rFonts w:ascii="宋体" w:hAnsi="宋体" w:cs="宋体"/>
                <w:b/>
                <w:bCs/>
                <w:color w:val="auto"/>
                <w:szCs w:val="21"/>
                <w:highlight w:val="none"/>
              </w:rPr>
            </w:pPr>
            <w:r>
              <w:rPr>
                <w:rFonts w:hint="eastAsia" w:ascii="宋体" w:hAnsi="宋体" w:cs="宋体"/>
                <w:b/>
                <w:bCs/>
                <w:color w:val="auto"/>
                <w:szCs w:val="21"/>
                <w:highlight w:val="none"/>
              </w:rPr>
              <w:t>项目</w:t>
            </w:r>
          </w:p>
        </w:tc>
        <w:tc>
          <w:tcPr>
            <w:tcW w:w="914" w:type="dxa"/>
            <w:tcBorders>
              <w:top w:val="double" w:color="auto" w:sz="4" w:space="0"/>
            </w:tcBorders>
            <w:noWrap/>
            <w:vAlign w:val="center"/>
          </w:tcPr>
          <w:p w14:paraId="19238AF1">
            <w:pPr>
              <w:snapToGrid w:val="0"/>
              <w:spacing w:line="288" w:lineRule="auto"/>
              <w:jc w:val="center"/>
              <w:rPr>
                <w:rFonts w:ascii="宋体" w:hAnsi="宋体" w:cs="宋体"/>
                <w:b/>
                <w:bCs/>
                <w:color w:val="auto"/>
                <w:szCs w:val="21"/>
                <w:highlight w:val="none"/>
              </w:rPr>
            </w:pPr>
            <w:r>
              <w:rPr>
                <w:rFonts w:hint="eastAsia" w:ascii="宋体" w:hAnsi="宋体" w:cs="宋体"/>
                <w:b/>
                <w:bCs/>
                <w:color w:val="auto"/>
                <w:szCs w:val="21"/>
                <w:highlight w:val="none"/>
              </w:rPr>
              <w:t>条款号</w:t>
            </w:r>
          </w:p>
        </w:tc>
        <w:tc>
          <w:tcPr>
            <w:tcW w:w="1823" w:type="dxa"/>
            <w:tcBorders>
              <w:top w:val="double" w:color="auto" w:sz="4" w:space="0"/>
            </w:tcBorders>
            <w:noWrap/>
            <w:vAlign w:val="center"/>
          </w:tcPr>
          <w:p w14:paraId="48559F8A">
            <w:pPr>
              <w:snapToGrid w:val="0"/>
              <w:spacing w:line="288" w:lineRule="auto"/>
              <w:jc w:val="center"/>
              <w:rPr>
                <w:rFonts w:ascii="宋体" w:hAnsi="宋体" w:cs="宋体"/>
                <w:b/>
                <w:bCs/>
                <w:color w:val="auto"/>
                <w:szCs w:val="21"/>
                <w:highlight w:val="none"/>
              </w:rPr>
            </w:pPr>
            <w:r>
              <w:rPr>
                <w:rFonts w:hint="eastAsia" w:ascii="宋体" w:hAnsi="宋体" w:cs="宋体"/>
                <w:b/>
                <w:bCs/>
                <w:color w:val="auto"/>
                <w:szCs w:val="21"/>
                <w:highlight w:val="none"/>
              </w:rPr>
              <w:t>内容</w:t>
            </w:r>
          </w:p>
        </w:tc>
        <w:tc>
          <w:tcPr>
            <w:tcW w:w="5899" w:type="dxa"/>
            <w:tcBorders>
              <w:top w:val="double" w:color="auto" w:sz="4" w:space="0"/>
              <w:right w:val="double" w:color="auto" w:sz="4" w:space="0"/>
            </w:tcBorders>
            <w:noWrap/>
            <w:vAlign w:val="center"/>
          </w:tcPr>
          <w:p w14:paraId="23D79BB1">
            <w:pPr>
              <w:pStyle w:val="18"/>
              <w:snapToGrid w:val="0"/>
              <w:spacing w:line="288" w:lineRule="auto"/>
              <w:jc w:val="center"/>
              <w:rPr>
                <w:rFonts w:ascii="宋体" w:hAnsi="宋体" w:cs="宋体"/>
                <w:b/>
                <w:bCs/>
                <w:color w:val="auto"/>
                <w:kern w:val="2"/>
                <w:sz w:val="21"/>
                <w:szCs w:val="21"/>
                <w:highlight w:val="none"/>
              </w:rPr>
            </w:pPr>
            <w:r>
              <w:rPr>
                <w:rFonts w:hint="eastAsia" w:ascii="宋体" w:hAnsi="宋体" w:cs="宋体"/>
                <w:b/>
                <w:bCs/>
                <w:color w:val="auto"/>
                <w:kern w:val="2"/>
                <w:sz w:val="21"/>
                <w:szCs w:val="21"/>
                <w:highlight w:val="none"/>
              </w:rPr>
              <w:t>说明与要求</w:t>
            </w:r>
          </w:p>
        </w:tc>
      </w:tr>
      <w:tr w14:paraId="492B736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879" w:hRule="atLeast"/>
        </w:trPr>
        <w:tc>
          <w:tcPr>
            <w:tcW w:w="686" w:type="dxa"/>
            <w:tcBorders>
              <w:left w:val="double" w:color="auto" w:sz="4" w:space="0"/>
            </w:tcBorders>
            <w:noWrap/>
            <w:vAlign w:val="center"/>
          </w:tcPr>
          <w:p w14:paraId="17D09E62">
            <w:pPr>
              <w:snapToGrid w:val="0"/>
              <w:spacing w:line="288" w:lineRule="auto"/>
              <w:jc w:val="center"/>
              <w:rPr>
                <w:rFonts w:ascii="宋体" w:hAnsi="宋体" w:cs="宋体"/>
                <w:color w:val="auto"/>
                <w:szCs w:val="21"/>
                <w:highlight w:val="none"/>
              </w:rPr>
            </w:pPr>
            <w:r>
              <w:rPr>
                <w:rFonts w:hint="eastAsia" w:ascii="宋体" w:hAnsi="宋体" w:cs="宋体"/>
                <w:color w:val="auto"/>
                <w:szCs w:val="21"/>
                <w:highlight w:val="none"/>
              </w:rPr>
              <w:t>1</w:t>
            </w:r>
          </w:p>
        </w:tc>
        <w:tc>
          <w:tcPr>
            <w:tcW w:w="914" w:type="dxa"/>
            <w:noWrap/>
            <w:vAlign w:val="center"/>
          </w:tcPr>
          <w:p w14:paraId="6AA000BF">
            <w:pPr>
              <w:snapToGrid w:val="0"/>
              <w:spacing w:line="288" w:lineRule="auto"/>
              <w:jc w:val="center"/>
              <w:rPr>
                <w:rFonts w:ascii="宋体" w:hAnsi="宋体" w:cs="宋体"/>
                <w:color w:val="auto"/>
                <w:szCs w:val="21"/>
                <w:highlight w:val="none"/>
              </w:rPr>
            </w:pPr>
            <w:r>
              <w:rPr>
                <w:rFonts w:hint="eastAsia" w:ascii="宋体" w:hAnsi="宋体" w:cs="宋体"/>
                <w:color w:val="auto"/>
                <w:szCs w:val="21"/>
                <w:highlight w:val="none"/>
              </w:rPr>
              <w:t>1</w:t>
            </w:r>
          </w:p>
        </w:tc>
        <w:tc>
          <w:tcPr>
            <w:tcW w:w="1823" w:type="dxa"/>
            <w:noWrap/>
            <w:vAlign w:val="center"/>
          </w:tcPr>
          <w:p w14:paraId="7A7711AF">
            <w:pPr>
              <w:snapToGrid w:val="0"/>
              <w:spacing w:line="288" w:lineRule="auto"/>
              <w:jc w:val="center"/>
              <w:rPr>
                <w:rFonts w:ascii="宋体" w:hAnsi="宋体" w:cs="宋体"/>
                <w:color w:val="auto"/>
                <w:szCs w:val="21"/>
                <w:highlight w:val="none"/>
              </w:rPr>
            </w:pPr>
            <w:r>
              <w:rPr>
                <w:rFonts w:hint="eastAsia" w:ascii="宋体" w:hAnsi="宋体" w:cs="宋体"/>
                <w:color w:val="auto"/>
                <w:szCs w:val="21"/>
                <w:highlight w:val="none"/>
              </w:rPr>
              <w:t>定义</w:t>
            </w:r>
          </w:p>
        </w:tc>
        <w:tc>
          <w:tcPr>
            <w:tcW w:w="5899" w:type="dxa"/>
            <w:tcBorders>
              <w:right w:val="double" w:color="auto" w:sz="4" w:space="0"/>
            </w:tcBorders>
            <w:noWrap/>
            <w:vAlign w:val="center"/>
          </w:tcPr>
          <w:p w14:paraId="4675AA86">
            <w:pPr>
              <w:snapToGrid w:val="0"/>
              <w:spacing w:line="288" w:lineRule="auto"/>
              <w:rPr>
                <w:rFonts w:hint="eastAsia" w:ascii="宋体" w:hAnsi="宋体" w:eastAsia="宋体" w:cs="宋体"/>
                <w:color w:val="auto"/>
                <w:szCs w:val="21"/>
                <w:highlight w:val="none"/>
                <w:u w:val="single"/>
                <w:lang w:eastAsia="zh-CN"/>
              </w:rPr>
            </w:pPr>
            <w:r>
              <w:rPr>
                <w:rFonts w:hint="eastAsia" w:ascii="宋体" w:hAnsi="宋体" w:cs="宋体"/>
                <w:color w:val="auto"/>
                <w:szCs w:val="21"/>
                <w:highlight w:val="none"/>
              </w:rPr>
              <w:t>招标人（即发包人）：</w:t>
            </w:r>
            <w:r>
              <w:rPr>
                <w:rFonts w:hint="eastAsia" w:ascii="宋体" w:hAnsi="宋体" w:cs="宋体"/>
                <w:color w:val="auto"/>
                <w:szCs w:val="21"/>
                <w:highlight w:val="none"/>
                <w:u w:val="single"/>
                <w:lang w:eastAsia="zh-CN"/>
              </w:rPr>
              <w:t>广州太平洋马口铁有限公司</w:t>
            </w:r>
          </w:p>
          <w:p w14:paraId="62B8B357">
            <w:pPr>
              <w:snapToGrid w:val="0"/>
              <w:spacing w:line="288" w:lineRule="auto"/>
              <w:rPr>
                <w:rFonts w:hint="eastAsia" w:ascii="宋体" w:hAnsi="宋体" w:eastAsia="宋体" w:cs="宋体"/>
                <w:color w:val="auto"/>
                <w:szCs w:val="21"/>
                <w:highlight w:val="none"/>
                <w:u w:val="single"/>
                <w:lang w:eastAsia="zh-CN"/>
              </w:rPr>
            </w:pPr>
            <w:r>
              <w:rPr>
                <w:rFonts w:hint="eastAsia" w:ascii="宋体" w:hAnsi="宋体" w:cs="宋体"/>
                <w:color w:val="auto"/>
                <w:szCs w:val="21"/>
                <w:highlight w:val="none"/>
              </w:rPr>
              <w:t>招标代理：</w:t>
            </w:r>
            <w:r>
              <w:rPr>
                <w:rFonts w:hint="eastAsia" w:ascii="宋体" w:hAnsi="宋体" w:cs="宋体"/>
                <w:color w:val="auto"/>
                <w:szCs w:val="21"/>
                <w:highlight w:val="none"/>
                <w:u w:val="single"/>
                <w:lang w:eastAsia="zh-CN"/>
              </w:rPr>
              <w:t>广东省建粤建筑工程咨询有限公司</w:t>
            </w:r>
          </w:p>
          <w:p w14:paraId="6CC35C7C">
            <w:pPr>
              <w:snapToGrid w:val="0"/>
              <w:spacing w:line="288" w:lineRule="auto"/>
              <w:rPr>
                <w:rFonts w:hint="eastAsia" w:ascii="宋体" w:hAnsi="宋体" w:cs="宋体"/>
                <w:color w:val="auto"/>
                <w:szCs w:val="21"/>
                <w:highlight w:val="none"/>
                <w:u w:val="single"/>
                <w:lang w:val="en-US" w:eastAsia="zh-CN"/>
              </w:rPr>
            </w:pPr>
            <w:r>
              <w:rPr>
                <w:rFonts w:hint="eastAsia" w:ascii="宋体" w:hAnsi="宋体" w:cs="宋体"/>
                <w:color w:val="auto"/>
                <w:szCs w:val="21"/>
                <w:highlight w:val="none"/>
              </w:rPr>
              <w:t>设计单位：</w:t>
            </w:r>
            <w:r>
              <w:rPr>
                <w:rFonts w:hint="eastAsia" w:ascii="宋体" w:hAnsi="宋体" w:cs="宋体"/>
                <w:color w:val="auto"/>
                <w:szCs w:val="21"/>
                <w:highlight w:val="none"/>
                <w:u w:val="single"/>
                <w:lang w:val="en-US" w:eastAsia="zh-CN"/>
              </w:rPr>
              <w:t>中恒建筑设计院（广州）有限公司</w:t>
            </w:r>
          </w:p>
          <w:p w14:paraId="55BE6603">
            <w:pPr>
              <w:pStyle w:val="2"/>
              <w:ind w:left="0" w:leftChars="0" w:firstLine="0" w:firstLineChars="0"/>
              <w:rPr>
                <w:rFonts w:hint="default"/>
                <w:highlight w:val="none"/>
                <w:lang w:val="en-US" w:eastAsia="zh-CN"/>
              </w:rPr>
            </w:pPr>
            <w:r>
              <w:rPr>
                <w:rFonts w:hint="eastAsia" w:ascii="宋体" w:hAnsi="宋体" w:cs="宋体"/>
                <w:color w:val="auto"/>
                <w:szCs w:val="21"/>
                <w:highlight w:val="none"/>
                <w:u w:val="none"/>
                <w:lang w:val="en-US" w:eastAsia="zh-CN"/>
              </w:rPr>
              <w:t>勘察单位：</w:t>
            </w:r>
            <w:r>
              <w:rPr>
                <w:rFonts w:hint="eastAsia" w:ascii="宋体" w:hAnsi="宋体" w:cs="宋体"/>
                <w:color w:val="auto"/>
                <w:szCs w:val="21"/>
                <w:highlight w:val="none"/>
                <w:u w:val="single"/>
                <w:lang w:val="en-US" w:eastAsia="zh-CN"/>
              </w:rPr>
              <w:t>广东省岩土勘测设计研究有限公司</w:t>
            </w:r>
          </w:p>
          <w:p w14:paraId="512C531F">
            <w:pPr>
              <w:snapToGrid w:val="0"/>
              <w:spacing w:line="288" w:lineRule="auto"/>
              <w:rPr>
                <w:rFonts w:ascii="宋体" w:hAnsi="宋体" w:cs="宋体"/>
                <w:color w:val="auto"/>
                <w:szCs w:val="21"/>
                <w:highlight w:val="none"/>
                <w:u w:val="single"/>
              </w:rPr>
            </w:pPr>
            <w:r>
              <w:rPr>
                <w:rFonts w:hint="eastAsia" w:ascii="宋体" w:hAnsi="宋体" w:cs="宋体"/>
                <w:color w:val="auto"/>
                <w:szCs w:val="21"/>
                <w:highlight w:val="none"/>
              </w:rPr>
              <w:t>监理单位：</w:t>
            </w:r>
            <w:r>
              <w:rPr>
                <w:rFonts w:hint="eastAsia" w:ascii="宋体" w:hAnsi="宋体" w:cs="宋体"/>
                <w:color w:val="auto"/>
                <w:szCs w:val="21"/>
                <w:highlight w:val="none"/>
                <w:u w:val="single"/>
              </w:rPr>
              <w:t>广东建设工程监理有限公司</w:t>
            </w:r>
          </w:p>
          <w:p w14:paraId="2868CB9A">
            <w:pPr>
              <w:snapToGrid w:val="0"/>
              <w:spacing w:line="288" w:lineRule="auto"/>
              <w:rPr>
                <w:rFonts w:ascii="宋体" w:hAnsi="宋体" w:cs="宋体"/>
                <w:color w:val="auto"/>
                <w:szCs w:val="21"/>
                <w:highlight w:val="none"/>
              </w:rPr>
            </w:pPr>
            <w:r>
              <w:rPr>
                <w:rFonts w:hint="eastAsia" w:ascii="宋体" w:hAnsi="宋体" w:cs="宋体"/>
                <w:color w:val="auto"/>
                <w:szCs w:val="21"/>
                <w:highlight w:val="none"/>
              </w:rPr>
              <w:t>检测机构：</w:t>
            </w:r>
            <w:r>
              <w:rPr>
                <w:rFonts w:hint="eastAsia" w:ascii="宋体" w:hAnsi="宋体" w:cs="宋体"/>
                <w:color w:val="auto"/>
                <w:szCs w:val="21"/>
                <w:highlight w:val="none"/>
                <w:u w:val="single"/>
              </w:rPr>
              <w:t>广东真正工程检测有限公司</w:t>
            </w:r>
          </w:p>
        </w:tc>
      </w:tr>
      <w:tr w14:paraId="09A3D0A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6" w:type="dxa"/>
            <w:tcBorders>
              <w:left w:val="double" w:color="auto" w:sz="4" w:space="0"/>
            </w:tcBorders>
            <w:noWrap/>
            <w:vAlign w:val="center"/>
          </w:tcPr>
          <w:p w14:paraId="70A2AEAA">
            <w:pPr>
              <w:snapToGrid w:val="0"/>
              <w:spacing w:line="288" w:lineRule="auto"/>
              <w:jc w:val="center"/>
              <w:rPr>
                <w:rFonts w:ascii="宋体" w:hAnsi="宋体" w:cs="宋体"/>
                <w:color w:val="auto"/>
                <w:szCs w:val="21"/>
                <w:highlight w:val="none"/>
              </w:rPr>
            </w:pPr>
            <w:r>
              <w:rPr>
                <w:rFonts w:hint="eastAsia" w:ascii="宋体" w:hAnsi="宋体" w:cs="宋体"/>
                <w:color w:val="auto"/>
                <w:szCs w:val="21"/>
                <w:highlight w:val="none"/>
              </w:rPr>
              <w:t>2</w:t>
            </w:r>
          </w:p>
        </w:tc>
        <w:tc>
          <w:tcPr>
            <w:tcW w:w="914" w:type="dxa"/>
            <w:noWrap/>
            <w:vAlign w:val="center"/>
          </w:tcPr>
          <w:p w14:paraId="419ADA94">
            <w:pPr>
              <w:snapToGrid w:val="0"/>
              <w:spacing w:line="288" w:lineRule="auto"/>
              <w:jc w:val="center"/>
              <w:rPr>
                <w:rFonts w:ascii="宋体" w:hAnsi="宋体" w:cs="宋体"/>
                <w:color w:val="auto"/>
                <w:szCs w:val="21"/>
                <w:highlight w:val="none"/>
              </w:rPr>
            </w:pPr>
            <w:r>
              <w:rPr>
                <w:rFonts w:hint="eastAsia" w:ascii="宋体" w:hAnsi="宋体" w:cs="宋体"/>
                <w:color w:val="auto"/>
                <w:szCs w:val="21"/>
                <w:highlight w:val="none"/>
              </w:rPr>
              <w:t>2.2</w:t>
            </w:r>
          </w:p>
        </w:tc>
        <w:tc>
          <w:tcPr>
            <w:tcW w:w="1823" w:type="dxa"/>
            <w:noWrap/>
            <w:vAlign w:val="center"/>
          </w:tcPr>
          <w:p w14:paraId="6E92DC96">
            <w:pPr>
              <w:snapToGrid w:val="0"/>
              <w:spacing w:line="288" w:lineRule="auto"/>
              <w:jc w:val="center"/>
              <w:rPr>
                <w:rFonts w:ascii="宋体" w:hAnsi="宋体" w:cs="宋体"/>
                <w:color w:val="auto"/>
                <w:szCs w:val="21"/>
                <w:highlight w:val="none"/>
              </w:rPr>
            </w:pPr>
            <w:r>
              <w:rPr>
                <w:rFonts w:hint="eastAsia" w:ascii="宋体" w:hAnsi="宋体" w:cs="宋体"/>
                <w:color w:val="auto"/>
                <w:szCs w:val="21"/>
                <w:highlight w:val="none"/>
              </w:rPr>
              <w:t>工程名称</w:t>
            </w:r>
          </w:p>
        </w:tc>
        <w:tc>
          <w:tcPr>
            <w:tcW w:w="5899" w:type="dxa"/>
            <w:tcBorders>
              <w:right w:val="double" w:color="auto" w:sz="4" w:space="0"/>
            </w:tcBorders>
            <w:noWrap/>
            <w:vAlign w:val="center"/>
          </w:tcPr>
          <w:p w14:paraId="2F35C681">
            <w:pPr>
              <w:snapToGrid w:val="0"/>
              <w:spacing w:line="288" w:lineRule="auto"/>
              <w:rPr>
                <w:rFonts w:hint="eastAsia" w:ascii="宋体" w:hAnsi="宋体" w:eastAsia="宋体" w:cs="宋体"/>
                <w:color w:val="auto"/>
                <w:szCs w:val="21"/>
                <w:highlight w:val="none"/>
                <w:u w:val="single"/>
                <w:lang w:eastAsia="zh-CN"/>
              </w:rPr>
            </w:pPr>
            <w:r>
              <w:rPr>
                <w:rFonts w:hint="eastAsia" w:ascii="宋体" w:hAnsi="宋体" w:cs="宋体"/>
                <w:color w:val="auto"/>
                <w:szCs w:val="21"/>
                <w:highlight w:val="none"/>
                <w:u w:val="single"/>
                <w:lang w:eastAsia="zh-CN"/>
              </w:rPr>
              <w:t>粤港澳大湾区国际智能检测产业园一期项目施工总承包</w:t>
            </w:r>
          </w:p>
        </w:tc>
      </w:tr>
      <w:tr w14:paraId="1FE17EB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6" w:type="dxa"/>
            <w:tcBorders>
              <w:left w:val="double" w:color="auto" w:sz="4" w:space="0"/>
            </w:tcBorders>
            <w:noWrap/>
            <w:vAlign w:val="center"/>
          </w:tcPr>
          <w:p w14:paraId="60A8D552">
            <w:pPr>
              <w:snapToGrid w:val="0"/>
              <w:spacing w:line="288" w:lineRule="auto"/>
              <w:jc w:val="center"/>
              <w:rPr>
                <w:rFonts w:ascii="宋体" w:hAnsi="宋体" w:cs="宋体"/>
                <w:color w:val="auto"/>
                <w:szCs w:val="21"/>
                <w:highlight w:val="none"/>
              </w:rPr>
            </w:pPr>
            <w:r>
              <w:rPr>
                <w:rFonts w:hint="eastAsia" w:ascii="宋体" w:hAnsi="宋体" w:cs="宋体"/>
                <w:color w:val="auto"/>
                <w:szCs w:val="21"/>
                <w:highlight w:val="none"/>
              </w:rPr>
              <w:t>3</w:t>
            </w:r>
          </w:p>
        </w:tc>
        <w:tc>
          <w:tcPr>
            <w:tcW w:w="914" w:type="dxa"/>
            <w:noWrap/>
            <w:vAlign w:val="center"/>
          </w:tcPr>
          <w:p w14:paraId="258F2CC2">
            <w:pPr>
              <w:snapToGrid w:val="0"/>
              <w:spacing w:line="288" w:lineRule="auto"/>
              <w:jc w:val="center"/>
              <w:rPr>
                <w:rFonts w:ascii="宋体" w:hAnsi="宋体" w:cs="宋体"/>
                <w:color w:val="auto"/>
                <w:szCs w:val="21"/>
                <w:highlight w:val="none"/>
              </w:rPr>
            </w:pPr>
            <w:r>
              <w:rPr>
                <w:rFonts w:hint="eastAsia" w:ascii="宋体" w:hAnsi="宋体" w:cs="宋体"/>
                <w:color w:val="auto"/>
                <w:szCs w:val="21"/>
                <w:highlight w:val="none"/>
              </w:rPr>
              <w:t>2.2</w:t>
            </w:r>
          </w:p>
        </w:tc>
        <w:tc>
          <w:tcPr>
            <w:tcW w:w="1823" w:type="dxa"/>
            <w:noWrap/>
            <w:vAlign w:val="center"/>
          </w:tcPr>
          <w:p w14:paraId="6B5F6AAD">
            <w:pPr>
              <w:snapToGrid w:val="0"/>
              <w:spacing w:line="288" w:lineRule="auto"/>
              <w:jc w:val="center"/>
              <w:rPr>
                <w:rFonts w:ascii="宋体" w:hAnsi="宋体" w:cs="宋体"/>
                <w:color w:val="auto"/>
                <w:szCs w:val="21"/>
                <w:highlight w:val="none"/>
              </w:rPr>
            </w:pPr>
            <w:r>
              <w:rPr>
                <w:rFonts w:hint="eastAsia" w:ascii="宋体" w:hAnsi="宋体" w:cs="宋体"/>
                <w:color w:val="auto"/>
                <w:szCs w:val="21"/>
                <w:highlight w:val="none"/>
              </w:rPr>
              <w:t>建设地点</w:t>
            </w:r>
          </w:p>
        </w:tc>
        <w:tc>
          <w:tcPr>
            <w:tcW w:w="5899" w:type="dxa"/>
            <w:tcBorders>
              <w:right w:val="double" w:color="auto" w:sz="4" w:space="0"/>
            </w:tcBorders>
            <w:noWrap/>
            <w:vAlign w:val="center"/>
          </w:tcPr>
          <w:p w14:paraId="522A707A">
            <w:pPr>
              <w:snapToGrid w:val="0"/>
              <w:spacing w:line="288" w:lineRule="auto"/>
              <w:rPr>
                <w:rFonts w:ascii="宋体" w:hAnsi="宋体" w:cs="宋体"/>
                <w:color w:val="auto"/>
                <w:szCs w:val="21"/>
                <w:highlight w:val="none"/>
                <w:u w:val="single"/>
              </w:rPr>
            </w:pPr>
            <w:r>
              <w:rPr>
                <w:rFonts w:hint="eastAsia" w:ascii="宋体" w:hAnsi="宋体" w:cs="宋体"/>
                <w:color w:val="auto"/>
                <w:szCs w:val="21"/>
                <w:highlight w:val="none"/>
                <w:u w:val="single"/>
              </w:rPr>
              <w:t>广州市黄埔区夏港街道友谊路102号(广州经济技术开发区)</w:t>
            </w:r>
          </w:p>
        </w:tc>
      </w:tr>
      <w:tr w14:paraId="5D743A9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6" w:type="dxa"/>
            <w:tcBorders>
              <w:left w:val="double" w:color="auto" w:sz="4" w:space="0"/>
            </w:tcBorders>
            <w:noWrap/>
            <w:vAlign w:val="center"/>
          </w:tcPr>
          <w:p w14:paraId="21DB8248">
            <w:pPr>
              <w:snapToGrid w:val="0"/>
              <w:spacing w:line="288" w:lineRule="auto"/>
              <w:jc w:val="center"/>
              <w:rPr>
                <w:rFonts w:ascii="宋体" w:hAnsi="宋体" w:cs="宋体"/>
                <w:color w:val="auto"/>
                <w:szCs w:val="21"/>
                <w:highlight w:val="none"/>
              </w:rPr>
            </w:pPr>
            <w:r>
              <w:rPr>
                <w:rFonts w:hint="eastAsia" w:ascii="宋体" w:hAnsi="宋体" w:cs="宋体"/>
                <w:color w:val="auto"/>
                <w:szCs w:val="21"/>
                <w:highlight w:val="none"/>
              </w:rPr>
              <w:t>4</w:t>
            </w:r>
          </w:p>
        </w:tc>
        <w:tc>
          <w:tcPr>
            <w:tcW w:w="914" w:type="dxa"/>
            <w:noWrap/>
            <w:vAlign w:val="center"/>
          </w:tcPr>
          <w:p w14:paraId="1FC39871">
            <w:pPr>
              <w:snapToGrid w:val="0"/>
              <w:spacing w:line="288" w:lineRule="auto"/>
              <w:jc w:val="center"/>
              <w:rPr>
                <w:rFonts w:ascii="宋体" w:hAnsi="宋体" w:cs="宋体"/>
                <w:color w:val="auto"/>
                <w:szCs w:val="21"/>
                <w:highlight w:val="none"/>
              </w:rPr>
            </w:pPr>
            <w:r>
              <w:rPr>
                <w:rFonts w:hint="eastAsia" w:ascii="宋体" w:hAnsi="宋体" w:cs="宋体"/>
                <w:color w:val="auto"/>
                <w:szCs w:val="21"/>
                <w:highlight w:val="none"/>
              </w:rPr>
              <w:t>2.2</w:t>
            </w:r>
          </w:p>
        </w:tc>
        <w:tc>
          <w:tcPr>
            <w:tcW w:w="1823" w:type="dxa"/>
            <w:noWrap/>
            <w:vAlign w:val="center"/>
          </w:tcPr>
          <w:p w14:paraId="4AEF60C0">
            <w:pPr>
              <w:snapToGrid w:val="0"/>
              <w:spacing w:line="288" w:lineRule="auto"/>
              <w:jc w:val="center"/>
              <w:rPr>
                <w:rFonts w:ascii="宋体" w:hAnsi="宋体" w:cs="宋体"/>
                <w:color w:val="auto"/>
                <w:szCs w:val="21"/>
                <w:highlight w:val="none"/>
              </w:rPr>
            </w:pPr>
            <w:r>
              <w:rPr>
                <w:rFonts w:hint="eastAsia" w:ascii="宋体" w:hAnsi="宋体" w:cs="宋体"/>
                <w:color w:val="auto"/>
                <w:szCs w:val="21"/>
                <w:highlight w:val="none"/>
              </w:rPr>
              <w:t>建设规模</w:t>
            </w:r>
          </w:p>
        </w:tc>
        <w:tc>
          <w:tcPr>
            <w:tcW w:w="5899" w:type="dxa"/>
            <w:tcBorders>
              <w:right w:val="double" w:color="auto" w:sz="4" w:space="0"/>
            </w:tcBorders>
            <w:noWrap/>
            <w:vAlign w:val="center"/>
          </w:tcPr>
          <w:p w14:paraId="61BDC2C2">
            <w:pPr>
              <w:snapToGrid w:val="0"/>
              <w:spacing w:line="288" w:lineRule="auto"/>
              <w:rPr>
                <w:rFonts w:ascii="宋体" w:hAnsi="宋体" w:cs="宋体"/>
                <w:color w:val="auto"/>
                <w:szCs w:val="21"/>
                <w:highlight w:val="none"/>
                <w:u w:val="single"/>
              </w:rPr>
            </w:pPr>
            <w:r>
              <w:rPr>
                <w:rFonts w:hint="eastAsia" w:ascii="宋体" w:hAnsi="宋体" w:cs="宋体"/>
                <w:color w:val="auto"/>
                <w:szCs w:val="21"/>
                <w:highlight w:val="none"/>
                <w:u w:val="single"/>
              </w:rPr>
              <w:t>详见本工程招标公告，具体以工程量清单及图纸为准。</w:t>
            </w:r>
          </w:p>
        </w:tc>
      </w:tr>
      <w:tr w14:paraId="4E6DAF1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trPr>
        <w:tc>
          <w:tcPr>
            <w:tcW w:w="686" w:type="dxa"/>
            <w:tcBorders>
              <w:left w:val="double" w:color="auto" w:sz="4" w:space="0"/>
            </w:tcBorders>
            <w:noWrap/>
            <w:vAlign w:val="center"/>
          </w:tcPr>
          <w:p w14:paraId="021EEC7B">
            <w:pPr>
              <w:snapToGrid w:val="0"/>
              <w:spacing w:line="288" w:lineRule="auto"/>
              <w:jc w:val="center"/>
              <w:rPr>
                <w:rFonts w:ascii="宋体" w:hAnsi="宋体" w:cs="宋体"/>
                <w:color w:val="auto"/>
                <w:szCs w:val="21"/>
                <w:highlight w:val="none"/>
              </w:rPr>
            </w:pPr>
            <w:r>
              <w:rPr>
                <w:rFonts w:hint="eastAsia" w:ascii="宋体" w:hAnsi="宋体" w:cs="宋体"/>
                <w:color w:val="auto"/>
                <w:szCs w:val="21"/>
                <w:highlight w:val="none"/>
              </w:rPr>
              <w:t>5</w:t>
            </w:r>
          </w:p>
        </w:tc>
        <w:tc>
          <w:tcPr>
            <w:tcW w:w="914" w:type="dxa"/>
            <w:noWrap/>
            <w:vAlign w:val="center"/>
          </w:tcPr>
          <w:p w14:paraId="60BF4B5F">
            <w:pPr>
              <w:snapToGrid w:val="0"/>
              <w:spacing w:line="288" w:lineRule="auto"/>
              <w:jc w:val="center"/>
              <w:rPr>
                <w:rFonts w:ascii="宋体" w:hAnsi="宋体" w:cs="宋体"/>
                <w:color w:val="auto"/>
                <w:szCs w:val="21"/>
                <w:highlight w:val="none"/>
              </w:rPr>
            </w:pPr>
            <w:r>
              <w:rPr>
                <w:rFonts w:hint="eastAsia" w:ascii="宋体" w:hAnsi="宋体" w:cs="宋体"/>
                <w:color w:val="auto"/>
                <w:szCs w:val="21"/>
                <w:highlight w:val="none"/>
              </w:rPr>
              <w:t>2.2</w:t>
            </w:r>
          </w:p>
        </w:tc>
        <w:tc>
          <w:tcPr>
            <w:tcW w:w="1823" w:type="dxa"/>
            <w:noWrap/>
            <w:vAlign w:val="center"/>
          </w:tcPr>
          <w:p w14:paraId="46CBDD1E">
            <w:pPr>
              <w:snapToGrid w:val="0"/>
              <w:spacing w:line="288" w:lineRule="auto"/>
              <w:jc w:val="center"/>
              <w:rPr>
                <w:rFonts w:ascii="宋体" w:hAnsi="宋体" w:cs="宋体"/>
                <w:color w:val="auto"/>
                <w:szCs w:val="21"/>
                <w:highlight w:val="none"/>
              </w:rPr>
            </w:pPr>
            <w:r>
              <w:rPr>
                <w:rFonts w:hint="eastAsia" w:ascii="宋体" w:hAnsi="宋体" w:cs="宋体"/>
                <w:color w:val="auto"/>
                <w:szCs w:val="21"/>
                <w:highlight w:val="none"/>
              </w:rPr>
              <w:t>承包方式</w:t>
            </w:r>
          </w:p>
        </w:tc>
        <w:tc>
          <w:tcPr>
            <w:tcW w:w="5899" w:type="dxa"/>
            <w:tcBorders>
              <w:right w:val="double" w:color="auto" w:sz="4" w:space="0"/>
            </w:tcBorders>
            <w:noWrap/>
            <w:vAlign w:val="center"/>
          </w:tcPr>
          <w:p w14:paraId="0C041770">
            <w:pPr>
              <w:snapToGrid w:val="0"/>
              <w:spacing w:line="288" w:lineRule="auto"/>
              <w:rPr>
                <w:rFonts w:hint="eastAsia" w:ascii="宋体" w:hAnsi="宋体" w:eastAsia="宋体" w:cs="宋体"/>
                <w:color w:val="auto"/>
                <w:szCs w:val="21"/>
                <w:highlight w:val="none"/>
                <w:lang w:eastAsia="zh-CN"/>
              </w:rPr>
            </w:pPr>
            <w:r>
              <w:rPr>
                <w:rFonts w:hint="eastAsia" w:ascii="宋体" w:hAnsi="宋体" w:eastAsia="宋体" w:cs="宋体"/>
                <w:b w:val="0"/>
                <w:color w:val="auto"/>
                <w:sz w:val="21"/>
                <w:szCs w:val="21"/>
                <w:highlight w:val="none"/>
                <w:u w:val="single"/>
              </w:rPr>
              <w:t>包工、包料、包工期、包质量、包安全、包文明施工、包验收、包保修。综合单价包干；措施项目费（除施工围蔽费用外）包干，施工围蔽清单综合单价包干，工程量按实计量</w:t>
            </w:r>
            <w:r>
              <w:rPr>
                <w:rFonts w:hint="eastAsia" w:ascii="宋体" w:hAnsi="宋体" w:eastAsia="宋体" w:cs="宋体"/>
                <w:color w:val="auto"/>
                <w:szCs w:val="21"/>
                <w:highlight w:val="none"/>
                <w:u w:val="single"/>
                <w:lang w:eastAsia="zh-CN"/>
              </w:rPr>
              <w:t>。</w:t>
            </w:r>
          </w:p>
        </w:tc>
      </w:tr>
      <w:tr w14:paraId="3D404BE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41" w:hRule="atLeast"/>
        </w:trPr>
        <w:tc>
          <w:tcPr>
            <w:tcW w:w="686" w:type="dxa"/>
            <w:tcBorders>
              <w:left w:val="double" w:color="auto" w:sz="4" w:space="0"/>
            </w:tcBorders>
            <w:noWrap/>
            <w:vAlign w:val="center"/>
          </w:tcPr>
          <w:p w14:paraId="5A7402BB">
            <w:pPr>
              <w:snapToGrid w:val="0"/>
              <w:spacing w:line="288" w:lineRule="auto"/>
              <w:jc w:val="center"/>
              <w:rPr>
                <w:rFonts w:ascii="宋体" w:hAnsi="宋体" w:cs="宋体"/>
                <w:color w:val="auto"/>
                <w:szCs w:val="21"/>
                <w:highlight w:val="none"/>
              </w:rPr>
            </w:pPr>
            <w:r>
              <w:rPr>
                <w:rFonts w:hint="eastAsia" w:ascii="宋体" w:hAnsi="宋体" w:cs="宋体"/>
                <w:color w:val="auto"/>
                <w:szCs w:val="21"/>
                <w:highlight w:val="none"/>
              </w:rPr>
              <w:t>6</w:t>
            </w:r>
          </w:p>
        </w:tc>
        <w:tc>
          <w:tcPr>
            <w:tcW w:w="914" w:type="dxa"/>
            <w:noWrap/>
            <w:vAlign w:val="center"/>
          </w:tcPr>
          <w:p w14:paraId="77977148">
            <w:pPr>
              <w:snapToGrid w:val="0"/>
              <w:spacing w:line="288" w:lineRule="auto"/>
              <w:jc w:val="center"/>
              <w:rPr>
                <w:rFonts w:ascii="宋体" w:hAnsi="宋体" w:cs="宋体"/>
                <w:color w:val="auto"/>
                <w:szCs w:val="21"/>
                <w:highlight w:val="none"/>
              </w:rPr>
            </w:pPr>
            <w:r>
              <w:rPr>
                <w:rFonts w:hint="eastAsia" w:ascii="宋体" w:hAnsi="宋体" w:cs="宋体"/>
                <w:color w:val="auto"/>
                <w:szCs w:val="21"/>
                <w:highlight w:val="none"/>
              </w:rPr>
              <w:t>2.2</w:t>
            </w:r>
          </w:p>
        </w:tc>
        <w:tc>
          <w:tcPr>
            <w:tcW w:w="1823" w:type="dxa"/>
            <w:noWrap/>
            <w:vAlign w:val="center"/>
          </w:tcPr>
          <w:p w14:paraId="2AB65039">
            <w:pPr>
              <w:snapToGrid w:val="0"/>
              <w:spacing w:line="288" w:lineRule="auto"/>
              <w:jc w:val="center"/>
              <w:rPr>
                <w:rFonts w:ascii="宋体" w:hAnsi="宋体" w:cs="宋体"/>
                <w:color w:val="auto"/>
                <w:szCs w:val="21"/>
                <w:highlight w:val="none"/>
              </w:rPr>
            </w:pPr>
            <w:r>
              <w:rPr>
                <w:rFonts w:hint="eastAsia" w:ascii="宋体" w:hAnsi="宋体" w:cs="宋体"/>
                <w:color w:val="auto"/>
                <w:szCs w:val="21"/>
                <w:highlight w:val="none"/>
              </w:rPr>
              <w:t>质量标准</w:t>
            </w:r>
          </w:p>
        </w:tc>
        <w:tc>
          <w:tcPr>
            <w:tcW w:w="5899" w:type="dxa"/>
            <w:tcBorders>
              <w:right w:val="double" w:color="auto" w:sz="4" w:space="0"/>
            </w:tcBorders>
            <w:noWrap/>
            <w:vAlign w:val="center"/>
          </w:tcPr>
          <w:p w14:paraId="277C0B8F">
            <w:pPr>
              <w:snapToGrid w:val="0"/>
              <w:spacing w:line="288" w:lineRule="auto"/>
              <w:rPr>
                <w:rFonts w:ascii="宋体" w:hAnsi="宋体" w:cs="宋体"/>
                <w:color w:val="auto"/>
                <w:szCs w:val="21"/>
                <w:highlight w:val="none"/>
                <w:u w:val="single"/>
              </w:rPr>
            </w:pPr>
            <w:r>
              <w:rPr>
                <w:rFonts w:hint="eastAsia" w:ascii="宋体" w:hAnsi="宋体" w:cs="宋体"/>
                <w:color w:val="auto"/>
                <w:szCs w:val="21"/>
                <w:highlight w:val="none"/>
                <w:u w:val="single"/>
              </w:rPr>
              <w:t>一次竣工验收达到国家或行业质量检验评定的合格标准。</w:t>
            </w:r>
          </w:p>
          <w:p w14:paraId="4ED2C81A">
            <w:pPr>
              <w:snapToGrid w:val="0"/>
              <w:spacing w:line="288" w:lineRule="auto"/>
              <w:rPr>
                <w:rFonts w:ascii="宋体" w:hAnsi="宋体" w:cs="宋体"/>
                <w:color w:val="auto"/>
                <w:szCs w:val="21"/>
                <w:highlight w:val="none"/>
                <w:u w:val="single"/>
              </w:rPr>
            </w:pPr>
            <w:r>
              <w:rPr>
                <w:rFonts w:hint="eastAsia" w:ascii="宋体" w:hAnsi="宋体" w:cs="宋体"/>
                <w:color w:val="auto"/>
                <w:szCs w:val="21"/>
                <w:highlight w:val="none"/>
                <w:u w:val="single"/>
              </w:rPr>
              <w:t>注：本工程正式签署合同时，质量标准按中标人投标文件承诺质量标准。</w:t>
            </w:r>
          </w:p>
        </w:tc>
      </w:tr>
      <w:tr w14:paraId="685240B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6" w:type="dxa"/>
            <w:tcBorders>
              <w:left w:val="double" w:color="auto" w:sz="4" w:space="0"/>
            </w:tcBorders>
            <w:noWrap/>
            <w:vAlign w:val="center"/>
          </w:tcPr>
          <w:p w14:paraId="5A1EB127">
            <w:pPr>
              <w:snapToGrid w:val="0"/>
              <w:spacing w:line="288" w:lineRule="auto"/>
              <w:jc w:val="center"/>
              <w:rPr>
                <w:rFonts w:ascii="宋体" w:hAnsi="宋体" w:cs="宋体"/>
                <w:color w:val="auto"/>
                <w:szCs w:val="21"/>
                <w:highlight w:val="none"/>
              </w:rPr>
            </w:pPr>
            <w:r>
              <w:rPr>
                <w:rFonts w:hint="eastAsia" w:ascii="宋体" w:hAnsi="宋体" w:cs="宋体"/>
                <w:color w:val="auto"/>
                <w:szCs w:val="21"/>
                <w:highlight w:val="none"/>
              </w:rPr>
              <w:t>7</w:t>
            </w:r>
          </w:p>
        </w:tc>
        <w:tc>
          <w:tcPr>
            <w:tcW w:w="914" w:type="dxa"/>
            <w:noWrap/>
            <w:vAlign w:val="center"/>
          </w:tcPr>
          <w:p w14:paraId="448604FD">
            <w:pPr>
              <w:snapToGrid w:val="0"/>
              <w:spacing w:line="288" w:lineRule="auto"/>
              <w:jc w:val="center"/>
              <w:rPr>
                <w:rFonts w:ascii="宋体" w:hAnsi="宋体" w:cs="宋体"/>
                <w:color w:val="auto"/>
                <w:szCs w:val="21"/>
                <w:highlight w:val="none"/>
              </w:rPr>
            </w:pPr>
            <w:r>
              <w:rPr>
                <w:rFonts w:hint="eastAsia" w:ascii="宋体" w:hAnsi="宋体" w:cs="宋体"/>
                <w:color w:val="auto"/>
                <w:szCs w:val="21"/>
                <w:highlight w:val="none"/>
              </w:rPr>
              <w:t>2.2</w:t>
            </w:r>
          </w:p>
        </w:tc>
        <w:tc>
          <w:tcPr>
            <w:tcW w:w="1823" w:type="dxa"/>
            <w:noWrap/>
            <w:vAlign w:val="center"/>
          </w:tcPr>
          <w:p w14:paraId="224CE262">
            <w:pPr>
              <w:snapToGrid w:val="0"/>
              <w:spacing w:line="288" w:lineRule="auto"/>
              <w:jc w:val="center"/>
              <w:rPr>
                <w:rFonts w:ascii="宋体" w:hAnsi="宋体" w:cs="宋体"/>
                <w:color w:val="auto"/>
                <w:szCs w:val="21"/>
                <w:highlight w:val="none"/>
              </w:rPr>
            </w:pPr>
            <w:r>
              <w:rPr>
                <w:rFonts w:hint="eastAsia" w:ascii="宋体" w:hAnsi="宋体" w:cs="宋体"/>
                <w:color w:val="auto"/>
                <w:szCs w:val="21"/>
                <w:highlight w:val="none"/>
              </w:rPr>
              <w:t>招标范围</w:t>
            </w:r>
          </w:p>
        </w:tc>
        <w:tc>
          <w:tcPr>
            <w:tcW w:w="5899" w:type="dxa"/>
            <w:tcBorders>
              <w:right w:val="double" w:color="auto" w:sz="4" w:space="0"/>
            </w:tcBorders>
            <w:noWrap/>
            <w:vAlign w:val="center"/>
          </w:tcPr>
          <w:p w14:paraId="6200AE89">
            <w:pPr>
              <w:snapToGrid w:val="0"/>
              <w:spacing w:line="288" w:lineRule="auto"/>
              <w:rPr>
                <w:rFonts w:ascii="宋体" w:hAnsi="宋体" w:cs="宋体"/>
                <w:color w:val="auto"/>
                <w:szCs w:val="21"/>
                <w:highlight w:val="none"/>
                <w:u w:val="single"/>
              </w:rPr>
            </w:pPr>
            <w:r>
              <w:rPr>
                <w:rFonts w:hint="eastAsia" w:ascii="宋体" w:hAnsi="宋体" w:cs="宋体"/>
                <w:color w:val="auto"/>
                <w:szCs w:val="21"/>
                <w:highlight w:val="none"/>
                <w:u w:val="single"/>
              </w:rPr>
              <w:t>详见本工程招标公告，具体以工程量清单及图纸为准。</w:t>
            </w:r>
          </w:p>
        </w:tc>
      </w:tr>
      <w:tr w14:paraId="1ACC3F0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79" w:hRule="atLeast"/>
        </w:trPr>
        <w:tc>
          <w:tcPr>
            <w:tcW w:w="686" w:type="dxa"/>
            <w:tcBorders>
              <w:left w:val="double" w:color="auto" w:sz="4" w:space="0"/>
            </w:tcBorders>
            <w:noWrap/>
            <w:vAlign w:val="center"/>
          </w:tcPr>
          <w:p w14:paraId="28A57722">
            <w:pPr>
              <w:snapToGrid w:val="0"/>
              <w:spacing w:line="288" w:lineRule="auto"/>
              <w:jc w:val="center"/>
              <w:rPr>
                <w:rFonts w:ascii="宋体" w:hAnsi="宋体" w:cs="宋体"/>
                <w:color w:val="auto"/>
                <w:szCs w:val="21"/>
                <w:highlight w:val="none"/>
              </w:rPr>
            </w:pPr>
            <w:r>
              <w:rPr>
                <w:rFonts w:hint="eastAsia" w:ascii="宋体" w:hAnsi="宋体" w:cs="宋体"/>
                <w:color w:val="auto"/>
                <w:szCs w:val="21"/>
                <w:highlight w:val="none"/>
              </w:rPr>
              <w:t>8</w:t>
            </w:r>
          </w:p>
        </w:tc>
        <w:tc>
          <w:tcPr>
            <w:tcW w:w="914" w:type="dxa"/>
            <w:noWrap/>
            <w:vAlign w:val="center"/>
          </w:tcPr>
          <w:p w14:paraId="0D2D5B32">
            <w:pPr>
              <w:snapToGrid w:val="0"/>
              <w:spacing w:line="288" w:lineRule="auto"/>
              <w:jc w:val="center"/>
              <w:rPr>
                <w:rFonts w:ascii="宋体" w:hAnsi="宋体" w:cs="宋体"/>
                <w:color w:val="auto"/>
                <w:szCs w:val="21"/>
                <w:highlight w:val="none"/>
              </w:rPr>
            </w:pPr>
            <w:r>
              <w:rPr>
                <w:rFonts w:hint="eastAsia" w:ascii="宋体" w:hAnsi="宋体" w:cs="宋体"/>
                <w:color w:val="auto"/>
                <w:szCs w:val="21"/>
                <w:highlight w:val="none"/>
              </w:rPr>
              <w:t>2.2</w:t>
            </w:r>
          </w:p>
        </w:tc>
        <w:tc>
          <w:tcPr>
            <w:tcW w:w="1823" w:type="dxa"/>
            <w:noWrap/>
            <w:vAlign w:val="center"/>
          </w:tcPr>
          <w:p w14:paraId="4AA243CD">
            <w:pPr>
              <w:snapToGrid w:val="0"/>
              <w:spacing w:line="288" w:lineRule="auto"/>
              <w:jc w:val="center"/>
              <w:rPr>
                <w:rFonts w:ascii="宋体" w:hAnsi="宋体" w:cs="宋体"/>
                <w:color w:val="auto"/>
                <w:szCs w:val="21"/>
                <w:highlight w:val="none"/>
              </w:rPr>
            </w:pPr>
            <w:r>
              <w:rPr>
                <w:rFonts w:hint="eastAsia" w:ascii="宋体" w:hAnsi="宋体" w:cs="宋体"/>
                <w:color w:val="auto"/>
                <w:szCs w:val="21"/>
                <w:highlight w:val="none"/>
              </w:rPr>
              <w:t>工期要求</w:t>
            </w:r>
          </w:p>
        </w:tc>
        <w:tc>
          <w:tcPr>
            <w:tcW w:w="5899" w:type="dxa"/>
            <w:tcBorders>
              <w:right w:val="double" w:color="auto" w:sz="4" w:space="0"/>
            </w:tcBorders>
            <w:noWrap/>
            <w:vAlign w:val="center"/>
          </w:tcPr>
          <w:p w14:paraId="5879A483">
            <w:pPr>
              <w:snapToGrid w:val="0"/>
              <w:spacing w:line="288" w:lineRule="auto"/>
              <w:ind w:left="210" w:hanging="210" w:hangingChars="100"/>
              <w:rPr>
                <w:rFonts w:hint="eastAsia" w:ascii="宋体" w:hAnsi="宋体" w:cs="宋体"/>
                <w:color w:val="auto"/>
                <w:szCs w:val="21"/>
                <w:highlight w:val="none"/>
                <w:u w:val="single"/>
                <w:lang w:val="en-US" w:eastAsia="zh-CN"/>
              </w:rPr>
            </w:pPr>
            <w:r>
              <w:rPr>
                <w:rFonts w:hint="eastAsia" w:ascii="宋体" w:hAnsi="宋体" w:cs="宋体"/>
                <w:color w:val="auto"/>
                <w:szCs w:val="21"/>
                <w:highlight w:val="none"/>
                <w:u w:val="single"/>
              </w:rPr>
              <w:t>202</w:t>
            </w:r>
            <w:r>
              <w:rPr>
                <w:rFonts w:hint="eastAsia" w:ascii="宋体" w:hAnsi="宋体" w:cs="宋体"/>
                <w:color w:val="auto"/>
                <w:szCs w:val="21"/>
                <w:highlight w:val="none"/>
                <w:u w:val="single"/>
                <w:lang w:val="en-US" w:eastAsia="zh-CN"/>
              </w:rPr>
              <w:t>6</w:t>
            </w:r>
            <w:r>
              <w:rPr>
                <w:rFonts w:hint="eastAsia" w:ascii="宋体" w:hAnsi="宋体" w:cs="宋体"/>
                <w:color w:val="auto"/>
                <w:szCs w:val="21"/>
                <w:highlight w:val="none"/>
              </w:rPr>
              <w:t>年</w:t>
            </w:r>
            <w:r>
              <w:rPr>
                <w:rFonts w:hint="eastAsia" w:ascii="宋体" w:hAnsi="宋体" w:cs="宋体"/>
                <w:color w:val="auto"/>
                <w:szCs w:val="21"/>
                <w:highlight w:val="none"/>
                <w:u w:val="single"/>
                <w:lang w:val="en-US" w:eastAsia="zh-CN"/>
              </w:rPr>
              <w:t>1</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1 </w:t>
            </w:r>
            <w:r>
              <w:rPr>
                <w:rFonts w:hint="eastAsia" w:ascii="宋体" w:hAnsi="宋体" w:cs="宋体"/>
                <w:color w:val="auto"/>
                <w:szCs w:val="21"/>
                <w:highlight w:val="none"/>
              </w:rPr>
              <w:t>日计划开工，计划</w:t>
            </w:r>
            <w:r>
              <w:rPr>
                <w:rFonts w:hint="eastAsia" w:ascii="宋体" w:hAnsi="宋体" w:cs="宋体"/>
                <w:color w:val="auto"/>
                <w:szCs w:val="21"/>
                <w:highlight w:val="none"/>
                <w:lang w:val="en-US" w:eastAsia="zh-CN"/>
              </w:rPr>
              <w:t>竣工日期：</w:t>
            </w:r>
            <w:r>
              <w:rPr>
                <w:rFonts w:hint="eastAsia" w:ascii="宋体" w:hAnsi="宋体" w:cs="宋体"/>
                <w:color w:val="auto"/>
                <w:szCs w:val="21"/>
                <w:highlight w:val="none"/>
                <w:u w:val="single"/>
              </w:rPr>
              <w:t>202</w:t>
            </w:r>
            <w:r>
              <w:rPr>
                <w:rFonts w:hint="eastAsia" w:ascii="宋体" w:hAnsi="宋体" w:cs="宋体"/>
                <w:color w:val="auto"/>
                <w:szCs w:val="21"/>
                <w:highlight w:val="none"/>
                <w:u w:val="single"/>
                <w:lang w:val="en-US" w:eastAsia="zh-CN"/>
              </w:rPr>
              <w:t>8</w:t>
            </w:r>
            <w:r>
              <w:rPr>
                <w:rFonts w:hint="eastAsia" w:ascii="宋体" w:hAnsi="宋体" w:cs="宋体"/>
                <w:color w:val="auto"/>
                <w:szCs w:val="21"/>
                <w:highlight w:val="none"/>
              </w:rPr>
              <w:t>年</w:t>
            </w:r>
            <w:r>
              <w:rPr>
                <w:rFonts w:hint="eastAsia" w:ascii="宋体" w:hAnsi="宋体" w:cs="宋体"/>
                <w:color w:val="auto"/>
                <w:szCs w:val="21"/>
                <w:highlight w:val="none"/>
                <w:u w:val="single"/>
                <w:lang w:val="en-US" w:eastAsia="zh-CN"/>
              </w:rPr>
              <w:t xml:space="preserve"> 5</w:t>
            </w:r>
            <w:r>
              <w:rPr>
                <w:rFonts w:hint="eastAsia" w:ascii="宋体" w:hAnsi="宋体" w:cs="宋体"/>
                <w:color w:val="auto"/>
                <w:szCs w:val="21"/>
                <w:highlight w:val="none"/>
              </w:rPr>
              <w:t>月</w:t>
            </w:r>
            <w:r>
              <w:rPr>
                <w:rFonts w:hint="eastAsia" w:ascii="宋体" w:hAnsi="宋体" w:cs="宋体"/>
                <w:color w:val="auto"/>
                <w:szCs w:val="21"/>
                <w:highlight w:val="none"/>
                <w:u w:val="single"/>
                <w:lang w:val="en-US" w:eastAsia="zh-CN"/>
              </w:rPr>
              <w:t>30</w:t>
            </w:r>
          </w:p>
          <w:p w14:paraId="0C8B9219">
            <w:pPr>
              <w:snapToGrid w:val="0"/>
              <w:spacing w:line="288" w:lineRule="auto"/>
              <w:ind w:left="210" w:hanging="210" w:hangingChars="100"/>
              <w:rPr>
                <w:rFonts w:ascii="宋体" w:hAnsi="宋体" w:cs="宋体"/>
                <w:color w:val="auto"/>
                <w:szCs w:val="21"/>
                <w:highlight w:val="none"/>
              </w:rPr>
            </w:pPr>
            <w:r>
              <w:rPr>
                <w:rFonts w:hint="eastAsia" w:ascii="宋体" w:hAnsi="宋体" w:cs="宋体"/>
                <w:color w:val="auto"/>
                <w:szCs w:val="21"/>
                <w:highlight w:val="none"/>
              </w:rPr>
              <w:t>日，施工总期：</w:t>
            </w:r>
            <w:r>
              <w:rPr>
                <w:rFonts w:hint="eastAsia" w:ascii="宋体" w:hAnsi="宋体" w:cs="宋体"/>
                <w:color w:val="auto"/>
                <w:szCs w:val="21"/>
                <w:highlight w:val="none"/>
                <w:u w:val="single"/>
                <w:lang w:val="en-US" w:eastAsia="zh-CN"/>
              </w:rPr>
              <w:t>880</w:t>
            </w:r>
            <w:r>
              <w:rPr>
                <w:rFonts w:hint="eastAsia" w:ascii="宋体" w:hAnsi="宋体" w:cs="宋体"/>
                <w:b/>
                <w:color w:val="auto"/>
                <w:szCs w:val="21"/>
                <w:highlight w:val="none"/>
              </w:rPr>
              <w:t>日历天</w:t>
            </w:r>
            <w:r>
              <w:rPr>
                <w:rFonts w:hint="eastAsia" w:ascii="宋体" w:hAnsi="宋体" w:cs="宋体"/>
                <w:color w:val="auto"/>
                <w:szCs w:val="21"/>
                <w:highlight w:val="none"/>
              </w:rPr>
              <w:t>。</w:t>
            </w:r>
          </w:p>
          <w:p w14:paraId="08B48B32">
            <w:pPr>
              <w:snapToGrid w:val="0"/>
              <w:spacing w:line="288" w:lineRule="auto"/>
              <w:rPr>
                <w:rFonts w:ascii="宋体" w:hAnsi="宋体" w:cs="宋体"/>
                <w:color w:val="auto"/>
                <w:szCs w:val="21"/>
                <w:highlight w:val="none"/>
                <w:u w:val="single"/>
              </w:rPr>
            </w:pPr>
            <w:r>
              <w:rPr>
                <w:rFonts w:hint="eastAsia" w:ascii="宋体" w:hAnsi="宋体" w:cs="宋体"/>
                <w:color w:val="auto"/>
                <w:szCs w:val="21"/>
                <w:highlight w:val="none"/>
                <w:u w:val="single"/>
              </w:rPr>
              <w:t>注：本工程正式签署合同时，施工工期按中标投标文件承诺工期。</w:t>
            </w:r>
          </w:p>
        </w:tc>
      </w:tr>
      <w:tr w14:paraId="5A47E4A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6" w:type="dxa"/>
            <w:tcBorders>
              <w:left w:val="double" w:color="auto" w:sz="4" w:space="0"/>
            </w:tcBorders>
            <w:noWrap/>
            <w:vAlign w:val="center"/>
          </w:tcPr>
          <w:p w14:paraId="3D4BD948">
            <w:pPr>
              <w:snapToGrid w:val="0"/>
              <w:spacing w:line="288" w:lineRule="auto"/>
              <w:jc w:val="center"/>
              <w:rPr>
                <w:rFonts w:ascii="宋体" w:hAnsi="宋体" w:cs="宋体"/>
                <w:color w:val="auto"/>
                <w:szCs w:val="21"/>
                <w:highlight w:val="none"/>
              </w:rPr>
            </w:pPr>
            <w:r>
              <w:rPr>
                <w:rFonts w:hint="eastAsia" w:ascii="宋体" w:hAnsi="宋体" w:cs="宋体"/>
                <w:color w:val="auto"/>
                <w:szCs w:val="21"/>
                <w:highlight w:val="none"/>
              </w:rPr>
              <w:t>9</w:t>
            </w:r>
          </w:p>
        </w:tc>
        <w:tc>
          <w:tcPr>
            <w:tcW w:w="914" w:type="dxa"/>
            <w:noWrap/>
            <w:vAlign w:val="center"/>
          </w:tcPr>
          <w:p w14:paraId="67B2809B">
            <w:pPr>
              <w:snapToGrid w:val="0"/>
              <w:spacing w:line="288" w:lineRule="auto"/>
              <w:jc w:val="center"/>
              <w:rPr>
                <w:rFonts w:ascii="宋体" w:hAnsi="宋体" w:cs="宋体"/>
                <w:color w:val="auto"/>
                <w:szCs w:val="21"/>
                <w:highlight w:val="none"/>
              </w:rPr>
            </w:pPr>
            <w:r>
              <w:rPr>
                <w:rFonts w:hint="eastAsia" w:ascii="宋体" w:hAnsi="宋体" w:cs="宋体"/>
                <w:color w:val="auto"/>
                <w:szCs w:val="21"/>
                <w:highlight w:val="none"/>
              </w:rPr>
              <w:t>3.1</w:t>
            </w:r>
          </w:p>
        </w:tc>
        <w:tc>
          <w:tcPr>
            <w:tcW w:w="1823" w:type="dxa"/>
            <w:noWrap/>
            <w:vAlign w:val="center"/>
          </w:tcPr>
          <w:p w14:paraId="3E0AC076">
            <w:pPr>
              <w:snapToGrid w:val="0"/>
              <w:spacing w:line="288" w:lineRule="auto"/>
              <w:jc w:val="center"/>
              <w:rPr>
                <w:rFonts w:ascii="宋体" w:hAnsi="宋体" w:cs="宋体"/>
                <w:color w:val="auto"/>
                <w:szCs w:val="21"/>
                <w:highlight w:val="none"/>
              </w:rPr>
            </w:pPr>
            <w:r>
              <w:rPr>
                <w:rFonts w:hint="eastAsia" w:ascii="宋体" w:hAnsi="宋体" w:cs="宋体"/>
                <w:color w:val="auto"/>
                <w:szCs w:val="21"/>
                <w:highlight w:val="none"/>
              </w:rPr>
              <w:t>资金来源</w:t>
            </w:r>
          </w:p>
        </w:tc>
        <w:tc>
          <w:tcPr>
            <w:tcW w:w="5899" w:type="dxa"/>
            <w:tcBorders>
              <w:right w:val="double" w:color="auto" w:sz="4" w:space="0"/>
            </w:tcBorders>
            <w:noWrap/>
            <w:vAlign w:val="center"/>
          </w:tcPr>
          <w:p w14:paraId="27CDF21E">
            <w:pPr>
              <w:snapToGrid w:val="0"/>
              <w:spacing w:line="288" w:lineRule="auto"/>
              <w:rPr>
                <w:rFonts w:ascii="宋体" w:hAnsi="宋体" w:cs="宋体"/>
                <w:color w:val="auto"/>
                <w:szCs w:val="21"/>
                <w:highlight w:val="none"/>
                <w:u w:val="single"/>
              </w:rPr>
            </w:pPr>
            <w:r>
              <w:rPr>
                <w:rFonts w:hint="eastAsia" w:ascii="宋体" w:hAnsi="宋体" w:cs="宋体"/>
                <w:color w:val="auto"/>
                <w:szCs w:val="21"/>
                <w:highlight w:val="none"/>
                <w:u w:val="single"/>
                <w:shd w:val="clear" w:color="auto" w:fill="FFFFFF"/>
              </w:rPr>
              <w:t>企业</w:t>
            </w:r>
            <w:r>
              <w:rPr>
                <w:rFonts w:hint="eastAsia" w:ascii="宋体" w:hAnsi="宋体" w:cs="宋体"/>
                <w:color w:val="auto"/>
                <w:szCs w:val="21"/>
                <w:highlight w:val="none"/>
                <w:u w:val="single"/>
              </w:rPr>
              <w:t>自筹资金</w:t>
            </w:r>
          </w:p>
        </w:tc>
      </w:tr>
      <w:tr w14:paraId="2848DF1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6" w:type="dxa"/>
            <w:tcBorders>
              <w:left w:val="double" w:color="auto" w:sz="4" w:space="0"/>
            </w:tcBorders>
            <w:noWrap/>
            <w:vAlign w:val="center"/>
          </w:tcPr>
          <w:p w14:paraId="7EE94F9D">
            <w:pPr>
              <w:snapToGrid w:val="0"/>
              <w:spacing w:line="288" w:lineRule="auto"/>
              <w:jc w:val="center"/>
              <w:rPr>
                <w:rFonts w:ascii="宋体" w:hAnsi="宋体" w:cs="宋体"/>
                <w:color w:val="auto"/>
                <w:szCs w:val="21"/>
                <w:highlight w:val="none"/>
              </w:rPr>
            </w:pPr>
            <w:r>
              <w:rPr>
                <w:rFonts w:hint="eastAsia" w:ascii="宋体" w:hAnsi="宋体" w:cs="宋体"/>
                <w:color w:val="auto"/>
                <w:szCs w:val="21"/>
                <w:highlight w:val="none"/>
              </w:rPr>
              <w:t>10</w:t>
            </w:r>
          </w:p>
        </w:tc>
        <w:tc>
          <w:tcPr>
            <w:tcW w:w="914" w:type="dxa"/>
            <w:noWrap/>
            <w:vAlign w:val="center"/>
          </w:tcPr>
          <w:p w14:paraId="2E921B33">
            <w:pPr>
              <w:snapToGrid w:val="0"/>
              <w:spacing w:line="288" w:lineRule="auto"/>
              <w:jc w:val="center"/>
              <w:rPr>
                <w:rFonts w:ascii="宋体" w:hAnsi="宋体" w:cs="宋体"/>
                <w:color w:val="auto"/>
                <w:szCs w:val="21"/>
                <w:highlight w:val="none"/>
              </w:rPr>
            </w:pPr>
            <w:r>
              <w:rPr>
                <w:rFonts w:hint="eastAsia" w:ascii="宋体" w:hAnsi="宋体" w:cs="宋体"/>
                <w:color w:val="auto"/>
                <w:szCs w:val="21"/>
                <w:highlight w:val="none"/>
              </w:rPr>
              <w:t>4.1</w:t>
            </w:r>
          </w:p>
        </w:tc>
        <w:tc>
          <w:tcPr>
            <w:tcW w:w="1823" w:type="dxa"/>
            <w:noWrap/>
            <w:vAlign w:val="center"/>
          </w:tcPr>
          <w:p w14:paraId="3AEFD852">
            <w:pPr>
              <w:snapToGrid w:val="0"/>
              <w:spacing w:line="288" w:lineRule="auto"/>
              <w:jc w:val="center"/>
              <w:rPr>
                <w:rFonts w:ascii="宋体" w:hAnsi="宋体" w:cs="宋体"/>
                <w:color w:val="auto"/>
                <w:szCs w:val="21"/>
                <w:highlight w:val="none"/>
              </w:rPr>
            </w:pPr>
            <w:r>
              <w:rPr>
                <w:rFonts w:hint="eastAsia" w:ascii="宋体" w:hAnsi="宋体" w:cs="宋体"/>
                <w:color w:val="auto"/>
                <w:szCs w:val="21"/>
                <w:highlight w:val="none"/>
              </w:rPr>
              <w:t>投标人资质等级及项目负责人等级要求</w:t>
            </w:r>
          </w:p>
        </w:tc>
        <w:tc>
          <w:tcPr>
            <w:tcW w:w="5899" w:type="dxa"/>
            <w:tcBorders>
              <w:right w:val="double" w:color="auto" w:sz="4" w:space="0"/>
            </w:tcBorders>
            <w:noWrap/>
            <w:vAlign w:val="center"/>
          </w:tcPr>
          <w:p w14:paraId="0284A69B">
            <w:pPr>
              <w:snapToGrid w:val="0"/>
              <w:spacing w:line="288" w:lineRule="auto"/>
              <w:rPr>
                <w:rFonts w:ascii="宋体" w:hAnsi="宋体" w:cs="宋体"/>
                <w:color w:val="auto"/>
                <w:szCs w:val="21"/>
                <w:highlight w:val="none"/>
              </w:rPr>
            </w:pPr>
            <w:r>
              <w:rPr>
                <w:rFonts w:hint="eastAsia" w:ascii="宋体" w:hAnsi="宋体" w:cs="宋体"/>
                <w:color w:val="auto"/>
                <w:szCs w:val="21"/>
                <w:highlight w:val="none"/>
                <w:u w:val="single"/>
              </w:rPr>
              <w:t>详见本工程招标公告。</w:t>
            </w:r>
          </w:p>
        </w:tc>
      </w:tr>
      <w:tr w14:paraId="13AFADC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686" w:type="dxa"/>
            <w:tcBorders>
              <w:left w:val="double" w:color="auto" w:sz="4" w:space="0"/>
            </w:tcBorders>
            <w:noWrap/>
            <w:vAlign w:val="center"/>
          </w:tcPr>
          <w:p w14:paraId="33EB34FA">
            <w:pPr>
              <w:snapToGrid w:val="0"/>
              <w:spacing w:line="288" w:lineRule="auto"/>
              <w:jc w:val="center"/>
              <w:rPr>
                <w:rFonts w:ascii="宋体" w:hAnsi="宋体" w:cs="宋体"/>
                <w:color w:val="auto"/>
                <w:szCs w:val="21"/>
                <w:highlight w:val="none"/>
              </w:rPr>
            </w:pPr>
            <w:r>
              <w:rPr>
                <w:rFonts w:hint="eastAsia" w:ascii="宋体" w:hAnsi="宋体" w:cs="宋体"/>
                <w:color w:val="auto"/>
                <w:szCs w:val="21"/>
                <w:highlight w:val="none"/>
              </w:rPr>
              <w:t>11</w:t>
            </w:r>
          </w:p>
        </w:tc>
        <w:tc>
          <w:tcPr>
            <w:tcW w:w="914" w:type="dxa"/>
            <w:noWrap/>
            <w:vAlign w:val="center"/>
          </w:tcPr>
          <w:p w14:paraId="05F9A2DB">
            <w:pPr>
              <w:snapToGrid w:val="0"/>
              <w:spacing w:line="288" w:lineRule="auto"/>
              <w:ind w:firstLine="458"/>
              <w:jc w:val="center"/>
              <w:rPr>
                <w:rFonts w:ascii="宋体" w:hAnsi="宋体" w:cs="宋体"/>
                <w:color w:val="auto"/>
                <w:szCs w:val="21"/>
                <w:highlight w:val="none"/>
              </w:rPr>
            </w:pPr>
          </w:p>
        </w:tc>
        <w:tc>
          <w:tcPr>
            <w:tcW w:w="1823" w:type="dxa"/>
            <w:noWrap/>
            <w:vAlign w:val="center"/>
          </w:tcPr>
          <w:p w14:paraId="59555BDA">
            <w:pPr>
              <w:snapToGrid w:val="0"/>
              <w:spacing w:line="288" w:lineRule="auto"/>
              <w:jc w:val="center"/>
              <w:rPr>
                <w:rFonts w:ascii="宋体" w:hAnsi="宋体" w:cs="宋体"/>
                <w:color w:val="auto"/>
                <w:szCs w:val="21"/>
                <w:highlight w:val="none"/>
              </w:rPr>
            </w:pPr>
            <w:r>
              <w:rPr>
                <w:rFonts w:hint="eastAsia" w:ascii="宋体" w:hAnsi="宋体" w:cs="宋体"/>
                <w:color w:val="auto"/>
                <w:szCs w:val="21"/>
                <w:highlight w:val="none"/>
              </w:rPr>
              <w:t>资格审查方式</w:t>
            </w:r>
          </w:p>
        </w:tc>
        <w:tc>
          <w:tcPr>
            <w:tcW w:w="5899" w:type="dxa"/>
            <w:tcBorders>
              <w:right w:val="double" w:color="auto" w:sz="4" w:space="0"/>
            </w:tcBorders>
            <w:noWrap/>
            <w:vAlign w:val="center"/>
          </w:tcPr>
          <w:p w14:paraId="26E75C77">
            <w:pPr>
              <w:snapToGrid w:val="0"/>
              <w:spacing w:line="288" w:lineRule="auto"/>
              <w:rPr>
                <w:rFonts w:ascii="宋体" w:hAnsi="宋体" w:cs="宋体"/>
                <w:color w:val="auto"/>
                <w:szCs w:val="21"/>
                <w:highlight w:val="none"/>
              </w:rPr>
            </w:pPr>
            <w:r>
              <w:rPr>
                <w:rFonts w:hint="eastAsia" w:ascii="宋体" w:hAnsi="宋体" w:cs="宋体"/>
                <w:color w:val="auto"/>
                <w:szCs w:val="21"/>
                <w:highlight w:val="none"/>
                <w:u w:val="single"/>
              </w:rPr>
              <w:t>详见本工程招标公告。</w:t>
            </w:r>
          </w:p>
        </w:tc>
      </w:tr>
      <w:tr w14:paraId="7FBBBC1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6" w:type="dxa"/>
            <w:tcBorders>
              <w:left w:val="double" w:color="auto" w:sz="4" w:space="0"/>
            </w:tcBorders>
            <w:noWrap/>
            <w:vAlign w:val="center"/>
          </w:tcPr>
          <w:p w14:paraId="12A349C5">
            <w:pPr>
              <w:snapToGrid w:val="0"/>
              <w:spacing w:line="288" w:lineRule="auto"/>
              <w:jc w:val="center"/>
              <w:rPr>
                <w:rFonts w:ascii="宋体" w:hAnsi="宋体" w:cs="宋体"/>
                <w:color w:val="auto"/>
                <w:szCs w:val="21"/>
                <w:highlight w:val="none"/>
              </w:rPr>
            </w:pPr>
            <w:r>
              <w:rPr>
                <w:rFonts w:hint="eastAsia" w:ascii="宋体" w:hAnsi="宋体" w:cs="宋体"/>
                <w:color w:val="auto"/>
                <w:szCs w:val="21"/>
                <w:highlight w:val="none"/>
              </w:rPr>
              <w:t>12</w:t>
            </w:r>
          </w:p>
        </w:tc>
        <w:tc>
          <w:tcPr>
            <w:tcW w:w="914" w:type="dxa"/>
            <w:noWrap/>
            <w:vAlign w:val="center"/>
          </w:tcPr>
          <w:p w14:paraId="7C779479">
            <w:pPr>
              <w:snapToGrid w:val="0"/>
              <w:spacing w:line="288" w:lineRule="auto"/>
              <w:jc w:val="center"/>
              <w:rPr>
                <w:rFonts w:ascii="宋体" w:hAnsi="宋体" w:cs="宋体"/>
                <w:color w:val="auto"/>
                <w:szCs w:val="21"/>
                <w:highlight w:val="none"/>
              </w:rPr>
            </w:pPr>
            <w:r>
              <w:rPr>
                <w:rFonts w:hint="eastAsia" w:ascii="宋体" w:hAnsi="宋体" w:cs="宋体"/>
                <w:color w:val="auto"/>
                <w:szCs w:val="21"/>
                <w:highlight w:val="none"/>
              </w:rPr>
              <w:t>13.1</w:t>
            </w:r>
          </w:p>
        </w:tc>
        <w:tc>
          <w:tcPr>
            <w:tcW w:w="1823" w:type="dxa"/>
            <w:noWrap/>
            <w:vAlign w:val="center"/>
          </w:tcPr>
          <w:p w14:paraId="60BE0EC0">
            <w:pPr>
              <w:snapToGrid w:val="0"/>
              <w:spacing w:line="288" w:lineRule="auto"/>
              <w:jc w:val="center"/>
              <w:rPr>
                <w:rFonts w:ascii="宋体" w:hAnsi="宋体" w:cs="宋体"/>
                <w:color w:val="auto"/>
                <w:szCs w:val="21"/>
                <w:highlight w:val="none"/>
              </w:rPr>
            </w:pPr>
            <w:r>
              <w:rPr>
                <w:rFonts w:hint="eastAsia" w:ascii="宋体" w:hAnsi="宋体" w:cs="宋体"/>
                <w:color w:val="auto"/>
                <w:szCs w:val="21"/>
                <w:highlight w:val="none"/>
              </w:rPr>
              <w:t>报价以及单价和总价计算方式</w:t>
            </w:r>
          </w:p>
        </w:tc>
        <w:tc>
          <w:tcPr>
            <w:tcW w:w="5899" w:type="dxa"/>
            <w:tcBorders>
              <w:right w:val="double" w:color="auto" w:sz="4" w:space="0"/>
            </w:tcBorders>
            <w:noWrap/>
            <w:vAlign w:val="center"/>
          </w:tcPr>
          <w:p w14:paraId="3F36B959">
            <w:pPr>
              <w:snapToGrid w:val="0"/>
              <w:spacing w:line="288" w:lineRule="auto"/>
              <w:rPr>
                <w:rFonts w:ascii="宋体" w:hAnsi="宋体" w:cs="宋体"/>
                <w:color w:val="auto"/>
                <w:szCs w:val="21"/>
                <w:highlight w:val="none"/>
              </w:rPr>
            </w:pPr>
            <w:bookmarkStart w:id="2" w:name="EBdfd7e3fe86a241738f1c1d356c309534"/>
            <w:r>
              <w:rPr>
                <w:rFonts w:hint="eastAsia" w:ascii="宋体" w:hAnsi="宋体" w:cs="宋体"/>
                <w:color w:val="auto"/>
                <w:szCs w:val="21"/>
                <w:highlight w:val="none"/>
              </w:rPr>
              <w:t>工程量清单计价</w:t>
            </w:r>
            <w:r>
              <w:rPr>
                <w:rFonts w:hint="eastAsia" w:ascii="宋体" w:hAnsi="宋体" w:cs="宋体"/>
                <w:color w:val="auto"/>
                <w:szCs w:val="21"/>
                <w:highlight w:val="none"/>
                <w:u w:val="none"/>
              </w:rPr>
              <w:t>。</w:t>
            </w:r>
            <w:bookmarkEnd w:id="2"/>
          </w:p>
        </w:tc>
      </w:tr>
      <w:tr w14:paraId="68276F8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6" w:type="dxa"/>
            <w:tcBorders>
              <w:left w:val="double" w:color="auto" w:sz="4" w:space="0"/>
            </w:tcBorders>
            <w:noWrap/>
            <w:vAlign w:val="center"/>
          </w:tcPr>
          <w:p w14:paraId="2684FC54">
            <w:pPr>
              <w:snapToGrid w:val="0"/>
              <w:spacing w:line="288" w:lineRule="auto"/>
              <w:jc w:val="center"/>
              <w:rPr>
                <w:rFonts w:ascii="宋体" w:hAnsi="宋体" w:cs="宋体"/>
                <w:color w:val="auto"/>
                <w:szCs w:val="21"/>
                <w:highlight w:val="none"/>
              </w:rPr>
            </w:pPr>
            <w:r>
              <w:rPr>
                <w:rFonts w:hint="eastAsia" w:ascii="宋体" w:hAnsi="宋体" w:cs="宋体"/>
                <w:color w:val="auto"/>
                <w:szCs w:val="21"/>
                <w:highlight w:val="none"/>
              </w:rPr>
              <w:t>13</w:t>
            </w:r>
          </w:p>
        </w:tc>
        <w:tc>
          <w:tcPr>
            <w:tcW w:w="914" w:type="dxa"/>
            <w:noWrap/>
            <w:vAlign w:val="center"/>
          </w:tcPr>
          <w:p w14:paraId="5A1C4F94">
            <w:pPr>
              <w:snapToGrid w:val="0"/>
              <w:spacing w:line="288" w:lineRule="auto"/>
              <w:jc w:val="center"/>
              <w:rPr>
                <w:rFonts w:ascii="宋体" w:hAnsi="宋体" w:cs="宋体"/>
                <w:color w:val="auto"/>
                <w:szCs w:val="21"/>
                <w:highlight w:val="none"/>
              </w:rPr>
            </w:pPr>
            <w:r>
              <w:rPr>
                <w:rFonts w:hint="eastAsia" w:ascii="宋体" w:hAnsi="宋体" w:cs="宋体"/>
                <w:color w:val="auto"/>
                <w:szCs w:val="21"/>
                <w:highlight w:val="none"/>
              </w:rPr>
              <w:t>15.1</w:t>
            </w:r>
          </w:p>
        </w:tc>
        <w:tc>
          <w:tcPr>
            <w:tcW w:w="1823" w:type="dxa"/>
            <w:noWrap/>
            <w:vAlign w:val="center"/>
          </w:tcPr>
          <w:p w14:paraId="4A44A0B9">
            <w:pPr>
              <w:snapToGrid w:val="0"/>
              <w:spacing w:line="288" w:lineRule="auto"/>
              <w:jc w:val="center"/>
              <w:rPr>
                <w:rFonts w:ascii="宋体" w:hAnsi="宋体" w:cs="宋体"/>
                <w:color w:val="auto"/>
                <w:szCs w:val="21"/>
                <w:highlight w:val="none"/>
              </w:rPr>
            </w:pPr>
            <w:r>
              <w:rPr>
                <w:rFonts w:hint="eastAsia" w:ascii="宋体" w:hAnsi="宋体" w:cs="宋体"/>
                <w:color w:val="auto"/>
                <w:szCs w:val="21"/>
                <w:highlight w:val="none"/>
              </w:rPr>
              <w:t>投标有效期</w:t>
            </w:r>
          </w:p>
        </w:tc>
        <w:tc>
          <w:tcPr>
            <w:tcW w:w="5899" w:type="dxa"/>
            <w:tcBorders>
              <w:right w:val="double" w:color="auto" w:sz="4" w:space="0"/>
            </w:tcBorders>
            <w:noWrap/>
            <w:vAlign w:val="center"/>
          </w:tcPr>
          <w:p w14:paraId="4974B46C">
            <w:pPr>
              <w:snapToGrid w:val="0"/>
              <w:spacing w:line="288" w:lineRule="auto"/>
              <w:rPr>
                <w:rFonts w:ascii="宋体" w:hAnsi="宋体" w:cs="宋体"/>
                <w:color w:val="auto"/>
                <w:szCs w:val="21"/>
                <w:highlight w:val="none"/>
                <w:u w:val="single"/>
              </w:rPr>
            </w:pPr>
            <w:r>
              <w:rPr>
                <w:rFonts w:ascii="宋体" w:hAnsi="宋体" w:cs="宋体"/>
                <w:b/>
                <w:color w:val="auto"/>
                <w:szCs w:val="21"/>
                <w:highlight w:val="none"/>
                <w:u w:val="single"/>
              </w:rPr>
              <w:t>90</w:t>
            </w:r>
            <w:r>
              <w:rPr>
                <w:rFonts w:hint="eastAsia" w:ascii="宋体" w:hAnsi="宋体" w:cs="宋体"/>
                <w:b/>
                <w:color w:val="auto"/>
                <w:szCs w:val="21"/>
                <w:highlight w:val="none"/>
              </w:rPr>
              <w:t>日历天</w:t>
            </w:r>
            <w:r>
              <w:rPr>
                <w:rFonts w:hint="eastAsia" w:ascii="宋体" w:hAnsi="宋体" w:cs="宋体"/>
                <w:color w:val="auto"/>
                <w:szCs w:val="21"/>
                <w:highlight w:val="none"/>
              </w:rPr>
              <w:t>。（从投标截止之日计起）。</w:t>
            </w:r>
            <w:r>
              <w:rPr>
                <w:rFonts w:hint="eastAsia" w:ascii="宋体" w:hAnsi="宋体" w:cs="宋体"/>
                <w:color w:val="auto"/>
                <w:szCs w:val="21"/>
                <w:highlight w:val="none"/>
                <w:u w:val="single"/>
              </w:rPr>
              <w:t>如投标有效期内发生异议或投诉的，则投标有效期自动延长至异议或投诉处理结束后90日历天。中标人的投标有效期自动延期至合同履行完毕。</w:t>
            </w:r>
          </w:p>
        </w:tc>
      </w:tr>
      <w:tr w14:paraId="5F715F7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6" w:type="dxa"/>
            <w:tcBorders>
              <w:left w:val="double" w:color="auto" w:sz="4" w:space="0"/>
            </w:tcBorders>
            <w:noWrap/>
            <w:vAlign w:val="center"/>
          </w:tcPr>
          <w:p w14:paraId="4F992FB3">
            <w:pPr>
              <w:snapToGrid w:val="0"/>
              <w:spacing w:line="288" w:lineRule="auto"/>
              <w:jc w:val="center"/>
              <w:rPr>
                <w:rFonts w:ascii="宋体" w:hAnsi="宋体" w:cs="宋体"/>
                <w:color w:val="auto"/>
                <w:szCs w:val="21"/>
                <w:highlight w:val="none"/>
              </w:rPr>
            </w:pPr>
            <w:r>
              <w:rPr>
                <w:rFonts w:hint="eastAsia" w:ascii="宋体" w:hAnsi="宋体" w:cs="宋体"/>
                <w:color w:val="auto"/>
                <w:szCs w:val="21"/>
                <w:highlight w:val="none"/>
              </w:rPr>
              <w:t>14</w:t>
            </w:r>
          </w:p>
        </w:tc>
        <w:tc>
          <w:tcPr>
            <w:tcW w:w="914" w:type="dxa"/>
            <w:noWrap/>
            <w:vAlign w:val="center"/>
          </w:tcPr>
          <w:p w14:paraId="0EDBD04A">
            <w:pPr>
              <w:snapToGrid w:val="0"/>
              <w:spacing w:line="288" w:lineRule="auto"/>
              <w:jc w:val="center"/>
              <w:rPr>
                <w:rFonts w:ascii="宋体" w:hAnsi="宋体" w:cs="宋体"/>
                <w:color w:val="auto"/>
                <w:szCs w:val="21"/>
                <w:highlight w:val="none"/>
              </w:rPr>
            </w:pPr>
            <w:r>
              <w:rPr>
                <w:rFonts w:hint="eastAsia" w:ascii="宋体" w:hAnsi="宋体" w:cs="宋体"/>
                <w:color w:val="auto"/>
                <w:szCs w:val="21"/>
                <w:highlight w:val="none"/>
              </w:rPr>
              <w:t>16.1</w:t>
            </w:r>
          </w:p>
        </w:tc>
        <w:tc>
          <w:tcPr>
            <w:tcW w:w="1823" w:type="dxa"/>
            <w:noWrap/>
            <w:vAlign w:val="center"/>
          </w:tcPr>
          <w:p w14:paraId="2416C428">
            <w:pPr>
              <w:snapToGrid w:val="0"/>
              <w:spacing w:line="288" w:lineRule="auto"/>
              <w:jc w:val="center"/>
              <w:rPr>
                <w:rFonts w:ascii="宋体" w:hAnsi="宋体" w:cs="宋体"/>
                <w:color w:val="auto"/>
                <w:szCs w:val="21"/>
                <w:highlight w:val="none"/>
              </w:rPr>
            </w:pPr>
            <w:r>
              <w:rPr>
                <w:rFonts w:hint="eastAsia" w:ascii="宋体" w:hAnsi="宋体" w:cs="宋体"/>
                <w:color w:val="auto"/>
                <w:szCs w:val="21"/>
                <w:highlight w:val="none"/>
              </w:rPr>
              <w:t>投标保证金</w:t>
            </w:r>
          </w:p>
        </w:tc>
        <w:tc>
          <w:tcPr>
            <w:tcW w:w="5899" w:type="dxa"/>
            <w:tcBorders>
              <w:right w:val="double" w:color="auto" w:sz="4" w:space="0"/>
            </w:tcBorders>
            <w:noWrap/>
            <w:vAlign w:val="center"/>
          </w:tcPr>
          <w:p w14:paraId="79C0635E">
            <w:pPr>
              <w:pStyle w:val="2"/>
              <w:ind w:firstLine="0"/>
              <w:rPr>
                <w:rFonts w:hint="eastAsia" w:ascii="宋体" w:hAnsi="宋体" w:cs="宋体"/>
                <w:bCs/>
                <w:color w:val="auto"/>
                <w:sz w:val="21"/>
                <w:szCs w:val="21"/>
                <w:highlight w:val="none"/>
              </w:rPr>
            </w:pPr>
            <w:r>
              <w:rPr>
                <w:rFonts w:hint="eastAsia" w:ascii="宋体" w:hAnsi="宋体" w:cs="宋体"/>
                <w:bCs/>
                <w:color w:val="auto"/>
                <w:sz w:val="21"/>
                <w:szCs w:val="21"/>
                <w:highlight w:val="none"/>
              </w:rPr>
              <w:t>是否要求投标人递交投标保证金：</w:t>
            </w:r>
          </w:p>
          <w:p w14:paraId="0777448C">
            <w:pPr>
              <w:pStyle w:val="2"/>
              <w:ind w:firstLine="0"/>
              <w:rPr>
                <w:rFonts w:hint="eastAsia" w:ascii="宋体" w:hAnsi="宋体" w:cs="宋体"/>
                <w:bCs/>
                <w:color w:val="auto"/>
                <w:sz w:val="21"/>
                <w:szCs w:val="21"/>
                <w:highlight w:val="none"/>
              </w:rPr>
            </w:pPr>
            <w:r>
              <w:rPr>
                <w:rFonts w:hint="eastAsia" w:ascii="宋体" w:hAnsi="宋体" w:cs="宋体"/>
                <w:bCs/>
                <w:color w:val="auto"/>
                <w:sz w:val="21"/>
                <w:szCs w:val="21"/>
                <w:highlight w:val="none"/>
              </w:rPr>
              <w:t>■要求，投标保证金金额：人民币</w:t>
            </w:r>
            <w:r>
              <w:rPr>
                <w:rFonts w:hint="eastAsia" w:ascii="宋体" w:hAnsi="宋体" w:cs="宋体"/>
                <w:bCs/>
                <w:color w:val="auto"/>
                <w:sz w:val="21"/>
                <w:szCs w:val="21"/>
                <w:highlight w:val="none"/>
                <w:u w:val="single"/>
                <w:lang w:val="en-US" w:eastAsia="zh-CN"/>
              </w:rPr>
              <w:t>5</w:t>
            </w:r>
            <w:r>
              <w:rPr>
                <w:rFonts w:hint="eastAsia" w:ascii="宋体" w:hAnsi="宋体" w:cs="宋体"/>
                <w:bCs/>
                <w:color w:val="auto"/>
                <w:sz w:val="21"/>
                <w:szCs w:val="21"/>
                <w:highlight w:val="none"/>
                <w:u w:val="single"/>
              </w:rPr>
              <w:t>0</w:t>
            </w:r>
            <w:r>
              <w:rPr>
                <w:rFonts w:hint="eastAsia" w:ascii="宋体" w:hAnsi="宋体" w:cs="宋体"/>
                <w:bCs/>
                <w:color w:val="auto"/>
                <w:sz w:val="21"/>
                <w:szCs w:val="21"/>
                <w:highlight w:val="none"/>
              </w:rPr>
              <w:t>万元。</w:t>
            </w:r>
          </w:p>
          <w:p w14:paraId="543A776B">
            <w:pPr>
              <w:pStyle w:val="2"/>
              <w:rPr>
                <w:rFonts w:hint="eastAsia" w:ascii="宋体" w:hAnsi="宋体" w:eastAsia="宋体" w:cs="宋体"/>
                <w:bCs/>
                <w:color w:val="auto"/>
                <w:sz w:val="21"/>
                <w:szCs w:val="21"/>
                <w:highlight w:val="none"/>
                <w:lang w:eastAsia="zh-CN"/>
              </w:rPr>
            </w:pPr>
            <w:r>
              <w:rPr>
                <w:rFonts w:hint="eastAsia" w:ascii="宋体" w:hAnsi="宋体" w:cs="宋体"/>
                <w:bCs/>
                <w:color w:val="auto"/>
                <w:sz w:val="21"/>
                <w:szCs w:val="21"/>
                <w:highlight w:val="none"/>
              </w:rPr>
              <w:t>投标保证金缴纳时间：在递交投标文件截止时间之前。</w:t>
            </w:r>
            <w:r>
              <w:rPr>
                <w:rFonts w:hint="eastAsia" w:ascii="宋体" w:hAnsi="宋体" w:cs="宋体"/>
                <w:b/>
                <w:bCs w:val="0"/>
                <w:color w:val="auto"/>
                <w:sz w:val="21"/>
                <w:szCs w:val="21"/>
                <w:highlight w:val="none"/>
              </w:rPr>
              <w:t>对于联合体投标人，投标担保由联合体主办方缴纳</w:t>
            </w:r>
            <w:r>
              <w:rPr>
                <w:rFonts w:hint="eastAsia" w:ascii="宋体" w:hAnsi="宋体" w:cs="宋体"/>
                <w:b/>
                <w:bCs w:val="0"/>
                <w:color w:val="auto"/>
                <w:sz w:val="21"/>
                <w:szCs w:val="21"/>
                <w:highlight w:val="none"/>
                <w:lang w:eastAsia="zh-CN"/>
              </w:rPr>
              <w:t>。</w:t>
            </w:r>
          </w:p>
          <w:p w14:paraId="02CE7924">
            <w:pPr>
              <w:pStyle w:val="2"/>
              <w:rPr>
                <w:rFonts w:hint="eastAsia" w:ascii="宋体" w:hAnsi="宋体" w:cs="宋体"/>
                <w:bCs/>
                <w:color w:val="auto"/>
                <w:sz w:val="21"/>
                <w:szCs w:val="21"/>
                <w:highlight w:val="none"/>
              </w:rPr>
            </w:pPr>
            <w:r>
              <w:rPr>
                <w:rFonts w:hint="eastAsia" w:ascii="宋体" w:hAnsi="宋体" w:cs="宋体"/>
                <w:bCs/>
                <w:color w:val="auto"/>
                <w:sz w:val="21"/>
                <w:szCs w:val="21"/>
                <w:highlight w:val="none"/>
              </w:rPr>
              <w:t>投标保证金有效期：与投标有效期一致。</w:t>
            </w:r>
          </w:p>
          <w:p w14:paraId="13281737">
            <w:pPr>
              <w:pStyle w:val="2"/>
              <w:rPr>
                <w:rFonts w:hint="eastAsia" w:ascii="宋体" w:hAnsi="宋体" w:cs="宋体"/>
                <w:bCs/>
                <w:color w:val="auto"/>
                <w:sz w:val="21"/>
                <w:szCs w:val="21"/>
                <w:highlight w:val="none"/>
              </w:rPr>
            </w:pPr>
            <w:r>
              <w:rPr>
                <w:rFonts w:hint="eastAsia" w:ascii="宋体" w:hAnsi="宋体" w:cs="宋体"/>
                <w:bCs/>
                <w:color w:val="auto"/>
                <w:sz w:val="21"/>
                <w:szCs w:val="21"/>
                <w:highlight w:val="none"/>
              </w:rPr>
              <w:t>投标保证金的形式：投标保证金可采用现金、支票、银行保函、保证保险、专业工程担保公司担保等方式缴纳，须在递交投标文件截止时间前完成缴纳。</w:t>
            </w:r>
          </w:p>
          <w:p w14:paraId="0DBFF643">
            <w:pPr>
              <w:pStyle w:val="2"/>
              <w:rPr>
                <w:rFonts w:hint="eastAsia" w:ascii="宋体" w:hAnsi="宋体" w:cs="宋体"/>
                <w:bCs/>
                <w:color w:val="auto"/>
                <w:sz w:val="21"/>
                <w:szCs w:val="21"/>
                <w:highlight w:val="none"/>
              </w:rPr>
            </w:pPr>
            <w:r>
              <w:rPr>
                <w:rFonts w:hint="eastAsia" w:ascii="宋体" w:hAnsi="宋体" w:cs="宋体"/>
                <w:bCs/>
                <w:color w:val="auto"/>
                <w:sz w:val="21"/>
                <w:szCs w:val="21"/>
                <w:highlight w:val="none"/>
              </w:rPr>
              <w:t>1、如采用现金或者支票形式提交的，投标保证金从投标人基本账户递交，由广州交易集团有限公司代收。具体操作要求详见广州交易集团有限公司（广州公共资源交易中心）有关指引，递交事宜请自行咨询交易中心(咨询电话：020-28866000)；请各投标人在投标文件递交截止时间前按上述金额递交至广州交易集团有限公司，到账情况以开标时广州交易集团有限公司（广州公共资源交易中心）数据库查询的信息为准。</w:t>
            </w:r>
          </w:p>
          <w:p w14:paraId="18D0206D">
            <w:pPr>
              <w:pStyle w:val="2"/>
              <w:rPr>
                <w:rFonts w:hint="eastAsia" w:ascii="宋体" w:hAnsi="宋体" w:cs="宋体"/>
                <w:bCs/>
                <w:color w:val="auto"/>
                <w:sz w:val="21"/>
                <w:szCs w:val="21"/>
                <w:highlight w:val="none"/>
              </w:rPr>
            </w:pPr>
            <w:r>
              <w:rPr>
                <w:rFonts w:hint="eastAsia" w:ascii="宋体" w:hAnsi="宋体" w:cs="宋体"/>
                <w:bCs/>
                <w:color w:val="auto"/>
                <w:sz w:val="21"/>
                <w:szCs w:val="21"/>
                <w:highlight w:val="none"/>
              </w:rPr>
              <w:t>收款单位：广州交易集团有限公司</w:t>
            </w:r>
          </w:p>
          <w:p w14:paraId="6CE7EB3D">
            <w:pPr>
              <w:pStyle w:val="2"/>
              <w:rPr>
                <w:rFonts w:hint="eastAsia" w:ascii="宋体" w:hAnsi="宋体" w:cs="宋体"/>
                <w:bCs/>
                <w:color w:val="auto"/>
                <w:sz w:val="21"/>
                <w:szCs w:val="21"/>
                <w:highlight w:val="none"/>
              </w:rPr>
            </w:pPr>
            <w:r>
              <w:rPr>
                <w:rFonts w:hint="eastAsia" w:ascii="宋体" w:hAnsi="宋体" w:cs="宋体"/>
                <w:bCs/>
                <w:color w:val="auto"/>
                <w:sz w:val="21"/>
                <w:szCs w:val="21"/>
                <w:highlight w:val="none"/>
              </w:rPr>
              <w:t>开户银行：中国建设银行广州天润路支行</w:t>
            </w:r>
          </w:p>
          <w:p w14:paraId="728CE7C8">
            <w:pPr>
              <w:pStyle w:val="2"/>
              <w:rPr>
                <w:rFonts w:hint="eastAsia" w:ascii="宋体" w:hAnsi="宋体" w:cs="宋体"/>
                <w:bCs/>
                <w:color w:val="auto"/>
                <w:sz w:val="21"/>
                <w:szCs w:val="21"/>
                <w:highlight w:val="none"/>
              </w:rPr>
            </w:pPr>
            <w:r>
              <w:rPr>
                <w:rFonts w:hint="eastAsia" w:ascii="宋体" w:hAnsi="宋体" w:cs="宋体"/>
                <w:bCs/>
                <w:color w:val="auto"/>
                <w:sz w:val="21"/>
                <w:szCs w:val="21"/>
                <w:highlight w:val="none"/>
              </w:rPr>
              <w:t>银行账号：44001583404059333333；</w:t>
            </w:r>
          </w:p>
          <w:p w14:paraId="3A203377">
            <w:pPr>
              <w:pStyle w:val="2"/>
              <w:rPr>
                <w:rFonts w:hint="eastAsia" w:ascii="宋体" w:hAnsi="宋体" w:cs="宋体"/>
                <w:bCs/>
                <w:color w:val="auto"/>
                <w:sz w:val="21"/>
                <w:szCs w:val="21"/>
                <w:highlight w:val="none"/>
              </w:rPr>
            </w:pPr>
            <w:r>
              <w:rPr>
                <w:rFonts w:hint="eastAsia" w:ascii="宋体" w:hAnsi="宋体" w:cs="宋体"/>
                <w:bCs/>
                <w:color w:val="auto"/>
                <w:sz w:val="21"/>
                <w:szCs w:val="21"/>
                <w:highlight w:val="none"/>
              </w:rPr>
              <w:t>2、如采用非电子形式的银行保函、担保或保证保险或专业工程担保公司担保等形式提交投标保证金的形式提交的，银行保函、或保证保险或专业工程担保公司担保需开具给招标人（受益人也必须是招标人）且有效期不少于投标有效期。在开标前不强制要求投标人提交纸质原件，但投标人应在投标文件中提交非电子形式的银行保函、担保或保证保险或专业工程担保公司担保等形式的原件扫描件并加盖投标单位电子印章。合格的中标候选人在中标候选人公示前提交纸质原件给招标人，若投标有效期延长的，银行保函（或担保、或保证保险、或专业担保公司担保）有效期应相应延长，且延长后的有效期应满足前述要求。如投标人选择在开标前提交纸质原件的，可在投标截止时间前单独密封递交（封套上注明“【项目名称】银行保函、担保或保证保险或专业工程担保公司担保”，并注明投标单位名称）至开标室（时间及地点同递交备用投标文件电子光盘</w:t>
            </w:r>
            <w:r>
              <w:rPr>
                <w:rFonts w:hint="eastAsia" w:ascii="宋体" w:hAnsi="宋体" w:cs="宋体"/>
                <w:bCs/>
                <w:color w:val="auto"/>
                <w:sz w:val="21"/>
                <w:szCs w:val="21"/>
                <w:highlight w:val="none"/>
                <w:u w:val="single"/>
              </w:rPr>
              <w:t>或U盘</w:t>
            </w:r>
            <w:r>
              <w:rPr>
                <w:rFonts w:hint="eastAsia" w:ascii="宋体" w:hAnsi="宋体" w:cs="宋体"/>
                <w:bCs/>
                <w:color w:val="auto"/>
                <w:sz w:val="21"/>
                <w:szCs w:val="21"/>
                <w:highlight w:val="none"/>
              </w:rPr>
              <w:t>的时间及地点）。</w:t>
            </w:r>
          </w:p>
          <w:p w14:paraId="6949B044">
            <w:pPr>
              <w:pStyle w:val="2"/>
              <w:rPr>
                <w:rFonts w:hint="eastAsia" w:ascii="宋体" w:hAnsi="宋体" w:cs="宋体"/>
                <w:bCs/>
                <w:color w:val="auto"/>
                <w:sz w:val="21"/>
                <w:szCs w:val="21"/>
                <w:highlight w:val="none"/>
              </w:rPr>
            </w:pPr>
            <w:r>
              <w:rPr>
                <w:rFonts w:hint="eastAsia" w:ascii="宋体" w:hAnsi="宋体" w:cs="宋体"/>
                <w:bCs/>
                <w:color w:val="auto"/>
                <w:sz w:val="21"/>
                <w:szCs w:val="21"/>
                <w:highlight w:val="none"/>
              </w:rPr>
              <w:t>3、如采用电子形式的保函、保证保险或担保提交投标保证金的，详见广州交易集团有限公司（广州公共资源交易中心）的相关操作指引为准。</w:t>
            </w:r>
          </w:p>
          <w:p w14:paraId="31D128DA">
            <w:pPr>
              <w:snapToGrid w:val="0"/>
              <w:spacing w:line="288" w:lineRule="auto"/>
              <w:rPr>
                <w:rFonts w:ascii="宋体" w:hAnsi="宋体" w:cs="宋体"/>
                <w:color w:val="auto"/>
                <w:szCs w:val="21"/>
                <w:highlight w:val="none"/>
                <w:u w:val="single"/>
              </w:rPr>
            </w:pPr>
            <w:r>
              <w:rPr>
                <w:rFonts w:hint="eastAsia" w:ascii="宋体" w:hAnsi="宋体" w:cs="宋体"/>
                <w:color w:val="auto"/>
                <w:sz w:val="21"/>
                <w:szCs w:val="21"/>
                <w:highlight w:val="none"/>
              </w:rPr>
              <w:t>注：1、投标保证金不得超过招标项目估算价的2%，投标保证金有效期应当与投标文件有效期一致。根据《房屋建筑和市政基础设施工程施工招标投标管理办法》（建设部令第89号）第二十六条的规定，投标保证金最高不得超过50万元</w:t>
            </w:r>
            <w:r>
              <w:rPr>
                <w:rFonts w:hint="eastAsia" w:ascii="宋体" w:hAnsi="宋体" w:cs="宋体"/>
                <w:color w:val="auto"/>
                <w:sz w:val="16"/>
                <w:szCs w:val="18"/>
                <w:highlight w:val="none"/>
              </w:rPr>
              <w:t>。</w:t>
            </w:r>
          </w:p>
        </w:tc>
      </w:tr>
      <w:tr w14:paraId="670F4AF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6" w:type="dxa"/>
            <w:tcBorders>
              <w:left w:val="double" w:color="auto" w:sz="4" w:space="0"/>
            </w:tcBorders>
            <w:noWrap/>
            <w:vAlign w:val="center"/>
          </w:tcPr>
          <w:p w14:paraId="1C5DD938">
            <w:pPr>
              <w:snapToGrid w:val="0"/>
              <w:spacing w:line="288" w:lineRule="auto"/>
              <w:jc w:val="center"/>
              <w:rPr>
                <w:rFonts w:ascii="宋体" w:hAnsi="宋体" w:cs="宋体"/>
                <w:color w:val="auto"/>
                <w:szCs w:val="21"/>
                <w:highlight w:val="none"/>
              </w:rPr>
            </w:pPr>
            <w:r>
              <w:rPr>
                <w:rFonts w:hint="eastAsia" w:ascii="宋体" w:hAnsi="宋体" w:cs="宋体"/>
                <w:color w:val="auto"/>
                <w:szCs w:val="21"/>
                <w:highlight w:val="none"/>
              </w:rPr>
              <w:t>15</w:t>
            </w:r>
          </w:p>
        </w:tc>
        <w:tc>
          <w:tcPr>
            <w:tcW w:w="914" w:type="dxa"/>
            <w:noWrap/>
            <w:vAlign w:val="center"/>
          </w:tcPr>
          <w:p w14:paraId="6584D2EF">
            <w:pPr>
              <w:snapToGrid w:val="0"/>
              <w:spacing w:line="288" w:lineRule="auto"/>
              <w:jc w:val="center"/>
              <w:rPr>
                <w:rFonts w:ascii="宋体" w:hAnsi="宋体" w:cs="宋体"/>
                <w:color w:val="auto"/>
                <w:szCs w:val="21"/>
                <w:highlight w:val="none"/>
              </w:rPr>
            </w:pPr>
            <w:r>
              <w:rPr>
                <w:rFonts w:hint="eastAsia" w:ascii="宋体" w:hAnsi="宋体" w:cs="宋体"/>
                <w:color w:val="auto"/>
                <w:szCs w:val="21"/>
                <w:highlight w:val="none"/>
              </w:rPr>
              <w:t>5</w:t>
            </w:r>
          </w:p>
        </w:tc>
        <w:tc>
          <w:tcPr>
            <w:tcW w:w="1823" w:type="dxa"/>
            <w:noWrap/>
            <w:vAlign w:val="center"/>
          </w:tcPr>
          <w:p w14:paraId="7395F583">
            <w:pPr>
              <w:snapToGrid w:val="0"/>
              <w:spacing w:line="288" w:lineRule="auto"/>
              <w:jc w:val="center"/>
              <w:rPr>
                <w:rFonts w:ascii="宋体" w:hAnsi="宋体" w:cs="宋体"/>
                <w:color w:val="auto"/>
                <w:szCs w:val="21"/>
                <w:highlight w:val="none"/>
              </w:rPr>
            </w:pPr>
            <w:r>
              <w:rPr>
                <w:rFonts w:hint="eastAsia" w:ascii="宋体" w:hAnsi="宋体" w:cs="宋体"/>
                <w:color w:val="auto"/>
                <w:szCs w:val="21"/>
                <w:highlight w:val="none"/>
              </w:rPr>
              <w:t>踏勘现场</w:t>
            </w:r>
          </w:p>
        </w:tc>
        <w:tc>
          <w:tcPr>
            <w:tcW w:w="5899" w:type="dxa"/>
            <w:tcBorders>
              <w:right w:val="double" w:color="auto" w:sz="4" w:space="0"/>
            </w:tcBorders>
            <w:noWrap/>
            <w:vAlign w:val="center"/>
          </w:tcPr>
          <w:p w14:paraId="4E229C5B">
            <w:pPr>
              <w:pStyle w:val="18"/>
              <w:snapToGrid w:val="0"/>
              <w:spacing w:line="288" w:lineRule="auto"/>
              <w:rPr>
                <w:rFonts w:ascii="宋体" w:hAnsi="宋体" w:cs="宋体"/>
                <w:color w:val="auto"/>
                <w:kern w:val="2"/>
                <w:sz w:val="21"/>
                <w:szCs w:val="21"/>
                <w:highlight w:val="none"/>
              </w:rPr>
            </w:pPr>
            <w:r>
              <w:rPr>
                <w:rFonts w:hint="eastAsia" w:ascii="宋体" w:hAnsi="宋体" w:cs="宋体"/>
                <w:color w:val="auto"/>
                <w:kern w:val="2"/>
                <w:sz w:val="21"/>
                <w:szCs w:val="21"/>
                <w:highlight w:val="none"/>
                <w:u w:val="single"/>
              </w:rPr>
              <w:t>自行踏勘，投标人不进行踏勘的，视为已熟知现场条件，自行承担相关风险。</w:t>
            </w:r>
          </w:p>
        </w:tc>
      </w:tr>
      <w:tr w14:paraId="2797CD4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6" w:type="dxa"/>
            <w:tcBorders>
              <w:left w:val="double" w:color="auto" w:sz="4" w:space="0"/>
            </w:tcBorders>
            <w:noWrap/>
            <w:vAlign w:val="center"/>
          </w:tcPr>
          <w:p w14:paraId="308F4DFD">
            <w:pPr>
              <w:snapToGrid w:val="0"/>
              <w:spacing w:line="288" w:lineRule="auto"/>
              <w:jc w:val="center"/>
              <w:rPr>
                <w:rFonts w:ascii="宋体" w:hAnsi="宋体" w:cs="宋体"/>
                <w:color w:val="auto"/>
                <w:szCs w:val="21"/>
                <w:highlight w:val="none"/>
              </w:rPr>
            </w:pPr>
            <w:r>
              <w:rPr>
                <w:rFonts w:hint="eastAsia" w:ascii="宋体" w:hAnsi="宋体" w:cs="宋体"/>
                <w:color w:val="auto"/>
                <w:szCs w:val="21"/>
                <w:highlight w:val="none"/>
              </w:rPr>
              <w:t>16</w:t>
            </w:r>
          </w:p>
        </w:tc>
        <w:tc>
          <w:tcPr>
            <w:tcW w:w="914" w:type="dxa"/>
            <w:noWrap/>
            <w:vAlign w:val="center"/>
          </w:tcPr>
          <w:p w14:paraId="0FC47DF9">
            <w:pPr>
              <w:snapToGrid w:val="0"/>
              <w:spacing w:line="288" w:lineRule="auto"/>
              <w:jc w:val="center"/>
              <w:rPr>
                <w:rFonts w:ascii="宋体" w:hAnsi="宋体" w:cs="宋体"/>
                <w:color w:val="auto"/>
                <w:szCs w:val="21"/>
                <w:highlight w:val="none"/>
              </w:rPr>
            </w:pPr>
            <w:r>
              <w:rPr>
                <w:rFonts w:hint="eastAsia" w:ascii="宋体" w:hAnsi="宋体" w:cs="宋体"/>
                <w:color w:val="auto"/>
                <w:szCs w:val="21"/>
                <w:highlight w:val="none"/>
              </w:rPr>
              <w:t>8</w:t>
            </w:r>
          </w:p>
        </w:tc>
        <w:tc>
          <w:tcPr>
            <w:tcW w:w="1823" w:type="dxa"/>
            <w:noWrap/>
            <w:vAlign w:val="center"/>
          </w:tcPr>
          <w:p w14:paraId="0DFC46F0">
            <w:pPr>
              <w:snapToGrid w:val="0"/>
              <w:spacing w:line="288" w:lineRule="auto"/>
              <w:jc w:val="center"/>
              <w:rPr>
                <w:rFonts w:ascii="宋体" w:hAnsi="宋体" w:cs="宋体"/>
                <w:color w:val="auto"/>
                <w:szCs w:val="21"/>
                <w:highlight w:val="none"/>
              </w:rPr>
            </w:pPr>
            <w:r>
              <w:rPr>
                <w:rFonts w:hint="eastAsia" w:ascii="宋体" w:hAnsi="宋体" w:cs="宋体"/>
                <w:color w:val="auto"/>
                <w:szCs w:val="21"/>
                <w:highlight w:val="none"/>
              </w:rPr>
              <w:t>投标答疑</w:t>
            </w:r>
          </w:p>
        </w:tc>
        <w:tc>
          <w:tcPr>
            <w:tcW w:w="5899" w:type="dxa"/>
            <w:tcBorders>
              <w:right w:val="double" w:color="auto" w:sz="4" w:space="0"/>
            </w:tcBorders>
            <w:noWrap/>
            <w:vAlign w:val="center"/>
          </w:tcPr>
          <w:p w14:paraId="06F09384">
            <w:pPr>
              <w:snapToGrid w:val="0"/>
              <w:spacing w:line="288" w:lineRule="auto"/>
              <w:rPr>
                <w:rFonts w:ascii="宋体" w:hAnsi="宋体" w:cs="宋体"/>
                <w:color w:val="auto"/>
                <w:szCs w:val="21"/>
                <w:highlight w:val="none"/>
              </w:rPr>
            </w:pPr>
            <w:r>
              <w:rPr>
                <w:rFonts w:hint="eastAsia" w:ascii="宋体" w:hAnsi="宋体" w:cs="宋体"/>
                <w:color w:val="auto"/>
                <w:szCs w:val="21"/>
                <w:highlight w:val="none"/>
              </w:rPr>
              <w:t>疑问提交时间：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时</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分前；</w:t>
            </w:r>
            <w:r>
              <w:rPr>
                <w:rFonts w:hint="eastAsia" w:ascii="宋体" w:hAnsi="宋体" w:cs="宋体"/>
                <w:color w:val="auto"/>
                <w:szCs w:val="21"/>
                <w:highlight w:val="none"/>
                <w:u w:val="single"/>
              </w:rPr>
              <w:t>(在递交投标文件截止日期前18日)</w:t>
            </w:r>
          </w:p>
          <w:p w14:paraId="44BFED7C">
            <w:pPr>
              <w:snapToGrid w:val="0"/>
              <w:spacing w:line="288" w:lineRule="auto"/>
              <w:rPr>
                <w:rFonts w:ascii="宋体" w:hAnsi="宋体" w:cs="宋体"/>
                <w:color w:val="auto"/>
                <w:szCs w:val="21"/>
                <w:highlight w:val="none"/>
              </w:rPr>
            </w:pPr>
            <w:r>
              <w:rPr>
                <w:rFonts w:hint="eastAsia" w:ascii="宋体" w:hAnsi="宋体" w:cs="宋体"/>
                <w:color w:val="auto"/>
                <w:szCs w:val="21"/>
                <w:highlight w:val="none"/>
              </w:rPr>
              <w:t>形式：投标人的疑问通过</w:t>
            </w:r>
            <w:r>
              <w:rPr>
                <w:rFonts w:hint="eastAsia" w:ascii="宋体" w:hAnsi="宋体" w:cs="宋体"/>
                <w:color w:val="auto"/>
                <w:szCs w:val="21"/>
                <w:highlight w:val="none"/>
                <w:u w:val="single"/>
              </w:rPr>
              <w:t>广州交易集团有限公司（广州公共资源交易中心）</w:t>
            </w:r>
            <w:r>
              <w:rPr>
                <w:rFonts w:hint="eastAsia" w:ascii="宋体" w:hAnsi="宋体" w:cs="宋体"/>
                <w:color w:val="auto"/>
                <w:szCs w:val="21"/>
                <w:highlight w:val="none"/>
              </w:rPr>
              <w:t>交易平台提交。</w:t>
            </w:r>
          </w:p>
          <w:p w14:paraId="3EE83733">
            <w:pPr>
              <w:snapToGrid w:val="0"/>
              <w:spacing w:line="288" w:lineRule="auto"/>
              <w:rPr>
                <w:rFonts w:ascii="宋体" w:hAnsi="宋体" w:cs="宋体"/>
                <w:color w:val="auto"/>
                <w:szCs w:val="21"/>
                <w:highlight w:val="none"/>
              </w:rPr>
            </w:pPr>
            <w:r>
              <w:rPr>
                <w:rFonts w:hint="eastAsia" w:ascii="宋体" w:hAnsi="宋体" w:cs="宋体"/>
                <w:color w:val="auto"/>
                <w:szCs w:val="21"/>
                <w:highlight w:val="none"/>
              </w:rPr>
              <w:t>具体要求：按照</w:t>
            </w:r>
            <w:r>
              <w:rPr>
                <w:rFonts w:hint="eastAsia" w:ascii="宋体" w:hAnsi="宋体" w:cs="宋体"/>
                <w:color w:val="auto"/>
                <w:szCs w:val="21"/>
                <w:highlight w:val="none"/>
                <w:u w:val="single"/>
              </w:rPr>
              <w:t>广州交易集团有限公司（广州公共资源交易中心）</w:t>
            </w:r>
            <w:r>
              <w:rPr>
                <w:rFonts w:hint="eastAsia" w:ascii="宋体" w:hAnsi="宋体" w:cs="宋体"/>
                <w:color w:val="auto"/>
                <w:szCs w:val="21"/>
                <w:highlight w:val="none"/>
              </w:rPr>
              <w:t>交易平台关于全流程电子化项目的相关指南进行操作，详见：</w:t>
            </w:r>
            <w:r>
              <w:rPr>
                <w:rFonts w:hint="eastAsia" w:ascii="宋体" w:hAnsi="宋体" w:cs="宋体"/>
                <w:color w:val="auto"/>
                <w:szCs w:val="21"/>
                <w:highlight w:val="none"/>
                <w:u w:val="single"/>
              </w:rPr>
              <w:t>广州交易集团有限公司（广州公共资源交易中心）最新指引</w:t>
            </w:r>
            <w:r>
              <w:rPr>
                <w:rFonts w:hint="eastAsia" w:ascii="宋体" w:hAnsi="宋体" w:cs="宋体"/>
                <w:color w:val="auto"/>
                <w:szCs w:val="21"/>
                <w:highlight w:val="none"/>
              </w:rPr>
              <w:t>。提问一律不得署名。</w:t>
            </w:r>
          </w:p>
        </w:tc>
      </w:tr>
      <w:tr w14:paraId="5A63502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6" w:type="dxa"/>
            <w:tcBorders>
              <w:left w:val="double" w:color="auto" w:sz="4" w:space="0"/>
            </w:tcBorders>
            <w:noWrap/>
            <w:vAlign w:val="center"/>
          </w:tcPr>
          <w:p w14:paraId="04F6DCF2">
            <w:pPr>
              <w:snapToGrid w:val="0"/>
              <w:spacing w:line="288" w:lineRule="auto"/>
              <w:jc w:val="center"/>
              <w:rPr>
                <w:rFonts w:ascii="宋体" w:hAnsi="宋体" w:cs="宋体"/>
                <w:color w:val="auto"/>
                <w:szCs w:val="21"/>
                <w:highlight w:val="none"/>
              </w:rPr>
            </w:pPr>
            <w:r>
              <w:rPr>
                <w:rFonts w:hint="eastAsia" w:ascii="宋体" w:hAnsi="宋体" w:cs="宋体"/>
                <w:color w:val="auto"/>
                <w:szCs w:val="21"/>
                <w:highlight w:val="none"/>
              </w:rPr>
              <w:t>17</w:t>
            </w:r>
          </w:p>
        </w:tc>
        <w:tc>
          <w:tcPr>
            <w:tcW w:w="914" w:type="dxa"/>
            <w:noWrap/>
            <w:vAlign w:val="center"/>
          </w:tcPr>
          <w:p w14:paraId="2A19F7CC">
            <w:pPr>
              <w:snapToGrid w:val="0"/>
              <w:spacing w:line="288" w:lineRule="auto"/>
              <w:jc w:val="center"/>
              <w:rPr>
                <w:rFonts w:ascii="宋体" w:hAnsi="宋体" w:cs="宋体"/>
                <w:color w:val="auto"/>
                <w:szCs w:val="21"/>
                <w:highlight w:val="none"/>
              </w:rPr>
            </w:pPr>
            <w:r>
              <w:rPr>
                <w:rFonts w:hint="eastAsia" w:ascii="宋体" w:hAnsi="宋体" w:cs="宋体"/>
                <w:color w:val="auto"/>
                <w:szCs w:val="21"/>
                <w:highlight w:val="none"/>
              </w:rPr>
              <w:t>20.1</w:t>
            </w:r>
          </w:p>
        </w:tc>
        <w:tc>
          <w:tcPr>
            <w:tcW w:w="1823" w:type="dxa"/>
            <w:noWrap/>
            <w:vAlign w:val="center"/>
          </w:tcPr>
          <w:p w14:paraId="20BC7F81">
            <w:pPr>
              <w:snapToGrid w:val="0"/>
              <w:spacing w:line="288" w:lineRule="auto"/>
              <w:jc w:val="center"/>
              <w:rPr>
                <w:rFonts w:ascii="宋体" w:hAnsi="宋体" w:cs="宋体"/>
                <w:color w:val="auto"/>
                <w:szCs w:val="21"/>
                <w:highlight w:val="none"/>
              </w:rPr>
            </w:pPr>
            <w:r>
              <w:rPr>
                <w:rFonts w:hint="eastAsia" w:ascii="宋体" w:hAnsi="宋体" w:cs="宋体"/>
                <w:color w:val="auto"/>
                <w:szCs w:val="21"/>
                <w:highlight w:val="none"/>
              </w:rPr>
              <w:t>投标截止时间</w:t>
            </w:r>
          </w:p>
        </w:tc>
        <w:tc>
          <w:tcPr>
            <w:tcW w:w="5899" w:type="dxa"/>
            <w:tcBorders>
              <w:right w:val="double" w:color="auto" w:sz="4" w:space="0"/>
            </w:tcBorders>
            <w:noWrap/>
            <w:vAlign w:val="center"/>
          </w:tcPr>
          <w:p w14:paraId="5FB23883">
            <w:pPr>
              <w:snapToGrid w:val="0"/>
              <w:spacing w:line="288" w:lineRule="auto"/>
              <w:rPr>
                <w:rFonts w:ascii="宋体" w:hAnsi="宋体" w:cs="宋体"/>
                <w:strike/>
                <w:color w:val="auto"/>
                <w:szCs w:val="21"/>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时</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分（北京时间）。</w:t>
            </w:r>
          </w:p>
        </w:tc>
      </w:tr>
      <w:tr w14:paraId="5A87912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6" w:type="dxa"/>
            <w:tcBorders>
              <w:left w:val="double" w:color="auto" w:sz="4" w:space="0"/>
            </w:tcBorders>
            <w:noWrap/>
            <w:vAlign w:val="center"/>
          </w:tcPr>
          <w:p w14:paraId="6095BD2B">
            <w:pPr>
              <w:snapToGrid w:val="0"/>
              <w:spacing w:line="288" w:lineRule="auto"/>
              <w:jc w:val="center"/>
              <w:rPr>
                <w:rFonts w:ascii="宋体" w:hAnsi="宋体" w:cs="宋体"/>
                <w:color w:val="auto"/>
                <w:szCs w:val="21"/>
                <w:highlight w:val="none"/>
              </w:rPr>
            </w:pPr>
            <w:r>
              <w:rPr>
                <w:rFonts w:hint="eastAsia" w:ascii="宋体" w:hAnsi="宋体" w:cs="宋体"/>
                <w:color w:val="auto"/>
                <w:szCs w:val="21"/>
                <w:highlight w:val="none"/>
              </w:rPr>
              <w:t>18</w:t>
            </w:r>
          </w:p>
        </w:tc>
        <w:tc>
          <w:tcPr>
            <w:tcW w:w="914" w:type="dxa"/>
            <w:noWrap/>
            <w:vAlign w:val="center"/>
          </w:tcPr>
          <w:p w14:paraId="0AE8389C">
            <w:pPr>
              <w:snapToGrid w:val="0"/>
              <w:spacing w:line="288" w:lineRule="auto"/>
              <w:jc w:val="center"/>
              <w:rPr>
                <w:rFonts w:ascii="宋体" w:hAnsi="宋体" w:cs="宋体"/>
                <w:color w:val="auto"/>
                <w:szCs w:val="21"/>
                <w:highlight w:val="none"/>
              </w:rPr>
            </w:pPr>
            <w:r>
              <w:rPr>
                <w:rFonts w:hint="eastAsia" w:ascii="宋体" w:hAnsi="宋体" w:cs="宋体"/>
                <w:color w:val="auto"/>
                <w:szCs w:val="21"/>
                <w:highlight w:val="none"/>
              </w:rPr>
              <w:t>20.1</w:t>
            </w:r>
          </w:p>
        </w:tc>
        <w:tc>
          <w:tcPr>
            <w:tcW w:w="1823" w:type="dxa"/>
            <w:noWrap/>
            <w:vAlign w:val="center"/>
          </w:tcPr>
          <w:p w14:paraId="0CD12E83">
            <w:pPr>
              <w:snapToGrid w:val="0"/>
              <w:spacing w:line="288" w:lineRule="auto"/>
              <w:jc w:val="center"/>
              <w:rPr>
                <w:rFonts w:ascii="宋体" w:hAnsi="宋体" w:cs="宋体"/>
                <w:color w:val="auto"/>
                <w:szCs w:val="21"/>
                <w:highlight w:val="none"/>
              </w:rPr>
            </w:pPr>
            <w:r>
              <w:rPr>
                <w:rFonts w:hint="eastAsia" w:ascii="宋体" w:hAnsi="宋体" w:cs="宋体"/>
                <w:color w:val="auto"/>
                <w:szCs w:val="21"/>
                <w:highlight w:val="none"/>
              </w:rPr>
              <w:t>开标开始时间和地点</w:t>
            </w:r>
          </w:p>
        </w:tc>
        <w:tc>
          <w:tcPr>
            <w:tcW w:w="5899" w:type="dxa"/>
            <w:tcBorders>
              <w:right w:val="double" w:color="auto" w:sz="4" w:space="0"/>
            </w:tcBorders>
            <w:noWrap/>
            <w:vAlign w:val="center"/>
          </w:tcPr>
          <w:p w14:paraId="7E1E9579">
            <w:pPr>
              <w:snapToGrid w:val="0"/>
              <w:spacing w:line="288" w:lineRule="auto"/>
              <w:rPr>
                <w:rFonts w:ascii="宋体" w:hAnsi="宋体" w:cs="宋体"/>
                <w:color w:val="auto"/>
                <w:szCs w:val="21"/>
                <w:highlight w:val="none"/>
              </w:rPr>
            </w:pPr>
            <w:r>
              <w:rPr>
                <w:rFonts w:hint="eastAsia" w:ascii="宋体" w:hAnsi="宋体" w:cs="宋体"/>
                <w:color w:val="auto"/>
                <w:szCs w:val="21"/>
                <w:highlight w:val="none"/>
              </w:rPr>
              <w:t>（技术标和经济标同时开标）</w:t>
            </w:r>
          </w:p>
          <w:p w14:paraId="4373D356">
            <w:pPr>
              <w:snapToGrid w:val="0"/>
              <w:spacing w:line="288" w:lineRule="auto"/>
              <w:jc w:val="left"/>
              <w:rPr>
                <w:rFonts w:ascii="宋体" w:hAnsi="宋体" w:cs="宋体"/>
                <w:color w:val="auto"/>
                <w:szCs w:val="21"/>
                <w:highlight w:val="none"/>
              </w:rPr>
            </w:pPr>
            <w:r>
              <w:rPr>
                <w:rFonts w:hint="eastAsia" w:ascii="宋体" w:hAnsi="宋体" w:cs="宋体"/>
                <w:color w:val="auto"/>
                <w:szCs w:val="21"/>
                <w:highlight w:val="none"/>
              </w:rPr>
              <w:t>1、开标开始时间：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时</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分（与投标截止时间为同一时间），地点：</w:t>
            </w:r>
            <w:r>
              <w:rPr>
                <w:rFonts w:hint="eastAsia" w:ascii="宋体" w:hAnsi="宋体" w:cs="宋体"/>
                <w:color w:val="auto"/>
                <w:szCs w:val="21"/>
                <w:highlight w:val="none"/>
                <w:u w:val="single"/>
              </w:rPr>
              <w:t>广州交易集团有限公司（广州公共资源交易中心）指定开标室</w:t>
            </w:r>
            <w:r>
              <w:rPr>
                <w:rFonts w:hint="eastAsia" w:ascii="宋体" w:hAnsi="宋体" w:cs="宋体"/>
                <w:color w:val="auto"/>
                <w:szCs w:val="21"/>
                <w:highlight w:val="none"/>
              </w:rPr>
              <w:t>。投标人也可选择参加在线开标，具体按照交易平台相关指南进行操作。详见：</w:t>
            </w:r>
            <w:r>
              <w:rPr>
                <w:rFonts w:hint="eastAsia" w:ascii="宋体" w:hAnsi="宋体" w:cs="宋体"/>
                <w:color w:val="auto"/>
                <w:szCs w:val="21"/>
                <w:highlight w:val="none"/>
                <w:u w:val="single"/>
              </w:rPr>
              <w:t>广州交易集团有限公司（广州公共资源交易中心）网站最新指引</w:t>
            </w:r>
            <w:r>
              <w:rPr>
                <w:rFonts w:hint="eastAsia" w:ascii="宋体" w:hAnsi="宋体" w:cs="宋体"/>
                <w:color w:val="auto"/>
                <w:szCs w:val="21"/>
                <w:highlight w:val="none"/>
              </w:rPr>
              <w:t>。</w:t>
            </w:r>
          </w:p>
          <w:p w14:paraId="78CF2BCD">
            <w:pPr>
              <w:snapToGrid w:val="0"/>
              <w:spacing w:line="288" w:lineRule="auto"/>
              <w:jc w:val="left"/>
              <w:rPr>
                <w:rFonts w:ascii="宋体" w:hAnsi="宋体" w:cs="宋体"/>
                <w:color w:val="auto"/>
                <w:szCs w:val="21"/>
                <w:highlight w:val="none"/>
              </w:rPr>
            </w:pPr>
            <w:r>
              <w:rPr>
                <w:rFonts w:hint="eastAsia" w:ascii="宋体" w:hAnsi="宋体" w:cs="宋体"/>
                <w:color w:val="auto"/>
                <w:szCs w:val="21"/>
                <w:highlight w:val="none"/>
              </w:rPr>
              <w:t>注：投标文件解密问题。投标人只用执行一次解密，招标人执行解密次数根据招标文件开标次数确定。</w:t>
            </w:r>
          </w:p>
          <w:p w14:paraId="706A3993">
            <w:pPr>
              <w:snapToGrid w:val="0"/>
              <w:spacing w:line="288" w:lineRule="auto"/>
              <w:jc w:val="left"/>
              <w:rPr>
                <w:rFonts w:ascii="宋体" w:hAnsi="宋体" w:cs="宋体"/>
                <w:color w:val="auto"/>
                <w:szCs w:val="21"/>
                <w:highlight w:val="none"/>
              </w:rPr>
            </w:pPr>
            <w:r>
              <w:rPr>
                <w:rFonts w:hint="eastAsia" w:ascii="宋体" w:hAnsi="宋体" w:cs="宋体"/>
                <w:color w:val="auto"/>
                <w:szCs w:val="21"/>
                <w:highlight w:val="none"/>
              </w:rPr>
              <w:t>2、递交投标文件备用光盘时间：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时</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分至</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时</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分；递交地点：</w:t>
            </w:r>
            <w:r>
              <w:rPr>
                <w:rFonts w:hint="eastAsia" w:ascii="宋体" w:hAnsi="宋体" w:cs="宋体"/>
                <w:color w:val="auto"/>
                <w:szCs w:val="21"/>
                <w:highlight w:val="none"/>
                <w:u w:val="single"/>
              </w:rPr>
              <w:t>广州交易集团有限公司（广州公共资源交易中心）指定开标室</w:t>
            </w:r>
            <w:r>
              <w:rPr>
                <w:rFonts w:hint="eastAsia" w:ascii="宋体" w:hAnsi="宋体" w:cs="宋体"/>
                <w:color w:val="auto"/>
                <w:szCs w:val="21"/>
                <w:highlight w:val="none"/>
              </w:rPr>
              <w:t>。</w:t>
            </w:r>
          </w:p>
          <w:p w14:paraId="349DE528">
            <w:pPr>
              <w:snapToGrid w:val="0"/>
              <w:spacing w:line="288" w:lineRule="auto"/>
              <w:jc w:val="left"/>
              <w:rPr>
                <w:rFonts w:ascii="宋体" w:hAnsi="宋体" w:cs="宋体"/>
                <w:color w:val="auto"/>
                <w:szCs w:val="21"/>
                <w:highlight w:val="none"/>
              </w:rPr>
            </w:pPr>
            <w:r>
              <w:rPr>
                <w:rFonts w:hint="eastAsia" w:ascii="宋体" w:hAnsi="宋体" w:cs="宋体"/>
                <w:color w:val="auto"/>
                <w:szCs w:val="21"/>
                <w:highlight w:val="none"/>
                <w:u w:val="single"/>
              </w:rPr>
              <w:t>3、投标人应在投标文件递交截止时间前通过广州交易集团有限公司（广州公共资源交易中心）电子招标投标交易平台递交电子投标文件。</w:t>
            </w:r>
          </w:p>
          <w:p w14:paraId="580BF919">
            <w:pPr>
              <w:snapToGrid w:val="0"/>
              <w:spacing w:line="288" w:lineRule="auto"/>
              <w:jc w:val="left"/>
              <w:rPr>
                <w:rFonts w:ascii="宋体" w:hAnsi="宋体" w:cs="宋体"/>
                <w:color w:val="auto"/>
                <w:szCs w:val="21"/>
                <w:highlight w:val="none"/>
              </w:rPr>
            </w:pPr>
            <w:r>
              <w:rPr>
                <w:rFonts w:hint="eastAsia" w:ascii="宋体" w:hAnsi="宋体" w:cs="宋体"/>
                <w:color w:val="auto"/>
                <w:szCs w:val="21"/>
                <w:highlight w:val="none"/>
              </w:rPr>
              <w:t>上述时间及地点是否有改变，请密切留意补充公告（如有）和招标澄清答疑纪要（如有）的相关信息。</w:t>
            </w:r>
          </w:p>
          <w:p w14:paraId="01CC2AB2">
            <w:pPr>
              <w:snapToGrid w:val="0"/>
              <w:spacing w:line="288" w:lineRule="auto"/>
              <w:jc w:val="left"/>
              <w:rPr>
                <w:rFonts w:ascii="宋体" w:hAnsi="宋体" w:cs="宋体"/>
                <w:color w:val="auto"/>
                <w:szCs w:val="21"/>
                <w:highlight w:val="none"/>
              </w:rPr>
            </w:pPr>
            <w:r>
              <w:rPr>
                <w:rFonts w:hint="eastAsia" w:ascii="宋体" w:hAnsi="宋体" w:cs="宋体"/>
                <w:color w:val="auto"/>
                <w:szCs w:val="21"/>
                <w:highlight w:val="none"/>
              </w:rPr>
              <w:t>本项目各项投标活动可通过广州交易集团有限公司（广州公共资源交易中心）网站查询具体的时间和场地安排。投标人可登录广州交易集团有限公司（广州公共资源交易中心）网站首页，点击“交易业务-建设工程”专栏中的“项目查询（日程安排、答疑纪要）”，输入项目编号或项目名称查询最新信息。</w:t>
            </w:r>
          </w:p>
        </w:tc>
      </w:tr>
      <w:tr w14:paraId="40E992A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6" w:type="dxa"/>
            <w:tcBorders>
              <w:left w:val="double" w:color="auto" w:sz="4" w:space="0"/>
            </w:tcBorders>
            <w:noWrap/>
            <w:vAlign w:val="center"/>
          </w:tcPr>
          <w:p w14:paraId="20EEA62E">
            <w:pPr>
              <w:snapToGrid w:val="0"/>
              <w:spacing w:line="288" w:lineRule="auto"/>
              <w:jc w:val="center"/>
              <w:rPr>
                <w:rFonts w:ascii="宋体" w:hAnsi="宋体" w:cs="宋体"/>
                <w:color w:val="auto"/>
                <w:szCs w:val="21"/>
                <w:highlight w:val="none"/>
              </w:rPr>
            </w:pPr>
            <w:r>
              <w:rPr>
                <w:rFonts w:hint="eastAsia" w:ascii="宋体" w:hAnsi="宋体" w:cs="宋体"/>
                <w:color w:val="auto"/>
                <w:szCs w:val="21"/>
                <w:highlight w:val="none"/>
              </w:rPr>
              <w:t>19</w:t>
            </w:r>
          </w:p>
        </w:tc>
        <w:tc>
          <w:tcPr>
            <w:tcW w:w="914" w:type="dxa"/>
            <w:noWrap/>
            <w:vAlign w:val="center"/>
          </w:tcPr>
          <w:p w14:paraId="692C5E14">
            <w:pPr>
              <w:snapToGrid w:val="0"/>
              <w:spacing w:line="288" w:lineRule="auto"/>
              <w:jc w:val="center"/>
              <w:rPr>
                <w:rFonts w:ascii="宋体" w:hAnsi="宋体" w:cs="宋体"/>
                <w:color w:val="auto"/>
                <w:szCs w:val="21"/>
                <w:highlight w:val="none"/>
              </w:rPr>
            </w:pPr>
            <w:r>
              <w:rPr>
                <w:rFonts w:hint="eastAsia" w:ascii="宋体" w:hAnsi="宋体" w:cs="宋体"/>
                <w:color w:val="auto"/>
                <w:szCs w:val="21"/>
                <w:highlight w:val="none"/>
              </w:rPr>
              <w:t>26</w:t>
            </w:r>
          </w:p>
        </w:tc>
        <w:tc>
          <w:tcPr>
            <w:tcW w:w="1823" w:type="dxa"/>
            <w:noWrap/>
            <w:vAlign w:val="center"/>
          </w:tcPr>
          <w:p w14:paraId="6DC093BD">
            <w:pPr>
              <w:pStyle w:val="31"/>
              <w:snapToGrid w:val="0"/>
              <w:spacing w:after="0" w:line="288" w:lineRule="auto"/>
              <w:ind w:firstLine="0"/>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u w:val="single"/>
              </w:rPr>
              <w:t>评标办法采用评定分离</w:t>
            </w:r>
          </w:p>
        </w:tc>
        <w:tc>
          <w:tcPr>
            <w:tcW w:w="5899" w:type="dxa"/>
            <w:tcBorders>
              <w:right w:val="double" w:color="auto" w:sz="4" w:space="0"/>
            </w:tcBorders>
            <w:noWrap/>
            <w:vAlign w:val="center"/>
          </w:tcPr>
          <w:p w14:paraId="7E3C695C">
            <w:pPr>
              <w:snapToGrid w:val="0"/>
              <w:spacing w:line="288" w:lineRule="auto"/>
              <w:jc w:val="left"/>
              <w:rPr>
                <w:rFonts w:hint="eastAsia" w:ascii="宋体" w:hAnsi="宋体" w:cs="宋体"/>
                <w:color w:val="auto"/>
                <w:szCs w:val="21"/>
                <w:highlight w:val="none"/>
              </w:rPr>
            </w:pPr>
            <w:r>
              <w:rPr>
                <w:rFonts w:hint="eastAsia" w:ascii="宋体" w:hAnsi="宋体" w:cs="宋体"/>
                <w:color w:val="auto"/>
                <w:szCs w:val="21"/>
                <w:highlight w:val="none"/>
              </w:rPr>
              <w:t>采用评定分离评标定标办法：</w:t>
            </w:r>
          </w:p>
          <w:p w14:paraId="101E365D">
            <w:pPr>
              <w:snapToGrid w:val="0"/>
              <w:spacing w:line="288" w:lineRule="auto"/>
              <w:jc w:val="left"/>
              <w:rPr>
                <w:rFonts w:hint="eastAsia" w:ascii="宋体" w:hAnsi="宋体" w:cs="宋体"/>
                <w:color w:val="auto"/>
                <w:szCs w:val="21"/>
                <w:highlight w:val="none"/>
                <w:lang w:eastAsia="zh-CN"/>
              </w:rPr>
            </w:pPr>
            <w:r>
              <w:rPr>
                <w:rFonts w:hint="eastAsia" w:ascii="宋体" w:hAnsi="宋体" w:cs="宋体"/>
                <w:color w:val="auto"/>
                <w:szCs w:val="21"/>
                <w:highlight w:val="none"/>
              </w:rPr>
              <w:t>评标采用“有限数量制评审法”推荐合格中标候选人</w:t>
            </w:r>
            <w:r>
              <w:rPr>
                <w:rFonts w:hint="eastAsia" w:ascii="宋体" w:hAnsi="宋体" w:cs="宋体"/>
                <w:color w:val="auto"/>
                <w:szCs w:val="21"/>
                <w:highlight w:val="none"/>
                <w:lang w:eastAsia="zh-CN"/>
              </w:rPr>
              <w:t>。</w:t>
            </w:r>
          </w:p>
          <w:p w14:paraId="1E69ADF3">
            <w:pPr>
              <w:snapToGrid w:val="0"/>
              <w:spacing w:line="288" w:lineRule="auto"/>
              <w:jc w:val="left"/>
              <w:rPr>
                <w:rFonts w:hint="eastAsia" w:ascii="宋体" w:hAnsi="宋体" w:cs="宋体"/>
                <w:color w:val="auto"/>
                <w:szCs w:val="21"/>
                <w:highlight w:val="none"/>
              </w:rPr>
            </w:pPr>
            <w:r>
              <w:rPr>
                <w:rFonts w:hint="eastAsia" w:ascii="宋体" w:hAnsi="宋体" w:cs="宋体"/>
                <w:color w:val="auto"/>
                <w:szCs w:val="21"/>
                <w:highlight w:val="none"/>
              </w:rPr>
              <w:t>评标选用：选取方法七（适合综合评分法四，技术标与经济标同时开启）</w:t>
            </w:r>
          </w:p>
          <w:p w14:paraId="7F6B5ED6">
            <w:pPr>
              <w:snapToGrid w:val="0"/>
              <w:spacing w:line="288" w:lineRule="auto"/>
              <w:jc w:val="left"/>
              <w:rPr>
                <w:rFonts w:hint="eastAsia" w:ascii="宋体" w:hAnsi="宋体" w:eastAsia="宋体" w:cs="宋体"/>
                <w:color w:val="auto"/>
                <w:sz w:val="21"/>
                <w:szCs w:val="21"/>
                <w:highlight w:val="none"/>
                <w:u w:val="none"/>
                <w:lang w:val="en-US" w:eastAsia="zh-CN"/>
              </w:rPr>
            </w:pPr>
            <w:r>
              <w:rPr>
                <w:rFonts w:hint="eastAsia" w:ascii="宋体" w:hAnsi="宋体" w:cs="宋体"/>
                <w:color w:val="auto"/>
                <w:szCs w:val="21"/>
                <w:highlight w:val="none"/>
              </w:rPr>
              <w:t>技术分（100分）=企业资信（</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0分）＋项目组织管理机构能力（</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0分）＋</w:t>
            </w:r>
            <w:r>
              <w:rPr>
                <w:rFonts w:hint="eastAsia" w:ascii="宋体" w:hAnsi="宋体" w:cs="宋体"/>
                <w:color w:val="auto"/>
                <w:szCs w:val="21"/>
                <w:highlight w:val="none"/>
                <w:lang w:val="en-US" w:eastAsia="zh-CN"/>
              </w:rPr>
              <w:t>施工组织设计</w:t>
            </w:r>
            <w:r>
              <w:rPr>
                <w:rFonts w:hint="eastAsia" w:ascii="宋体" w:hAnsi="宋体" w:cs="宋体"/>
                <w:color w:val="auto"/>
                <w:szCs w:val="21"/>
                <w:highlight w:val="none"/>
              </w:rPr>
              <w:t>（</w:t>
            </w:r>
            <w:r>
              <w:rPr>
                <w:rFonts w:hint="eastAsia" w:ascii="宋体" w:hAnsi="宋体" w:cs="宋体"/>
                <w:color w:val="auto"/>
                <w:sz w:val="21"/>
                <w:szCs w:val="21"/>
                <w:highlight w:val="none"/>
                <w:u w:val="none"/>
                <w:lang w:val="en-US" w:eastAsia="zh-CN"/>
              </w:rPr>
              <w:t>5</w:t>
            </w:r>
            <w:r>
              <w:rPr>
                <w:rFonts w:hint="eastAsia" w:ascii="宋体" w:hAnsi="宋体" w:eastAsia="宋体" w:cs="宋体"/>
                <w:color w:val="auto"/>
                <w:sz w:val="21"/>
                <w:szCs w:val="21"/>
                <w:highlight w:val="none"/>
                <w:u w:val="none"/>
              </w:rPr>
              <w:t>0分）</w:t>
            </w:r>
          </w:p>
          <w:p w14:paraId="109DA176">
            <w:pPr>
              <w:pStyle w:val="31"/>
              <w:keepNext w:val="0"/>
              <w:keepLines w:val="0"/>
              <w:pageBreakBefore w:val="0"/>
              <w:widowControl w:val="0"/>
              <w:kinsoku/>
              <w:wordWrap/>
              <w:overflowPunct/>
              <w:topLinePunct w:val="0"/>
              <w:autoSpaceDE/>
              <w:autoSpaceDN/>
              <w:bidi w:val="0"/>
              <w:adjustRightInd/>
              <w:snapToGrid w:val="0"/>
              <w:spacing w:after="0" w:line="288" w:lineRule="auto"/>
              <w:ind w:firstLine="0"/>
              <w:textAlignment w:val="auto"/>
              <w:rPr>
                <w:rFonts w:hint="eastAsia" w:ascii="宋体" w:hAnsi="宋体" w:cs="宋体"/>
                <w:color w:val="auto"/>
                <w:highlight w:val="none"/>
                <w:u w:val="none"/>
              </w:rPr>
            </w:pPr>
            <w:r>
              <w:rPr>
                <w:rFonts w:hint="eastAsia" w:ascii="宋体" w:hAnsi="宋体" w:eastAsia="宋体" w:cs="宋体"/>
                <w:color w:val="auto"/>
                <w:sz w:val="21"/>
                <w:szCs w:val="21"/>
                <w:highlight w:val="none"/>
                <w:u w:val="none"/>
              </w:rPr>
              <w:t>总得分=技术分×技术分权重（</w:t>
            </w:r>
            <w:r>
              <w:rPr>
                <w:rFonts w:hint="eastAsia" w:ascii="宋体" w:hAnsi="宋体" w:cs="宋体"/>
                <w:color w:val="auto"/>
                <w:sz w:val="21"/>
                <w:szCs w:val="21"/>
                <w:highlight w:val="none"/>
                <w:u w:val="none"/>
                <w:lang w:val="en-US" w:eastAsia="zh-CN"/>
              </w:rPr>
              <w:t>40</w:t>
            </w:r>
            <w:r>
              <w:rPr>
                <w:rFonts w:hint="eastAsia" w:ascii="宋体" w:hAnsi="宋体" w:eastAsia="宋体" w:cs="宋体"/>
                <w:color w:val="auto"/>
                <w:sz w:val="21"/>
                <w:szCs w:val="21"/>
                <w:highlight w:val="none"/>
                <w:u w:val="none"/>
              </w:rPr>
              <w:t>%）+经济分×经济分权重（</w:t>
            </w:r>
            <w:r>
              <w:rPr>
                <w:rFonts w:hint="eastAsia" w:ascii="宋体" w:hAnsi="宋体" w:cs="宋体"/>
                <w:color w:val="auto"/>
                <w:sz w:val="21"/>
                <w:szCs w:val="21"/>
                <w:highlight w:val="none"/>
                <w:u w:val="none"/>
                <w:lang w:val="en-US" w:eastAsia="zh-CN"/>
              </w:rPr>
              <w:t>6</w:t>
            </w:r>
            <w:r>
              <w:rPr>
                <w:rFonts w:hint="eastAsia" w:ascii="宋体" w:hAnsi="宋体" w:eastAsia="宋体" w:cs="宋体"/>
                <w:color w:val="auto"/>
                <w:sz w:val="21"/>
                <w:szCs w:val="21"/>
                <w:highlight w:val="none"/>
                <w:u w:val="none"/>
              </w:rPr>
              <w:t>0%）</w:t>
            </w:r>
          </w:p>
          <w:p w14:paraId="3A4F3888">
            <w:pPr>
              <w:pStyle w:val="31"/>
              <w:keepNext w:val="0"/>
              <w:keepLines w:val="0"/>
              <w:pageBreakBefore w:val="0"/>
              <w:widowControl w:val="0"/>
              <w:kinsoku/>
              <w:wordWrap/>
              <w:overflowPunct/>
              <w:topLinePunct w:val="0"/>
              <w:autoSpaceDE/>
              <w:autoSpaceDN/>
              <w:bidi w:val="0"/>
              <w:adjustRightInd/>
              <w:snapToGrid w:val="0"/>
              <w:spacing w:after="0" w:line="288" w:lineRule="auto"/>
              <w:ind w:firstLine="0"/>
              <w:textAlignment w:val="auto"/>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1.推荐</w:t>
            </w:r>
            <w:r>
              <w:rPr>
                <w:rFonts w:hint="eastAsia" w:ascii="宋体" w:hAnsi="宋体" w:cs="宋体"/>
                <w:b/>
                <w:bCs/>
                <w:color w:val="auto"/>
                <w:kern w:val="2"/>
                <w:sz w:val="21"/>
                <w:szCs w:val="21"/>
                <w:highlight w:val="none"/>
              </w:rPr>
              <w:t>3-</w:t>
            </w:r>
            <w:r>
              <w:rPr>
                <w:rFonts w:hint="eastAsia" w:ascii="宋体" w:hAnsi="宋体" w:cs="宋体"/>
                <w:b/>
                <w:bCs/>
                <w:color w:val="auto"/>
                <w:kern w:val="2"/>
                <w:sz w:val="21"/>
                <w:szCs w:val="21"/>
                <w:highlight w:val="none"/>
                <w:lang w:val="en-US" w:eastAsia="zh-CN"/>
              </w:rPr>
              <w:t>8</w:t>
            </w:r>
            <w:r>
              <w:rPr>
                <w:rFonts w:hint="eastAsia" w:ascii="宋体" w:hAnsi="宋体" w:cs="宋体"/>
                <w:b/>
                <w:bCs/>
                <w:color w:val="auto"/>
                <w:kern w:val="2"/>
                <w:sz w:val="21"/>
                <w:szCs w:val="21"/>
                <w:highlight w:val="none"/>
              </w:rPr>
              <w:t>名</w:t>
            </w:r>
            <w:r>
              <w:rPr>
                <w:rFonts w:hint="eastAsia" w:ascii="宋体" w:hAnsi="宋体" w:cs="宋体"/>
                <w:color w:val="auto"/>
                <w:kern w:val="2"/>
                <w:sz w:val="21"/>
                <w:szCs w:val="21"/>
                <w:highlight w:val="none"/>
              </w:rPr>
              <w:t>合格中标候选人，推荐方式如下：</w:t>
            </w:r>
          </w:p>
          <w:p w14:paraId="58491481">
            <w:pPr>
              <w:pStyle w:val="31"/>
              <w:keepNext w:val="0"/>
              <w:keepLines w:val="0"/>
              <w:pageBreakBefore w:val="0"/>
              <w:widowControl w:val="0"/>
              <w:kinsoku/>
              <w:wordWrap/>
              <w:overflowPunct/>
              <w:topLinePunct w:val="0"/>
              <w:autoSpaceDE/>
              <w:autoSpaceDN/>
              <w:bidi w:val="0"/>
              <w:adjustRightInd/>
              <w:snapToGrid w:val="0"/>
              <w:spacing w:after="0" w:line="288" w:lineRule="auto"/>
              <w:ind w:firstLine="0"/>
              <w:textAlignment w:val="auto"/>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（1）对于投标报价低于成本警示价的投标人：</w:t>
            </w:r>
          </w:p>
          <w:p w14:paraId="12F30BFB">
            <w:pPr>
              <w:pStyle w:val="31"/>
              <w:keepNext w:val="0"/>
              <w:keepLines w:val="0"/>
              <w:pageBreakBefore w:val="0"/>
              <w:widowControl w:val="0"/>
              <w:kinsoku/>
              <w:wordWrap/>
              <w:overflowPunct/>
              <w:topLinePunct w:val="0"/>
              <w:autoSpaceDE/>
              <w:autoSpaceDN/>
              <w:bidi w:val="0"/>
              <w:adjustRightInd/>
              <w:snapToGrid w:val="0"/>
              <w:spacing w:after="0" w:line="288" w:lineRule="auto"/>
              <w:ind w:firstLine="0"/>
              <w:textAlignment w:val="auto"/>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不参加经济标评审，但需参加技术标详细评审及经济标有效性审查。评标委员会根据</w:t>
            </w:r>
            <w:r>
              <w:rPr>
                <w:rFonts w:hint="eastAsia" w:ascii="宋体" w:hAnsi="宋体" w:cs="宋体"/>
                <w:b/>
                <w:bCs/>
                <w:color w:val="auto"/>
                <w:kern w:val="2"/>
                <w:sz w:val="21"/>
                <w:szCs w:val="21"/>
                <w:highlight w:val="none"/>
              </w:rPr>
              <w:t>技术分</w:t>
            </w:r>
            <w:r>
              <w:rPr>
                <w:rFonts w:hint="eastAsia" w:ascii="宋体" w:hAnsi="宋体" w:cs="宋体"/>
                <w:color w:val="auto"/>
                <w:kern w:val="2"/>
                <w:sz w:val="21"/>
                <w:szCs w:val="21"/>
                <w:highlight w:val="none"/>
              </w:rPr>
              <w:t>排序，推荐通过经济标有效性审查的前</w:t>
            </w:r>
            <w:r>
              <w:rPr>
                <w:rFonts w:hint="eastAsia" w:ascii="宋体" w:hAnsi="宋体" w:cs="宋体"/>
                <w:color w:val="auto"/>
                <w:kern w:val="2"/>
                <w:sz w:val="21"/>
                <w:szCs w:val="21"/>
                <w:highlight w:val="none"/>
                <w:lang w:val="en-US" w:eastAsia="zh-CN"/>
              </w:rPr>
              <w:t>1</w:t>
            </w:r>
            <w:r>
              <w:rPr>
                <w:rFonts w:hint="eastAsia" w:ascii="宋体" w:hAnsi="宋体" w:cs="宋体"/>
                <w:color w:val="auto"/>
                <w:kern w:val="2"/>
                <w:sz w:val="21"/>
                <w:szCs w:val="21"/>
                <w:highlight w:val="none"/>
              </w:rPr>
              <w:t>名投标人为合格中标候选人进入定标阶段。</w:t>
            </w:r>
          </w:p>
          <w:p w14:paraId="36D55FAA">
            <w:pPr>
              <w:pStyle w:val="31"/>
              <w:keepNext w:val="0"/>
              <w:keepLines w:val="0"/>
              <w:pageBreakBefore w:val="0"/>
              <w:widowControl w:val="0"/>
              <w:kinsoku/>
              <w:wordWrap/>
              <w:overflowPunct/>
              <w:topLinePunct w:val="0"/>
              <w:autoSpaceDE/>
              <w:autoSpaceDN/>
              <w:bidi w:val="0"/>
              <w:adjustRightInd/>
              <w:snapToGrid w:val="0"/>
              <w:spacing w:after="0" w:line="288" w:lineRule="auto"/>
              <w:ind w:firstLine="0"/>
              <w:textAlignment w:val="auto"/>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（2）对于投标报价不低于成本警示价的投标人推荐方式：</w:t>
            </w:r>
          </w:p>
          <w:p w14:paraId="71780FF9">
            <w:pPr>
              <w:pStyle w:val="31"/>
              <w:keepNext w:val="0"/>
              <w:keepLines w:val="0"/>
              <w:pageBreakBefore w:val="0"/>
              <w:widowControl w:val="0"/>
              <w:kinsoku/>
              <w:wordWrap/>
              <w:overflowPunct/>
              <w:topLinePunct w:val="0"/>
              <w:autoSpaceDE/>
              <w:autoSpaceDN/>
              <w:bidi w:val="0"/>
              <w:adjustRightInd/>
              <w:snapToGrid w:val="0"/>
              <w:spacing w:after="0" w:line="288" w:lineRule="auto"/>
              <w:ind w:firstLine="0"/>
              <w:textAlignment w:val="auto"/>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需参加技术标、经济标详细评审。评标委员会根据</w:t>
            </w:r>
            <w:r>
              <w:rPr>
                <w:rFonts w:hint="eastAsia" w:ascii="宋体" w:hAnsi="宋体" w:cs="宋体"/>
                <w:b/>
                <w:bCs/>
                <w:color w:val="auto"/>
                <w:kern w:val="2"/>
                <w:sz w:val="21"/>
                <w:szCs w:val="21"/>
                <w:highlight w:val="none"/>
              </w:rPr>
              <w:t>总得分</w:t>
            </w:r>
            <w:r>
              <w:rPr>
                <w:rFonts w:hint="eastAsia" w:ascii="宋体" w:hAnsi="宋体" w:cs="宋体"/>
                <w:color w:val="auto"/>
                <w:kern w:val="2"/>
                <w:sz w:val="21"/>
                <w:szCs w:val="21"/>
                <w:highlight w:val="none"/>
              </w:rPr>
              <w:t>排序，推荐前</w:t>
            </w:r>
            <w:r>
              <w:rPr>
                <w:rFonts w:hint="eastAsia" w:ascii="宋体" w:hAnsi="宋体" w:cs="宋体"/>
                <w:color w:val="auto"/>
                <w:kern w:val="2"/>
                <w:sz w:val="21"/>
                <w:szCs w:val="21"/>
                <w:highlight w:val="none"/>
                <w:lang w:val="en-US" w:eastAsia="zh-CN"/>
              </w:rPr>
              <w:t>7</w:t>
            </w:r>
            <w:r>
              <w:rPr>
                <w:rFonts w:hint="eastAsia" w:ascii="宋体" w:hAnsi="宋体" w:cs="宋体"/>
                <w:color w:val="auto"/>
                <w:kern w:val="2"/>
                <w:sz w:val="21"/>
                <w:szCs w:val="21"/>
                <w:highlight w:val="none"/>
              </w:rPr>
              <w:t>名投标人为合格中标候选人进入定标阶段。（若通过详细评审的投标人不足</w:t>
            </w:r>
            <w:r>
              <w:rPr>
                <w:rFonts w:hint="eastAsia" w:ascii="宋体" w:hAnsi="宋体" w:cs="宋体"/>
                <w:color w:val="auto"/>
                <w:kern w:val="2"/>
                <w:sz w:val="21"/>
                <w:szCs w:val="21"/>
                <w:highlight w:val="none"/>
                <w:lang w:val="en-US" w:eastAsia="zh-CN"/>
              </w:rPr>
              <w:t>7</w:t>
            </w:r>
            <w:r>
              <w:rPr>
                <w:rFonts w:hint="eastAsia" w:ascii="宋体" w:hAnsi="宋体" w:cs="宋体"/>
                <w:color w:val="auto"/>
                <w:kern w:val="2"/>
                <w:sz w:val="21"/>
                <w:szCs w:val="21"/>
                <w:highlight w:val="none"/>
              </w:rPr>
              <w:t>名，则通过详细评审的投标人投标人直接推荐为中标候选人）。</w:t>
            </w:r>
          </w:p>
          <w:p w14:paraId="023988D4">
            <w:pPr>
              <w:pStyle w:val="31"/>
              <w:keepNext w:val="0"/>
              <w:keepLines w:val="0"/>
              <w:pageBreakBefore w:val="0"/>
              <w:widowControl w:val="0"/>
              <w:kinsoku/>
              <w:wordWrap/>
              <w:overflowPunct/>
              <w:topLinePunct w:val="0"/>
              <w:autoSpaceDE/>
              <w:autoSpaceDN/>
              <w:bidi w:val="0"/>
              <w:adjustRightInd/>
              <w:snapToGrid w:val="0"/>
              <w:spacing w:after="0" w:line="288" w:lineRule="auto"/>
              <w:ind w:firstLine="0"/>
              <w:textAlignment w:val="auto"/>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2.当合格中标候选人小于3名时，招标人应重新招标。</w:t>
            </w:r>
          </w:p>
          <w:p w14:paraId="1C9C7F61">
            <w:pPr>
              <w:pStyle w:val="31"/>
              <w:keepNext w:val="0"/>
              <w:keepLines w:val="0"/>
              <w:pageBreakBefore w:val="0"/>
              <w:widowControl w:val="0"/>
              <w:kinsoku/>
              <w:wordWrap/>
              <w:overflowPunct/>
              <w:topLinePunct w:val="0"/>
              <w:autoSpaceDE/>
              <w:autoSpaceDN/>
              <w:bidi w:val="0"/>
              <w:adjustRightInd/>
              <w:snapToGrid w:val="0"/>
              <w:spacing w:after="0" w:line="288" w:lineRule="auto"/>
              <w:ind w:firstLine="0"/>
              <w:textAlignment w:val="auto"/>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【合格中标候选人不排序，按统一社会信用代码后4位（除校验码外）大小排位，如统一社会信用代码后4位出现字母情况的，字母以“0”进行代替大小排位；如出现后4位（除校验码外）大小一致的，则随机排位</w:t>
            </w:r>
            <w:r>
              <w:rPr>
                <w:rFonts w:ascii="宋体" w:hAnsi="宋体" w:eastAsia="宋体" w:cs="宋体"/>
                <w:b w:val="0"/>
                <w:color w:val="auto"/>
                <w:sz w:val="21"/>
                <w:szCs w:val="22"/>
                <w:highlight w:val="none"/>
                <w:u w:val="single"/>
              </w:rPr>
              <w:t>(联合体投标的按联合体主办方的统一社会信用代码排位)</w:t>
            </w:r>
            <w:r>
              <w:rPr>
                <w:rFonts w:hint="eastAsia" w:ascii="宋体" w:hAnsi="宋体" w:cs="宋体"/>
                <w:color w:val="auto"/>
                <w:kern w:val="2"/>
                <w:sz w:val="21"/>
                <w:szCs w:val="21"/>
                <w:highlight w:val="none"/>
              </w:rPr>
              <w:t>。】</w:t>
            </w:r>
          </w:p>
          <w:p w14:paraId="5271042F">
            <w:pPr>
              <w:pStyle w:val="31"/>
              <w:keepNext w:val="0"/>
              <w:keepLines w:val="0"/>
              <w:pageBreakBefore w:val="0"/>
              <w:widowControl w:val="0"/>
              <w:kinsoku/>
              <w:wordWrap/>
              <w:overflowPunct/>
              <w:topLinePunct w:val="0"/>
              <w:autoSpaceDE/>
              <w:autoSpaceDN/>
              <w:bidi w:val="0"/>
              <w:adjustRightInd/>
              <w:snapToGrid w:val="0"/>
              <w:spacing w:after="0" w:line="288" w:lineRule="auto"/>
              <w:ind w:firstLine="0"/>
              <w:textAlignment w:val="auto"/>
              <w:rPr>
                <w:rFonts w:hint="default" w:ascii="宋体" w:hAnsi="宋体" w:cs="宋体"/>
                <w:color w:val="auto"/>
                <w:kern w:val="2"/>
                <w:sz w:val="21"/>
                <w:szCs w:val="21"/>
                <w:highlight w:val="none"/>
                <w:lang w:val="en-US" w:eastAsia="zh-CN"/>
              </w:rPr>
            </w:pPr>
            <w:r>
              <w:rPr>
                <w:rFonts w:hint="eastAsia" w:ascii="宋体" w:hAnsi="宋体" w:cs="宋体"/>
                <w:color w:val="auto"/>
                <w:kern w:val="2"/>
                <w:sz w:val="21"/>
                <w:szCs w:val="21"/>
                <w:highlight w:val="none"/>
              </w:rPr>
              <w:t>定标采用</w:t>
            </w:r>
            <w:r>
              <w:rPr>
                <w:rFonts w:hint="eastAsia" w:ascii="宋体" w:hAnsi="宋体" w:cs="宋体"/>
                <w:color w:val="auto"/>
                <w:kern w:val="2"/>
                <w:sz w:val="21"/>
                <w:szCs w:val="21"/>
                <w:highlight w:val="none"/>
                <w:lang w:eastAsia="zh-CN"/>
              </w:rPr>
              <w:t>“</w:t>
            </w:r>
            <w:r>
              <w:rPr>
                <w:rFonts w:hint="eastAsia" w:ascii="宋体" w:hAnsi="宋体" w:cs="宋体"/>
                <w:color w:val="auto"/>
                <w:kern w:val="2"/>
                <w:sz w:val="21"/>
                <w:szCs w:val="21"/>
                <w:highlight w:val="none"/>
                <w:lang w:val="en-US" w:eastAsia="zh-CN"/>
              </w:rPr>
              <w:t>评分法</w:t>
            </w:r>
            <w:r>
              <w:rPr>
                <w:rFonts w:hint="eastAsia" w:ascii="宋体" w:hAnsi="宋体" w:cs="宋体"/>
                <w:color w:val="auto"/>
                <w:kern w:val="2"/>
                <w:sz w:val="21"/>
                <w:szCs w:val="21"/>
                <w:highlight w:val="none"/>
                <w:lang w:eastAsia="zh-CN"/>
              </w:rPr>
              <w:t>”</w:t>
            </w:r>
            <w:r>
              <w:rPr>
                <w:rFonts w:hint="eastAsia" w:ascii="宋体" w:hAnsi="宋体" w:cs="宋体"/>
                <w:color w:val="auto"/>
                <w:kern w:val="2"/>
                <w:sz w:val="21"/>
                <w:szCs w:val="21"/>
                <w:highlight w:val="none"/>
                <w:lang w:val="en-US" w:eastAsia="zh-CN"/>
              </w:rPr>
              <w:t>确认中标人。</w:t>
            </w:r>
          </w:p>
          <w:p w14:paraId="2506BE85">
            <w:pPr>
              <w:pStyle w:val="31"/>
              <w:keepNext w:val="0"/>
              <w:keepLines w:val="0"/>
              <w:pageBreakBefore w:val="0"/>
              <w:widowControl w:val="0"/>
              <w:kinsoku/>
              <w:wordWrap/>
              <w:overflowPunct/>
              <w:topLinePunct w:val="0"/>
              <w:autoSpaceDE/>
              <w:autoSpaceDN/>
              <w:bidi w:val="0"/>
              <w:adjustRightInd/>
              <w:snapToGrid w:val="0"/>
              <w:spacing w:after="0" w:line="288" w:lineRule="auto"/>
              <w:ind w:firstLine="0"/>
              <w:textAlignment w:val="auto"/>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定标因素为：（1）方案因素：定标委员会对合格中标候选人的投标文件施工组织设计进行评审，包括：施工组织方案、科技创新及保证措施、质量控制措施、BIM信息化技术应用方案等，鼓励将建筑业科技创新应用在项目中。</w:t>
            </w:r>
          </w:p>
          <w:p w14:paraId="7EB09263">
            <w:pPr>
              <w:pStyle w:val="31"/>
              <w:keepNext w:val="0"/>
              <w:keepLines w:val="0"/>
              <w:pageBreakBefore w:val="0"/>
              <w:widowControl w:val="0"/>
              <w:kinsoku/>
              <w:wordWrap/>
              <w:overflowPunct/>
              <w:topLinePunct w:val="0"/>
              <w:autoSpaceDE/>
              <w:autoSpaceDN/>
              <w:bidi w:val="0"/>
              <w:adjustRightInd/>
              <w:snapToGrid w:val="0"/>
              <w:spacing w:after="0" w:line="288" w:lineRule="auto"/>
              <w:ind w:firstLine="0"/>
              <w:textAlignment w:val="auto"/>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（2）答辩因素：答辩人员对本项目履约能力和履约水平进行介绍并接受定标委员会提问。</w:t>
            </w:r>
          </w:p>
          <w:p w14:paraId="191DABE9">
            <w:pPr>
              <w:pStyle w:val="31"/>
              <w:keepNext w:val="0"/>
              <w:keepLines w:val="0"/>
              <w:pageBreakBefore w:val="0"/>
              <w:widowControl w:val="0"/>
              <w:kinsoku/>
              <w:wordWrap/>
              <w:overflowPunct/>
              <w:topLinePunct w:val="0"/>
              <w:autoSpaceDE/>
              <w:autoSpaceDN/>
              <w:bidi w:val="0"/>
              <w:adjustRightInd/>
              <w:snapToGrid w:val="0"/>
              <w:spacing w:after="0" w:line="288" w:lineRule="auto"/>
              <w:ind w:firstLine="0"/>
              <w:textAlignment w:val="auto"/>
              <w:rPr>
                <w:rFonts w:hint="eastAsia" w:ascii="宋体" w:hAnsi="宋体" w:eastAsia="宋体" w:cs="宋体"/>
                <w:color w:val="auto"/>
                <w:kern w:val="2"/>
                <w:sz w:val="21"/>
                <w:szCs w:val="21"/>
                <w:highlight w:val="none"/>
                <w:lang w:eastAsia="zh-CN"/>
              </w:rPr>
            </w:pPr>
            <w:r>
              <w:rPr>
                <w:rFonts w:hint="eastAsia" w:ascii="宋体" w:hAnsi="宋体" w:cs="宋体"/>
                <w:color w:val="auto"/>
                <w:kern w:val="2"/>
                <w:sz w:val="21"/>
                <w:szCs w:val="21"/>
                <w:highlight w:val="none"/>
              </w:rPr>
              <w:t>投票规则：定标委员会根据定标因素对各合格中标候选人进行一轮一次性票决，每位定标委员会成员只有1票表决权（即只能对其中一家合格候选人投票），得票数最多的合格中标候选人确定为中标人，若出现票数相同且无法决出中标人时，对票数相同的合格中标候选人再进行附加的一次性票决，直至决出中标人。</w:t>
            </w:r>
          </w:p>
        </w:tc>
      </w:tr>
      <w:tr w14:paraId="2E58F21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686" w:type="dxa"/>
            <w:tcBorders>
              <w:left w:val="double" w:color="auto" w:sz="4" w:space="0"/>
            </w:tcBorders>
            <w:noWrap/>
            <w:vAlign w:val="center"/>
          </w:tcPr>
          <w:p w14:paraId="1B8802F5">
            <w:pPr>
              <w:snapToGrid w:val="0"/>
              <w:spacing w:line="288" w:lineRule="auto"/>
              <w:jc w:val="center"/>
              <w:rPr>
                <w:rFonts w:ascii="宋体" w:hAnsi="宋体" w:cs="宋体"/>
                <w:color w:val="auto"/>
                <w:szCs w:val="21"/>
                <w:highlight w:val="none"/>
              </w:rPr>
            </w:pPr>
            <w:r>
              <w:rPr>
                <w:rFonts w:hint="eastAsia" w:ascii="宋体" w:hAnsi="宋体" w:cs="宋体"/>
                <w:color w:val="auto"/>
                <w:szCs w:val="21"/>
                <w:highlight w:val="none"/>
              </w:rPr>
              <w:t>20</w:t>
            </w:r>
          </w:p>
        </w:tc>
        <w:tc>
          <w:tcPr>
            <w:tcW w:w="914" w:type="dxa"/>
            <w:noWrap/>
            <w:vAlign w:val="center"/>
          </w:tcPr>
          <w:p w14:paraId="04B74AE7">
            <w:pPr>
              <w:snapToGrid w:val="0"/>
              <w:spacing w:line="288" w:lineRule="auto"/>
              <w:jc w:val="center"/>
              <w:rPr>
                <w:rFonts w:ascii="宋体" w:hAnsi="宋体" w:cs="宋体"/>
                <w:color w:val="auto"/>
                <w:szCs w:val="21"/>
                <w:highlight w:val="none"/>
              </w:rPr>
            </w:pPr>
            <w:r>
              <w:rPr>
                <w:rFonts w:hint="eastAsia" w:ascii="宋体" w:hAnsi="宋体" w:cs="宋体"/>
                <w:color w:val="auto"/>
                <w:szCs w:val="21"/>
                <w:highlight w:val="none"/>
              </w:rPr>
              <w:t>29.1</w:t>
            </w:r>
          </w:p>
        </w:tc>
        <w:tc>
          <w:tcPr>
            <w:tcW w:w="1823" w:type="dxa"/>
            <w:noWrap/>
            <w:vAlign w:val="center"/>
          </w:tcPr>
          <w:p w14:paraId="1926C7D7">
            <w:pPr>
              <w:snapToGrid w:val="0"/>
              <w:spacing w:line="288" w:lineRule="auto"/>
              <w:jc w:val="center"/>
              <w:rPr>
                <w:rFonts w:ascii="宋体" w:hAnsi="宋体" w:cs="宋体"/>
                <w:color w:val="auto"/>
                <w:szCs w:val="21"/>
                <w:highlight w:val="none"/>
              </w:rPr>
            </w:pPr>
            <w:r>
              <w:rPr>
                <w:rFonts w:hint="eastAsia" w:ascii="宋体" w:hAnsi="宋体" w:cs="宋体"/>
                <w:color w:val="auto"/>
                <w:szCs w:val="21"/>
                <w:highlight w:val="none"/>
              </w:rPr>
              <w:t>履约担保</w:t>
            </w:r>
          </w:p>
        </w:tc>
        <w:tc>
          <w:tcPr>
            <w:tcW w:w="5899" w:type="dxa"/>
            <w:tcBorders>
              <w:right w:val="double" w:color="auto" w:sz="4" w:space="0"/>
            </w:tcBorders>
            <w:noWrap/>
            <w:vAlign w:val="center"/>
          </w:tcPr>
          <w:p w14:paraId="2E150730">
            <w:pPr>
              <w:snapToGrid w:val="0"/>
              <w:spacing w:line="288" w:lineRule="auto"/>
              <w:rPr>
                <w:rFonts w:ascii="宋体" w:hAnsi="宋体" w:cs="宋体"/>
                <w:color w:val="auto"/>
                <w:szCs w:val="21"/>
                <w:highlight w:val="none"/>
              </w:rPr>
            </w:pPr>
            <w:r>
              <w:rPr>
                <w:rFonts w:hint="eastAsia" w:ascii="宋体" w:hAnsi="宋体" w:cs="宋体"/>
                <w:color w:val="auto"/>
                <w:szCs w:val="21"/>
                <w:highlight w:val="none"/>
              </w:rPr>
              <w:t>方式一：中标人提供的履约担保金额为中标价款的10%。</w:t>
            </w:r>
          </w:p>
        </w:tc>
      </w:tr>
      <w:tr w14:paraId="7935A19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trPr>
        <w:tc>
          <w:tcPr>
            <w:tcW w:w="686" w:type="dxa"/>
            <w:tcBorders>
              <w:left w:val="double" w:color="auto" w:sz="4" w:space="0"/>
            </w:tcBorders>
            <w:noWrap/>
            <w:vAlign w:val="center"/>
          </w:tcPr>
          <w:p w14:paraId="0449D156">
            <w:pPr>
              <w:snapToGrid w:val="0"/>
              <w:spacing w:line="288" w:lineRule="auto"/>
              <w:jc w:val="center"/>
              <w:rPr>
                <w:rFonts w:ascii="宋体" w:hAnsi="宋体" w:cs="宋体"/>
                <w:color w:val="auto"/>
                <w:szCs w:val="21"/>
                <w:highlight w:val="none"/>
              </w:rPr>
            </w:pPr>
            <w:r>
              <w:rPr>
                <w:rFonts w:hint="eastAsia" w:ascii="宋体" w:hAnsi="宋体" w:cs="宋体"/>
                <w:color w:val="auto"/>
                <w:szCs w:val="21"/>
                <w:highlight w:val="none"/>
              </w:rPr>
              <w:t>21</w:t>
            </w:r>
          </w:p>
        </w:tc>
        <w:tc>
          <w:tcPr>
            <w:tcW w:w="914" w:type="dxa"/>
            <w:noWrap/>
            <w:vAlign w:val="center"/>
          </w:tcPr>
          <w:p w14:paraId="6E4511B4">
            <w:pPr>
              <w:snapToGrid w:val="0"/>
              <w:spacing w:line="288" w:lineRule="auto"/>
              <w:jc w:val="center"/>
              <w:rPr>
                <w:rFonts w:ascii="宋体" w:hAnsi="宋体" w:cs="宋体"/>
                <w:color w:val="auto"/>
                <w:szCs w:val="21"/>
                <w:highlight w:val="none"/>
              </w:rPr>
            </w:pPr>
          </w:p>
        </w:tc>
        <w:tc>
          <w:tcPr>
            <w:tcW w:w="1823" w:type="dxa"/>
            <w:noWrap/>
            <w:vAlign w:val="center"/>
          </w:tcPr>
          <w:p w14:paraId="1189C064">
            <w:pPr>
              <w:snapToGrid w:val="0"/>
              <w:spacing w:line="288" w:lineRule="auto"/>
              <w:jc w:val="center"/>
              <w:rPr>
                <w:rFonts w:ascii="宋体" w:hAnsi="宋体" w:cs="宋体"/>
                <w:color w:val="auto"/>
                <w:szCs w:val="21"/>
                <w:highlight w:val="none"/>
              </w:rPr>
            </w:pPr>
            <w:r>
              <w:rPr>
                <w:rFonts w:hint="eastAsia" w:ascii="宋体" w:hAnsi="宋体" w:cs="宋体"/>
                <w:color w:val="auto"/>
                <w:szCs w:val="21"/>
                <w:highlight w:val="none"/>
              </w:rPr>
              <w:t>最高投标限价</w:t>
            </w:r>
          </w:p>
        </w:tc>
        <w:tc>
          <w:tcPr>
            <w:tcW w:w="5899" w:type="dxa"/>
            <w:tcBorders>
              <w:right w:val="double" w:color="auto" w:sz="4" w:space="0"/>
            </w:tcBorders>
            <w:noWrap/>
            <w:vAlign w:val="center"/>
          </w:tcPr>
          <w:p w14:paraId="68E3EA61">
            <w:pPr>
              <w:snapToGrid w:val="0"/>
              <w:spacing w:line="288" w:lineRule="auto"/>
              <w:rPr>
                <w:rFonts w:ascii="宋体" w:hAnsi="宋体" w:cs="宋体"/>
                <w:color w:val="auto"/>
                <w:szCs w:val="21"/>
                <w:highlight w:val="none"/>
              </w:rPr>
            </w:pPr>
            <w:r>
              <w:rPr>
                <w:rFonts w:hint="eastAsia" w:ascii="宋体" w:hAnsi="宋体" w:cs="宋体"/>
                <w:color w:val="auto"/>
                <w:szCs w:val="21"/>
                <w:highlight w:val="none"/>
              </w:rPr>
              <w:t>本项目最高投标限价为人民币</w:t>
            </w:r>
            <w:r>
              <w:rPr>
                <w:rFonts w:hint="eastAsia" w:ascii="宋体" w:hAnsi="宋体" w:cs="宋体"/>
                <w:color w:val="auto"/>
                <w:szCs w:val="21"/>
                <w:highlight w:val="none"/>
                <w:u w:val="single"/>
                <w:lang w:val="en-US" w:eastAsia="zh-CN"/>
              </w:rPr>
              <w:t>431387871.30</w:t>
            </w:r>
            <w:r>
              <w:rPr>
                <w:rFonts w:hint="eastAsia" w:ascii="宋体" w:hAnsi="宋体" w:cs="宋体"/>
                <w:color w:val="auto"/>
                <w:szCs w:val="21"/>
                <w:highlight w:val="none"/>
              </w:rPr>
              <w:t>元。</w:t>
            </w:r>
            <w:r>
              <w:rPr>
                <w:rFonts w:hint="eastAsia" w:ascii="宋体" w:hAnsi="宋体" w:cs="宋体"/>
                <w:color w:val="auto"/>
                <w:szCs w:val="21"/>
                <w:highlight w:val="none"/>
                <w:u w:val="single"/>
              </w:rPr>
              <w:t>详见招标人最终发出的《最高投标限价公布函》，投标总报价超过最高投标限价的投标文件将被拒绝。</w:t>
            </w:r>
          </w:p>
        </w:tc>
      </w:tr>
      <w:tr w14:paraId="0693127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trPr>
        <w:tc>
          <w:tcPr>
            <w:tcW w:w="686" w:type="dxa"/>
            <w:tcBorders>
              <w:left w:val="double" w:color="auto" w:sz="4" w:space="0"/>
            </w:tcBorders>
            <w:noWrap/>
            <w:vAlign w:val="center"/>
          </w:tcPr>
          <w:p w14:paraId="78597CC3">
            <w:pPr>
              <w:snapToGrid w:val="0"/>
              <w:spacing w:line="288" w:lineRule="auto"/>
              <w:jc w:val="center"/>
              <w:rPr>
                <w:rFonts w:ascii="宋体" w:hAnsi="宋体" w:cs="宋体"/>
                <w:color w:val="auto"/>
                <w:szCs w:val="21"/>
                <w:highlight w:val="none"/>
              </w:rPr>
            </w:pPr>
            <w:r>
              <w:rPr>
                <w:rFonts w:hint="eastAsia" w:ascii="宋体" w:hAnsi="宋体" w:cs="宋体"/>
                <w:color w:val="auto"/>
                <w:szCs w:val="21"/>
                <w:highlight w:val="none"/>
              </w:rPr>
              <w:t>22</w:t>
            </w:r>
          </w:p>
        </w:tc>
        <w:tc>
          <w:tcPr>
            <w:tcW w:w="914" w:type="dxa"/>
            <w:noWrap/>
            <w:vAlign w:val="center"/>
          </w:tcPr>
          <w:p w14:paraId="18106FB8">
            <w:pPr>
              <w:snapToGrid w:val="0"/>
              <w:spacing w:line="288" w:lineRule="auto"/>
              <w:jc w:val="center"/>
              <w:rPr>
                <w:rFonts w:ascii="宋体" w:hAnsi="宋体" w:cs="宋体"/>
                <w:color w:val="auto"/>
                <w:szCs w:val="21"/>
                <w:highlight w:val="none"/>
              </w:rPr>
            </w:pPr>
          </w:p>
        </w:tc>
        <w:tc>
          <w:tcPr>
            <w:tcW w:w="1823" w:type="dxa"/>
            <w:noWrap/>
            <w:vAlign w:val="center"/>
          </w:tcPr>
          <w:p w14:paraId="06B07AD6">
            <w:pPr>
              <w:snapToGrid w:val="0"/>
              <w:spacing w:line="288" w:lineRule="auto"/>
              <w:jc w:val="center"/>
              <w:rPr>
                <w:rFonts w:ascii="宋体" w:hAnsi="宋体" w:cs="宋体"/>
                <w:color w:val="auto"/>
                <w:szCs w:val="21"/>
                <w:highlight w:val="none"/>
              </w:rPr>
            </w:pPr>
            <w:r>
              <w:rPr>
                <w:rFonts w:hint="eastAsia" w:ascii="宋体" w:hAnsi="宋体" w:cs="宋体"/>
                <w:color w:val="auto"/>
                <w:szCs w:val="21"/>
                <w:highlight w:val="none"/>
              </w:rPr>
              <w:t>非竞争费用</w:t>
            </w:r>
          </w:p>
        </w:tc>
        <w:tc>
          <w:tcPr>
            <w:tcW w:w="5899" w:type="dxa"/>
            <w:tcBorders>
              <w:right w:val="double" w:color="auto" w:sz="4" w:space="0"/>
            </w:tcBorders>
            <w:noWrap/>
            <w:vAlign w:val="center"/>
          </w:tcPr>
          <w:p w14:paraId="78A2E938">
            <w:pPr>
              <w:snapToGrid w:val="0"/>
              <w:spacing w:line="288" w:lineRule="auto"/>
              <w:rPr>
                <w:rFonts w:ascii="宋体" w:hAnsi="宋体" w:cs="宋体"/>
                <w:color w:val="auto"/>
                <w:szCs w:val="21"/>
                <w:highlight w:val="none"/>
              </w:rPr>
            </w:pPr>
            <w:r>
              <w:rPr>
                <w:rFonts w:hint="eastAsia" w:ascii="宋体" w:hAnsi="宋体" w:cs="宋体"/>
                <w:color w:val="auto"/>
                <w:szCs w:val="21"/>
                <w:highlight w:val="none"/>
              </w:rPr>
              <w:t>本项目不含税不可竞争的安全生产措施费（元）：</w:t>
            </w:r>
            <w:r>
              <w:rPr>
                <w:rFonts w:hint="eastAsia" w:ascii="宋体" w:hAnsi="宋体" w:cs="宋体"/>
                <w:color w:val="auto"/>
                <w:szCs w:val="21"/>
                <w:highlight w:val="none"/>
                <w:u w:val="single"/>
                <w:lang w:val="en-US" w:eastAsia="zh-CN"/>
              </w:rPr>
              <w:t>10368796.85</w:t>
            </w:r>
            <w:r>
              <w:rPr>
                <w:rFonts w:hint="eastAsia" w:ascii="宋体" w:hAnsi="宋体" w:cs="宋体"/>
                <w:b w:val="0"/>
                <w:bCs/>
                <w:color w:val="auto"/>
                <w:szCs w:val="21"/>
                <w:highlight w:val="none"/>
              </w:rPr>
              <w:t>元</w:t>
            </w:r>
            <w:r>
              <w:rPr>
                <w:rFonts w:hint="eastAsia" w:ascii="宋体" w:hAnsi="宋体" w:cs="宋体"/>
                <w:color w:val="auto"/>
                <w:szCs w:val="21"/>
                <w:highlight w:val="none"/>
              </w:rPr>
              <w:t>（详见最高投标限价公布函），暂列金额为</w:t>
            </w:r>
            <w:r>
              <w:rPr>
                <w:rFonts w:hint="eastAsia" w:ascii="宋体" w:hAnsi="宋体" w:cs="宋体"/>
                <w:color w:val="auto"/>
                <w:szCs w:val="21"/>
                <w:highlight w:val="none"/>
                <w:u w:val="single"/>
                <w:lang w:val="en-US" w:eastAsia="zh-CN"/>
              </w:rPr>
              <w:t>29239898.10</w:t>
            </w:r>
            <w:r>
              <w:rPr>
                <w:rFonts w:hint="eastAsia" w:ascii="宋体" w:hAnsi="宋体" w:cs="宋体"/>
                <w:b w:val="0"/>
                <w:bCs/>
                <w:color w:val="auto"/>
                <w:szCs w:val="21"/>
                <w:highlight w:val="none"/>
              </w:rPr>
              <w:t>元</w:t>
            </w:r>
            <w:r>
              <w:rPr>
                <w:rFonts w:hint="eastAsia" w:ascii="宋体" w:hAnsi="宋体" w:cs="宋体"/>
                <w:color w:val="auto"/>
                <w:szCs w:val="21"/>
                <w:highlight w:val="none"/>
              </w:rPr>
              <w:t>，暂估价为</w:t>
            </w:r>
            <w:r>
              <w:rPr>
                <w:rFonts w:hint="eastAsia" w:ascii="宋体" w:hAnsi="宋体" w:cs="宋体"/>
                <w:color w:val="auto"/>
                <w:szCs w:val="21"/>
                <w:highlight w:val="none"/>
                <w:u w:val="single"/>
              </w:rPr>
              <w:t>29650598.00</w:t>
            </w:r>
            <w:r>
              <w:rPr>
                <w:rFonts w:hint="eastAsia" w:ascii="宋体" w:hAnsi="宋体" w:cs="宋体"/>
                <w:color w:val="auto"/>
                <w:szCs w:val="21"/>
                <w:highlight w:val="none"/>
              </w:rPr>
              <w:t>元。（未按招标文件规定的金额填写的，由评标委员会按照招标文件规定的金额进行修正）</w:t>
            </w:r>
          </w:p>
        </w:tc>
      </w:tr>
      <w:tr w14:paraId="6B2C61C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6" w:type="dxa"/>
            <w:tcBorders>
              <w:left w:val="double" w:color="auto" w:sz="4" w:space="0"/>
            </w:tcBorders>
            <w:noWrap/>
            <w:vAlign w:val="center"/>
          </w:tcPr>
          <w:p w14:paraId="278F415F">
            <w:pPr>
              <w:snapToGrid w:val="0"/>
              <w:spacing w:line="288" w:lineRule="auto"/>
              <w:jc w:val="center"/>
              <w:rPr>
                <w:rFonts w:ascii="宋体" w:hAnsi="宋体" w:cs="宋体"/>
                <w:color w:val="auto"/>
                <w:szCs w:val="21"/>
                <w:highlight w:val="none"/>
              </w:rPr>
            </w:pPr>
            <w:r>
              <w:rPr>
                <w:rFonts w:hint="eastAsia" w:ascii="宋体" w:hAnsi="宋体" w:cs="宋体"/>
                <w:color w:val="auto"/>
                <w:szCs w:val="21"/>
                <w:highlight w:val="none"/>
              </w:rPr>
              <w:t>23</w:t>
            </w:r>
          </w:p>
        </w:tc>
        <w:tc>
          <w:tcPr>
            <w:tcW w:w="914" w:type="dxa"/>
            <w:noWrap/>
            <w:vAlign w:val="center"/>
          </w:tcPr>
          <w:p w14:paraId="40B67F2E">
            <w:pPr>
              <w:snapToGrid w:val="0"/>
              <w:spacing w:line="288" w:lineRule="auto"/>
              <w:jc w:val="center"/>
              <w:rPr>
                <w:rFonts w:ascii="宋体" w:hAnsi="宋体" w:cs="宋体"/>
                <w:color w:val="auto"/>
                <w:szCs w:val="21"/>
                <w:highlight w:val="none"/>
              </w:rPr>
            </w:pPr>
          </w:p>
        </w:tc>
        <w:tc>
          <w:tcPr>
            <w:tcW w:w="1823" w:type="dxa"/>
            <w:noWrap/>
            <w:vAlign w:val="center"/>
          </w:tcPr>
          <w:p w14:paraId="32A1A209">
            <w:pPr>
              <w:pStyle w:val="31"/>
              <w:snapToGrid w:val="0"/>
              <w:spacing w:after="0" w:line="288" w:lineRule="auto"/>
              <w:ind w:firstLine="0"/>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保修期</w:t>
            </w:r>
          </w:p>
        </w:tc>
        <w:tc>
          <w:tcPr>
            <w:tcW w:w="5899" w:type="dxa"/>
            <w:tcBorders>
              <w:right w:val="double" w:color="auto" w:sz="4" w:space="0"/>
            </w:tcBorders>
            <w:noWrap/>
            <w:vAlign w:val="center"/>
          </w:tcPr>
          <w:p w14:paraId="42B99BD2">
            <w:pPr>
              <w:snapToGrid w:val="0"/>
              <w:spacing w:line="288" w:lineRule="auto"/>
              <w:rPr>
                <w:rFonts w:ascii="宋体" w:hAnsi="宋体" w:cs="宋体"/>
                <w:color w:val="auto"/>
                <w:szCs w:val="21"/>
                <w:highlight w:val="none"/>
              </w:rPr>
            </w:pPr>
            <w:r>
              <w:rPr>
                <w:rFonts w:hint="eastAsia" w:ascii="宋体" w:hAnsi="宋体" w:cs="宋体"/>
                <w:color w:val="auto"/>
                <w:szCs w:val="21"/>
                <w:highlight w:val="none"/>
              </w:rPr>
              <w:t>按照《建设工程质量管理条例》规定。</w:t>
            </w:r>
          </w:p>
        </w:tc>
      </w:tr>
      <w:tr w14:paraId="64627A6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6" w:type="dxa"/>
            <w:tcBorders>
              <w:left w:val="double" w:color="auto" w:sz="4" w:space="0"/>
            </w:tcBorders>
            <w:noWrap/>
            <w:vAlign w:val="center"/>
          </w:tcPr>
          <w:p w14:paraId="7B6A32E8">
            <w:pPr>
              <w:snapToGrid w:val="0"/>
              <w:spacing w:line="288" w:lineRule="auto"/>
              <w:jc w:val="center"/>
              <w:rPr>
                <w:rFonts w:ascii="宋体" w:hAnsi="宋体" w:cs="宋体"/>
                <w:color w:val="auto"/>
                <w:szCs w:val="21"/>
                <w:highlight w:val="none"/>
              </w:rPr>
            </w:pPr>
            <w:r>
              <w:rPr>
                <w:rFonts w:hint="eastAsia" w:ascii="宋体" w:hAnsi="宋体" w:cs="宋体"/>
                <w:color w:val="auto"/>
                <w:szCs w:val="21"/>
                <w:highlight w:val="none"/>
              </w:rPr>
              <w:t>24</w:t>
            </w:r>
          </w:p>
        </w:tc>
        <w:tc>
          <w:tcPr>
            <w:tcW w:w="914" w:type="dxa"/>
            <w:noWrap/>
            <w:vAlign w:val="center"/>
          </w:tcPr>
          <w:p w14:paraId="0B5578E0">
            <w:pPr>
              <w:snapToGrid w:val="0"/>
              <w:spacing w:line="288" w:lineRule="auto"/>
              <w:jc w:val="center"/>
              <w:rPr>
                <w:rFonts w:ascii="宋体" w:hAnsi="宋体" w:cs="宋体"/>
                <w:color w:val="auto"/>
                <w:szCs w:val="21"/>
                <w:highlight w:val="none"/>
              </w:rPr>
            </w:pPr>
          </w:p>
        </w:tc>
        <w:tc>
          <w:tcPr>
            <w:tcW w:w="1823" w:type="dxa"/>
            <w:noWrap/>
            <w:vAlign w:val="center"/>
          </w:tcPr>
          <w:p w14:paraId="0516C7CE">
            <w:pPr>
              <w:snapToGrid w:val="0"/>
              <w:spacing w:line="288" w:lineRule="auto"/>
              <w:jc w:val="center"/>
              <w:rPr>
                <w:rFonts w:ascii="宋体" w:hAnsi="宋体" w:cs="宋体"/>
                <w:strike/>
                <w:dstrike w:val="0"/>
                <w:color w:val="auto"/>
                <w:szCs w:val="21"/>
                <w:highlight w:val="none"/>
              </w:rPr>
            </w:pPr>
            <w:r>
              <w:rPr>
                <w:rFonts w:hint="eastAsia" w:ascii="宋体" w:hAnsi="宋体" w:cs="宋体"/>
                <w:strike/>
                <w:dstrike w:val="0"/>
                <w:color w:val="auto"/>
                <w:szCs w:val="21"/>
                <w:highlight w:val="none"/>
              </w:rPr>
              <w:t>计算评标参考价的等分点值</w:t>
            </w:r>
          </w:p>
        </w:tc>
        <w:tc>
          <w:tcPr>
            <w:tcW w:w="5899" w:type="dxa"/>
            <w:tcBorders>
              <w:right w:val="double" w:color="auto" w:sz="4" w:space="0"/>
            </w:tcBorders>
            <w:noWrap/>
            <w:vAlign w:val="center"/>
          </w:tcPr>
          <w:p w14:paraId="0190FDCF">
            <w:pPr>
              <w:snapToGrid w:val="0"/>
              <w:spacing w:line="288" w:lineRule="auto"/>
              <w:rPr>
                <w:rFonts w:ascii="宋体" w:hAnsi="宋体" w:cs="宋体"/>
                <w:strike/>
                <w:dstrike w:val="0"/>
                <w:color w:val="auto"/>
                <w:szCs w:val="21"/>
                <w:highlight w:val="none"/>
              </w:rPr>
            </w:pPr>
            <w:r>
              <w:rPr>
                <w:rFonts w:hint="eastAsia" w:ascii="宋体" w:hAnsi="宋体" w:eastAsia="宋体" w:cs="宋体"/>
                <w:strike/>
                <w:dstrike w:val="0"/>
                <w:color w:val="auto"/>
                <w:kern w:val="2"/>
                <w:sz w:val="21"/>
                <w:szCs w:val="21"/>
                <w:highlight w:val="none"/>
                <w:lang w:val="en-US" w:eastAsia="zh-CN" w:bidi="ar"/>
              </w:rPr>
              <w:t>计算评标参考价的等分点值X在开标前从[0,100]的整数中随机抽取。</w:t>
            </w:r>
          </w:p>
        </w:tc>
      </w:tr>
      <w:tr w14:paraId="79971A4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6" w:type="dxa"/>
            <w:tcBorders>
              <w:left w:val="double" w:color="auto" w:sz="4" w:space="0"/>
            </w:tcBorders>
            <w:noWrap/>
            <w:vAlign w:val="center"/>
          </w:tcPr>
          <w:p w14:paraId="13614BB5">
            <w:pPr>
              <w:snapToGrid w:val="0"/>
              <w:spacing w:line="288" w:lineRule="auto"/>
              <w:jc w:val="center"/>
              <w:rPr>
                <w:rFonts w:ascii="宋体" w:hAnsi="宋体" w:cs="宋体"/>
                <w:color w:val="auto"/>
                <w:szCs w:val="21"/>
                <w:highlight w:val="none"/>
              </w:rPr>
            </w:pPr>
            <w:r>
              <w:rPr>
                <w:rFonts w:hint="eastAsia" w:ascii="宋体" w:hAnsi="宋体" w:cs="宋体"/>
                <w:color w:val="auto"/>
                <w:szCs w:val="21"/>
                <w:highlight w:val="none"/>
              </w:rPr>
              <w:t>25</w:t>
            </w:r>
          </w:p>
        </w:tc>
        <w:tc>
          <w:tcPr>
            <w:tcW w:w="914" w:type="dxa"/>
            <w:noWrap/>
            <w:vAlign w:val="center"/>
          </w:tcPr>
          <w:p w14:paraId="583D10A1">
            <w:pPr>
              <w:snapToGrid w:val="0"/>
              <w:spacing w:line="288" w:lineRule="auto"/>
              <w:ind w:firstLine="458"/>
              <w:rPr>
                <w:rFonts w:ascii="宋体" w:hAnsi="宋体" w:cs="宋体"/>
                <w:color w:val="auto"/>
                <w:szCs w:val="21"/>
                <w:highlight w:val="none"/>
              </w:rPr>
            </w:pPr>
          </w:p>
        </w:tc>
        <w:tc>
          <w:tcPr>
            <w:tcW w:w="1823" w:type="dxa"/>
            <w:noWrap/>
            <w:vAlign w:val="center"/>
          </w:tcPr>
          <w:p w14:paraId="1D16729B">
            <w:pPr>
              <w:snapToGrid w:val="0"/>
              <w:spacing w:line="288" w:lineRule="auto"/>
              <w:jc w:val="center"/>
              <w:rPr>
                <w:rFonts w:ascii="宋体" w:hAnsi="宋体" w:cs="宋体"/>
                <w:strike/>
                <w:color w:val="auto"/>
                <w:szCs w:val="21"/>
                <w:highlight w:val="none"/>
              </w:rPr>
            </w:pPr>
            <w:r>
              <w:rPr>
                <w:rFonts w:hint="eastAsia" w:ascii="宋体" w:hAnsi="宋体" w:cs="宋体"/>
                <w:strike/>
                <w:color w:val="auto"/>
                <w:szCs w:val="21"/>
                <w:highlight w:val="none"/>
              </w:rPr>
              <w:t>进入第二阶段评审的家数</w:t>
            </w:r>
          </w:p>
        </w:tc>
        <w:tc>
          <w:tcPr>
            <w:tcW w:w="5899" w:type="dxa"/>
            <w:tcBorders>
              <w:right w:val="double" w:color="auto" w:sz="4" w:space="0"/>
            </w:tcBorders>
            <w:noWrap/>
            <w:vAlign w:val="center"/>
          </w:tcPr>
          <w:p w14:paraId="7AF6E0C8">
            <w:pPr>
              <w:snapToGrid w:val="0"/>
              <w:spacing w:line="288" w:lineRule="auto"/>
              <w:rPr>
                <w:rFonts w:ascii="宋体" w:hAnsi="宋体" w:cs="宋体"/>
                <w:strike/>
                <w:color w:val="auto"/>
                <w:szCs w:val="21"/>
                <w:highlight w:val="none"/>
              </w:rPr>
            </w:pPr>
            <w:r>
              <w:rPr>
                <w:rFonts w:hint="eastAsia" w:ascii="宋体" w:hAnsi="宋体" w:cs="宋体"/>
                <w:color w:val="auto"/>
                <w:szCs w:val="21"/>
                <w:highlight w:val="none"/>
                <w:u w:val="single"/>
              </w:rPr>
              <w:t>本款不适用。</w:t>
            </w:r>
          </w:p>
        </w:tc>
      </w:tr>
      <w:tr w14:paraId="298A191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23" w:hRule="atLeast"/>
        </w:trPr>
        <w:tc>
          <w:tcPr>
            <w:tcW w:w="686" w:type="dxa"/>
            <w:tcBorders>
              <w:left w:val="double" w:color="auto" w:sz="4" w:space="0"/>
            </w:tcBorders>
            <w:noWrap/>
            <w:vAlign w:val="center"/>
          </w:tcPr>
          <w:p w14:paraId="3FD0238B">
            <w:pPr>
              <w:snapToGrid w:val="0"/>
              <w:spacing w:line="288" w:lineRule="auto"/>
              <w:jc w:val="center"/>
              <w:rPr>
                <w:rFonts w:ascii="宋体" w:hAnsi="宋体" w:cs="宋体"/>
                <w:color w:val="auto"/>
                <w:szCs w:val="21"/>
                <w:highlight w:val="none"/>
              </w:rPr>
            </w:pPr>
            <w:r>
              <w:rPr>
                <w:rFonts w:hint="eastAsia" w:ascii="宋体" w:hAnsi="宋体" w:cs="宋体"/>
                <w:color w:val="auto"/>
                <w:szCs w:val="21"/>
                <w:highlight w:val="none"/>
              </w:rPr>
              <w:t>26</w:t>
            </w:r>
          </w:p>
        </w:tc>
        <w:tc>
          <w:tcPr>
            <w:tcW w:w="914" w:type="dxa"/>
            <w:noWrap/>
            <w:vAlign w:val="center"/>
          </w:tcPr>
          <w:p w14:paraId="53E87368">
            <w:pPr>
              <w:snapToGrid w:val="0"/>
              <w:spacing w:line="288" w:lineRule="auto"/>
              <w:jc w:val="center"/>
              <w:rPr>
                <w:rFonts w:ascii="宋体" w:hAnsi="宋体" w:cs="宋体"/>
                <w:color w:val="auto"/>
                <w:szCs w:val="21"/>
                <w:highlight w:val="none"/>
              </w:rPr>
            </w:pPr>
          </w:p>
        </w:tc>
        <w:tc>
          <w:tcPr>
            <w:tcW w:w="1823" w:type="dxa"/>
            <w:noWrap/>
            <w:vAlign w:val="center"/>
          </w:tcPr>
          <w:p w14:paraId="7D67EDD6">
            <w:pPr>
              <w:snapToGrid w:val="0"/>
              <w:spacing w:line="288" w:lineRule="auto"/>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工程</w:t>
            </w:r>
            <w:r>
              <w:rPr>
                <w:rFonts w:hint="eastAsia" w:ascii="宋体" w:hAnsi="宋体" w:cs="宋体"/>
                <w:color w:val="auto"/>
                <w:szCs w:val="21"/>
                <w:highlight w:val="none"/>
                <w:lang w:eastAsia="zh-CN"/>
              </w:rPr>
              <w:t>成本警示价</w:t>
            </w:r>
          </w:p>
        </w:tc>
        <w:tc>
          <w:tcPr>
            <w:tcW w:w="5899" w:type="dxa"/>
            <w:tcBorders>
              <w:right w:val="double" w:color="auto" w:sz="4" w:space="0"/>
            </w:tcBorders>
            <w:noWrap/>
            <w:vAlign w:val="center"/>
          </w:tcPr>
          <w:p w14:paraId="793C0204">
            <w:pPr>
              <w:snapToGrid w:val="0"/>
              <w:spacing w:line="288" w:lineRule="auto"/>
              <w:rPr>
                <w:rFonts w:ascii="宋体" w:hAnsi="宋体" w:cs="宋体"/>
                <w:color w:val="auto"/>
                <w:szCs w:val="21"/>
                <w:highlight w:val="none"/>
              </w:rPr>
            </w:pPr>
            <w:r>
              <w:rPr>
                <w:rFonts w:hint="eastAsia" w:ascii="宋体" w:hAnsi="宋体" w:cs="宋体"/>
                <w:color w:val="auto"/>
                <w:szCs w:val="21"/>
                <w:highlight w:val="none"/>
              </w:rPr>
              <w:t>工程</w:t>
            </w:r>
            <w:r>
              <w:rPr>
                <w:rFonts w:hint="eastAsia" w:ascii="宋体" w:hAnsi="宋体" w:cs="宋体"/>
                <w:color w:val="auto"/>
                <w:szCs w:val="21"/>
                <w:highlight w:val="none"/>
                <w:lang w:eastAsia="zh-CN"/>
              </w:rPr>
              <w:t>成本警示价</w:t>
            </w:r>
            <w:r>
              <w:rPr>
                <w:rFonts w:hint="eastAsia" w:ascii="宋体" w:hAnsi="宋体" w:cs="宋体"/>
                <w:color w:val="auto"/>
                <w:szCs w:val="21"/>
                <w:highlight w:val="none"/>
              </w:rPr>
              <w:t>按为</w:t>
            </w:r>
            <w:r>
              <w:rPr>
                <w:rFonts w:hint="eastAsia" w:ascii="宋体" w:hAnsi="宋体" w:cs="宋体"/>
                <w:b/>
                <w:color w:val="auto"/>
                <w:szCs w:val="21"/>
                <w:highlight w:val="none"/>
                <w:u w:val="single"/>
                <w:lang w:val="en-US" w:eastAsia="zh-CN"/>
              </w:rPr>
              <w:t>366679690.61</w:t>
            </w:r>
            <w:r>
              <w:rPr>
                <w:rFonts w:hint="eastAsia" w:ascii="宋体" w:hAnsi="宋体" w:cs="宋体"/>
                <w:b w:val="0"/>
                <w:bCs/>
                <w:color w:val="auto"/>
                <w:szCs w:val="21"/>
                <w:highlight w:val="none"/>
              </w:rPr>
              <w:t>元</w:t>
            </w:r>
            <w:r>
              <w:rPr>
                <w:rFonts w:hint="eastAsia" w:ascii="宋体" w:hAnsi="宋体" w:cs="宋体"/>
                <w:color w:val="auto"/>
                <w:szCs w:val="21"/>
                <w:highlight w:val="none"/>
              </w:rPr>
              <w:t>。对低于该警</w:t>
            </w:r>
            <w:r>
              <w:rPr>
                <w:rFonts w:hint="eastAsia" w:ascii="宋体" w:hAnsi="宋体" w:cs="宋体"/>
                <w:color w:val="auto"/>
                <w:szCs w:val="21"/>
                <w:highlight w:val="none"/>
                <w:lang w:val="en-US" w:eastAsia="zh-CN"/>
              </w:rPr>
              <w:t>示</w:t>
            </w:r>
            <w:r>
              <w:rPr>
                <w:rFonts w:hint="eastAsia" w:ascii="宋体" w:hAnsi="宋体" w:cs="宋体"/>
                <w:color w:val="auto"/>
                <w:szCs w:val="21"/>
                <w:highlight w:val="none"/>
              </w:rPr>
              <w:t>价的投标报价，投标人必须提供详细的施工组织设计、单价、措施性费用、单价分析表、主要材料价格表、投标人成本分析供评标委员会评审，由评标委员会判定其是否低于企业自身成本。在评标过程中，评标委员会发现投标人的报价明显低于其他投标报价或者低于</w:t>
            </w:r>
            <w:r>
              <w:rPr>
                <w:rFonts w:hint="eastAsia" w:ascii="宋体" w:hAnsi="宋体" w:cs="宋体"/>
                <w:color w:val="auto"/>
                <w:szCs w:val="21"/>
                <w:highlight w:val="none"/>
                <w:lang w:eastAsia="zh-CN"/>
              </w:rPr>
              <w:t>成本警示价</w:t>
            </w:r>
            <w:r>
              <w:rPr>
                <w:rFonts w:hint="eastAsia" w:ascii="宋体" w:hAnsi="宋体" w:cs="宋体"/>
                <w:color w:val="auto"/>
                <w:szCs w:val="21"/>
                <w:highlight w:val="none"/>
              </w:rPr>
              <w:t>，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p w14:paraId="4AB0A093">
            <w:pPr>
              <w:snapToGrid w:val="0"/>
              <w:spacing w:line="288" w:lineRule="auto"/>
              <w:rPr>
                <w:rFonts w:ascii="宋体" w:hAnsi="宋体" w:cs="宋体"/>
                <w:color w:val="auto"/>
                <w:szCs w:val="21"/>
                <w:highlight w:val="none"/>
                <w:u w:val="single"/>
              </w:rPr>
            </w:pPr>
            <w:r>
              <w:rPr>
                <w:rFonts w:hint="eastAsia" w:ascii="宋体" w:hAnsi="宋体" w:cs="宋体"/>
                <w:color w:val="auto"/>
                <w:szCs w:val="21"/>
                <w:highlight w:val="none"/>
              </w:rPr>
              <w:t>注：为充分体现招标人意愿及落实项目招标人负责制，警</w:t>
            </w:r>
            <w:r>
              <w:rPr>
                <w:rFonts w:hint="eastAsia" w:ascii="宋体" w:hAnsi="宋体" w:cs="宋体"/>
                <w:color w:val="auto"/>
                <w:szCs w:val="21"/>
                <w:highlight w:val="none"/>
                <w:lang w:val="en-US" w:eastAsia="zh-CN"/>
              </w:rPr>
              <w:t>示</w:t>
            </w:r>
            <w:r>
              <w:rPr>
                <w:rFonts w:hint="eastAsia" w:ascii="宋体" w:hAnsi="宋体" w:cs="宋体"/>
                <w:color w:val="auto"/>
                <w:szCs w:val="21"/>
                <w:highlight w:val="none"/>
              </w:rPr>
              <w:t>价由招标人决定。</w:t>
            </w:r>
          </w:p>
        </w:tc>
      </w:tr>
      <w:tr w14:paraId="28494E9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6" w:type="dxa"/>
            <w:tcBorders>
              <w:left w:val="double" w:color="auto" w:sz="4" w:space="0"/>
            </w:tcBorders>
            <w:noWrap/>
            <w:vAlign w:val="center"/>
          </w:tcPr>
          <w:p w14:paraId="1471708E">
            <w:pPr>
              <w:snapToGrid w:val="0"/>
              <w:spacing w:line="288" w:lineRule="auto"/>
              <w:jc w:val="center"/>
              <w:rPr>
                <w:rFonts w:ascii="宋体" w:hAnsi="宋体" w:cs="宋体"/>
                <w:color w:val="auto"/>
                <w:szCs w:val="21"/>
                <w:highlight w:val="none"/>
              </w:rPr>
            </w:pPr>
            <w:r>
              <w:rPr>
                <w:rFonts w:hint="eastAsia" w:ascii="宋体" w:hAnsi="宋体" w:cs="宋体"/>
                <w:color w:val="auto"/>
                <w:szCs w:val="21"/>
                <w:highlight w:val="none"/>
              </w:rPr>
              <w:t>27</w:t>
            </w:r>
          </w:p>
        </w:tc>
        <w:tc>
          <w:tcPr>
            <w:tcW w:w="914" w:type="dxa"/>
            <w:noWrap/>
            <w:vAlign w:val="center"/>
          </w:tcPr>
          <w:p w14:paraId="7FFB14F5">
            <w:pPr>
              <w:snapToGrid w:val="0"/>
              <w:spacing w:line="288" w:lineRule="auto"/>
              <w:jc w:val="center"/>
              <w:rPr>
                <w:rFonts w:ascii="宋体" w:hAnsi="宋体" w:cs="宋体"/>
                <w:color w:val="auto"/>
                <w:szCs w:val="21"/>
                <w:highlight w:val="none"/>
              </w:rPr>
            </w:pPr>
          </w:p>
        </w:tc>
        <w:tc>
          <w:tcPr>
            <w:tcW w:w="1823" w:type="dxa"/>
            <w:noWrap/>
            <w:vAlign w:val="center"/>
          </w:tcPr>
          <w:p w14:paraId="1D1A0BE4">
            <w:pPr>
              <w:snapToGrid w:val="0"/>
              <w:spacing w:line="288" w:lineRule="auto"/>
              <w:jc w:val="center"/>
              <w:rPr>
                <w:rFonts w:ascii="宋体" w:hAnsi="宋体" w:cs="宋体"/>
                <w:color w:val="auto"/>
                <w:szCs w:val="21"/>
                <w:highlight w:val="none"/>
              </w:rPr>
            </w:pPr>
            <w:r>
              <w:rPr>
                <w:rFonts w:hint="eastAsia" w:ascii="宋体" w:hAnsi="宋体" w:cs="宋体"/>
                <w:color w:val="auto"/>
                <w:szCs w:val="21"/>
                <w:highlight w:val="none"/>
              </w:rPr>
              <w:t>各分值的权重</w:t>
            </w:r>
          </w:p>
        </w:tc>
        <w:tc>
          <w:tcPr>
            <w:tcW w:w="5899" w:type="dxa"/>
            <w:tcBorders>
              <w:right w:val="double" w:color="auto" w:sz="4" w:space="0"/>
            </w:tcBorders>
            <w:noWrap/>
            <w:vAlign w:val="center"/>
          </w:tcPr>
          <w:p w14:paraId="034BC61E">
            <w:pPr>
              <w:snapToGrid w:val="0"/>
              <w:spacing w:line="288" w:lineRule="auto"/>
              <w:rPr>
                <w:rFonts w:ascii="宋体" w:hAnsi="宋体" w:cs="宋体"/>
                <w:color w:val="auto"/>
                <w:szCs w:val="21"/>
                <w:highlight w:val="none"/>
              </w:rPr>
            </w:pPr>
            <w:r>
              <w:rPr>
                <w:rFonts w:hint="eastAsia" w:ascii="宋体" w:hAnsi="宋体" w:cs="宋体"/>
                <w:color w:val="auto"/>
                <w:szCs w:val="21"/>
                <w:highlight w:val="none"/>
                <w:u w:val="single"/>
              </w:rPr>
              <w:t>本款不适用。</w:t>
            </w:r>
          </w:p>
        </w:tc>
      </w:tr>
      <w:tr w14:paraId="07AB60C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6" w:type="dxa"/>
            <w:vMerge w:val="restart"/>
            <w:tcBorders>
              <w:left w:val="double" w:color="auto" w:sz="4" w:space="0"/>
            </w:tcBorders>
            <w:noWrap/>
            <w:vAlign w:val="center"/>
          </w:tcPr>
          <w:p w14:paraId="38380C5F">
            <w:pPr>
              <w:snapToGrid w:val="0"/>
              <w:spacing w:line="288" w:lineRule="auto"/>
              <w:jc w:val="center"/>
              <w:rPr>
                <w:rFonts w:ascii="宋体" w:hAnsi="宋体" w:cs="宋体"/>
                <w:color w:val="auto"/>
                <w:szCs w:val="21"/>
                <w:highlight w:val="none"/>
              </w:rPr>
            </w:pPr>
            <w:r>
              <w:rPr>
                <w:rFonts w:hint="eastAsia" w:ascii="宋体" w:hAnsi="宋体" w:cs="宋体"/>
                <w:color w:val="auto"/>
                <w:szCs w:val="21"/>
                <w:highlight w:val="none"/>
              </w:rPr>
              <w:t>28</w:t>
            </w:r>
          </w:p>
        </w:tc>
        <w:tc>
          <w:tcPr>
            <w:tcW w:w="914" w:type="dxa"/>
            <w:vMerge w:val="restart"/>
            <w:noWrap/>
            <w:vAlign w:val="center"/>
          </w:tcPr>
          <w:p w14:paraId="25258AEF">
            <w:pPr>
              <w:snapToGrid w:val="0"/>
              <w:spacing w:line="288" w:lineRule="auto"/>
              <w:jc w:val="center"/>
              <w:rPr>
                <w:rFonts w:ascii="宋体" w:hAnsi="宋体" w:cs="宋体"/>
                <w:color w:val="auto"/>
                <w:szCs w:val="21"/>
                <w:highlight w:val="none"/>
              </w:rPr>
            </w:pPr>
          </w:p>
        </w:tc>
        <w:tc>
          <w:tcPr>
            <w:tcW w:w="1823" w:type="dxa"/>
            <w:noWrap/>
            <w:vAlign w:val="center"/>
          </w:tcPr>
          <w:p w14:paraId="5BEA5934">
            <w:pPr>
              <w:snapToGrid w:val="0"/>
              <w:spacing w:line="288" w:lineRule="auto"/>
              <w:jc w:val="center"/>
              <w:rPr>
                <w:rFonts w:ascii="宋体" w:hAnsi="宋体" w:cs="宋体"/>
                <w:color w:val="auto"/>
                <w:szCs w:val="21"/>
                <w:highlight w:val="none"/>
              </w:rPr>
            </w:pPr>
            <w:r>
              <w:rPr>
                <w:rFonts w:hint="eastAsia" w:ascii="宋体" w:hAnsi="宋体" w:cs="宋体"/>
                <w:color w:val="auto"/>
                <w:szCs w:val="21"/>
                <w:highlight w:val="none"/>
              </w:rPr>
              <w:t>评标委员会人数</w:t>
            </w:r>
          </w:p>
        </w:tc>
        <w:tc>
          <w:tcPr>
            <w:tcW w:w="5899" w:type="dxa"/>
            <w:tcBorders>
              <w:right w:val="double" w:color="auto" w:sz="4" w:space="0"/>
            </w:tcBorders>
            <w:noWrap/>
            <w:vAlign w:val="center"/>
          </w:tcPr>
          <w:p w14:paraId="74ABBA49">
            <w:pPr>
              <w:snapToGrid w:val="0"/>
              <w:spacing w:line="288" w:lineRule="auto"/>
              <w:rPr>
                <w:rFonts w:ascii="宋体" w:hAnsi="宋体" w:cs="宋体"/>
                <w:color w:val="auto"/>
                <w:szCs w:val="21"/>
                <w:highlight w:val="none"/>
              </w:rPr>
            </w:pPr>
            <w:r>
              <w:rPr>
                <w:rFonts w:hint="eastAsia" w:ascii="宋体" w:hAnsi="宋体" w:cs="宋体"/>
                <w:color w:val="auto"/>
                <w:szCs w:val="21"/>
                <w:highlight w:val="none"/>
              </w:rPr>
              <w:t>评标委员会由招标人依法组建。</w:t>
            </w:r>
            <w:r>
              <w:rPr>
                <w:rFonts w:hint="eastAsia" w:ascii="宋体" w:hAnsi="宋体" w:cs="宋体"/>
                <w:b w:val="0"/>
                <w:bCs w:val="0"/>
                <w:color w:val="auto"/>
                <w:szCs w:val="21"/>
                <w:highlight w:val="none"/>
                <w:u w:val="single"/>
              </w:rPr>
              <w:t>评标委员会人数为五人以上单数，其中技术方面的专家不得少于成员总数的三分之二。</w:t>
            </w:r>
          </w:p>
          <w:p w14:paraId="1EE07981">
            <w:pPr>
              <w:snapToGrid w:val="0"/>
              <w:spacing w:line="288" w:lineRule="auto"/>
              <w:rPr>
                <w:rFonts w:ascii="宋体" w:hAnsi="宋体" w:cs="宋体"/>
                <w:color w:val="auto"/>
                <w:szCs w:val="21"/>
                <w:highlight w:val="none"/>
              </w:rPr>
            </w:pPr>
            <w:r>
              <w:rPr>
                <w:rFonts w:hint="eastAsia" w:ascii="宋体" w:hAnsi="宋体" w:cs="宋体"/>
                <w:color w:val="auto"/>
                <w:szCs w:val="21"/>
                <w:highlight w:val="none"/>
                <w:u w:val="single"/>
              </w:rPr>
              <w:t>招标代理机构应严格按照《广东省政务服务和数据管理局关于印发广东省综合评标评审专家库评标专家劳务报酬管理办法的通知》（粤政数〔2025〕11 号）的规定向评标专家支付酬金，不得额外支付费用。评标专家对符合《广东省政务服务和数据管理局关于印发广东省综合评标评审专家库评标专家劳务报酬管理办法的通知》（粤政数〔2025〕11 号）的规定计取的专家报酬不得有异议。</w:t>
            </w:r>
          </w:p>
        </w:tc>
      </w:tr>
      <w:tr w14:paraId="414AAED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6" w:type="dxa"/>
            <w:vMerge w:val="continue"/>
            <w:tcBorders>
              <w:left w:val="double" w:color="auto" w:sz="4" w:space="0"/>
            </w:tcBorders>
            <w:noWrap/>
            <w:vAlign w:val="center"/>
          </w:tcPr>
          <w:p w14:paraId="7603CA16">
            <w:pPr>
              <w:snapToGrid w:val="0"/>
              <w:spacing w:line="288" w:lineRule="auto"/>
              <w:jc w:val="center"/>
              <w:rPr>
                <w:rFonts w:ascii="宋体" w:hAnsi="宋体" w:cs="宋体"/>
                <w:color w:val="auto"/>
                <w:szCs w:val="21"/>
                <w:highlight w:val="none"/>
              </w:rPr>
            </w:pPr>
          </w:p>
        </w:tc>
        <w:tc>
          <w:tcPr>
            <w:tcW w:w="914" w:type="dxa"/>
            <w:vMerge w:val="continue"/>
            <w:noWrap/>
            <w:vAlign w:val="center"/>
          </w:tcPr>
          <w:p w14:paraId="23477E6B">
            <w:pPr>
              <w:snapToGrid w:val="0"/>
              <w:spacing w:line="288" w:lineRule="auto"/>
              <w:jc w:val="center"/>
              <w:rPr>
                <w:rFonts w:ascii="宋体" w:hAnsi="宋体" w:cs="宋体"/>
                <w:color w:val="auto"/>
                <w:szCs w:val="21"/>
                <w:highlight w:val="none"/>
              </w:rPr>
            </w:pPr>
          </w:p>
        </w:tc>
        <w:tc>
          <w:tcPr>
            <w:tcW w:w="1823" w:type="dxa"/>
            <w:noWrap/>
            <w:vAlign w:val="center"/>
          </w:tcPr>
          <w:p w14:paraId="59A2C0BC">
            <w:pPr>
              <w:snapToGrid w:val="0"/>
              <w:spacing w:line="288" w:lineRule="auto"/>
              <w:jc w:val="center"/>
              <w:rPr>
                <w:rFonts w:ascii="宋体" w:hAnsi="宋体" w:cs="宋体"/>
                <w:color w:val="auto"/>
                <w:szCs w:val="21"/>
                <w:highlight w:val="none"/>
                <w:u w:val="single"/>
              </w:rPr>
            </w:pPr>
            <w:r>
              <w:rPr>
                <w:rFonts w:hint="eastAsia" w:ascii="宋体" w:hAnsi="宋体" w:cs="宋体"/>
                <w:color w:val="auto"/>
                <w:szCs w:val="21"/>
                <w:highlight w:val="none"/>
                <w:u w:val="single"/>
              </w:rPr>
              <w:t>定标委员会人数</w:t>
            </w:r>
          </w:p>
        </w:tc>
        <w:tc>
          <w:tcPr>
            <w:tcW w:w="5899" w:type="dxa"/>
            <w:tcBorders>
              <w:right w:val="double" w:color="auto" w:sz="4" w:space="0"/>
            </w:tcBorders>
            <w:noWrap/>
            <w:vAlign w:val="center"/>
          </w:tcPr>
          <w:p w14:paraId="20A1A9D2">
            <w:pPr>
              <w:snapToGrid w:val="0"/>
              <w:spacing w:line="288" w:lineRule="auto"/>
              <w:rPr>
                <w:rFonts w:hint="eastAsia" w:ascii="宋体" w:hAnsi="宋体" w:eastAsia="宋体" w:cs="宋体"/>
                <w:color w:val="auto"/>
                <w:szCs w:val="21"/>
                <w:highlight w:val="none"/>
                <w:u w:val="single"/>
                <w:lang w:eastAsia="zh-CN"/>
              </w:rPr>
            </w:pPr>
            <w:r>
              <w:rPr>
                <w:rFonts w:hint="eastAsia" w:ascii="宋体" w:hAnsi="宋体" w:cs="宋体"/>
                <w:color w:val="auto"/>
                <w:szCs w:val="21"/>
                <w:highlight w:val="none"/>
                <w:u w:val="single"/>
              </w:rPr>
              <w:t>定标委员会由招标人依法组建</w:t>
            </w:r>
            <w:r>
              <w:rPr>
                <w:rFonts w:hint="eastAsia" w:ascii="宋体" w:hAnsi="宋体" w:cs="宋体"/>
                <w:color w:val="auto"/>
                <w:szCs w:val="21"/>
                <w:highlight w:val="none"/>
                <w:u w:val="single"/>
                <w:lang w:eastAsia="zh-CN"/>
              </w:rPr>
              <w:t>。</w:t>
            </w:r>
          </w:p>
        </w:tc>
      </w:tr>
      <w:tr w14:paraId="2D6B243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6" w:type="dxa"/>
            <w:vMerge w:val="continue"/>
            <w:tcBorders>
              <w:left w:val="double" w:color="auto" w:sz="4" w:space="0"/>
            </w:tcBorders>
            <w:noWrap/>
            <w:vAlign w:val="center"/>
          </w:tcPr>
          <w:p w14:paraId="544EF73A">
            <w:pPr>
              <w:snapToGrid w:val="0"/>
              <w:spacing w:line="288" w:lineRule="auto"/>
              <w:jc w:val="center"/>
              <w:rPr>
                <w:rFonts w:ascii="宋体" w:hAnsi="宋体" w:cs="宋体"/>
                <w:color w:val="auto"/>
                <w:szCs w:val="21"/>
                <w:highlight w:val="none"/>
              </w:rPr>
            </w:pPr>
          </w:p>
        </w:tc>
        <w:tc>
          <w:tcPr>
            <w:tcW w:w="914" w:type="dxa"/>
            <w:vMerge w:val="continue"/>
            <w:noWrap/>
            <w:vAlign w:val="center"/>
          </w:tcPr>
          <w:p w14:paraId="3BD6F698">
            <w:pPr>
              <w:snapToGrid w:val="0"/>
              <w:spacing w:line="288" w:lineRule="auto"/>
              <w:jc w:val="center"/>
              <w:rPr>
                <w:rFonts w:ascii="宋体" w:hAnsi="宋体" w:cs="宋体"/>
                <w:color w:val="auto"/>
                <w:szCs w:val="21"/>
                <w:highlight w:val="none"/>
              </w:rPr>
            </w:pPr>
          </w:p>
        </w:tc>
        <w:tc>
          <w:tcPr>
            <w:tcW w:w="1823" w:type="dxa"/>
            <w:noWrap/>
            <w:vAlign w:val="center"/>
          </w:tcPr>
          <w:p w14:paraId="0284E912">
            <w:pPr>
              <w:snapToGrid w:val="0"/>
              <w:spacing w:line="288" w:lineRule="auto"/>
              <w:jc w:val="center"/>
              <w:rPr>
                <w:rFonts w:ascii="宋体" w:hAnsi="宋体" w:cs="宋体"/>
                <w:color w:val="auto"/>
                <w:szCs w:val="21"/>
                <w:highlight w:val="none"/>
                <w:u w:val="single"/>
              </w:rPr>
            </w:pPr>
            <w:r>
              <w:rPr>
                <w:rFonts w:hint="eastAsia" w:ascii="宋体" w:hAnsi="宋体" w:cs="宋体"/>
                <w:color w:val="auto"/>
                <w:szCs w:val="21"/>
                <w:highlight w:val="none"/>
                <w:u w:val="single"/>
              </w:rPr>
              <w:t>监督小组人数</w:t>
            </w:r>
          </w:p>
        </w:tc>
        <w:tc>
          <w:tcPr>
            <w:tcW w:w="5899" w:type="dxa"/>
            <w:tcBorders>
              <w:right w:val="double" w:color="auto" w:sz="4" w:space="0"/>
            </w:tcBorders>
            <w:noWrap/>
            <w:vAlign w:val="center"/>
          </w:tcPr>
          <w:p w14:paraId="76B6A4EE">
            <w:pPr>
              <w:snapToGrid w:val="0"/>
              <w:spacing w:line="288" w:lineRule="auto"/>
              <w:rPr>
                <w:rFonts w:ascii="宋体" w:hAnsi="宋体" w:cs="宋体"/>
                <w:color w:val="auto"/>
                <w:szCs w:val="21"/>
                <w:highlight w:val="none"/>
                <w:u w:val="single"/>
              </w:rPr>
            </w:pPr>
            <w:r>
              <w:rPr>
                <w:rFonts w:hint="eastAsia" w:ascii="宋体" w:hAnsi="宋体" w:cs="宋体"/>
                <w:color w:val="auto"/>
                <w:szCs w:val="21"/>
                <w:highlight w:val="none"/>
                <w:u w:val="single"/>
              </w:rPr>
              <w:t>定标监督小组由招标人组建，人数为2人。</w:t>
            </w:r>
          </w:p>
        </w:tc>
      </w:tr>
      <w:tr w14:paraId="022178C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686" w:type="dxa"/>
            <w:tcBorders>
              <w:left w:val="double" w:color="auto" w:sz="4" w:space="0"/>
            </w:tcBorders>
            <w:noWrap/>
            <w:vAlign w:val="center"/>
          </w:tcPr>
          <w:p w14:paraId="63B818ED">
            <w:pPr>
              <w:snapToGrid w:val="0"/>
              <w:spacing w:line="288" w:lineRule="auto"/>
              <w:jc w:val="center"/>
              <w:rPr>
                <w:rFonts w:ascii="宋体" w:hAnsi="宋体" w:cs="宋体"/>
                <w:color w:val="auto"/>
                <w:szCs w:val="21"/>
                <w:highlight w:val="none"/>
              </w:rPr>
            </w:pPr>
            <w:r>
              <w:rPr>
                <w:rFonts w:hint="eastAsia" w:ascii="宋体" w:hAnsi="宋体" w:cs="宋体"/>
                <w:color w:val="auto"/>
                <w:szCs w:val="21"/>
                <w:highlight w:val="none"/>
              </w:rPr>
              <w:t>29</w:t>
            </w:r>
          </w:p>
        </w:tc>
        <w:tc>
          <w:tcPr>
            <w:tcW w:w="914" w:type="dxa"/>
            <w:noWrap/>
            <w:vAlign w:val="center"/>
          </w:tcPr>
          <w:p w14:paraId="1EC1577A">
            <w:pPr>
              <w:snapToGrid w:val="0"/>
              <w:spacing w:line="288" w:lineRule="auto"/>
              <w:jc w:val="center"/>
              <w:rPr>
                <w:rFonts w:ascii="宋体" w:hAnsi="宋体" w:cs="宋体"/>
                <w:color w:val="auto"/>
                <w:szCs w:val="21"/>
                <w:highlight w:val="none"/>
              </w:rPr>
            </w:pPr>
          </w:p>
        </w:tc>
        <w:tc>
          <w:tcPr>
            <w:tcW w:w="1823" w:type="dxa"/>
            <w:noWrap/>
            <w:vAlign w:val="center"/>
          </w:tcPr>
          <w:p w14:paraId="4C2005B8">
            <w:pPr>
              <w:snapToGrid w:val="0"/>
              <w:spacing w:line="288" w:lineRule="auto"/>
              <w:jc w:val="center"/>
              <w:rPr>
                <w:rFonts w:ascii="宋体" w:hAnsi="宋体" w:cs="宋体"/>
                <w:color w:val="auto"/>
                <w:szCs w:val="21"/>
                <w:highlight w:val="none"/>
              </w:rPr>
            </w:pPr>
            <w:r>
              <w:rPr>
                <w:rFonts w:hint="eastAsia" w:ascii="宋体" w:hAnsi="宋体" w:cs="宋体"/>
                <w:color w:val="auto"/>
                <w:szCs w:val="21"/>
                <w:highlight w:val="none"/>
              </w:rPr>
              <w:t>企业综合诚信评价分数</w:t>
            </w:r>
          </w:p>
        </w:tc>
        <w:tc>
          <w:tcPr>
            <w:tcW w:w="5899" w:type="dxa"/>
            <w:tcBorders>
              <w:right w:val="double" w:color="auto" w:sz="4" w:space="0"/>
            </w:tcBorders>
            <w:noWrap/>
            <w:vAlign w:val="center"/>
          </w:tcPr>
          <w:p w14:paraId="506C4372">
            <w:pPr>
              <w:snapToGrid w:val="0"/>
              <w:spacing w:line="288" w:lineRule="auto"/>
              <w:rPr>
                <w:rFonts w:ascii="宋体" w:hAnsi="宋体" w:cs="宋体"/>
                <w:color w:val="auto"/>
                <w:szCs w:val="21"/>
                <w:highlight w:val="none"/>
              </w:rPr>
            </w:pPr>
            <w:r>
              <w:rPr>
                <w:rFonts w:hint="eastAsia" w:ascii="宋体" w:hAnsi="宋体" w:cs="宋体"/>
                <w:color w:val="auto"/>
                <w:szCs w:val="21"/>
                <w:highlight w:val="none"/>
                <w:u w:val="single"/>
              </w:rPr>
              <w:t>本工程不设综合诚信评价得分。</w:t>
            </w:r>
          </w:p>
        </w:tc>
      </w:tr>
      <w:tr w14:paraId="54BF8DF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6" w:type="dxa"/>
            <w:tcBorders>
              <w:left w:val="double" w:color="auto" w:sz="4" w:space="0"/>
            </w:tcBorders>
            <w:noWrap/>
            <w:vAlign w:val="center"/>
          </w:tcPr>
          <w:p w14:paraId="7E0CC140">
            <w:pPr>
              <w:snapToGrid w:val="0"/>
              <w:spacing w:line="288" w:lineRule="auto"/>
              <w:jc w:val="center"/>
              <w:rPr>
                <w:rFonts w:ascii="宋体" w:hAnsi="宋体" w:cs="宋体"/>
                <w:color w:val="auto"/>
                <w:szCs w:val="21"/>
                <w:highlight w:val="none"/>
              </w:rPr>
            </w:pPr>
            <w:r>
              <w:rPr>
                <w:rFonts w:hint="eastAsia" w:ascii="宋体" w:hAnsi="宋体" w:cs="宋体"/>
                <w:color w:val="auto"/>
                <w:szCs w:val="21"/>
                <w:highlight w:val="none"/>
              </w:rPr>
              <w:t>30</w:t>
            </w:r>
          </w:p>
        </w:tc>
        <w:tc>
          <w:tcPr>
            <w:tcW w:w="914" w:type="dxa"/>
            <w:noWrap/>
            <w:vAlign w:val="center"/>
          </w:tcPr>
          <w:p w14:paraId="34B2A30F">
            <w:pPr>
              <w:snapToGrid w:val="0"/>
              <w:spacing w:line="288" w:lineRule="auto"/>
              <w:ind w:firstLine="458"/>
              <w:rPr>
                <w:rFonts w:ascii="宋体" w:hAnsi="宋体" w:cs="宋体"/>
                <w:color w:val="auto"/>
                <w:szCs w:val="21"/>
                <w:highlight w:val="none"/>
              </w:rPr>
            </w:pPr>
          </w:p>
        </w:tc>
        <w:tc>
          <w:tcPr>
            <w:tcW w:w="1823" w:type="dxa"/>
            <w:noWrap/>
            <w:vAlign w:val="center"/>
          </w:tcPr>
          <w:p w14:paraId="6AED1D83">
            <w:pPr>
              <w:snapToGrid w:val="0"/>
              <w:spacing w:line="288" w:lineRule="auto"/>
              <w:jc w:val="center"/>
              <w:rPr>
                <w:rFonts w:ascii="宋体" w:hAnsi="宋体" w:cs="宋体"/>
                <w:color w:val="auto"/>
                <w:szCs w:val="21"/>
                <w:highlight w:val="none"/>
              </w:rPr>
            </w:pPr>
            <w:r>
              <w:rPr>
                <w:rFonts w:hint="eastAsia" w:ascii="宋体" w:hAnsi="宋体" w:cs="宋体"/>
                <w:color w:val="auto"/>
                <w:szCs w:val="21"/>
                <w:highlight w:val="none"/>
              </w:rPr>
              <w:t>第二阶段投标人名次的排序方法（适用于办法一、办法二）</w:t>
            </w:r>
          </w:p>
        </w:tc>
        <w:tc>
          <w:tcPr>
            <w:tcW w:w="5899" w:type="dxa"/>
            <w:tcBorders>
              <w:right w:val="double" w:color="auto" w:sz="4" w:space="0"/>
            </w:tcBorders>
            <w:noWrap/>
            <w:vAlign w:val="center"/>
          </w:tcPr>
          <w:p w14:paraId="22A5B170">
            <w:pPr>
              <w:snapToGrid w:val="0"/>
              <w:spacing w:line="288" w:lineRule="auto"/>
              <w:rPr>
                <w:rFonts w:ascii="宋体" w:hAnsi="宋体" w:cs="宋体"/>
                <w:strike/>
                <w:color w:val="auto"/>
                <w:szCs w:val="21"/>
                <w:highlight w:val="none"/>
              </w:rPr>
            </w:pPr>
            <w:r>
              <w:rPr>
                <w:rFonts w:hint="eastAsia" w:ascii="宋体" w:hAnsi="宋体" w:cs="宋体"/>
                <w:color w:val="auto"/>
                <w:szCs w:val="21"/>
                <w:highlight w:val="none"/>
                <w:u w:val="single"/>
              </w:rPr>
              <w:t>本款不适用。</w:t>
            </w:r>
          </w:p>
        </w:tc>
      </w:tr>
      <w:tr w14:paraId="27427C1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6" w:type="dxa"/>
            <w:tcBorders>
              <w:left w:val="double" w:color="auto" w:sz="4" w:space="0"/>
            </w:tcBorders>
            <w:noWrap/>
            <w:vAlign w:val="center"/>
          </w:tcPr>
          <w:p w14:paraId="28F11C96">
            <w:pPr>
              <w:snapToGrid w:val="0"/>
              <w:spacing w:line="288" w:lineRule="auto"/>
              <w:jc w:val="center"/>
              <w:rPr>
                <w:rFonts w:ascii="宋体" w:hAnsi="宋体" w:cs="宋体"/>
                <w:color w:val="auto"/>
                <w:szCs w:val="21"/>
                <w:highlight w:val="none"/>
              </w:rPr>
            </w:pPr>
            <w:r>
              <w:rPr>
                <w:rFonts w:hint="eastAsia" w:ascii="宋体" w:hAnsi="宋体" w:cs="宋体"/>
                <w:color w:val="auto"/>
                <w:szCs w:val="21"/>
                <w:highlight w:val="none"/>
              </w:rPr>
              <w:t>31</w:t>
            </w:r>
          </w:p>
        </w:tc>
        <w:tc>
          <w:tcPr>
            <w:tcW w:w="914" w:type="dxa"/>
            <w:noWrap/>
            <w:vAlign w:val="center"/>
          </w:tcPr>
          <w:p w14:paraId="3B1620B1">
            <w:pPr>
              <w:snapToGrid w:val="0"/>
              <w:spacing w:line="288" w:lineRule="auto"/>
              <w:ind w:firstLine="458"/>
              <w:rPr>
                <w:rFonts w:ascii="宋体" w:hAnsi="宋体" w:cs="宋体"/>
                <w:color w:val="auto"/>
                <w:szCs w:val="21"/>
                <w:highlight w:val="none"/>
              </w:rPr>
            </w:pPr>
          </w:p>
        </w:tc>
        <w:tc>
          <w:tcPr>
            <w:tcW w:w="1823" w:type="dxa"/>
            <w:noWrap/>
            <w:vAlign w:val="center"/>
          </w:tcPr>
          <w:p w14:paraId="62CA0F65">
            <w:pPr>
              <w:snapToGrid w:val="0"/>
              <w:spacing w:line="288" w:lineRule="auto"/>
              <w:rPr>
                <w:rFonts w:ascii="宋体" w:hAnsi="宋体" w:cs="宋体"/>
                <w:color w:val="auto"/>
                <w:szCs w:val="21"/>
                <w:highlight w:val="none"/>
              </w:rPr>
            </w:pPr>
            <w:r>
              <w:rPr>
                <w:rFonts w:hint="eastAsia" w:ascii="宋体" w:hAnsi="宋体" w:cs="宋体"/>
                <w:color w:val="auto"/>
                <w:szCs w:val="21"/>
                <w:highlight w:val="none"/>
              </w:rPr>
              <w:t>经济分相同情况下的排序方法（适用于办法三、办法四）</w:t>
            </w:r>
          </w:p>
        </w:tc>
        <w:tc>
          <w:tcPr>
            <w:tcW w:w="5899" w:type="dxa"/>
            <w:tcBorders>
              <w:right w:val="double" w:color="auto" w:sz="4" w:space="0"/>
            </w:tcBorders>
            <w:noWrap/>
            <w:vAlign w:val="center"/>
          </w:tcPr>
          <w:p w14:paraId="5772395B">
            <w:pPr>
              <w:snapToGrid w:val="0"/>
              <w:spacing w:line="288" w:lineRule="auto"/>
              <w:rPr>
                <w:rFonts w:ascii="宋体" w:hAnsi="宋体" w:cs="宋体"/>
                <w:strike/>
                <w:color w:val="auto"/>
                <w:szCs w:val="21"/>
                <w:highlight w:val="none"/>
              </w:rPr>
            </w:pPr>
            <w:r>
              <w:rPr>
                <w:rFonts w:hint="eastAsia" w:ascii="宋体" w:hAnsi="宋体" w:cs="宋体"/>
                <w:color w:val="auto"/>
                <w:szCs w:val="21"/>
                <w:highlight w:val="none"/>
                <w:u w:val="single"/>
              </w:rPr>
              <w:t>本款不适用。</w:t>
            </w:r>
          </w:p>
        </w:tc>
      </w:tr>
      <w:tr w14:paraId="25931B6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6" w:type="dxa"/>
            <w:tcBorders>
              <w:left w:val="double" w:color="auto" w:sz="4" w:space="0"/>
            </w:tcBorders>
            <w:noWrap/>
            <w:vAlign w:val="center"/>
          </w:tcPr>
          <w:p w14:paraId="5777C787">
            <w:pPr>
              <w:snapToGrid w:val="0"/>
              <w:spacing w:line="288" w:lineRule="auto"/>
              <w:jc w:val="center"/>
              <w:rPr>
                <w:rFonts w:ascii="宋体" w:hAnsi="宋体" w:cs="宋体"/>
                <w:color w:val="auto"/>
                <w:szCs w:val="21"/>
                <w:highlight w:val="none"/>
              </w:rPr>
            </w:pPr>
            <w:r>
              <w:rPr>
                <w:rFonts w:hint="eastAsia" w:ascii="宋体" w:hAnsi="宋体" w:cs="宋体"/>
                <w:color w:val="auto"/>
                <w:szCs w:val="21"/>
                <w:highlight w:val="none"/>
              </w:rPr>
              <w:t>32</w:t>
            </w:r>
          </w:p>
        </w:tc>
        <w:tc>
          <w:tcPr>
            <w:tcW w:w="914" w:type="dxa"/>
            <w:noWrap/>
            <w:vAlign w:val="center"/>
          </w:tcPr>
          <w:p w14:paraId="45B1ABB8">
            <w:pPr>
              <w:snapToGrid w:val="0"/>
              <w:spacing w:line="288" w:lineRule="auto"/>
              <w:ind w:firstLine="458"/>
              <w:rPr>
                <w:rFonts w:ascii="宋体" w:hAnsi="宋体" w:cs="宋体"/>
                <w:color w:val="auto"/>
                <w:szCs w:val="21"/>
                <w:highlight w:val="none"/>
              </w:rPr>
            </w:pPr>
          </w:p>
        </w:tc>
        <w:tc>
          <w:tcPr>
            <w:tcW w:w="1823" w:type="dxa"/>
            <w:noWrap/>
            <w:vAlign w:val="center"/>
          </w:tcPr>
          <w:p w14:paraId="03B7DE2B">
            <w:pPr>
              <w:snapToGrid w:val="0"/>
              <w:spacing w:line="288" w:lineRule="auto"/>
              <w:rPr>
                <w:rFonts w:ascii="宋体" w:hAnsi="宋体" w:cs="宋体"/>
                <w:color w:val="auto"/>
                <w:szCs w:val="21"/>
                <w:highlight w:val="none"/>
              </w:rPr>
            </w:pPr>
            <w:r>
              <w:rPr>
                <w:rFonts w:hint="eastAsia" w:ascii="宋体" w:hAnsi="宋体" w:cs="宋体"/>
                <w:color w:val="auto"/>
                <w:szCs w:val="21"/>
                <w:highlight w:val="none"/>
              </w:rPr>
              <w:t>第二阶段投标人名次的排序方法（适用于办法五、办法六）</w:t>
            </w:r>
          </w:p>
        </w:tc>
        <w:tc>
          <w:tcPr>
            <w:tcW w:w="5899" w:type="dxa"/>
            <w:tcBorders>
              <w:right w:val="double" w:color="auto" w:sz="4" w:space="0"/>
            </w:tcBorders>
            <w:noWrap/>
            <w:vAlign w:val="center"/>
          </w:tcPr>
          <w:p w14:paraId="48622C27">
            <w:pPr>
              <w:snapToGrid w:val="0"/>
              <w:spacing w:line="288" w:lineRule="auto"/>
              <w:rPr>
                <w:rFonts w:ascii="宋体" w:hAnsi="宋体" w:cs="宋体"/>
                <w:strike/>
                <w:color w:val="auto"/>
                <w:szCs w:val="21"/>
                <w:highlight w:val="none"/>
              </w:rPr>
            </w:pPr>
            <w:r>
              <w:rPr>
                <w:rFonts w:hint="eastAsia" w:ascii="宋体" w:hAnsi="宋体" w:cs="宋体"/>
                <w:color w:val="auto"/>
                <w:szCs w:val="21"/>
                <w:highlight w:val="none"/>
                <w:u w:val="single"/>
              </w:rPr>
              <w:t>本款不适用。</w:t>
            </w:r>
          </w:p>
        </w:tc>
      </w:tr>
      <w:tr w14:paraId="7B16FDC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686" w:type="dxa"/>
            <w:tcBorders>
              <w:left w:val="double" w:color="auto" w:sz="4" w:space="0"/>
            </w:tcBorders>
            <w:noWrap/>
            <w:vAlign w:val="center"/>
          </w:tcPr>
          <w:p w14:paraId="485F336E">
            <w:pPr>
              <w:snapToGrid w:val="0"/>
              <w:spacing w:line="288" w:lineRule="auto"/>
              <w:jc w:val="center"/>
              <w:rPr>
                <w:rFonts w:ascii="宋体" w:hAnsi="宋体" w:cs="宋体"/>
                <w:color w:val="auto"/>
                <w:szCs w:val="21"/>
                <w:highlight w:val="none"/>
              </w:rPr>
            </w:pPr>
            <w:r>
              <w:rPr>
                <w:rFonts w:hint="eastAsia" w:ascii="宋体" w:hAnsi="宋体" w:cs="宋体"/>
                <w:color w:val="auto"/>
                <w:szCs w:val="21"/>
                <w:highlight w:val="none"/>
              </w:rPr>
              <w:t>33</w:t>
            </w:r>
          </w:p>
        </w:tc>
        <w:tc>
          <w:tcPr>
            <w:tcW w:w="914" w:type="dxa"/>
            <w:noWrap/>
            <w:vAlign w:val="center"/>
          </w:tcPr>
          <w:p w14:paraId="1333044C">
            <w:pPr>
              <w:snapToGrid w:val="0"/>
              <w:spacing w:line="288" w:lineRule="auto"/>
              <w:jc w:val="center"/>
              <w:rPr>
                <w:rFonts w:ascii="宋体" w:hAnsi="宋体" w:cs="宋体"/>
                <w:color w:val="auto"/>
                <w:szCs w:val="21"/>
                <w:highlight w:val="none"/>
              </w:rPr>
            </w:pPr>
            <w:r>
              <w:rPr>
                <w:rFonts w:hint="eastAsia" w:ascii="宋体" w:hAnsi="宋体" w:cs="宋体"/>
                <w:color w:val="auto"/>
                <w:szCs w:val="21"/>
                <w:highlight w:val="none"/>
              </w:rPr>
              <w:t>13.4、13.5.2</w:t>
            </w:r>
          </w:p>
        </w:tc>
        <w:tc>
          <w:tcPr>
            <w:tcW w:w="1823" w:type="dxa"/>
            <w:noWrap/>
            <w:vAlign w:val="center"/>
          </w:tcPr>
          <w:p w14:paraId="6120FA02">
            <w:pPr>
              <w:snapToGrid w:val="0"/>
              <w:spacing w:line="288" w:lineRule="auto"/>
              <w:jc w:val="center"/>
              <w:rPr>
                <w:rFonts w:ascii="宋体" w:hAnsi="宋体" w:cs="宋体"/>
                <w:color w:val="auto"/>
                <w:szCs w:val="21"/>
                <w:highlight w:val="none"/>
              </w:rPr>
            </w:pPr>
            <w:r>
              <w:rPr>
                <w:rFonts w:hint="eastAsia" w:ascii="宋体" w:hAnsi="宋体" w:cs="宋体"/>
                <w:color w:val="auto"/>
                <w:szCs w:val="21"/>
                <w:highlight w:val="none"/>
              </w:rPr>
              <w:t>合同价款的调整办法</w:t>
            </w:r>
          </w:p>
        </w:tc>
        <w:tc>
          <w:tcPr>
            <w:tcW w:w="5899" w:type="dxa"/>
            <w:tcBorders>
              <w:right w:val="double" w:color="auto" w:sz="4" w:space="0"/>
            </w:tcBorders>
            <w:noWrap/>
            <w:vAlign w:val="center"/>
          </w:tcPr>
          <w:p w14:paraId="08F85A4D">
            <w:pPr>
              <w:snapToGrid w:val="0"/>
              <w:spacing w:line="288" w:lineRule="auto"/>
              <w:rPr>
                <w:rFonts w:ascii="宋体" w:hAnsi="宋体" w:cs="宋体"/>
                <w:color w:val="auto"/>
                <w:szCs w:val="21"/>
                <w:highlight w:val="none"/>
                <w:u w:val="single"/>
              </w:rPr>
            </w:pPr>
            <w:r>
              <w:rPr>
                <w:rFonts w:hint="eastAsia" w:ascii="宋体" w:hAnsi="宋体" w:cs="宋体"/>
                <w:color w:val="auto"/>
                <w:szCs w:val="21"/>
                <w:highlight w:val="none"/>
                <w:u w:val="single"/>
              </w:rPr>
              <w:t>详见招标文件及相关合同条款。</w:t>
            </w:r>
          </w:p>
        </w:tc>
      </w:tr>
      <w:tr w14:paraId="3AA1F62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6" w:type="dxa"/>
            <w:tcBorders>
              <w:left w:val="double" w:color="auto" w:sz="4" w:space="0"/>
            </w:tcBorders>
            <w:noWrap/>
            <w:vAlign w:val="center"/>
          </w:tcPr>
          <w:p w14:paraId="5226E31D">
            <w:pPr>
              <w:snapToGrid w:val="0"/>
              <w:spacing w:line="288" w:lineRule="auto"/>
              <w:jc w:val="center"/>
              <w:rPr>
                <w:rFonts w:ascii="宋体" w:hAnsi="宋体" w:cs="宋体"/>
                <w:color w:val="auto"/>
                <w:szCs w:val="21"/>
                <w:highlight w:val="none"/>
              </w:rPr>
            </w:pPr>
            <w:r>
              <w:rPr>
                <w:rFonts w:hint="eastAsia" w:ascii="宋体" w:hAnsi="宋体" w:cs="宋体"/>
                <w:color w:val="auto"/>
                <w:szCs w:val="21"/>
                <w:highlight w:val="none"/>
              </w:rPr>
              <w:t>34</w:t>
            </w:r>
          </w:p>
        </w:tc>
        <w:tc>
          <w:tcPr>
            <w:tcW w:w="914" w:type="dxa"/>
            <w:noWrap/>
            <w:vAlign w:val="center"/>
          </w:tcPr>
          <w:p w14:paraId="45066182">
            <w:pPr>
              <w:snapToGrid w:val="0"/>
              <w:spacing w:line="288" w:lineRule="auto"/>
              <w:jc w:val="center"/>
              <w:rPr>
                <w:rFonts w:ascii="宋体" w:hAnsi="宋体" w:cs="宋体"/>
                <w:color w:val="auto"/>
                <w:szCs w:val="21"/>
                <w:highlight w:val="none"/>
              </w:rPr>
            </w:pPr>
          </w:p>
        </w:tc>
        <w:tc>
          <w:tcPr>
            <w:tcW w:w="1823" w:type="dxa"/>
            <w:noWrap/>
            <w:vAlign w:val="center"/>
          </w:tcPr>
          <w:p w14:paraId="3B645A2D">
            <w:pPr>
              <w:snapToGrid w:val="0"/>
              <w:spacing w:line="288" w:lineRule="auto"/>
              <w:jc w:val="center"/>
              <w:rPr>
                <w:rFonts w:ascii="宋体" w:hAnsi="宋体" w:cs="宋体"/>
                <w:color w:val="auto"/>
                <w:szCs w:val="21"/>
                <w:highlight w:val="none"/>
              </w:rPr>
            </w:pPr>
            <w:r>
              <w:rPr>
                <w:rFonts w:hint="eastAsia" w:ascii="宋体" w:hAnsi="宋体" w:cs="宋体"/>
                <w:color w:val="auto"/>
                <w:kern w:val="0"/>
                <w:szCs w:val="21"/>
                <w:highlight w:val="none"/>
              </w:rPr>
              <w:t>建设工程质量检测单位</w:t>
            </w:r>
          </w:p>
        </w:tc>
        <w:tc>
          <w:tcPr>
            <w:tcW w:w="5899" w:type="dxa"/>
            <w:tcBorders>
              <w:right w:val="double" w:color="auto" w:sz="4" w:space="0"/>
            </w:tcBorders>
            <w:noWrap/>
            <w:vAlign w:val="center"/>
          </w:tcPr>
          <w:p w14:paraId="2CFD19F1">
            <w:pPr>
              <w:snapToGrid w:val="0"/>
              <w:spacing w:line="288" w:lineRule="auto"/>
              <w:rPr>
                <w:rFonts w:ascii="宋体" w:hAnsi="宋体" w:cs="宋体"/>
                <w:color w:val="auto"/>
                <w:kern w:val="0"/>
                <w:szCs w:val="21"/>
                <w:highlight w:val="none"/>
                <w:lang w:val="zh-CN"/>
              </w:rPr>
            </w:pPr>
            <w:r>
              <w:rPr>
                <w:rFonts w:hint="eastAsia" w:ascii="宋体" w:hAnsi="宋体" w:cs="宋体"/>
                <w:color w:val="auto"/>
                <w:kern w:val="0"/>
                <w:szCs w:val="21"/>
                <w:highlight w:val="none"/>
              </w:rPr>
              <w:t>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tc>
      </w:tr>
      <w:tr w14:paraId="4A9B2B7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6" w:type="dxa"/>
            <w:tcBorders>
              <w:left w:val="double" w:color="auto" w:sz="4" w:space="0"/>
            </w:tcBorders>
            <w:noWrap/>
            <w:vAlign w:val="center"/>
          </w:tcPr>
          <w:p w14:paraId="0884A05E">
            <w:pPr>
              <w:snapToGrid w:val="0"/>
              <w:spacing w:line="288" w:lineRule="auto"/>
              <w:jc w:val="center"/>
              <w:rPr>
                <w:rFonts w:ascii="宋体" w:hAnsi="宋体" w:cs="宋体"/>
                <w:color w:val="auto"/>
                <w:szCs w:val="21"/>
                <w:highlight w:val="none"/>
              </w:rPr>
            </w:pPr>
            <w:r>
              <w:rPr>
                <w:rFonts w:hint="eastAsia" w:ascii="宋体" w:hAnsi="宋体" w:cs="宋体"/>
                <w:color w:val="auto"/>
                <w:szCs w:val="21"/>
                <w:highlight w:val="none"/>
              </w:rPr>
              <w:t>35</w:t>
            </w:r>
          </w:p>
        </w:tc>
        <w:tc>
          <w:tcPr>
            <w:tcW w:w="914" w:type="dxa"/>
            <w:noWrap/>
            <w:vAlign w:val="center"/>
          </w:tcPr>
          <w:p w14:paraId="69E5BBAC">
            <w:pPr>
              <w:snapToGrid w:val="0"/>
              <w:spacing w:line="288" w:lineRule="auto"/>
              <w:jc w:val="center"/>
              <w:rPr>
                <w:rFonts w:ascii="宋体" w:hAnsi="宋体" w:cs="宋体"/>
                <w:color w:val="auto"/>
                <w:szCs w:val="21"/>
                <w:highlight w:val="none"/>
              </w:rPr>
            </w:pPr>
          </w:p>
        </w:tc>
        <w:tc>
          <w:tcPr>
            <w:tcW w:w="1823" w:type="dxa"/>
            <w:noWrap/>
            <w:vAlign w:val="center"/>
          </w:tcPr>
          <w:p w14:paraId="449DB086">
            <w:pPr>
              <w:snapToGrid w:val="0"/>
              <w:spacing w:line="288" w:lineRule="auto"/>
              <w:jc w:val="center"/>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分包</w:t>
            </w:r>
          </w:p>
        </w:tc>
        <w:tc>
          <w:tcPr>
            <w:tcW w:w="5899" w:type="dxa"/>
            <w:tcBorders>
              <w:right w:val="double" w:color="auto" w:sz="4" w:space="0"/>
            </w:tcBorders>
            <w:noWrap/>
            <w:vAlign w:val="center"/>
          </w:tcPr>
          <w:p w14:paraId="6FD541A4">
            <w:pPr>
              <w:snapToGrid w:val="0"/>
              <w:spacing w:line="288" w:lineRule="auto"/>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□不允许分包；</w:t>
            </w:r>
          </w:p>
          <w:p w14:paraId="4E15F884">
            <w:pPr>
              <w:snapToGrid w:val="0"/>
              <w:spacing w:line="288" w:lineRule="auto"/>
              <w:rPr>
                <w:rFonts w:ascii="宋体" w:hAnsi="宋体" w:cs="宋体"/>
                <w:color w:val="auto"/>
                <w:kern w:val="0"/>
                <w:szCs w:val="21"/>
                <w:highlight w:val="none"/>
              </w:rPr>
            </w:pPr>
            <w:r>
              <w:rPr>
                <w:rFonts w:hint="eastAsia" w:ascii="宋体" w:hAnsi="宋体" w:cs="宋体"/>
                <w:color w:val="auto"/>
                <w:szCs w:val="21"/>
                <w:highlight w:val="none"/>
              </w:rPr>
              <w:t>■</w:t>
            </w:r>
            <w:r>
              <w:rPr>
                <w:rFonts w:hint="eastAsia" w:ascii="宋体" w:hAnsi="宋体" w:cs="宋体"/>
                <w:color w:val="auto"/>
                <w:kern w:val="0"/>
                <w:szCs w:val="21"/>
                <w:highlight w:val="none"/>
                <w:lang w:val="zh-CN"/>
              </w:rPr>
              <w:t>允许：</w:t>
            </w:r>
            <w:r>
              <w:rPr>
                <w:rFonts w:hint="eastAsia" w:ascii="宋体" w:hAnsi="宋体" w:cs="宋体"/>
                <w:color w:val="auto"/>
                <w:kern w:val="0"/>
                <w:szCs w:val="21"/>
                <w:highlight w:val="none"/>
                <w:u w:val="single"/>
              </w:rPr>
              <w:t>允许非主体、非关键性工程进行分包。</w:t>
            </w:r>
          </w:p>
          <w:p w14:paraId="5AEC6D28">
            <w:pPr>
              <w:snapToGrid w:val="0"/>
              <w:spacing w:line="288" w:lineRule="auto"/>
              <w:rPr>
                <w:rFonts w:ascii="宋体" w:hAnsi="宋体" w:cs="宋体"/>
                <w:color w:val="auto"/>
                <w:szCs w:val="21"/>
                <w:highlight w:val="none"/>
                <w:u w:val="single"/>
              </w:rPr>
            </w:pPr>
            <w:r>
              <w:rPr>
                <w:rFonts w:hint="eastAsia" w:ascii="宋体" w:hAnsi="宋体" w:cs="宋体"/>
                <w:color w:val="auto"/>
                <w:szCs w:val="21"/>
                <w:highlight w:val="none"/>
              </w:rPr>
              <w:t>分包内容要求：</w:t>
            </w:r>
            <w:r>
              <w:rPr>
                <w:rFonts w:hint="eastAsia" w:ascii="宋体" w:hAnsi="宋体" w:cs="宋体"/>
                <w:color w:val="auto"/>
                <w:szCs w:val="21"/>
                <w:highlight w:val="none"/>
                <w:u w:val="single"/>
              </w:rPr>
              <w:t>经监理工程师及发包人同意后可依法分包。</w:t>
            </w:r>
          </w:p>
          <w:p w14:paraId="40FC5200">
            <w:pPr>
              <w:snapToGrid w:val="0"/>
              <w:spacing w:line="288" w:lineRule="auto"/>
              <w:rPr>
                <w:rFonts w:ascii="宋体" w:hAnsi="宋体" w:cs="宋体"/>
                <w:color w:val="auto"/>
                <w:szCs w:val="21"/>
                <w:highlight w:val="none"/>
                <w:u w:val="single"/>
              </w:rPr>
            </w:pPr>
            <w:r>
              <w:rPr>
                <w:rFonts w:hint="eastAsia" w:ascii="宋体" w:hAnsi="宋体" w:cs="宋体"/>
                <w:color w:val="auto"/>
                <w:szCs w:val="21"/>
                <w:highlight w:val="none"/>
              </w:rPr>
              <w:t>分包金额要求：</w:t>
            </w:r>
            <w:r>
              <w:rPr>
                <w:rFonts w:hint="eastAsia" w:ascii="宋体" w:hAnsi="宋体" w:cs="宋体"/>
                <w:color w:val="auto"/>
                <w:szCs w:val="21"/>
                <w:highlight w:val="none"/>
                <w:u w:val="single"/>
              </w:rPr>
              <w:t>无</w:t>
            </w:r>
          </w:p>
          <w:p w14:paraId="14601865">
            <w:pPr>
              <w:snapToGrid w:val="0"/>
              <w:spacing w:line="288" w:lineRule="auto"/>
              <w:rPr>
                <w:rFonts w:ascii="宋体" w:hAnsi="宋体" w:cs="宋体"/>
                <w:color w:val="auto"/>
                <w:szCs w:val="21"/>
                <w:highlight w:val="none"/>
                <w:u w:val="single"/>
              </w:rPr>
            </w:pPr>
            <w:r>
              <w:rPr>
                <w:rFonts w:hint="eastAsia" w:ascii="宋体" w:hAnsi="宋体" w:cs="宋体"/>
                <w:color w:val="auto"/>
                <w:szCs w:val="21"/>
                <w:highlight w:val="none"/>
              </w:rPr>
              <w:t>对分包人的资质要求：</w:t>
            </w:r>
            <w:r>
              <w:rPr>
                <w:rFonts w:hint="eastAsia" w:ascii="宋体" w:hAnsi="宋体" w:cs="宋体"/>
                <w:color w:val="auto"/>
                <w:szCs w:val="21"/>
                <w:highlight w:val="none"/>
                <w:u w:val="single"/>
              </w:rPr>
              <w:t>符合有关法律法规和文件规定，并不得再次分包。</w:t>
            </w:r>
          </w:p>
          <w:p w14:paraId="7744C921">
            <w:pPr>
              <w:snapToGrid w:val="0"/>
              <w:spacing w:line="288" w:lineRule="auto"/>
              <w:rPr>
                <w:rFonts w:ascii="宋体" w:hAnsi="宋体" w:cs="宋体"/>
                <w:color w:val="auto"/>
                <w:kern w:val="0"/>
                <w:szCs w:val="21"/>
                <w:highlight w:val="none"/>
                <w:lang w:val="zh-CN"/>
              </w:rPr>
            </w:pPr>
            <w:r>
              <w:rPr>
                <w:rFonts w:hint="eastAsia" w:ascii="宋体" w:hAnsi="宋体" w:cs="宋体"/>
                <w:color w:val="auto"/>
                <w:szCs w:val="21"/>
                <w:highlight w:val="none"/>
              </w:rPr>
              <w:t>对分包人的其他要求：</w:t>
            </w:r>
            <w:r>
              <w:rPr>
                <w:rFonts w:hint="eastAsia" w:ascii="宋体" w:hAnsi="宋体" w:cs="宋体"/>
                <w:color w:val="auto"/>
                <w:szCs w:val="21"/>
                <w:highlight w:val="none"/>
                <w:u w:val="single"/>
              </w:rPr>
              <w:t>无。</w:t>
            </w:r>
          </w:p>
        </w:tc>
      </w:tr>
      <w:tr w14:paraId="4F35CCE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6" w:type="dxa"/>
            <w:tcBorders>
              <w:left w:val="double" w:color="auto" w:sz="4" w:space="0"/>
            </w:tcBorders>
            <w:noWrap/>
            <w:vAlign w:val="center"/>
          </w:tcPr>
          <w:p w14:paraId="6F2A452B">
            <w:pPr>
              <w:snapToGrid w:val="0"/>
              <w:spacing w:line="288" w:lineRule="auto"/>
              <w:jc w:val="center"/>
              <w:rPr>
                <w:rFonts w:ascii="宋体" w:hAnsi="宋体" w:cs="宋体"/>
                <w:color w:val="auto"/>
                <w:szCs w:val="21"/>
                <w:highlight w:val="none"/>
              </w:rPr>
            </w:pPr>
            <w:r>
              <w:rPr>
                <w:rFonts w:hint="eastAsia" w:ascii="宋体" w:hAnsi="宋体" w:cs="宋体"/>
                <w:color w:val="auto"/>
                <w:szCs w:val="21"/>
                <w:highlight w:val="none"/>
              </w:rPr>
              <w:t>36</w:t>
            </w:r>
          </w:p>
        </w:tc>
        <w:tc>
          <w:tcPr>
            <w:tcW w:w="914" w:type="dxa"/>
            <w:noWrap/>
            <w:vAlign w:val="center"/>
          </w:tcPr>
          <w:p w14:paraId="5CCB051E">
            <w:pPr>
              <w:snapToGrid w:val="0"/>
              <w:spacing w:line="288" w:lineRule="auto"/>
              <w:jc w:val="center"/>
              <w:rPr>
                <w:rFonts w:ascii="宋体" w:hAnsi="宋体" w:cs="宋体"/>
                <w:color w:val="auto"/>
                <w:szCs w:val="21"/>
                <w:highlight w:val="none"/>
              </w:rPr>
            </w:pPr>
          </w:p>
        </w:tc>
        <w:tc>
          <w:tcPr>
            <w:tcW w:w="1823" w:type="dxa"/>
            <w:noWrap/>
            <w:vAlign w:val="center"/>
          </w:tcPr>
          <w:p w14:paraId="5014A1BE">
            <w:pPr>
              <w:snapToGrid w:val="0"/>
              <w:spacing w:line="288" w:lineRule="auto"/>
              <w:jc w:val="center"/>
              <w:rPr>
                <w:rFonts w:ascii="宋体" w:hAnsi="宋体" w:cs="宋体"/>
                <w:color w:val="auto"/>
                <w:szCs w:val="21"/>
                <w:highlight w:val="none"/>
              </w:rPr>
            </w:pPr>
            <w:r>
              <w:rPr>
                <w:rFonts w:hint="eastAsia" w:ascii="宋体" w:hAnsi="宋体" w:cs="宋体"/>
                <w:color w:val="auto"/>
                <w:szCs w:val="21"/>
                <w:highlight w:val="none"/>
              </w:rPr>
              <w:t>电子招标投标解密失败及突发情况的补救</w:t>
            </w:r>
          </w:p>
        </w:tc>
        <w:tc>
          <w:tcPr>
            <w:tcW w:w="5899" w:type="dxa"/>
            <w:tcBorders>
              <w:right w:val="double" w:color="auto" w:sz="4" w:space="0"/>
            </w:tcBorders>
            <w:noWrap/>
            <w:vAlign w:val="center"/>
          </w:tcPr>
          <w:p w14:paraId="71FF3060">
            <w:pPr>
              <w:snapToGrid w:val="0"/>
              <w:spacing w:line="288" w:lineRule="auto"/>
              <w:rPr>
                <w:rFonts w:ascii="宋体" w:hAnsi="宋体" w:cs="宋体"/>
                <w:color w:val="auto"/>
                <w:szCs w:val="21"/>
                <w:highlight w:val="none"/>
              </w:rPr>
            </w:pPr>
            <w:r>
              <w:rPr>
                <w:rFonts w:hint="eastAsia" w:ascii="宋体" w:hAnsi="宋体" w:cs="宋体"/>
                <w:color w:val="auto"/>
                <w:szCs w:val="21"/>
                <w:highlight w:val="none"/>
              </w:rPr>
              <w:t>1、按照广州交易集团有限公司（广州公共资源交易中心）交易平台关于全流程电子化项目的相关指南进行操作。详见：</w:t>
            </w:r>
            <w:r>
              <w:rPr>
                <w:rFonts w:hint="eastAsia" w:ascii="宋体" w:hAnsi="宋体" w:cs="宋体"/>
                <w:color w:val="auto"/>
                <w:szCs w:val="21"/>
                <w:highlight w:val="none"/>
                <w:u w:val="single"/>
              </w:rPr>
              <w:t>广州交易集团有限公司（广州公共资源交易中心）网站最新指引。</w:t>
            </w:r>
          </w:p>
          <w:p w14:paraId="249DD577">
            <w:pPr>
              <w:snapToGrid w:val="0"/>
              <w:spacing w:line="288" w:lineRule="auto"/>
              <w:rPr>
                <w:rFonts w:ascii="宋体" w:hAnsi="宋体" w:cs="宋体"/>
                <w:color w:val="auto"/>
                <w:szCs w:val="21"/>
                <w:highlight w:val="none"/>
              </w:rPr>
            </w:pPr>
            <w:r>
              <w:rPr>
                <w:rFonts w:hint="eastAsia" w:ascii="宋体" w:hAnsi="宋体" w:cs="宋体"/>
                <w:color w:val="auto"/>
                <w:szCs w:val="21"/>
                <w:highlight w:val="none"/>
              </w:rPr>
              <w:t>2、提交投标文件光盘备用</w:t>
            </w:r>
          </w:p>
          <w:p w14:paraId="57D0F932">
            <w:pPr>
              <w:snapToGrid w:val="0"/>
              <w:spacing w:line="288" w:lineRule="auto"/>
              <w:rPr>
                <w:rFonts w:ascii="宋体" w:hAnsi="宋体" w:cs="宋体"/>
                <w:color w:val="auto"/>
                <w:szCs w:val="21"/>
                <w:highlight w:val="none"/>
              </w:rPr>
            </w:pPr>
            <w:r>
              <w:rPr>
                <w:rFonts w:hint="eastAsia" w:ascii="宋体" w:hAnsi="宋体" w:cs="宋体"/>
                <w:color w:val="auto"/>
                <w:szCs w:val="21"/>
                <w:highlight w:val="none"/>
              </w:rPr>
              <w:t>投标人可制作非加密的电子投标文件（PDF格式）刻入光盘（1份），在投标须知前附表第18项规定的时间、地点提交备用。刻录好的投标文件光盘密封在密封袋中，并在封口处加盖投标人单位公章。密封袋上应写明项目名称和招标人名称。递交的光盘不得加密。光盘无法读取或导入的，则视为未提交备用投标文件光盘。如果投标人没有按规定通过交易平台网上递交电子投标文件的，不再读取提交的光盘。投标人也可不提交备用光盘。</w:t>
            </w:r>
          </w:p>
          <w:p w14:paraId="0CB2CA81">
            <w:pPr>
              <w:snapToGrid w:val="0"/>
              <w:spacing w:line="288" w:lineRule="auto"/>
              <w:rPr>
                <w:rFonts w:ascii="宋体" w:hAnsi="宋体" w:cs="宋体"/>
                <w:color w:val="auto"/>
                <w:szCs w:val="21"/>
                <w:highlight w:val="none"/>
              </w:rPr>
            </w:pPr>
            <w:r>
              <w:rPr>
                <w:rFonts w:hint="eastAsia" w:ascii="宋体" w:hAnsi="宋体" w:cs="宋体"/>
                <w:color w:val="auto"/>
                <w:szCs w:val="21"/>
                <w:highlight w:val="none"/>
              </w:rPr>
              <w:t>3、补救方案</w:t>
            </w:r>
          </w:p>
          <w:p w14:paraId="2D290532">
            <w:pPr>
              <w:snapToGrid w:val="0"/>
              <w:spacing w:line="288" w:lineRule="auto"/>
              <w:rPr>
                <w:rFonts w:ascii="宋体" w:hAnsi="宋体" w:cs="宋体"/>
                <w:color w:val="auto"/>
                <w:szCs w:val="21"/>
                <w:highlight w:val="none"/>
              </w:rPr>
            </w:pPr>
            <w:r>
              <w:rPr>
                <w:rFonts w:hint="eastAsia" w:ascii="宋体" w:hAnsi="宋体" w:cs="宋体"/>
                <w:color w:val="auto"/>
                <w:szCs w:val="21"/>
                <w:highlight w:val="none"/>
              </w:rPr>
              <w:t>（1）投标文件解密失败的补救方案：</w:t>
            </w:r>
          </w:p>
          <w:p w14:paraId="12430351">
            <w:pPr>
              <w:snapToGrid w:val="0"/>
              <w:spacing w:line="288" w:lineRule="auto"/>
              <w:rPr>
                <w:rFonts w:ascii="宋体" w:hAnsi="宋体" w:cs="宋体"/>
                <w:color w:val="auto"/>
                <w:szCs w:val="21"/>
                <w:highlight w:val="none"/>
              </w:rPr>
            </w:pPr>
            <w:r>
              <w:rPr>
                <w:rFonts w:hint="eastAsia" w:ascii="宋体" w:hAnsi="宋体" w:cs="宋体"/>
                <w:color w:val="auto"/>
                <w:szCs w:val="21"/>
                <w:highlight w:val="none"/>
              </w:rPr>
              <w:t>在规定时间内，因投标人之外原因(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p w14:paraId="1EB91CE9">
            <w:pPr>
              <w:snapToGrid w:val="0"/>
              <w:spacing w:line="288" w:lineRule="auto"/>
              <w:rPr>
                <w:rFonts w:ascii="宋体" w:hAnsi="宋体" w:cs="宋体"/>
                <w:color w:val="auto"/>
                <w:szCs w:val="21"/>
                <w:highlight w:val="none"/>
              </w:rPr>
            </w:pPr>
            <w:r>
              <w:rPr>
                <w:rFonts w:hint="eastAsia" w:ascii="宋体" w:hAnsi="宋体" w:cs="宋体"/>
                <w:color w:val="auto"/>
                <w:szCs w:val="21"/>
                <w:highlight w:val="none"/>
              </w:rPr>
              <w:t>（2）评标时突发情况的补救方案</w:t>
            </w:r>
          </w:p>
          <w:p w14:paraId="318A0B1D">
            <w:pPr>
              <w:snapToGrid w:val="0"/>
              <w:spacing w:line="288" w:lineRule="auto"/>
              <w:rPr>
                <w:rFonts w:ascii="宋体" w:hAnsi="宋体" w:cs="宋体"/>
                <w:color w:val="auto"/>
                <w:szCs w:val="21"/>
                <w:highlight w:val="none"/>
              </w:rPr>
            </w:pPr>
            <w:r>
              <w:rPr>
                <w:rFonts w:hint="eastAsia" w:ascii="宋体" w:hAnsi="宋体" w:cs="宋体"/>
                <w:color w:val="auto"/>
                <w:szCs w:val="21"/>
                <w:highlight w:val="none"/>
              </w:rPr>
              <w:t>若遇不可抗力发生（指网络瘫痪、服务器损坏、交易系统故障短期无法恢复等因素），由评标委员会开启投标人递交的全部投标文件光盘，并按光盘内容进行评审。</w:t>
            </w:r>
          </w:p>
          <w:p w14:paraId="57C5884A">
            <w:pPr>
              <w:snapToGrid w:val="0"/>
              <w:spacing w:line="288" w:lineRule="auto"/>
              <w:rPr>
                <w:rFonts w:ascii="宋体" w:hAnsi="宋体" w:cs="宋体"/>
                <w:color w:val="auto"/>
                <w:szCs w:val="21"/>
                <w:highlight w:val="none"/>
              </w:rPr>
            </w:pPr>
            <w:r>
              <w:rPr>
                <w:rFonts w:hint="eastAsia" w:ascii="宋体" w:hAnsi="宋体" w:cs="宋体"/>
                <w:color w:val="auto"/>
                <w:szCs w:val="21"/>
                <w:highlight w:val="none"/>
              </w:rPr>
              <w:t>（3）除发生上述情况外，开标评标均以投标人通过广州交易集团有限公司（广州公共资源交易中心）交易平台网上递交的电子投标文件为准。</w:t>
            </w:r>
          </w:p>
        </w:tc>
      </w:tr>
      <w:tr w14:paraId="3D5B59F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73" w:hRule="atLeast"/>
        </w:trPr>
        <w:tc>
          <w:tcPr>
            <w:tcW w:w="686" w:type="dxa"/>
            <w:tcBorders>
              <w:left w:val="double" w:color="auto" w:sz="4" w:space="0"/>
            </w:tcBorders>
            <w:noWrap/>
            <w:vAlign w:val="center"/>
          </w:tcPr>
          <w:p w14:paraId="62CB9BF4">
            <w:pPr>
              <w:snapToGrid w:val="0"/>
              <w:spacing w:line="288" w:lineRule="auto"/>
              <w:jc w:val="center"/>
              <w:rPr>
                <w:rFonts w:ascii="宋体" w:hAnsi="宋体" w:cs="宋体"/>
                <w:color w:val="auto"/>
                <w:szCs w:val="21"/>
                <w:highlight w:val="none"/>
                <w:u w:val="single"/>
              </w:rPr>
            </w:pPr>
            <w:r>
              <w:rPr>
                <w:rFonts w:hint="eastAsia" w:ascii="宋体" w:hAnsi="宋体" w:cs="宋体"/>
                <w:color w:val="auto"/>
                <w:szCs w:val="21"/>
                <w:highlight w:val="none"/>
                <w:u w:val="single"/>
              </w:rPr>
              <w:t>37</w:t>
            </w:r>
          </w:p>
        </w:tc>
        <w:tc>
          <w:tcPr>
            <w:tcW w:w="914" w:type="dxa"/>
            <w:noWrap/>
            <w:vAlign w:val="center"/>
          </w:tcPr>
          <w:p w14:paraId="018B4571">
            <w:pPr>
              <w:snapToGrid w:val="0"/>
              <w:spacing w:line="288" w:lineRule="auto"/>
              <w:jc w:val="center"/>
              <w:rPr>
                <w:rFonts w:ascii="宋体" w:hAnsi="宋体" w:cs="宋体"/>
                <w:color w:val="auto"/>
                <w:szCs w:val="21"/>
                <w:highlight w:val="none"/>
              </w:rPr>
            </w:pPr>
          </w:p>
        </w:tc>
        <w:tc>
          <w:tcPr>
            <w:tcW w:w="1823" w:type="dxa"/>
            <w:noWrap/>
            <w:vAlign w:val="center"/>
          </w:tcPr>
          <w:p w14:paraId="48F920AC">
            <w:pPr>
              <w:snapToGrid w:val="0"/>
              <w:spacing w:line="288" w:lineRule="auto"/>
              <w:rPr>
                <w:rFonts w:ascii="宋体" w:hAnsi="宋体" w:cs="宋体"/>
                <w:color w:val="auto"/>
                <w:szCs w:val="21"/>
                <w:highlight w:val="none"/>
                <w:u w:val="single"/>
              </w:rPr>
            </w:pPr>
            <w:r>
              <w:rPr>
                <w:rFonts w:hint="eastAsia" w:ascii="宋体" w:hAnsi="宋体" w:cs="宋体"/>
                <w:color w:val="auto"/>
                <w:szCs w:val="21"/>
                <w:highlight w:val="none"/>
                <w:u w:val="single"/>
              </w:rPr>
              <w:t>招标人拒绝接收投标文件备用光盘的情况</w:t>
            </w:r>
          </w:p>
        </w:tc>
        <w:tc>
          <w:tcPr>
            <w:tcW w:w="5899" w:type="dxa"/>
            <w:tcBorders>
              <w:right w:val="double" w:color="auto" w:sz="4" w:space="0"/>
            </w:tcBorders>
            <w:noWrap/>
            <w:vAlign w:val="center"/>
          </w:tcPr>
          <w:p w14:paraId="24D1203C">
            <w:pPr>
              <w:snapToGrid w:val="0"/>
              <w:spacing w:line="288" w:lineRule="auto"/>
              <w:rPr>
                <w:rFonts w:ascii="宋体" w:hAnsi="宋体" w:cs="宋体"/>
                <w:color w:val="auto"/>
                <w:szCs w:val="21"/>
                <w:highlight w:val="none"/>
                <w:u w:val="single"/>
              </w:rPr>
            </w:pPr>
            <w:r>
              <w:rPr>
                <w:rFonts w:hint="eastAsia" w:ascii="宋体" w:hAnsi="宋体" w:cs="宋体"/>
                <w:color w:val="auto"/>
                <w:szCs w:val="21"/>
                <w:highlight w:val="none"/>
                <w:u w:val="single"/>
              </w:rPr>
              <w:t>1、在投标截止期后逾期或未在指定地点递交投标文件备用光盘的；</w:t>
            </w:r>
          </w:p>
          <w:p w14:paraId="713CBCA9">
            <w:pPr>
              <w:snapToGrid w:val="0"/>
              <w:spacing w:line="288" w:lineRule="auto"/>
              <w:rPr>
                <w:rFonts w:ascii="宋体" w:hAnsi="宋体" w:cs="宋体"/>
                <w:color w:val="auto"/>
                <w:szCs w:val="21"/>
                <w:highlight w:val="none"/>
                <w:u w:val="single"/>
              </w:rPr>
            </w:pPr>
            <w:r>
              <w:rPr>
                <w:rFonts w:hint="eastAsia" w:ascii="宋体" w:hAnsi="宋体" w:cs="宋体"/>
                <w:color w:val="auto"/>
                <w:szCs w:val="21"/>
                <w:highlight w:val="none"/>
                <w:u w:val="single"/>
              </w:rPr>
              <w:t>2、投标文件备用光盘未按招标文件要求密封或未在密封处盖章的；</w:t>
            </w:r>
          </w:p>
          <w:p w14:paraId="6A1F9DFB">
            <w:pPr>
              <w:snapToGrid w:val="0"/>
              <w:spacing w:line="288" w:lineRule="auto"/>
              <w:rPr>
                <w:rFonts w:ascii="宋体" w:hAnsi="宋体" w:cs="宋体"/>
                <w:color w:val="auto"/>
                <w:szCs w:val="21"/>
                <w:highlight w:val="none"/>
                <w:u w:val="single"/>
              </w:rPr>
            </w:pPr>
            <w:r>
              <w:rPr>
                <w:rFonts w:hint="eastAsia" w:ascii="宋体" w:hAnsi="宋体" w:cs="宋体"/>
                <w:color w:val="auto"/>
                <w:szCs w:val="21"/>
                <w:highlight w:val="none"/>
                <w:u w:val="single"/>
              </w:rPr>
              <w:t>3、投标人代表未凭法定代表人证明书（原件）、授权委托书原件（仅限于非法定代表人）、本人身份证原件、委托投标的还应提供授权委托人</w:t>
            </w:r>
            <w:r>
              <w:rPr>
                <w:rFonts w:hint="eastAsia" w:ascii="宋体" w:hAnsi="宋体" w:cs="宋体"/>
                <w:b w:val="0"/>
                <w:bCs/>
                <w:color w:val="auto"/>
                <w:szCs w:val="21"/>
                <w:highlight w:val="none"/>
                <w:u w:val="single"/>
              </w:rPr>
              <w:t>2025年</w:t>
            </w:r>
            <w:r>
              <w:rPr>
                <w:rFonts w:hint="eastAsia" w:ascii="宋体" w:hAnsi="宋体" w:cs="宋体"/>
                <w:b w:val="0"/>
                <w:bCs/>
                <w:color w:val="auto"/>
                <w:szCs w:val="21"/>
                <w:highlight w:val="none"/>
                <w:u w:val="single"/>
                <w:lang w:val="en-US" w:eastAsia="zh-CN"/>
              </w:rPr>
              <w:t>10</w:t>
            </w:r>
            <w:r>
              <w:rPr>
                <w:rFonts w:hint="eastAsia" w:ascii="宋体" w:hAnsi="宋体" w:cs="宋体"/>
                <w:b w:val="0"/>
                <w:bCs/>
                <w:color w:val="auto"/>
                <w:szCs w:val="21"/>
                <w:highlight w:val="none"/>
                <w:u w:val="single"/>
                <w:lang w:eastAsia="zh-CN"/>
              </w:rPr>
              <w:t>月或</w:t>
            </w:r>
            <w:r>
              <w:rPr>
                <w:rFonts w:hint="eastAsia" w:ascii="宋体" w:hAnsi="宋体" w:cs="宋体"/>
                <w:b w:val="0"/>
                <w:bCs/>
                <w:color w:val="auto"/>
                <w:szCs w:val="21"/>
                <w:highlight w:val="none"/>
                <w:u w:val="single"/>
                <w:lang w:val="en-US" w:eastAsia="zh-CN"/>
              </w:rPr>
              <w:t>11</w:t>
            </w:r>
            <w:r>
              <w:rPr>
                <w:rFonts w:hint="eastAsia" w:ascii="宋体" w:hAnsi="宋体" w:cs="宋体"/>
                <w:b w:val="0"/>
                <w:bCs/>
                <w:color w:val="auto"/>
                <w:szCs w:val="21"/>
                <w:highlight w:val="none"/>
                <w:u w:val="single"/>
                <w:lang w:eastAsia="zh-CN"/>
              </w:rPr>
              <w:t>月</w:t>
            </w:r>
            <w:r>
              <w:rPr>
                <w:rFonts w:hint="eastAsia" w:ascii="宋体" w:hAnsi="宋体" w:cs="宋体"/>
                <w:color w:val="auto"/>
                <w:szCs w:val="21"/>
                <w:highlight w:val="none"/>
                <w:u w:val="single"/>
              </w:rPr>
              <w:t>在本公司缴纳社保的有效社保证明递交投标文件备用光盘的。</w:t>
            </w:r>
          </w:p>
        </w:tc>
      </w:tr>
      <w:tr w14:paraId="02C83C6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108" w:hRule="atLeast"/>
        </w:trPr>
        <w:tc>
          <w:tcPr>
            <w:tcW w:w="686" w:type="dxa"/>
            <w:tcBorders>
              <w:left w:val="double" w:color="auto" w:sz="4" w:space="0"/>
            </w:tcBorders>
            <w:noWrap/>
            <w:vAlign w:val="center"/>
          </w:tcPr>
          <w:p w14:paraId="735B2E0A">
            <w:pPr>
              <w:snapToGrid w:val="0"/>
              <w:spacing w:line="288" w:lineRule="auto"/>
              <w:jc w:val="center"/>
              <w:rPr>
                <w:rFonts w:ascii="宋体" w:hAnsi="宋体" w:cs="宋体"/>
                <w:color w:val="auto"/>
                <w:szCs w:val="21"/>
                <w:highlight w:val="none"/>
                <w:u w:val="single"/>
              </w:rPr>
            </w:pPr>
            <w:r>
              <w:rPr>
                <w:rFonts w:hint="eastAsia" w:ascii="宋体" w:hAnsi="宋体" w:cs="宋体"/>
                <w:color w:val="auto"/>
                <w:szCs w:val="21"/>
                <w:highlight w:val="none"/>
                <w:u w:val="single"/>
              </w:rPr>
              <w:t>38</w:t>
            </w:r>
          </w:p>
        </w:tc>
        <w:tc>
          <w:tcPr>
            <w:tcW w:w="914" w:type="dxa"/>
            <w:noWrap/>
            <w:vAlign w:val="center"/>
          </w:tcPr>
          <w:p w14:paraId="75B71192">
            <w:pPr>
              <w:snapToGrid w:val="0"/>
              <w:spacing w:line="288" w:lineRule="auto"/>
              <w:jc w:val="center"/>
              <w:rPr>
                <w:rFonts w:ascii="宋体" w:hAnsi="宋体" w:cs="宋体"/>
                <w:color w:val="auto"/>
                <w:szCs w:val="21"/>
                <w:highlight w:val="none"/>
              </w:rPr>
            </w:pPr>
          </w:p>
        </w:tc>
        <w:tc>
          <w:tcPr>
            <w:tcW w:w="1823" w:type="dxa"/>
            <w:noWrap/>
            <w:vAlign w:val="center"/>
          </w:tcPr>
          <w:p w14:paraId="7DFF15D2">
            <w:pPr>
              <w:snapToGrid w:val="0"/>
              <w:spacing w:line="288" w:lineRule="auto"/>
              <w:rPr>
                <w:rFonts w:ascii="宋体" w:hAnsi="宋体" w:cs="宋体"/>
                <w:color w:val="auto"/>
                <w:szCs w:val="21"/>
                <w:highlight w:val="none"/>
                <w:u w:val="single"/>
              </w:rPr>
            </w:pPr>
            <w:r>
              <w:rPr>
                <w:rFonts w:hint="eastAsia" w:ascii="宋体" w:hAnsi="宋体" w:cs="宋体"/>
                <w:color w:val="auto"/>
                <w:szCs w:val="21"/>
                <w:highlight w:val="none"/>
                <w:u w:val="single"/>
              </w:rPr>
              <w:t>中标公示后中标单位提交投标文件要求</w:t>
            </w:r>
          </w:p>
        </w:tc>
        <w:tc>
          <w:tcPr>
            <w:tcW w:w="5899" w:type="dxa"/>
            <w:tcBorders>
              <w:right w:val="double" w:color="auto" w:sz="4" w:space="0"/>
            </w:tcBorders>
            <w:noWrap/>
            <w:vAlign w:val="center"/>
          </w:tcPr>
          <w:p w14:paraId="0BE5A161">
            <w:pPr>
              <w:snapToGrid w:val="0"/>
              <w:spacing w:line="288" w:lineRule="auto"/>
              <w:rPr>
                <w:rFonts w:ascii="宋体" w:hAnsi="宋体" w:cs="宋体"/>
                <w:color w:val="auto"/>
                <w:szCs w:val="21"/>
                <w:highlight w:val="none"/>
                <w:u w:val="single"/>
              </w:rPr>
            </w:pPr>
            <w:r>
              <w:rPr>
                <w:rFonts w:hint="eastAsia" w:ascii="宋体" w:hAnsi="宋体" w:cs="宋体"/>
                <w:color w:val="auto"/>
                <w:szCs w:val="21"/>
                <w:highlight w:val="none"/>
                <w:u w:val="single"/>
              </w:rPr>
              <w:t>中标人在签订合同前需向招标人另行提供与投标递交的电子标书一致且加盖单位公章的纸质投标文件（含投标人须知11.3列表明细包含的所有工程量清单报价表）</w:t>
            </w:r>
            <w:r>
              <w:rPr>
                <w:rFonts w:hint="eastAsia" w:ascii="宋体" w:hAnsi="宋体" w:cs="宋体"/>
                <w:color w:val="auto"/>
                <w:szCs w:val="21"/>
                <w:highlight w:val="none"/>
                <w:u w:val="single"/>
                <w:lang w:val="en-US" w:eastAsia="zh-CN"/>
              </w:rPr>
              <w:t>3</w:t>
            </w:r>
            <w:r>
              <w:rPr>
                <w:rFonts w:hint="eastAsia" w:ascii="宋体" w:hAnsi="宋体" w:cs="宋体"/>
                <w:color w:val="auto"/>
                <w:szCs w:val="21"/>
                <w:highlight w:val="none"/>
                <w:u w:val="single"/>
              </w:rPr>
              <w:t>份及电子文件1份（不用生成投标书；包括用Microsoft Excel 软件或广州交易集团有限公司（广州公共资源交易中心）提供的投标书制作软件制作的工程量清单报价表和单价分析表，用 Microsoft Word 软件或广州交易集团有限公司（广州公共资源交易中心）提供的投标书制作软件制作的经济投标文件其他部分。电子文件介质使用CD-R光盘，所有电子文件不能采用压缩处理）。</w:t>
            </w:r>
          </w:p>
        </w:tc>
      </w:tr>
      <w:tr w14:paraId="3DA6DAF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6" w:type="dxa"/>
            <w:tcBorders>
              <w:left w:val="double" w:color="auto" w:sz="4" w:space="0"/>
            </w:tcBorders>
            <w:noWrap/>
            <w:vAlign w:val="center"/>
          </w:tcPr>
          <w:p w14:paraId="353FAADB">
            <w:pPr>
              <w:snapToGrid w:val="0"/>
              <w:spacing w:line="288" w:lineRule="auto"/>
              <w:jc w:val="center"/>
              <w:rPr>
                <w:rFonts w:ascii="宋体" w:hAnsi="宋体" w:cs="宋体"/>
                <w:color w:val="auto"/>
                <w:szCs w:val="21"/>
                <w:highlight w:val="none"/>
                <w:u w:val="single"/>
              </w:rPr>
            </w:pPr>
            <w:r>
              <w:rPr>
                <w:rFonts w:hint="eastAsia" w:ascii="宋体" w:hAnsi="宋体" w:cs="宋体"/>
                <w:color w:val="auto"/>
                <w:szCs w:val="21"/>
                <w:highlight w:val="none"/>
                <w:u w:val="single"/>
              </w:rPr>
              <w:t>39</w:t>
            </w:r>
          </w:p>
        </w:tc>
        <w:tc>
          <w:tcPr>
            <w:tcW w:w="914" w:type="dxa"/>
            <w:noWrap/>
            <w:vAlign w:val="center"/>
          </w:tcPr>
          <w:p w14:paraId="24127F81">
            <w:pPr>
              <w:snapToGrid w:val="0"/>
              <w:spacing w:line="288" w:lineRule="auto"/>
              <w:jc w:val="center"/>
              <w:rPr>
                <w:rFonts w:ascii="宋体" w:hAnsi="宋体" w:cs="宋体"/>
                <w:color w:val="auto"/>
                <w:szCs w:val="21"/>
                <w:highlight w:val="none"/>
              </w:rPr>
            </w:pPr>
          </w:p>
        </w:tc>
        <w:tc>
          <w:tcPr>
            <w:tcW w:w="1823" w:type="dxa"/>
            <w:noWrap/>
            <w:vAlign w:val="center"/>
          </w:tcPr>
          <w:p w14:paraId="478956A6">
            <w:pPr>
              <w:snapToGrid w:val="0"/>
              <w:spacing w:line="288" w:lineRule="auto"/>
              <w:rPr>
                <w:rFonts w:ascii="宋体" w:hAnsi="宋体" w:cs="宋体"/>
                <w:color w:val="auto"/>
                <w:szCs w:val="21"/>
                <w:highlight w:val="none"/>
                <w:u w:val="single"/>
              </w:rPr>
            </w:pPr>
            <w:r>
              <w:rPr>
                <w:rFonts w:hint="eastAsia" w:ascii="宋体" w:hAnsi="宋体" w:cs="宋体"/>
                <w:color w:val="auto"/>
                <w:szCs w:val="21"/>
                <w:highlight w:val="none"/>
                <w:u w:val="single"/>
              </w:rPr>
              <w:t>安全生产责任保险</w:t>
            </w:r>
          </w:p>
        </w:tc>
        <w:tc>
          <w:tcPr>
            <w:tcW w:w="5899" w:type="dxa"/>
            <w:tcBorders>
              <w:right w:val="double" w:color="auto" w:sz="4" w:space="0"/>
            </w:tcBorders>
            <w:noWrap/>
            <w:vAlign w:val="center"/>
          </w:tcPr>
          <w:p w14:paraId="2A1BC3D6">
            <w:pPr>
              <w:snapToGrid w:val="0"/>
              <w:spacing w:line="288" w:lineRule="auto"/>
              <w:rPr>
                <w:rFonts w:ascii="宋体" w:hAnsi="宋体" w:cs="宋体"/>
                <w:color w:val="auto"/>
                <w:kern w:val="0"/>
                <w:szCs w:val="21"/>
                <w:highlight w:val="none"/>
                <w:u w:val="single"/>
                <w:lang w:val="zh-CN"/>
              </w:rPr>
            </w:pPr>
            <w:r>
              <w:rPr>
                <w:rFonts w:hint="eastAsia" w:ascii="宋体" w:hAnsi="宋体" w:cs="宋体"/>
                <w:color w:val="auto"/>
                <w:szCs w:val="21"/>
                <w:highlight w:val="none"/>
                <w:u w:val="single"/>
              </w:rPr>
              <w:t>开工前中标人应当投保安全生产责任保险，且该保险保障场所应包含中标项目。投标人的投标报价视为包含该项费用。中标人未按规定购买安全生产责任保险，招标人可视严重程度拒绝该单位一定时期内参与后续工程投标，在招标公告和合同专用条款中予以明确，并在后续工程招标时随招标公告发布拒绝投标名单（注明拒绝理由）。</w:t>
            </w:r>
          </w:p>
        </w:tc>
      </w:tr>
      <w:tr w14:paraId="3E302B8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686" w:type="dxa"/>
            <w:tcBorders>
              <w:left w:val="double" w:color="auto" w:sz="4" w:space="0"/>
            </w:tcBorders>
            <w:noWrap/>
            <w:vAlign w:val="center"/>
          </w:tcPr>
          <w:p w14:paraId="4992A3EF">
            <w:pPr>
              <w:snapToGrid w:val="0"/>
              <w:spacing w:line="288" w:lineRule="auto"/>
              <w:jc w:val="center"/>
              <w:rPr>
                <w:rFonts w:ascii="宋体" w:hAnsi="宋体" w:cs="宋体"/>
                <w:color w:val="auto"/>
                <w:szCs w:val="21"/>
                <w:highlight w:val="none"/>
                <w:u w:val="single"/>
              </w:rPr>
            </w:pPr>
            <w:r>
              <w:rPr>
                <w:rFonts w:hint="eastAsia" w:ascii="宋体" w:hAnsi="宋体" w:cs="宋体"/>
                <w:color w:val="auto"/>
                <w:szCs w:val="21"/>
                <w:highlight w:val="none"/>
                <w:u w:val="single"/>
              </w:rPr>
              <w:t>40</w:t>
            </w:r>
          </w:p>
        </w:tc>
        <w:tc>
          <w:tcPr>
            <w:tcW w:w="914" w:type="dxa"/>
            <w:noWrap/>
            <w:vAlign w:val="center"/>
          </w:tcPr>
          <w:p w14:paraId="1904FF8D">
            <w:pPr>
              <w:snapToGrid w:val="0"/>
              <w:spacing w:line="288" w:lineRule="auto"/>
              <w:jc w:val="center"/>
              <w:rPr>
                <w:rFonts w:ascii="宋体" w:hAnsi="宋体" w:cs="宋体"/>
                <w:color w:val="auto"/>
                <w:szCs w:val="21"/>
                <w:highlight w:val="none"/>
              </w:rPr>
            </w:pPr>
          </w:p>
        </w:tc>
        <w:tc>
          <w:tcPr>
            <w:tcW w:w="1823" w:type="dxa"/>
            <w:noWrap/>
            <w:vAlign w:val="center"/>
          </w:tcPr>
          <w:p w14:paraId="74EA7294">
            <w:pPr>
              <w:snapToGrid w:val="0"/>
              <w:spacing w:line="288" w:lineRule="auto"/>
              <w:rPr>
                <w:rFonts w:ascii="宋体" w:hAnsi="宋体" w:cs="宋体"/>
                <w:color w:val="auto"/>
                <w:szCs w:val="21"/>
                <w:highlight w:val="none"/>
                <w:u w:val="single"/>
              </w:rPr>
            </w:pPr>
            <w:r>
              <w:rPr>
                <w:rFonts w:hint="eastAsia" w:ascii="宋体" w:hAnsi="宋体" w:cs="宋体"/>
                <w:color w:val="auto"/>
                <w:szCs w:val="21"/>
                <w:highlight w:val="none"/>
                <w:u w:val="single"/>
              </w:rPr>
              <w:t>绿色发展理念</w:t>
            </w:r>
          </w:p>
        </w:tc>
        <w:tc>
          <w:tcPr>
            <w:tcW w:w="5899" w:type="dxa"/>
            <w:tcBorders>
              <w:right w:val="double" w:color="auto" w:sz="4" w:space="0"/>
            </w:tcBorders>
            <w:noWrap/>
            <w:vAlign w:val="center"/>
          </w:tcPr>
          <w:p w14:paraId="0B502EFF">
            <w:pPr>
              <w:snapToGrid w:val="0"/>
              <w:spacing w:line="288" w:lineRule="auto"/>
              <w:rPr>
                <w:rFonts w:ascii="宋体" w:hAnsi="宋体" w:cs="宋体"/>
                <w:color w:val="auto"/>
                <w:szCs w:val="21"/>
                <w:highlight w:val="none"/>
                <w:u w:val="single"/>
              </w:rPr>
            </w:pPr>
            <w:r>
              <w:rPr>
                <w:rFonts w:hint="eastAsia" w:ascii="宋体" w:hAnsi="宋体" w:cs="宋体"/>
                <w:color w:val="auto"/>
                <w:szCs w:val="21"/>
                <w:highlight w:val="none"/>
                <w:u w:val="single"/>
              </w:rPr>
              <w:t>为贯彻绿色发展理念，本项目应积极使用氢燃料电池泥头车等新能源工程车，要求投入的新能源工程车占投入的建筑垃圾自卸车（渣土车）总数比例不低于40%。一旦中标，必须全部到位，否则按合同违约处理。</w:t>
            </w:r>
          </w:p>
        </w:tc>
      </w:tr>
      <w:tr w14:paraId="164B216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686" w:type="dxa"/>
            <w:tcBorders>
              <w:left w:val="double" w:color="auto" w:sz="4" w:space="0"/>
            </w:tcBorders>
            <w:noWrap/>
            <w:vAlign w:val="center"/>
          </w:tcPr>
          <w:p w14:paraId="503D1020">
            <w:pPr>
              <w:snapToGrid w:val="0"/>
              <w:spacing w:line="288" w:lineRule="auto"/>
              <w:jc w:val="center"/>
              <w:rPr>
                <w:rFonts w:ascii="宋体" w:hAnsi="宋体" w:cs="宋体"/>
                <w:color w:val="auto"/>
                <w:szCs w:val="21"/>
                <w:highlight w:val="none"/>
                <w:u w:val="single"/>
              </w:rPr>
            </w:pPr>
            <w:r>
              <w:rPr>
                <w:rFonts w:hint="eastAsia" w:ascii="宋体" w:hAnsi="宋体" w:cs="宋体"/>
                <w:color w:val="auto"/>
                <w:szCs w:val="21"/>
                <w:highlight w:val="none"/>
                <w:u w:val="single"/>
              </w:rPr>
              <w:t>41</w:t>
            </w:r>
          </w:p>
        </w:tc>
        <w:tc>
          <w:tcPr>
            <w:tcW w:w="914" w:type="dxa"/>
            <w:noWrap/>
            <w:vAlign w:val="center"/>
          </w:tcPr>
          <w:p w14:paraId="64BB6943">
            <w:pPr>
              <w:snapToGrid w:val="0"/>
              <w:spacing w:line="288" w:lineRule="auto"/>
              <w:jc w:val="center"/>
              <w:rPr>
                <w:rFonts w:ascii="宋体" w:hAnsi="宋体" w:cs="宋体"/>
                <w:color w:val="auto"/>
                <w:szCs w:val="21"/>
                <w:highlight w:val="none"/>
              </w:rPr>
            </w:pPr>
          </w:p>
        </w:tc>
        <w:tc>
          <w:tcPr>
            <w:tcW w:w="1823" w:type="dxa"/>
            <w:noWrap/>
            <w:vAlign w:val="center"/>
          </w:tcPr>
          <w:p w14:paraId="5FE415F4">
            <w:pPr>
              <w:snapToGrid w:val="0"/>
              <w:spacing w:line="240" w:lineRule="auto"/>
              <w:rPr>
                <w:rFonts w:ascii="宋体" w:hAnsi="宋体" w:cs="宋体"/>
                <w:color w:val="auto"/>
                <w:szCs w:val="21"/>
                <w:highlight w:val="none"/>
                <w:u w:val="single"/>
              </w:rPr>
            </w:pPr>
            <w:r>
              <w:rPr>
                <w:rFonts w:hint="eastAsia" w:ascii="宋体" w:hAnsi="宋体" w:cs="宋体"/>
                <w:color w:val="auto"/>
                <w:kern w:val="0"/>
                <w:szCs w:val="21"/>
                <w:highlight w:val="none"/>
              </w:rPr>
              <w:t>招标人对中标人参与“百千万工程”的具体要求</w:t>
            </w:r>
          </w:p>
        </w:tc>
        <w:tc>
          <w:tcPr>
            <w:tcW w:w="5899" w:type="dxa"/>
            <w:tcBorders>
              <w:right w:val="double" w:color="auto" w:sz="4" w:space="0"/>
            </w:tcBorders>
            <w:noWrap/>
            <w:vAlign w:val="center"/>
          </w:tcPr>
          <w:p w14:paraId="4DEF0DFC">
            <w:pPr>
              <w:spacing w:line="288" w:lineRule="auto"/>
              <w:rPr>
                <w:rFonts w:hint="eastAsia" w:ascii="宋体" w:hAnsi="宋体" w:eastAsia="宋体" w:cs="宋体"/>
                <w:color w:val="auto"/>
                <w:szCs w:val="21"/>
                <w:highlight w:val="none"/>
                <w:u w:val="single"/>
                <w:lang w:val="en-US" w:eastAsia="zh-CN"/>
              </w:rPr>
            </w:pPr>
            <w:r>
              <w:rPr>
                <w:rFonts w:hint="eastAsia" w:ascii="宋体" w:hAnsi="宋体" w:cs="宋体"/>
                <w:color w:val="auto"/>
                <w:szCs w:val="21"/>
                <w:highlight w:val="none"/>
                <w:u w:val="single"/>
                <w:lang w:val="en-US" w:eastAsia="zh-CN"/>
              </w:rPr>
              <w:t>/</w:t>
            </w:r>
          </w:p>
        </w:tc>
      </w:tr>
      <w:tr w14:paraId="37A025C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6" w:type="dxa"/>
            <w:tcBorders>
              <w:left w:val="double" w:color="auto" w:sz="4" w:space="0"/>
            </w:tcBorders>
            <w:shd w:val="clear" w:color="auto" w:fill="auto"/>
            <w:noWrap/>
            <w:vAlign w:val="center"/>
          </w:tcPr>
          <w:p w14:paraId="18F73134">
            <w:pPr>
              <w:snapToGrid w:val="0"/>
              <w:spacing w:line="288" w:lineRule="auto"/>
              <w:jc w:val="center"/>
              <w:rPr>
                <w:rFonts w:hint="eastAsia" w:ascii="宋体" w:hAnsi="宋体" w:eastAsia="宋体" w:cs="宋体"/>
                <w:color w:val="auto"/>
                <w:kern w:val="2"/>
                <w:sz w:val="21"/>
                <w:szCs w:val="21"/>
                <w:highlight w:val="none"/>
                <w:u w:val="single"/>
                <w:lang w:val="en-US" w:eastAsia="zh-CN" w:bidi="ar-SA"/>
              </w:rPr>
            </w:pPr>
            <w:r>
              <w:rPr>
                <w:rFonts w:hint="eastAsia" w:ascii="宋体" w:hAnsi="宋体" w:cs="宋体"/>
                <w:color w:val="auto"/>
                <w:szCs w:val="21"/>
                <w:highlight w:val="none"/>
                <w:u w:val="single"/>
              </w:rPr>
              <w:t>42</w:t>
            </w:r>
          </w:p>
        </w:tc>
        <w:tc>
          <w:tcPr>
            <w:tcW w:w="914" w:type="dxa"/>
            <w:shd w:val="clear" w:color="auto" w:fill="auto"/>
            <w:noWrap/>
            <w:vAlign w:val="center"/>
          </w:tcPr>
          <w:p w14:paraId="77C484FB">
            <w:pPr>
              <w:snapToGrid w:val="0"/>
              <w:spacing w:line="288" w:lineRule="auto"/>
              <w:jc w:val="center"/>
              <w:rPr>
                <w:rFonts w:ascii="宋体" w:hAnsi="宋体" w:eastAsia="宋体" w:cs="宋体"/>
                <w:color w:val="auto"/>
                <w:kern w:val="2"/>
                <w:sz w:val="21"/>
                <w:szCs w:val="21"/>
                <w:highlight w:val="none"/>
                <w:lang w:val="en-US" w:eastAsia="zh-CN" w:bidi="ar-SA"/>
              </w:rPr>
            </w:pPr>
          </w:p>
        </w:tc>
        <w:tc>
          <w:tcPr>
            <w:tcW w:w="1823" w:type="dxa"/>
            <w:shd w:val="clear" w:color="auto" w:fill="auto"/>
            <w:noWrap/>
            <w:vAlign w:val="center"/>
          </w:tcPr>
          <w:p w14:paraId="4982FA82">
            <w:pPr>
              <w:snapToGrid w:val="0"/>
              <w:spacing w:line="288" w:lineRule="auto"/>
              <w:rPr>
                <w:rFonts w:hint="eastAsia" w:ascii="宋体" w:hAnsi="宋体" w:eastAsia="宋体" w:cs="宋体"/>
                <w:b/>
                <w:bCs/>
                <w:color w:val="auto"/>
                <w:kern w:val="0"/>
                <w:sz w:val="21"/>
                <w:szCs w:val="21"/>
                <w:highlight w:val="none"/>
                <w:lang w:val="en-US" w:eastAsia="zh-CN" w:bidi="ar-SA"/>
              </w:rPr>
            </w:pPr>
            <w:r>
              <w:rPr>
                <w:rFonts w:hint="eastAsia" w:ascii="宋体" w:hAnsi="宋体" w:cs="宋体"/>
                <w:color w:val="auto"/>
                <w:kern w:val="0"/>
                <w:szCs w:val="21"/>
                <w:highlight w:val="none"/>
                <w:u w:val="single"/>
              </w:rPr>
              <w:t>是否授权评标委员会确定中标人</w:t>
            </w:r>
          </w:p>
        </w:tc>
        <w:tc>
          <w:tcPr>
            <w:tcW w:w="5899" w:type="dxa"/>
            <w:tcBorders>
              <w:right w:val="double" w:color="auto" w:sz="4" w:space="0"/>
            </w:tcBorders>
            <w:shd w:val="clear" w:color="auto" w:fill="auto"/>
            <w:noWrap/>
            <w:vAlign w:val="center"/>
          </w:tcPr>
          <w:p w14:paraId="24566220">
            <w:pPr>
              <w:snapToGrid w:val="0"/>
              <w:spacing w:line="288" w:lineRule="auto"/>
              <w:rPr>
                <w:rFonts w:hint="eastAsia" w:ascii="宋体" w:hAnsi="宋体" w:eastAsia="宋体" w:cs="宋体"/>
                <w:b/>
                <w:color w:val="auto"/>
                <w:kern w:val="2"/>
                <w:sz w:val="21"/>
                <w:szCs w:val="21"/>
                <w:highlight w:val="none"/>
                <w:u w:val="single"/>
                <w:lang w:val="en-US" w:eastAsia="zh-CN" w:bidi="ar-SA"/>
              </w:rPr>
            </w:pPr>
            <w:r>
              <w:rPr>
                <w:rFonts w:hint="eastAsia" w:ascii="宋体" w:hAnsi="宋体" w:cs="宋体"/>
                <w:bCs/>
                <w:color w:val="auto"/>
                <w:szCs w:val="21"/>
                <w:highlight w:val="none"/>
                <w:u w:val="single"/>
              </w:rPr>
              <w:t>否</w:t>
            </w:r>
          </w:p>
        </w:tc>
      </w:tr>
      <w:tr w14:paraId="269C5AC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6" w:type="dxa"/>
            <w:tcBorders>
              <w:left w:val="double" w:color="auto" w:sz="4" w:space="0"/>
            </w:tcBorders>
            <w:shd w:val="clear" w:color="auto" w:fill="auto"/>
            <w:noWrap/>
            <w:vAlign w:val="center"/>
          </w:tcPr>
          <w:p w14:paraId="2C168895">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default" w:ascii="宋体" w:hAnsi="宋体" w:eastAsia="宋体" w:cs="宋体"/>
                <w:color w:val="auto"/>
                <w:kern w:val="2"/>
                <w:sz w:val="21"/>
                <w:szCs w:val="21"/>
                <w:highlight w:val="none"/>
                <w:u w:val="single"/>
                <w:lang w:val="en-US" w:eastAsia="zh-CN" w:bidi="ar-SA"/>
              </w:rPr>
            </w:pPr>
            <w:r>
              <w:rPr>
                <w:rFonts w:hint="eastAsia" w:ascii="宋体" w:hAnsi="宋体" w:cs="宋体"/>
                <w:color w:val="auto"/>
                <w:szCs w:val="21"/>
                <w:highlight w:val="none"/>
                <w:u w:val="single"/>
                <w:lang w:val="en-US" w:eastAsia="zh-CN"/>
              </w:rPr>
              <w:t>43</w:t>
            </w:r>
          </w:p>
        </w:tc>
        <w:tc>
          <w:tcPr>
            <w:tcW w:w="914" w:type="dxa"/>
            <w:shd w:val="clear" w:color="auto" w:fill="auto"/>
            <w:noWrap/>
            <w:vAlign w:val="center"/>
          </w:tcPr>
          <w:p w14:paraId="707F7558">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eastAsia="宋体" w:cs="宋体"/>
                <w:color w:val="auto"/>
                <w:kern w:val="2"/>
                <w:sz w:val="21"/>
                <w:szCs w:val="21"/>
                <w:highlight w:val="none"/>
                <w:lang w:val="en-US" w:eastAsia="zh-CN" w:bidi="ar-SA"/>
              </w:rPr>
            </w:pPr>
          </w:p>
        </w:tc>
        <w:tc>
          <w:tcPr>
            <w:tcW w:w="1823" w:type="dxa"/>
            <w:shd w:val="clear" w:color="auto" w:fill="auto"/>
            <w:noWrap/>
            <w:vAlign w:val="center"/>
          </w:tcPr>
          <w:p w14:paraId="546E5C03">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default" w:ascii="宋体" w:hAnsi="宋体" w:eastAsia="宋体" w:cs="宋体"/>
                <w:b w:val="0"/>
                <w:bCs w:val="0"/>
                <w:color w:val="auto"/>
                <w:kern w:val="0"/>
                <w:sz w:val="21"/>
                <w:szCs w:val="21"/>
                <w:highlight w:val="none"/>
                <w:u w:val="single"/>
                <w:lang w:val="en-US" w:eastAsia="zh-CN" w:bidi="ar-SA"/>
              </w:rPr>
            </w:pPr>
            <w:r>
              <w:rPr>
                <w:rFonts w:hint="eastAsia" w:ascii="宋体" w:hAnsi="宋体" w:cs="宋体"/>
                <w:b w:val="0"/>
                <w:bCs w:val="0"/>
                <w:color w:val="auto"/>
                <w:kern w:val="0"/>
                <w:sz w:val="21"/>
                <w:szCs w:val="21"/>
                <w:highlight w:val="none"/>
                <w:u w:val="single"/>
                <w:lang w:val="en-US" w:eastAsia="zh-CN" w:bidi="ar-SA"/>
              </w:rPr>
              <w:t>补充</w:t>
            </w:r>
          </w:p>
        </w:tc>
        <w:tc>
          <w:tcPr>
            <w:tcW w:w="5899" w:type="dxa"/>
            <w:tcBorders>
              <w:right w:val="double" w:color="auto" w:sz="4" w:space="0"/>
            </w:tcBorders>
            <w:shd w:val="clear" w:color="auto" w:fill="auto"/>
            <w:noWrap/>
            <w:vAlign w:val="center"/>
          </w:tcPr>
          <w:p w14:paraId="7B04079B">
            <w:pPr>
              <w:keepNext w:val="0"/>
              <w:keepLines w:val="0"/>
              <w:pageBreakBefore w:val="0"/>
              <w:widowControl w:val="0"/>
              <w:kinsoku/>
              <w:wordWrap/>
              <w:overflowPunct/>
              <w:topLinePunct w:val="0"/>
              <w:autoSpaceDE/>
              <w:autoSpaceDN/>
              <w:bidi w:val="0"/>
              <w:adjustRightInd/>
              <w:snapToGrid w:val="0"/>
              <w:spacing w:line="288" w:lineRule="auto"/>
              <w:textAlignment w:val="auto"/>
              <w:rPr>
                <w:rFonts w:hint="eastAsia" w:ascii="宋体" w:hAnsi="宋体" w:cs="宋体"/>
                <w:b w:val="0"/>
                <w:bCs/>
                <w:color w:val="auto"/>
                <w:sz w:val="21"/>
                <w:szCs w:val="21"/>
                <w:highlight w:val="none"/>
                <w:u w:val="single"/>
              </w:rPr>
            </w:pPr>
            <w:r>
              <w:rPr>
                <w:rFonts w:hint="eastAsia" w:ascii="宋体" w:hAnsi="宋体" w:cs="宋体"/>
                <w:b w:val="0"/>
                <w:bCs/>
                <w:color w:val="auto"/>
                <w:sz w:val="21"/>
                <w:szCs w:val="21"/>
                <w:highlight w:val="none"/>
                <w:u w:val="single"/>
              </w:rPr>
              <w:t>请各投标单位在投标系统上传投标文件时，要把资审文件、技术文件、经济文件等内容，分别上传至投标系统内对应的文件夹中，不要上传到定标文件夹中。定标文件夹中只上传定标文件。</w:t>
            </w:r>
          </w:p>
          <w:p w14:paraId="5034076E">
            <w:pPr>
              <w:keepNext w:val="0"/>
              <w:keepLines w:val="0"/>
              <w:pageBreakBefore w:val="0"/>
              <w:widowControl w:val="0"/>
              <w:kinsoku/>
              <w:wordWrap/>
              <w:overflowPunct/>
              <w:topLinePunct w:val="0"/>
              <w:autoSpaceDE/>
              <w:autoSpaceDN/>
              <w:bidi w:val="0"/>
              <w:adjustRightInd/>
              <w:snapToGrid w:val="0"/>
              <w:spacing w:line="288" w:lineRule="auto"/>
              <w:textAlignment w:val="auto"/>
              <w:rPr>
                <w:rFonts w:hint="eastAsia" w:ascii="宋体" w:hAnsi="宋体" w:eastAsia="宋体" w:cs="宋体"/>
                <w:b w:val="0"/>
                <w:bCs/>
                <w:color w:val="auto"/>
                <w:kern w:val="2"/>
                <w:sz w:val="21"/>
                <w:szCs w:val="21"/>
                <w:highlight w:val="none"/>
                <w:u w:val="single"/>
                <w:lang w:val="en-US" w:eastAsia="zh-CN" w:bidi="ar-SA"/>
              </w:rPr>
            </w:pPr>
            <w:r>
              <w:rPr>
                <w:rFonts w:hint="eastAsia" w:ascii="宋体" w:hAnsi="宋体" w:cs="宋体"/>
                <w:b w:val="0"/>
                <w:bCs/>
                <w:color w:val="auto"/>
                <w:sz w:val="21"/>
                <w:szCs w:val="21"/>
                <w:highlight w:val="none"/>
                <w:u w:val="single"/>
              </w:rPr>
              <w:t>注:投标单位提交的定标文件在评标阶段不对评标委员会公开，由交易中心系统对定标文件进行加密处理</w:t>
            </w:r>
            <w:r>
              <w:rPr>
                <w:rFonts w:hint="eastAsia" w:ascii="宋体" w:hAnsi="宋体" w:cs="宋体"/>
                <w:b w:val="0"/>
                <w:bCs/>
                <w:color w:val="auto"/>
                <w:sz w:val="21"/>
                <w:szCs w:val="21"/>
                <w:highlight w:val="none"/>
                <w:u w:val="single"/>
                <w:lang w:eastAsia="zh-CN"/>
              </w:rPr>
              <w:t>；</w:t>
            </w:r>
            <w:r>
              <w:rPr>
                <w:rFonts w:hint="eastAsia" w:ascii="宋体" w:hAnsi="宋体" w:cs="宋体"/>
                <w:b w:val="0"/>
                <w:bCs/>
                <w:color w:val="auto"/>
                <w:sz w:val="21"/>
                <w:szCs w:val="21"/>
                <w:highlight w:val="none"/>
                <w:u w:val="single"/>
              </w:rPr>
              <w:t>评标委员会不对定标文件进行评审，因投标人未按招标文件要求提供规定的资料，而未能通过资格审查(或技术标有效性审查或经济标有效性审查)或影响评分的后果由投标人自行承担。</w:t>
            </w:r>
          </w:p>
        </w:tc>
      </w:tr>
      <w:tr w14:paraId="0C54987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6" w:type="dxa"/>
            <w:tcBorders>
              <w:left w:val="double" w:color="auto" w:sz="4" w:space="0"/>
              <w:bottom w:val="double" w:color="auto" w:sz="4" w:space="0"/>
            </w:tcBorders>
            <w:shd w:val="clear" w:color="auto" w:fill="auto"/>
            <w:noWrap/>
            <w:vAlign w:val="center"/>
          </w:tcPr>
          <w:p w14:paraId="7363B98C">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default" w:ascii="宋体" w:hAnsi="宋体" w:cs="宋体"/>
                <w:color w:val="auto"/>
                <w:szCs w:val="21"/>
                <w:highlight w:val="none"/>
                <w:u w:val="single"/>
                <w:lang w:val="en-US" w:eastAsia="zh-CN"/>
              </w:rPr>
            </w:pPr>
            <w:r>
              <w:rPr>
                <w:rFonts w:hint="eastAsia" w:ascii="宋体" w:hAnsi="宋体" w:cs="宋体"/>
                <w:color w:val="auto"/>
                <w:szCs w:val="21"/>
                <w:highlight w:val="none"/>
                <w:u w:val="single"/>
                <w:lang w:val="en-US" w:eastAsia="zh-CN"/>
              </w:rPr>
              <w:t>44</w:t>
            </w:r>
          </w:p>
        </w:tc>
        <w:tc>
          <w:tcPr>
            <w:tcW w:w="914" w:type="dxa"/>
            <w:tcBorders>
              <w:bottom w:val="double" w:color="auto" w:sz="4" w:space="0"/>
            </w:tcBorders>
            <w:shd w:val="clear" w:color="auto" w:fill="auto"/>
            <w:noWrap/>
            <w:vAlign w:val="center"/>
          </w:tcPr>
          <w:p w14:paraId="0E06766D">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eastAsia="宋体" w:cs="宋体"/>
                <w:color w:val="auto"/>
                <w:kern w:val="2"/>
                <w:sz w:val="21"/>
                <w:szCs w:val="21"/>
                <w:highlight w:val="none"/>
                <w:lang w:val="en-US" w:eastAsia="zh-CN" w:bidi="ar-SA"/>
              </w:rPr>
            </w:pPr>
          </w:p>
        </w:tc>
        <w:tc>
          <w:tcPr>
            <w:tcW w:w="1823" w:type="dxa"/>
            <w:tcBorders>
              <w:bottom w:val="double" w:color="auto" w:sz="4" w:space="0"/>
            </w:tcBorders>
            <w:shd w:val="clear" w:color="auto" w:fill="auto"/>
            <w:noWrap/>
            <w:vAlign w:val="center"/>
          </w:tcPr>
          <w:p w14:paraId="0885744F">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default" w:ascii="宋体" w:hAnsi="宋体" w:cs="宋体"/>
                <w:b w:val="0"/>
                <w:bCs w:val="0"/>
                <w:color w:val="auto"/>
                <w:kern w:val="0"/>
                <w:sz w:val="21"/>
                <w:szCs w:val="21"/>
                <w:highlight w:val="none"/>
                <w:u w:val="single"/>
                <w:lang w:val="en-US" w:eastAsia="zh-CN" w:bidi="ar-SA"/>
              </w:rPr>
            </w:pPr>
            <w:r>
              <w:rPr>
                <w:rFonts w:hint="eastAsia" w:ascii="宋体" w:hAnsi="宋体" w:cs="宋体"/>
                <w:b w:val="0"/>
                <w:bCs w:val="0"/>
                <w:color w:val="auto"/>
                <w:kern w:val="0"/>
                <w:sz w:val="21"/>
                <w:szCs w:val="21"/>
                <w:highlight w:val="none"/>
                <w:u w:val="single"/>
                <w:lang w:val="en-US" w:eastAsia="zh-CN" w:bidi="ar-SA"/>
              </w:rPr>
              <w:t>补充</w:t>
            </w:r>
          </w:p>
        </w:tc>
        <w:tc>
          <w:tcPr>
            <w:tcW w:w="5899" w:type="dxa"/>
            <w:tcBorders>
              <w:bottom w:val="double" w:color="auto" w:sz="4" w:space="0"/>
              <w:right w:val="double" w:color="auto" w:sz="4" w:space="0"/>
            </w:tcBorders>
            <w:shd w:val="clear" w:color="auto" w:fill="auto"/>
            <w:noWrap/>
            <w:vAlign w:val="center"/>
          </w:tcPr>
          <w:p w14:paraId="178A315B">
            <w:pPr>
              <w:keepNext w:val="0"/>
              <w:keepLines w:val="0"/>
              <w:pageBreakBefore w:val="0"/>
              <w:widowControl w:val="0"/>
              <w:kinsoku/>
              <w:wordWrap/>
              <w:overflowPunct/>
              <w:topLinePunct w:val="0"/>
              <w:autoSpaceDE/>
              <w:autoSpaceDN/>
              <w:bidi w:val="0"/>
              <w:adjustRightInd/>
              <w:snapToGrid w:val="0"/>
              <w:spacing w:line="288" w:lineRule="auto"/>
              <w:textAlignment w:val="auto"/>
              <w:rPr>
                <w:rFonts w:hint="eastAsia" w:ascii="宋体" w:hAnsi="宋体" w:cs="宋体"/>
                <w:b w:val="0"/>
                <w:bCs/>
                <w:color w:val="auto"/>
                <w:sz w:val="21"/>
                <w:szCs w:val="21"/>
                <w:highlight w:val="none"/>
                <w:u w:val="single"/>
              </w:rPr>
            </w:pPr>
            <w:r>
              <w:rPr>
                <w:rFonts w:hint="eastAsia" w:ascii="宋体" w:hAnsi="宋体" w:cs="宋体"/>
                <w:b w:val="0"/>
                <w:bCs/>
                <w:color w:val="auto"/>
                <w:sz w:val="21"/>
                <w:szCs w:val="21"/>
                <w:highlight w:val="none"/>
                <w:u w:val="single"/>
              </w:rPr>
              <w:t>招标代理服务费：本项目招标代理服务费由中标单位支付，按照招标人与招标代理签订的招标代理合同约定的内容执行。</w:t>
            </w:r>
          </w:p>
        </w:tc>
      </w:tr>
    </w:tbl>
    <w:p w14:paraId="5A4992C0">
      <w:pPr>
        <w:snapToGrid w:val="0"/>
        <w:spacing w:line="360" w:lineRule="auto"/>
        <w:rPr>
          <w:rFonts w:ascii="宋体" w:hAnsi="宋体" w:cs="宋体"/>
          <w:strike/>
          <w:color w:val="auto"/>
          <w:szCs w:val="21"/>
          <w:highlight w:val="none"/>
        </w:rPr>
      </w:pPr>
      <w:r>
        <w:rPr>
          <w:rFonts w:hint="eastAsia" w:ascii="宋体" w:hAnsi="宋体" w:cs="宋体"/>
          <w:strike/>
          <w:color w:val="auto"/>
          <w:sz w:val="24"/>
          <w:highlight w:val="none"/>
        </w:rPr>
        <w:t>注：企业综合诚信评价得分即企业综合诚信评价60日诚信分，以下同。</w:t>
      </w:r>
    </w:p>
    <w:p w14:paraId="1AAB4017">
      <w:pPr>
        <w:pStyle w:val="4"/>
        <w:snapToGrid w:val="0"/>
        <w:spacing w:before="0" w:after="0" w:line="360" w:lineRule="auto"/>
        <w:ind w:left="0"/>
        <w:rPr>
          <w:rFonts w:ascii="宋体" w:hAnsi="宋体" w:cs="宋体"/>
          <w:color w:val="auto"/>
          <w:sz w:val="32"/>
          <w:szCs w:val="32"/>
          <w:highlight w:val="none"/>
        </w:rPr>
      </w:pPr>
      <w:r>
        <w:rPr>
          <w:rFonts w:hint="eastAsia" w:ascii="宋体" w:hAnsi="宋体" w:cs="宋体"/>
          <w:strike/>
          <w:color w:val="auto"/>
          <w:highlight w:val="none"/>
        </w:rPr>
        <w:br w:type="page"/>
      </w:r>
      <w:bookmarkStart w:id="3" w:name="_Toc6608"/>
      <w:r>
        <w:rPr>
          <w:rFonts w:hint="eastAsia" w:ascii="宋体" w:hAnsi="宋体" w:cs="宋体"/>
          <w:color w:val="auto"/>
          <w:sz w:val="32"/>
          <w:szCs w:val="32"/>
          <w:highlight w:val="none"/>
        </w:rPr>
        <w:t>二、投标须知修改表</w:t>
      </w:r>
      <w:bookmarkEnd w:id="3"/>
    </w:p>
    <w:p w14:paraId="40CB1E8B">
      <w:pPr>
        <w:adjustRightInd w:val="0"/>
        <w:snapToGrid w:val="0"/>
        <w:spacing w:line="360" w:lineRule="auto"/>
        <w:ind w:firstLine="413" w:firstLineChars="196"/>
        <w:rPr>
          <w:rFonts w:ascii="宋体" w:hAnsi="宋体" w:cs="宋体"/>
          <w:b/>
          <w:color w:val="auto"/>
          <w:szCs w:val="21"/>
          <w:highlight w:val="none"/>
        </w:rPr>
      </w:pPr>
      <w:r>
        <w:rPr>
          <w:rFonts w:hint="eastAsia" w:ascii="宋体" w:hAnsi="宋体" w:cs="宋体"/>
          <w:b/>
          <w:color w:val="auto"/>
          <w:szCs w:val="21"/>
          <w:highlight w:val="none"/>
        </w:rPr>
        <w:t>声明：本投标须知使用GZZB2018-3招标文件范本的投标须知通用条款，与该通用条款不同之处，均在本表中列明，并以现文为准，原文不再有效。本招标文件中不再转录投标须知通用条款，请投标人自行到广州市住房和城乡建设局网站（网址：</w:t>
      </w:r>
      <w:r>
        <w:rPr>
          <w:color w:val="auto"/>
          <w:highlight w:val="none"/>
        </w:rPr>
        <w:fldChar w:fldCharType="begin"/>
      </w:r>
      <w:r>
        <w:rPr>
          <w:color w:val="auto"/>
          <w:highlight w:val="none"/>
        </w:rPr>
        <w:instrText xml:space="preserve"> HYPERLINK "http://zfcj.gz.gov.cn/）下载查阅。" </w:instrText>
      </w:r>
      <w:r>
        <w:rPr>
          <w:color w:val="auto"/>
          <w:highlight w:val="none"/>
        </w:rPr>
        <w:fldChar w:fldCharType="separate"/>
      </w:r>
      <w:r>
        <w:rPr>
          <w:rStyle w:val="38"/>
          <w:rFonts w:hint="eastAsia" w:ascii="宋体" w:hAnsi="宋体" w:cs="宋体"/>
          <w:b/>
          <w:color w:val="auto"/>
          <w:szCs w:val="21"/>
          <w:highlight w:val="none"/>
          <w:u w:val="none"/>
        </w:rPr>
        <w:t>http://zfcj.gz.gov.cn/）下载查阅。</w:t>
      </w:r>
      <w:r>
        <w:rPr>
          <w:rStyle w:val="38"/>
          <w:rFonts w:hint="eastAsia" w:ascii="宋体" w:hAnsi="宋体" w:cs="宋体"/>
          <w:b/>
          <w:color w:val="auto"/>
          <w:szCs w:val="21"/>
          <w:highlight w:val="none"/>
          <w:u w:val="none"/>
        </w:rPr>
        <w:fldChar w:fldCharType="end"/>
      </w:r>
    </w:p>
    <w:p w14:paraId="6637BE75">
      <w:pPr>
        <w:adjustRightInd w:val="0"/>
        <w:snapToGrid w:val="0"/>
        <w:spacing w:line="360" w:lineRule="auto"/>
        <w:ind w:firstLine="413" w:firstLineChars="196"/>
        <w:rPr>
          <w:rFonts w:ascii="宋体" w:hAnsi="宋体" w:cs="宋体"/>
          <w:b/>
          <w:color w:val="auto"/>
          <w:szCs w:val="21"/>
          <w:highlight w:val="none"/>
        </w:rPr>
      </w:pPr>
      <w:r>
        <w:rPr>
          <w:rFonts w:hint="eastAsia" w:ascii="宋体" w:hAnsi="宋体" w:cs="宋体"/>
          <w:b/>
          <w:color w:val="auto"/>
          <w:szCs w:val="21"/>
          <w:highlight w:val="none"/>
        </w:rPr>
        <w:t>条款号：2.5                          修改类型：增加</w:t>
      </w:r>
    </w:p>
    <w:p w14:paraId="0F9543ED">
      <w:pPr>
        <w:pBdr>
          <w:bottom w:val="single" w:color="auto" w:sz="6" w:space="1"/>
        </w:pBdr>
        <w:adjustRightInd w:val="0"/>
        <w:snapToGrid w:val="0"/>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b/>
          <w:bCs/>
          <w:color w:val="auto"/>
          <w:szCs w:val="21"/>
          <w:highlight w:val="none"/>
        </w:rPr>
        <w:t>2.5</w:t>
      </w:r>
      <w:r>
        <w:rPr>
          <w:rFonts w:hint="eastAsia" w:ascii="宋体" w:hAnsi="宋体" w:cs="宋体"/>
          <w:b/>
          <w:bCs/>
          <w:color w:val="auto"/>
          <w:kern w:val="0"/>
          <w:szCs w:val="21"/>
          <w:highlight w:val="none"/>
        </w:rPr>
        <w:t>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p w14:paraId="11667B99">
      <w:pPr>
        <w:adjustRightInd w:val="0"/>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条款号：5.1                          修改类型：修改</w:t>
      </w:r>
    </w:p>
    <w:p w14:paraId="6F91D968">
      <w:pPr>
        <w:pBdr>
          <w:bottom w:val="single" w:color="auto" w:sz="6" w:space="1"/>
        </w:pBdr>
        <w:adjustRightInd w:val="0"/>
        <w:snapToGrid w:val="0"/>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5.1投标人应按本投标须知前附表第15项所述时间和要求对工程现场及周围环境进行踏勘，投标人应充分重视和仔细地进行这种考察，以便投标人获取那些须投标人自己负责的有关编制投标文件和签署合同所涉及现场所有的资料。一旦中标，这种考察即被认为其结果已在中标文件中得到充分反映。考察现场的费用由投标人自己承担。</w:t>
      </w:r>
    </w:p>
    <w:p w14:paraId="476AF828">
      <w:pPr>
        <w:pBdr>
          <w:bottom w:val="single" w:color="auto" w:sz="6" w:space="1"/>
        </w:pBdr>
        <w:adjustRightInd w:val="0"/>
        <w:snapToGrid w:val="0"/>
        <w:spacing w:line="360" w:lineRule="auto"/>
        <w:ind w:firstLine="422" w:firstLineChars="200"/>
        <w:rPr>
          <w:rFonts w:ascii="宋体" w:hAnsi="宋体" w:cs="宋体"/>
          <w:b/>
          <w:bCs/>
          <w:color w:val="auto"/>
          <w:szCs w:val="21"/>
          <w:highlight w:val="none"/>
          <w:u w:val="single"/>
        </w:rPr>
      </w:pPr>
      <w:r>
        <w:rPr>
          <w:rFonts w:hint="eastAsia" w:ascii="宋体" w:hAnsi="宋体" w:cs="宋体"/>
          <w:b/>
          <w:color w:val="auto"/>
          <w:szCs w:val="21"/>
          <w:highlight w:val="none"/>
        </w:rPr>
        <w:t>现文：</w:t>
      </w:r>
      <w:r>
        <w:rPr>
          <w:rFonts w:hint="eastAsia" w:ascii="宋体" w:hAnsi="宋体" w:cs="宋体"/>
          <w:color w:val="auto"/>
          <w:szCs w:val="21"/>
          <w:highlight w:val="none"/>
        </w:rPr>
        <w:t>5.1投标人应按本投标须知前附表第15项所述时间和要求对工程现场及周围环境进行踏勘，投标人应充分重视和仔细地进行这种考察，以便投标人获取那些须投标人自己负责的有关编制投标文件和签署合同所涉及现场所有的资料</w:t>
      </w:r>
      <w:r>
        <w:rPr>
          <w:rFonts w:hint="eastAsia" w:ascii="宋体" w:hAnsi="宋体" w:cs="宋体"/>
          <w:color w:val="auto"/>
          <w:szCs w:val="21"/>
          <w:highlight w:val="none"/>
          <w:u w:val="single"/>
        </w:rPr>
        <w:t>，</w:t>
      </w:r>
      <w:r>
        <w:rPr>
          <w:rFonts w:hint="eastAsia" w:ascii="宋体" w:hAnsi="宋体" w:cs="宋体"/>
          <w:b/>
          <w:bCs/>
          <w:color w:val="auto"/>
          <w:szCs w:val="21"/>
          <w:highlight w:val="none"/>
          <w:u w:val="single"/>
        </w:rPr>
        <w:t>投标人不进行踏勘的，视为已熟知现场条件，自行承担相关风险</w:t>
      </w:r>
      <w:r>
        <w:rPr>
          <w:rFonts w:hint="eastAsia" w:ascii="宋体" w:hAnsi="宋体" w:cs="宋体"/>
          <w:b/>
          <w:bCs/>
          <w:color w:val="auto"/>
          <w:szCs w:val="21"/>
          <w:highlight w:val="none"/>
        </w:rPr>
        <w:t>。</w:t>
      </w:r>
      <w:r>
        <w:rPr>
          <w:rFonts w:hint="eastAsia" w:ascii="宋体" w:hAnsi="宋体" w:cs="宋体"/>
          <w:color w:val="auto"/>
          <w:szCs w:val="21"/>
          <w:highlight w:val="none"/>
        </w:rPr>
        <w:t>一旦中标，这种考察即被认为其结果已在中标文件中得到充分反映。</w:t>
      </w:r>
      <w:r>
        <w:rPr>
          <w:rFonts w:hint="eastAsia" w:ascii="宋体" w:hAnsi="宋体" w:cs="宋体"/>
          <w:b/>
          <w:bCs/>
          <w:color w:val="auto"/>
          <w:szCs w:val="21"/>
          <w:highlight w:val="none"/>
          <w:u w:val="single"/>
        </w:rPr>
        <w:t>招标人不受理因投标人缺乏对现场条件的了解或掌握而提出的任何索赔。考察现场的费用由投标人自己承担。</w:t>
      </w:r>
    </w:p>
    <w:p w14:paraId="7D364C86">
      <w:pPr>
        <w:adjustRightInd w:val="0"/>
        <w:snapToGrid w:val="0"/>
        <w:spacing w:line="360" w:lineRule="auto"/>
        <w:ind w:firstLine="413" w:firstLineChars="196"/>
        <w:rPr>
          <w:rFonts w:ascii="宋体" w:hAnsi="宋体" w:cs="宋体"/>
          <w:b/>
          <w:color w:val="auto"/>
          <w:szCs w:val="21"/>
          <w:highlight w:val="none"/>
        </w:rPr>
      </w:pPr>
      <w:r>
        <w:rPr>
          <w:rFonts w:hint="eastAsia" w:ascii="宋体" w:hAnsi="宋体" w:cs="宋体"/>
          <w:b/>
          <w:color w:val="auto"/>
          <w:szCs w:val="21"/>
          <w:highlight w:val="none"/>
        </w:rPr>
        <w:t>条款号：8.1                           修改类型：修改</w:t>
      </w:r>
    </w:p>
    <w:p w14:paraId="22E3FB26">
      <w:pPr>
        <w:pStyle w:val="31"/>
        <w:pBdr>
          <w:bottom w:val="single" w:color="auto" w:sz="6" w:space="1"/>
        </w:pBdr>
        <w:adjustRightInd w:val="0"/>
        <w:snapToGrid w:val="0"/>
        <w:spacing w:after="0" w:line="360" w:lineRule="auto"/>
        <w:ind w:firstLine="422" w:firstLineChars="200"/>
        <w:rPr>
          <w:rFonts w:ascii="宋体" w:hAnsi="宋体" w:cs="宋体"/>
          <w:color w:val="auto"/>
          <w:sz w:val="21"/>
          <w:szCs w:val="21"/>
          <w:highlight w:val="none"/>
        </w:rPr>
      </w:pPr>
      <w:r>
        <w:rPr>
          <w:rFonts w:hint="eastAsia" w:ascii="宋体" w:hAnsi="宋体" w:cs="宋体"/>
          <w:b/>
          <w:color w:val="auto"/>
          <w:sz w:val="21"/>
          <w:szCs w:val="21"/>
          <w:highlight w:val="none"/>
        </w:rPr>
        <w:t>原文：</w:t>
      </w:r>
      <w:r>
        <w:rPr>
          <w:rFonts w:hint="eastAsia" w:ascii="宋体" w:hAnsi="宋体" w:cs="宋体"/>
          <w:color w:val="auto"/>
          <w:sz w:val="21"/>
          <w:szCs w:val="21"/>
          <w:highlight w:val="none"/>
        </w:rPr>
        <w:t>8.1 投标人若对招标文件（包括招标图纸）中有疑问，可以书面形式通过</w:t>
      </w:r>
      <w:r>
        <w:rPr>
          <w:color w:val="auto"/>
          <w:sz w:val="21"/>
          <w:szCs w:val="21"/>
          <w:highlight w:val="none"/>
          <w:u w:val="single"/>
        </w:rPr>
        <w:t xml:space="preserve">    </w:t>
      </w:r>
      <w:r>
        <w:rPr>
          <w:rFonts w:hint="eastAsia"/>
          <w:color w:val="auto"/>
          <w:sz w:val="21"/>
          <w:szCs w:val="21"/>
          <w:highlight w:val="none"/>
          <w:u w:val="single"/>
        </w:rPr>
        <w:t xml:space="preserve">  </w:t>
      </w:r>
      <w:r>
        <w:rPr>
          <w:color w:val="auto"/>
          <w:sz w:val="21"/>
          <w:szCs w:val="21"/>
          <w:highlight w:val="none"/>
          <w:u w:val="single"/>
        </w:rPr>
        <w:t xml:space="preserve">  </w:t>
      </w:r>
      <w:r>
        <w:rPr>
          <w:rFonts w:hint="eastAsia" w:ascii="宋体" w:hAnsi="宋体" w:cs="宋体"/>
          <w:color w:val="auto"/>
          <w:sz w:val="21"/>
          <w:szCs w:val="21"/>
          <w:highlight w:val="none"/>
        </w:rPr>
        <w:t>交易平台提交给招标人或招标代理人，提交形式见本须知前附表第16项。</w:t>
      </w:r>
    </w:p>
    <w:p w14:paraId="7959C8E6">
      <w:pPr>
        <w:pStyle w:val="31"/>
        <w:pBdr>
          <w:bottom w:val="single" w:color="auto" w:sz="6" w:space="1"/>
        </w:pBdr>
        <w:adjustRightInd w:val="0"/>
        <w:snapToGrid w:val="0"/>
        <w:spacing w:after="0" w:line="360" w:lineRule="auto"/>
        <w:ind w:firstLine="422" w:firstLineChars="200"/>
        <w:rPr>
          <w:rFonts w:ascii="宋体" w:hAnsi="宋体" w:cs="宋体"/>
          <w:color w:val="auto"/>
          <w:sz w:val="21"/>
          <w:szCs w:val="21"/>
          <w:highlight w:val="none"/>
        </w:rPr>
      </w:pPr>
      <w:r>
        <w:rPr>
          <w:rFonts w:hint="eastAsia" w:ascii="宋体" w:hAnsi="宋体" w:cs="宋体"/>
          <w:b/>
          <w:color w:val="auto"/>
          <w:sz w:val="21"/>
          <w:szCs w:val="21"/>
          <w:highlight w:val="none"/>
        </w:rPr>
        <w:t>现文：</w:t>
      </w:r>
      <w:r>
        <w:rPr>
          <w:rFonts w:hint="eastAsia" w:ascii="宋体" w:hAnsi="宋体" w:cs="宋体"/>
          <w:color w:val="auto"/>
          <w:sz w:val="21"/>
          <w:szCs w:val="21"/>
          <w:highlight w:val="none"/>
        </w:rPr>
        <w:t>8.1</w:t>
      </w:r>
      <w:r>
        <w:rPr>
          <w:rFonts w:hint="eastAsia" w:ascii="宋体" w:hAnsi="宋体" w:eastAsia="宋体" w:cs="宋体"/>
          <w:bCs/>
          <w:color w:val="auto"/>
          <w:sz w:val="21"/>
          <w:szCs w:val="21"/>
          <w:highlight w:val="none"/>
          <w:u w:val="single"/>
        </w:rPr>
        <w:t>投标人若对招标文件（包括招标图纸</w:t>
      </w:r>
      <w:r>
        <w:rPr>
          <w:rFonts w:hint="eastAsia" w:ascii="宋体" w:hAnsi="宋体" w:eastAsia="宋体" w:cs="宋体"/>
          <w:b/>
          <w:bCs w:val="0"/>
          <w:color w:val="auto"/>
          <w:sz w:val="21"/>
          <w:szCs w:val="21"/>
          <w:highlight w:val="none"/>
          <w:u w:val="single"/>
        </w:rPr>
        <w:t>、清单、最高投标限价</w:t>
      </w:r>
      <w:r>
        <w:rPr>
          <w:rFonts w:hint="eastAsia"/>
          <w:b/>
          <w:bCs w:val="0"/>
          <w:color w:val="auto"/>
          <w:highlight w:val="none"/>
          <w:lang w:eastAsia="zh-CN"/>
        </w:rPr>
        <w:t>、</w:t>
      </w:r>
      <w:r>
        <w:rPr>
          <w:rFonts w:hint="eastAsia"/>
          <w:b/>
          <w:bCs w:val="0"/>
          <w:color w:val="auto"/>
          <w:highlight w:val="none"/>
          <w:lang w:val="en-US" w:eastAsia="zh-CN"/>
        </w:rPr>
        <w:t>合同条款</w:t>
      </w:r>
      <w:r>
        <w:rPr>
          <w:rFonts w:hint="eastAsia" w:ascii="宋体" w:hAnsi="宋体" w:eastAsia="宋体" w:cs="宋体"/>
          <w:bCs/>
          <w:color w:val="auto"/>
          <w:sz w:val="21"/>
          <w:szCs w:val="21"/>
          <w:highlight w:val="none"/>
          <w:u w:val="single"/>
        </w:rPr>
        <w:t>）中有疑问，</w:t>
      </w:r>
      <w:r>
        <w:rPr>
          <w:rFonts w:hint="eastAsia" w:ascii="宋体" w:hAnsi="宋体" w:eastAsia="宋体" w:cs="宋体"/>
          <w:bCs/>
          <w:color w:val="auto"/>
          <w:sz w:val="21"/>
          <w:szCs w:val="21"/>
          <w:highlight w:val="none"/>
          <w:u w:val="none"/>
        </w:rPr>
        <w:t>可以</w:t>
      </w:r>
      <w:r>
        <w:rPr>
          <w:rFonts w:hint="eastAsia" w:ascii="宋体" w:hAnsi="宋体" w:eastAsia="宋体" w:cs="宋体"/>
          <w:b/>
          <w:bCs w:val="0"/>
          <w:color w:val="auto"/>
          <w:sz w:val="21"/>
          <w:szCs w:val="21"/>
          <w:highlight w:val="none"/>
          <w:u w:val="single"/>
        </w:rPr>
        <w:t>网上答疑方式</w:t>
      </w:r>
      <w:r>
        <w:rPr>
          <w:rFonts w:hint="eastAsia" w:ascii="宋体" w:hAnsi="宋体" w:cs="宋体"/>
          <w:b w:val="0"/>
          <w:bCs/>
          <w:color w:val="auto"/>
          <w:sz w:val="21"/>
          <w:szCs w:val="21"/>
          <w:highlight w:val="none"/>
          <w:u w:val="none"/>
          <w:lang w:val="en-US" w:eastAsia="zh-CN"/>
        </w:rPr>
        <w:t>通过</w:t>
      </w:r>
      <w:r>
        <w:rPr>
          <w:rFonts w:hint="eastAsia" w:ascii="宋体" w:hAnsi="宋体" w:cs="宋体"/>
          <w:b/>
          <w:bCs w:val="0"/>
          <w:color w:val="auto"/>
          <w:sz w:val="21"/>
          <w:szCs w:val="21"/>
          <w:highlight w:val="none"/>
          <w:u w:val="single"/>
          <w:lang w:val="en-US" w:eastAsia="zh-CN"/>
        </w:rPr>
        <w:t>广州交易集团有限公司（广州公共资源交易中心）</w:t>
      </w:r>
      <w:r>
        <w:rPr>
          <w:rFonts w:hint="eastAsia" w:ascii="宋体" w:hAnsi="宋体"/>
          <w:color w:val="auto"/>
          <w:sz w:val="21"/>
          <w:szCs w:val="21"/>
          <w:highlight w:val="none"/>
        </w:rPr>
        <w:t>交易平台</w:t>
      </w:r>
      <w:r>
        <w:rPr>
          <w:rFonts w:hint="eastAsia"/>
          <w:color w:val="auto"/>
          <w:sz w:val="21"/>
          <w:szCs w:val="21"/>
          <w:highlight w:val="none"/>
        </w:rPr>
        <w:t>提交</w:t>
      </w:r>
      <w:r>
        <w:rPr>
          <w:rFonts w:hint="eastAsia" w:ascii="宋体" w:hAnsi="宋体"/>
          <w:color w:val="auto"/>
          <w:sz w:val="21"/>
          <w:szCs w:val="16"/>
          <w:highlight w:val="none"/>
        </w:rPr>
        <w:t>给招标人或招标代理人</w:t>
      </w:r>
      <w:r>
        <w:rPr>
          <w:rFonts w:hint="eastAsia" w:ascii="宋体" w:hAnsi="宋体"/>
          <w:color w:val="auto"/>
          <w:sz w:val="21"/>
          <w:szCs w:val="16"/>
          <w:highlight w:val="none"/>
          <w:lang w:eastAsia="zh-CN"/>
        </w:rPr>
        <w:t>，</w:t>
      </w:r>
      <w:r>
        <w:rPr>
          <w:rFonts w:hint="eastAsia" w:ascii="宋体" w:hAnsi="宋体" w:eastAsia="宋体" w:cs="宋体"/>
          <w:bCs/>
          <w:color w:val="auto"/>
          <w:sz w:val="21"/>
          <w:szCs w:val="21"/>
          <w:highlight w:val="none"/>
          <w:u w:val="single"/>
        </w:rPr>
        <w:t>详见本须知前附表第1</w:t>
      </w:r>
      <w:r>
        <w:rPr>
          <w:rFonts w:hint="eastAsia" w:ascii="宋体" w:hAnsi="宋体" w:eastAsia="宋体" w:cs="宋体"/>
          <w:bCs/>
          <w:color w:val="auto"/>
          <w:sz w:val="21"/>
          <w:szCs w:val="21"/>
          <w:highlight w:val="none"/>
          <w:u w:val="single"/>
          <w:lang w:val="en-US" w:eastAsia="zh-CN"/>
        </w:rPr>
        <w:t>3</w:t>
      </w:r>
      <w:r>
        <w:rPr>
          <w:rFonts w:hint="eastAsia" w:ascii="宋体" w:hAnsi="宋体" w:eastAsia="宋体" w:cs="宋体"/>
          <w:bCs/>
          <w:color w:val="auto"/>
          <w:sz w:val="21"/>
          <w:szCs w:val="21"/>
          <w:highlight w:val="none"/>
          <w:u w:val="single"/>
        </w:rPr>
        <w:t>项。</w:t>
      </w:r>
      <w:r>
        <w:rPr>
          <w:rFonts w:hint="eastAsia" w:ascii="宋体" w:hAnsi="宋体" w:eastAsia="宋体" w:cs="宋体"/>
          <w:b/>
          <w:bCs w:val="0"/>
          <w:color w:val="auto"/>
          <w:sz w:val="21"/>
          <w:szCs w:val="21"/>
          <w:highlight w:val="none"/>
          <w:u w:val="single"/>
        </w:rPr>
        <w:t>招标人或招标代理人将于本须知前附表第1</w:t>
      </w:r>
      <w:r>
        <w:rPr>
          <w:rFonts w:hint="eastAsia" w:ascii="宋体" w:hAnsi="宋体" w:eastAsia="宋体" w:cs="宋体"/>
          <w:b/>
          <w:bCs w:val="0"/>
          <w:color w:val="auto"/>
          <w:sz w:val="21"/>
          <w:szCs w:val="21"/>
          <w:highlight w:val="none"/>
          <w:u w:val="single"/>
          <w:lang w:val="en-US" w:eastAsia="zh-CN"/>
        </w:rPr>
        <w:t>3</w:t>
      </w:r>
      <w:r>
        <w:rPr>
          <w:rFonts w:hint="eastAsia" w:ascii="宋体" w:hAnsi="宋体" w:eastAsia="宋体" w:cs="宋体"/>
          <w:b/>
          <w:bCs w:val="0"/>
          <w:color w:val="auto"/>
          <w:sz w:val="21"/>
          <w:szCs w:val="21"/>
          <w:highlight w:val="none"/>
          <w:u w:val="single"/>
        </w:rPr>
        <w:t>项指定的地点（交易平台）和时间对疑问进行答复</w:t>
      </w:r>
      <w:r>
        <w:rPr>
          <w:rFonts w:hint="eastAsia" w:ascii="宋体" w:hAnsi="宋体" w:eastAsia="宋体" w:cs="宋体"/>
          <w:b/>
          <w:bCs w:val="0"/>
          <w:color w:val="auto"/>
          <w:sz w:val="21"/>
          <w:szCs w:val="21"/>
          <w:highlight w:val="none"/>
          <w:u w:val="single"/>
          <w:lang w:eastAsia="zh-CN"/>
        </w:rPr>
        <w:t>。</w:t>
      </w:r>
    </w:p>
    <w:p w14:paraId="3FE7F12C">
      <w:pPr>
        <w:adjustRightInd w:val="0"/>
        <w:snapToGrid w:val="0"/>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条款号：8.2                          修改类型：修改</w:t>
      </w:r>
    </w:p>
    <w:p w14:paraId="14413413">
      <w:pPr>
        <w:pStyle w:val="31"/>
        <w:adjustRightInd w:val="0"/>
        <w:snapToGrid w:val="0"/>
        <w:spacing w:after="0" w:line="360" w:lineRule="auto"/>
        <w:ind w:firstLine="422" w:firstLineChars="200"/>
        <w:rPr>
          <w:rFonts w:ascii="宋体" w:hAnsi="宋体" w:cs="宋体"/>
          <w:color w:val="auto"/>
          <w:sz w:val="21"/>
          <w:szCs w:val="21"/>
          <w:highlight w:val="none"/>
        </w:rPr>
      </w:pPr>
      <w:r>
        <w:rPr>
          <w:rFonts w:hint="eastAsia" w:ascii="宋体" w:hAnsi="宋体" w:cs="宋体"/>
          <w:b/>
          <w:color w:val="auto"/>
          <w:sz w:val="21"/>
          <w:szCs w:val="21"/>
          <w:highlight w:val="none"/>
        </w:rPr>
        <w:t>原文：</w:t>
      </w:r>
      <w:r>
        <w:rPr>
          <w:rFonts w:hint="eastAsia" w:ascii="宋体" w:hAnsi="宋体" w:cs="宋体"/>
          <w:bCs/>
          <w:color w:val="auto"/>
          <w:sz w:val="21"/>
          <w:szCs w:val="21"/>
          <w:highlight w:val="none"/>
        </w:rPr>
        <w:t>8.2</w:t>
      </w:r>
      <w:r>
        <w:rPr>
          <w:rFonts w:hint="eastAsia" w:ascii="宋体" w:hAnsi="宋体" w:cs="宋体"/>
          <w:color w:val="auto"/>
          <w:sz w:val="21"/>
          <w:szCs w:val="21"/>
          <w:highlight w:val="none"/>
        </w:rPr>
        <w:t>招标答疑会会议纪要将在提交投标文件截止时间15日前在</w:t>
      </w:r>
      <w:r>
        <w:rPr>
          <w:color w:val="auto"/>
          <w:sz w:val="21"/>
          <w:szCs w:val="21"/>
          <w:highlight w:val="none"/>
          <w:u w:val="single"/>
        </w:rPr>
        <w:t xml:space="preserve">        </w:t>
      </w:r>
      <w:r>
        <w:rPr>
          <w:rFonts w:hint="eastAsia" w:ascii="宋体" w:hAnsi="宋体" w:cs="宋体"/>
          <w:color w:val="auto"/>
          <w:sz w:val="21"/>
          <w:szCs w:val="21"/>
          <w:highlight w:val="none"/>
        </w:rPr>
        <w:t>交易平台“项目答疑纪要”专区公开发布。答疑纪要一经在</w:t>
      </w:r>
      <w:r>
        <w:rPr>
          <w:color w:val="auto"/>
          <w:sz w:val="21"/>
          <w:szCs w:val="21"/>
          <w:highlight w:val="none"/>
          <w:u w:val="single"/>
        </w:rPr>
        <w:t xml:space="preserve">        </w:t>
      </w:r>
      <w:r>
        <w:rPr>
          <w:rFonts w:hint="eastAsia" w:ascii="宋体" w:hAnsi="宋体" w:cs="宋体"/>
          <w:color w:val="auto"/>
          <w:sz w:val="21"/>
          <w:szCs w:val="21"/>
          <w:highlight w:val="none"/>
        </w:rPr>
        <w:t>交易平台发布，视作已发放给所有投标人。</w:t>
      </w:r>
    </w:p>
    <w:p w14:paraId="2A490617">
      <w:pPr>
        <w:pStyle w:val="31"/>
        <w:pBdr>
          <w:bottom w:val="single" w:color="auto" w:sz="4" w:space="1"/>
        </w:pBdr>
        <w:adjustRightInd w:val="0"/>
        <w:snapToGrid w:val="0"/>
        <w:spacing w:after="0" w:line="360" w:lineRule="auto"/>
        <w:ind w:firstLine="422" w:firstLineChars="200"/>
        <w:rPr>
          <w:rFonts w:ascii="宋体" w:hAnsi="宋体" w:cs="宋体"/>
          <w:color w:val="auto"/>
          <w:sz w:val="21"/>
          <w:szCs w:val="21"/>
          <w:highlight w:val="none"/>
        </w:rPr>
      </w:pPr>
      <w:r>
        <w:rPr>
          <w:rFonts w:hint="eastAsia" w:ascii="宋体" w:hAnsi="宋体" w:cs="宋体"/>
          <w:b/>
          <w:color w:val="auto"/>
          <w:sz w:val="21"/>
          <w:szCs w:val="21"/>
          <w:highlight w:val="none"/>
        </w:rPr>
        <w:t>现文：</w:t>
      </w:r>
      <w:r>
        <w:rPr>
          <w:rFonts w:hint="eastAsia" w:ascii="宋体" w:hAnsi="宋体" w:eastAsia="宋体" w:cs="宋体"/>
          <w:color w:val="auto"/>
          <w:sz w:val="21"/>
          <w:szCs w:val="21"/>
          <w:highlight w:val="none"/>
        </w:rPr>
        <w:t>8.2招标答疑会会议纪要将在提交投标文件截止时间15日前</w:t>
      </w:r>
      <w:r>
        <w:rPr>
          <w:rFonts w:hint="eastAsia" w:ascii="宋体" w:hAnsi="宋体" w:eastAsia="宋体" w:cs="宋体"/>
          <w:color w:val="auto"/>
          <w:sz w:val="21"/>
          <w:szCs w:val="21"/>
          <w:highlight w:val="none"/>
          <w:u w:val="single"/>
        </w:rPr>
        <w:t>在</w:t>
      </w:r>
      <w:r>
        <w:rPr>
          <w:rFonts w:hint="eastAsia" w:ascii="宋体" w:hAnsi="宋体" w:eastAsia="宋体" w:cs="宋体"/>
          <w:b/>
          <w:bCs/>
          <w:color w:val="auto"/>
          <w:sz w:val="21"/>
          <w:szCs w:val="21"/>
          <w:highlight w:val="none"/>
          <w:u w:val="single"/>
        </w:rPr>
        <w:t>广州交易集团有限公司（广州公共资源交易中心）</w:t>
      </w:r>
      <w:r>
        <w:rPr>
          <w:rFonts w:hint="eastAsia" w:ascii="宋体" w:hAnsi="宋体" w:eastAsia="宋体" w:cs="宋体"/>
          <w:b w:val="0"/>
          <w:bCs w:val="0"/>
          <w:color w:val="auto"/>
          <w:sz w:val="21"/>
          <w:szCs w:val="21"/>
          <w:highlight w:val="none"/>
          <w:u w:val="none"/>
        </w:rPr>
        <w:t>交易平台</w:t>
      </w:r>
      <w:r>
        <w:rPr>
          <w:rFonts w:hint="eastAsia" w:ascii="宋体" w:hAnsi="宋体" w:cs="宋体"/>
          <w:b/>
          <w:bCs/>
          <w:color w:val="auto"/>
          <w:sz w:val="21"/>
          <w:szCs w:val="21"/>
          <w:highlight w:val="none"/>
          <w:u w:val="none"/>
        </w:rPr>
        <w:t>“</w:t>
      </w:r>
      <w:r>
        <w:rPr>
          <w:rFonts w:hint="eastAsia" w:ascii="宋体" w:hAnsi="宋体" w:cs="宋体"/>
          <w:b/>
          <w:bCs/>
          <w:color w:val="auto"/>
          <w:sz w:val="21"/>
          <w:szCs w:val="21"/>
          <w:highlight w:val="none"/>
          <w:u w:val="single"/>
        </w:rPr>
        <w:t>项目查询</w:t>
      </w:r>
      <w:r>
        <w:rPr>
          <w:rFonts w:ascii="宋体" w:hAnsi="宋体" w:cs="宋体"/>
          <w:b/>
          <w:bCs/>
          <w:color w:val="auto"/>
          <w:sz w:val="21"/>
          <w:szCs w:val="21"/>
          <w:highlight w:val="none"/>
          <w:u w:val="single"/>
        </w:rPr>
        <w:t>(日程安排、答疑纪要)</w:t>
      </w:r>
      <w:r>
        <w:rPr>
          <w:rFonts w:hint="eastAsia" w:ascii="宋体" w:hAnsi="宋体" w:cs="宋体"/>
          <w:b/>
          <w:bCs/>
          <w:color w:val="auto"/>
          <w:sz w:val="21"/>
          <w:szCs w:val="21"/>
          <w:highlight w:val="none"/>
          <w:u w:val="single"/>
        </w:rPr>
        <w:t>”</w:t>
      </w:r>
      <w:r>
        <w:rPr>
          <w:rFonts w:hint="eastAsia" w:ascii="宋体" w:hAnsi="宋体" w:eastAsia="宋体" w:cs="宋体"/>
          <w:color w:val="auto"/>
          <w:sz w:val="21"/>
          <w:szCs w:val="21"/>
          <w:highlight w:val="none"/>
        </w:rPr>
        <w:t>专区公开发布。答疑纪要一经</w:t>
      </w:r>
      <w:r>
        <w:rPr>
          <w:rFonts w:hint="eastAsia" w:ascii="宋体" w:hAnsi="宋体" w:eastAsia="宋体" w:cs="宋体"/>
          <w:b/>
          <w:bCs/>
          <w:color w:val="auto"/>
          <w:sz w:val="21"/>
          <w:szCs w:val="21"/>
          <w:highlight w:val="none"/>
          <w:u w:val="single"/>
        </w:rPr>
        <w:t>在广州交易集团有限公司（广州公共资源交易中心）</w:t>
      </w:r>
      <w:r>
        <w:rPr>
          <w:rFonts w:hint="eastAsia" w:ascii="宋体" w:hAnsi="宋体" w:eastAsia="宋体" w:cs="宋体"/>
          <w:color w:val="auto"/>
          <w:sz w:val="21"/>
          <w:szCs w:val="21"/>
          <w:highlight w:val="none"/>
          <w:u w:val="none"/>
        </w:rPr>
        <w:t>交易平台</w:t>
      </w:r>
      <w:r>
        <w:rPr>
          <w:rFonts w:hint="eastAsia" w:ascii="宋体" w:hAnsi="宋体" w:eastAsia="宋体" w:cs="宋体"/>
          <w:color w:val="auto"/>
          <w:sz w:val="21"/>
          <w:szCs w:val="21"/>
          <w:highlight w:val="none"/>
        </w:rPr>
        <w:t>发布，视作已发放给所有投标人。</w:t>
      </w:r>
    </w:p>
    <w:p w14:paraId="4E341B79">
      <w:pPr>
        <w:adjustRightInd w:val="0"/>
        <w:snapToGrid w:val="0"/>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条款号：8.4修改类型：修改</w:t>
      </w:r>
    </w:p>
    <w:p w14:paraId="21C1B336">
      <w:pPr>
        <w:pStyle w:val="31"/>
        <w:adjustRightInd w:val="0"/>
        <w:snapToGrid w:val="0"/>
        <w:spacing w:after="0" w:line="360" w:lineRule="auto"/>
        <w:ind w:firstLine="422" w:firstLineChars="200"/>
        <w:rPr>
          <w:rFonts w:ascii="宋体" w:hAnsi="宋体" w:cs="宋体"/>
          <w:color w:val="auto"/>
          <w:sz w:val="21"/>
          <w:szCs w:val="21"/>
          <w:highlight w:val="none"/>
        </w:rPr>
      </w:pPr>
      <w:r>
        <w:rPr>
          <w:rFonts w:hint="eastAsia" w:ascii="宋体" w:hAnsi="宋体" w:cs="宋体"/>
          <w:b/>
          <w:color w:val="auto"/>
          <w:sz w:val="21"/>
          <w:szCs w:val="21"/>
          <w:highlight w:val="none"/>
        </w:rPr>
        <w:t>原文：</w:t>
      </w:r>
      <w:r>
        <w:rPr>
          <w:rFonts w:hint="eastAsia" w:ascii="宋体" w:hAnsi="宋体" w:cs="宋体"/>
          <w:color w:val="auto"/>
          <w:sz w:val="21"/>
          <w:szCs w:val="21"/>
          <w:highlight w:val="none"/>
        </w:rPr>
        <w:t>8.4若招标答疑会会议纪要与招标文件有矛盾，以答疑会议纪要最后发出的书面形式的文件为准。</w:t>
      </w:r>
    </w:p>
    <w:p w14:paraId="639F65DD">
      <w:pPr>
        <w:pStyle w:val="31"/>
        <w:pBdr>
          <w:bottom w:val="single" w:color="auto" w:sz="4" w:space="1"/>
        </w:pBdr>
        <w:adjustRightInd w:val="0"/>
        <w:snapToGrid w:val="0"/>
        <w:spacing w:after="0" w:line="360" w:lineRule="auto"/>
        <w:ind w:firstLine="422" w:firstLineChars="200"/>
        <w:rPr>
          <w:rFonts w:ascii="宋体" w:hAnsi="宋体" w:cs="宋体"/>
          <w:color w:val="auto"/>
          <w:sz w:val="21"/>
          <w:szCs w:val="21"/>
          <w:highlight w:val="none"/>
        </w:rPr>
      </w:pPr>
      <w:r>
        <w:rPr>
          <w:rFonts w:hint="eastAsia" w:ascii="宋体" w:hAnsi="宋体" w:cs="宋体"/>
          <w:b/>
          <w:color w:val="auto"/>
          <w:sz w:val="21"/>
          <w:szCs w:val="21"/>
          <w:highlight w:val="none"/>
        </w:rPr>
        <w:t>现文：</w:t>
      </w:r>
      <w:r>
        <w:rPr>
          <w:rFonts w:hint="eastAsia" w:ascii="宋体" w:hAnsi="宋体" w:cs="宋体"/>
          <w:color w:val="auto"/>
          <w:sz w:val="21"/>
          <w:szCs w:val="21"/>
          <w:highlight w:val="none"/>
        </w:rPr>
        <w:t>8.4</w:t>
      </w:r>
      <w:r>
        <w:rPr>
          <w:rFonts w:hint="eastAsia" w:ascii="宋体" w:hAnsi="宋体" w:eastAsia="宋体" w:cs="宋体"/>
          <w:color w:val="auto"/>
          <w:szCs w:val="21"/>
          <w:highlight w:val="none"/>
        </w:rPr>
        <w:t>8.4若</w:t>
      </w:r>
      <w:r>
        <w:rPr>
          <w:rFonts w:hint="eastAsia" w:ascii="宋体" w:hAnsi="宋体" w:eastAsia="宋体" w:cs="宋体"/>
          <w:b/>
          <w:bCs/>
          <w:color w:val="auto"/>
          <w:szCs w:val="21"/>
          <w:highlight w:val="none"/>
          <w:u w:val="single"/>
        </w:rPr>
        <w:t>招标答疑纪要</w:t>
      </w:r>
      <w:r>
        <w:rPr>
          <w:rFonts w:hint="eastAsia" w:ascii="宋体" w:hAnsi="宋体" w:eastAsia="宋体" w:cs="宋体"/>
          <w:color w:val="auto"/>
          <w:szCs w:val="21"/>
          <w:highlight w:val="none"/>
        </w:rPr>
        <w:t>与招标文件有矛盾时，以</w:t>
      </w:r>
      <w:r>
        <w:rPr>
          <w:rFonts w:hint="eastAsia" w:ascii="宋体" w:hAnsi="宋体" w:eastAsia="宋体" w:cs="宋体"/>
          <w:b/>
          <w:bCs/>
          <w:color w:val="auto"/>
          <w:szCs w:val="21"/>
          <w:highlight w:val="none"/>
          <w:u w:val="single"/>
        </w:rPr>
        <w:t>广州交易集团有限公司（广州公共资源交易中心）</w:t>
      </w:r>
      <w:r>
        <w:rPr>
          <w:rFonts w:hint="eastAsia" w:ascii="宋体" w:hAnsi="宋体" w:eastAsia="宋体" w:cs="宋体"/>
          <w:color w:val="auto"/>
          <w:szCs w:val="21"/>
          <w:highlight w:val="none"/>
        </w:rPr>
        <w:t>网站最后发布的</w:t>
      </w:r>
      <w:r>
        <w:rPr>
          <w:rFonts w:hint="eastAsia" w:ascii="宋体" w:hAnsi="宋体" w:eastAsia="宋体" w:cs="宋体"/>
          <w:b/>
          <w:bCs/>
          <w:color w:val="auto"/>
          <w:szCs w:val="21"/>
          <w:highlight w:val="none"/>
          <w:u w:val="single"/>
        </w:rPr>
        <w:t>招标答疑纪要</w:t>
      </w:r>
      <w:r>
        <w:rPr>
          <w:rFonts w:hint="eastAsia" w:ascii="宋体" w:hAnsi="宋体" w:eastAsia="宋体" w:cs="宋体"/>
          <w:color w:val="auto"/>
          <w:szCs w:val="21"/>
          <w:highlight w:val="none"/>
        </w:rPr>
        <w:t>为准。</w:t>
      </w:r>
    </w:p>
    <w:p w14:paraId="2A666B1A">
      <w:pPr>
        <w:adjustRightInd w:val="0"/>
        <w:snapToGrid w:val="0"/>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条款号：9.2                          修改类型：修改</w:t>
      </w:r>
    </w:p>
    <w:p w14:paraId="27E7D03F">
      <w:pPr>
        <w:pBdr>
          <w:bottom w:val="single" w:color="auto" w:sz="6" w:space="1"/>
        </w:pBdr>
        <w:adjustRightInd w:val="0"/>
        <w:snapToGrid w:val="0"/>
        <w:spacing w:line="360" w:lineRule="auto"/>
        <w:ind w:firstLine="472" w:firstLineChars="224"/>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9.2招标文件的澄清或修改将在</w:t>
      </w:r>
      <w:r>
        <w:rPr>
          <w:color w:val="auto"/>
          <w:szCs w:val="21"/>
          <w:highlight w:val="none"/>
          <w:u w:val="single"/>
        </w:rPr>
        <w:t xml:space="preserve">        </w:t>
      </w:r>
      <w:r>
        <w:rPr>
          <w:rFonts w:hint="eastAsia" w:ascii="宋体" w:hAnsi="宋体" w:cs="宋体"/>
          <w:color w:val="auto"/>
          <w:szCs w:val="21"/>
          <w:highlight w:val="none"/>
        </w:rPr>
        <w:t>交易平台“项目答疑纪要”专区公开发布。答疑纪要一经在</w:t>
      </w:r>
      <w:r>
        <w:rPr>
          <w:color w:val="auto"/>
          <w:szCs w:val="21"/>
          <w:highlight w:val="none"/>
          <w:u w:val="single"/>
        </w:rPr>
        <w:t xml:space="preserve">        </w:t>
      </w:r>
      <w:r>
        <w:rPr>
          <w:rFonts w:hint="eastAsia" w:ascii="宋体" w:hAnsi="宋体" w:cs="宋体"/>
          <w:color w:val="auto"/>
          <w:szCs w:val="21"/>
          <w:highlight w:val="none"/>
        </w:rPr>
        <w:t>交易平台发布，视作已发放给所有投标人，以</w:t>
      </w:r>
      <w:r>
        <w:rPr>
          <w:color w:val="auto"/>
          <w:szCs w:val="21"/>
          <w:highlight w:val="none"/>
          <w:u w:val="single"/>
        </w:rPr>
        <w:t xml:space="preserve">        </w:t>
      </w:r>
      <w:r>
        <w:rPr>
          <w:rFonts w:hint="eastAsia" w:ascii="宋体" w:hAnsi="宋体" w:cs="宋体"/>
          <w:color w:val="auto"/>
          <w:szCs w:val="21"/>
          <w:highlight w:val="none"/>
        </w:rPr>
        <w:t>交易平台上网发布时间作为送达时间。</w:t>
      </w:r>
    </w:p>
    <w:p w14:paraId="6CA484E1">
      <w:pPr>
        <w:pBdr>
          <w:bottom w:val="single" w:color="auto" w:sz="6" w:space="1"/>
        </w:pBdr>
        <w:adjustRightInd w:val="0"/>
        <w:snapToGrid w:val="0"/>
        <w:spacing w:line="360" w:lineRule="auto"/>
        <w:ind w:firstLine="472" w:firstLineChars="224"/>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9.2</w:t>
      </w:r>
      <w:r>
        <w:rPr>
          <w:rFonts w:hint="eastAsia" w:ascii="宋体" w:hAnsi="宋体" w:eastAsia="宋体" w:cs="宋体"/>
          <w:color w:val="auto"/>
          <w:szCs w:val="21"/>
          <w:highlight w:val="none"/>
        </w:rPr>
        <w:t>招标文件的澄清或修改</w:t>
      </w:r>
      <w:r>
        <w:rPr>
          <w:rFonts w:hint="eastAsia" w:ascii="宋体" w:hAnsi="宋体" w:eastAsia="宋体" w:cs="宋体"/>
          <w:color w:val="auto"/>
          <w:szCs w:val="21"/>
          <w:highlight w:val="none"/>
          <w:u w:val="none"/>
        </w:rPr>
        <w:t>将在</w:t>
      </w:r>
      <w:r>
        <w:rPr>
          <w:rFonts w:hint="eastAsia" w:ascii="宋体" w:hAnsi="宋体" w:eastAsia="宋体" w:cs="宋体"/>
          <w:b/>
          <w:bCs/>
          <w:color w:val="auto"/>
          <w:szCs w:val="21"/>
          <w:highlight w:val="none"/>
          <w:u w:val="single"/>
        </w:rPr>
        <w:t>广州交易集团有限公司（广州公共资源交易中心）</w:t>
      </w:r>
      <w:r>
        <w:rPr>
          <w:rFonts w:hint="eastAsia" w:ascii="宋体" w:hAnsi="宋体" w:eastAsia="宋体" w:cs="宋体"/>
          <w:color w:val="auto"/>
          <w:szCs w:val="21"/>
          <w:highlight w:val="none"/>
        </w:rPr>
        <w:t>交易平台</w:t>
      </w:r>
      <w:r>
        <w:rPr>
          <w:rFonts w:hint="eastAsia" w:ascii="宋体" w:hAnsi="宋体" w:eastAsia="宋体" w:cs="宋体"/>
          <w:color w:val="auto"/>
          <w:szCs w:val="21"/>
          <w:highlight w:val="none"/>
          <w:u w:val="single"/>
        </w:rPr>
        <w:t>“</w:t>
      </w:r>
      <w:r>
        <w:rPr>
          <w:rFonts w:hint="eastAsia" w:ascii="宋体" w:hAnsi="宋体" w:eastAsia="宋体" w:cs="宋体"/>
          <w:b/>
          <w:bCs/>
          <w:color w:val="auto"/>
          <w:szCs w:val="21"/>
          <w:highlight w:val="none"/>
          <w:u w:val="single"/>
        </w:rPr>
        <w:t>项目查询(日程安排、答疑纪要)</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rPr>
        <w:t>专区公开发布。答疑纪要一经在</w:t>
      </w:r>
      <w:r>
        <w:rPr>
          <w:rFonts w:hint="eastAsia" w:ascii="宋体" w:hAnsi="宋体" w:eastAsia="宋体" w:cs="宋体"/>
          <w:b/>
          <w:bCs/>
          <w:color w:val="auto"/>
          <w:szCs w:val="21"/>
          <w:highlight w:val="none"/>
          <w:u w:val="single"/>
        </w:rPr>
        <w:t>广州交易集团有限公司（广州公共资源交易中心）</w:t>
      </w:r>
      <w:r>
        <w:rPr>
          <w:rFonts w:hint="eastAsia" w:ascii="宋体" w:hAnsi="宋体" w:eastAsia="宋体" w:cs="宋体"/>
          <w:color w:val="auto"/>
          <w:szCs w:val="21"/>
          <w:highlight w:val="none"/>
        </w:rPr>
        <w:t>交易平台发布，视作已发放给所有投标人，以</w:t>
      </w:r>
      <w:r>
        <w:rPr>
          <w:rFonts w:hint="eastAsia" w:ascii="宋体" w:hAnsi="宋体" w:eastAsia="宋体" w:cs="宋体"/>
          <w:b/>
          <w:bCs/>
          <w:color w:val="auto"/>
          <w:szCs w:val="21"/>
          <w:highlight w:val="none"/>
          <w:u w:val="single"/>
        </w:rPr>
        <w:t>广州交易集团有限公司（广州公共资源交易中心）</w:t>
      </w:r>
      <w:r>
        <w:rPr>
          <w:rFonts w:hint="eastAsia" w:ascii="宋体" w:hAnsi="宋体" w:eastAsia="宋体" w:cs="宋体"/>
          <w:color w:val="auto"/>
          <w:szCs w:val="21"/>
          <w:highlight w:val="none"/>
        </w:rPr>
        <w:t>交易平台上网发布时间作为送达时间。</w:t>
      </w:r>
    </w:p>
    <w:p w14:paraId="6A68D75E">
      <w:pPr>
        <w:adjustRightInd w:val="0"/>
        <w:snapToGrid w:val="0"/>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条款号：9.4             修改类型：修改</w:t>
      </w:r>
    </w:p>
    <w:p w14:paraId="1CC69F6E">
      <w:pPr>
        <w:pStyle w:val="31"/>
        <w:adjustRightInd w:val="0"/>
        <w:snapToGrid w:val="0"/>
        <w:spacing w:after="0" w:line="360" w:lineRule="auto"/>
        <w:ind w:firstLine="422" w:firstLineChars="200"/>
        <w:rPr>
          <w:rFonts w:ascii="宋体" w:hAnsi="宋体" w:cs="宋体"/>
          <w:color w:val="auto"/>
          <w:sz w:val="21"/>
          <w:szCs w:val="21"/>
          <w:highlight w:val="none"/>
        </w:rPr>
      </w:pPr>
      <w:r>
        <w:rPr>
          <w:rFonts w:hint="eastAsia" w:ascii="宋体" w:hAnsi="宋体" w:cs="宋体"/>
          <w:b/>
          <w:color w:val="auto"/>
          <w:sz w:val="21"/>
          <w:szCs w:val="21"/>
          <w:highlight w:val="none"/>
        </w:rPr>
        <w:t>原文：</w:t>
      </w:r>
      <w:r>
        <w:rPr>
          <w:rFonts w:hint="eastAsia" w:ascii="宋体" w:hAnsi="宋体" w:cs="宋体"/>
          <w:color w:val="auto"/>
          <w:sz w:val="21"/>
          <w:szCs w:val="21"/>
          <w:highlight w:val="none"/>
        </w:rPr>
        <w:t>9.4招标文件的澄清或修改均以书面形式明确的内容为准。当招标文件的澄清、修改、补充等在同一内容的表述不一致时，以最后发出的书面形式的文件为准。</w:t>
      </w:r>
    </w:p>
    <w:p w14:paraId="449AEDBD">
      <w:pPr>
        <w:keepNext w:val="0"/>
        <w:keepLines w:val="0"/>
        <w:pageBreakBefore w:val="0"/>
        <w:widowControl w:val="0"/>
        <w:pBdr>
          <w:bottom w:val="single" w:color="auto" w:sz="6" w:space="1"/>
        </w:pBdr>
        <w:shd w:val="clear" w:color="auto" w:fill="auto"/>
        <w:wordWrap/>
        <w:topLinePunct w:val="0"/>
        <w:autoSpaceDE/>
        <w:autoSpaceDN/>
        <w:bidi w:val="0"/>
        <w:spacing w:line="360" w:lineRule="auto"/>
        <w:ind w:right="0" w:firstLine="422" w:firstLineChars="200"/>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9.4</w:t>
      </w:r>
      <w:r>
        <w:rPr>
          <w:rFonts w:hint="eastAsia" w:ascii="宋体" w:hAnsi="宋体" w:eastAsia="宋体" w:cs="宋体"/>
          <w:color w:val="auto"/>
          <w:szCs w:val="21"/>
          <w:highlight w:val="none"/>
        </w:rPr>
        <w:t>招标文件的澄清或修改均</w:t>
      </w:r>
      <w:r>
        <w:rPr>
          <w:rFonts w:hint="eastAsia" w:ascii="宋体" w:hAnsi="宋体" w:eastAsia="宋体" w:cs="宋体"/>
          <w:color w:val="auto"/>
          <w:sz w:val="21"/>
          <w:szCs w:val="21"/>
          <w:highlight w:val="none"/>
        </w:rPr>
        <w:t>以</w:t>
      </w:r>
      <w:r>
        <w:rPr>
          <w:rFonts w:hint="eastAsia" w:ascii="宋体" w:hAnsi="宋体" w:eastAsia="宋体" w:cs="宋体"/>
          <w:b/>
          <w:bCs w:val="0"/>
          <w:color w:val="auto"/>
          <w:szCs w:val="21"/>
          <w:highlight w:val="none"/>
          <w:u w:val="single"/>
        </w:rPr>
        <w:t>广州交易集团有限公司（广州公共资源交易中心）网站“网上答疑”专区公开发布</w:t>
      </w:r>
      <w:r>
        <w:rPr>
          <w:rFonts w:hint="eastAsia" w:ascii="宋体" w:hAnsi="宋体" w:eastAsia="宋体" w:cs="宋体"/>
          <w:b/>
          <w:color w:val="auto"/>
          <w:szCs w:val="21"/>
          <w:highlight w:val="none"/>
          <w:u w:val="single"/>
        </w:rPr>
        <w:t>答疑内容为准</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rPr>
        <w:t>当招标文件的澄清、修改、补充等在同一内容的表述不一致时，以</w:t>
      </w:r>
      <w:r>
        <w:rPr>
          <w:rFonts w:hint="eastAsia" w:ascii="宋体" w:hAnsi="宋体" w:eastAsia="宋体" w:cs="宋体"/>
          <w:b/>
          <w:bCs/>
          <w:color w:val="auto"/>
          <w:szCs w:val="21"/>
          <w:highlight w:val="none"/>
          <w:u w:val="single"/>
        </w:rPr>
        <w:t>广州交易集团有限公司（广州公共资源交易中心）网站</w:t>
      </w:r>
      <w:r>
        <w:rPr>
          <w:rFonts w:hint="eastAsia" w:ascii="宋体" w:hAnsi="宋体" w:eastAsia="宋体" w:cs="宋体"/>
          <w:color w:val="auto"/>
          <w:szCs w:val="21"/>
          <w:highlight w:val="none"/>
        </w:rPr>
        <w:t>最后发出的文件为准。</w:t>
      </w:r>
    </w:p>
    <w:p w14:paraId="31AB1E2F">
      <w:pPr>
        <w:adjustRightInd w:val="0"/>
        <w:snapToGrid w:val="0"/>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w:t>
      </w:r>
      <w:r>
        <w:rPr>
          <w:rFonts w:ascii="宋体" w:hAnsi="宋体" w:cs="宋体"/>
          <w:b/>
          <w:color w:val="auto"/>
          <w:szCs w:val="21"/>
          <w:highlight w:val="none"/>
        </w:rPr>
        <w:t>11.1</w:t>
      </w:r>
      <w:r>
        <w:rPr>
          <w:rFonts w:hint="eastAsia" w:ascii="宋体" w:hAnsi="宋体" w:cs="宋体"/>
          <w:b/>
          <w:color w:val="auto"/>
          <w:szCs w:val="21"/>
          <w:highlight w:val="none"/>
        </w:rPr>
        <w:t xml:space="preserve">             修改类型：修改</w:t>
      </w:r>
    </w:p>
    <w:p w14:paraId="6A9CAD52">
      <w:pPr>
        <w:pStyle w:val="31"/>
        <w:adjustRightInd w:val="0"/>
        <w:snapToGrid w:val="0"/>
        <w:spacing w:after="0" w:line="360" w:lineRule="auto"/>
        <w:ind w:firstLine="422" w:firstLineChars="200"/>
        <w:rPr>
          <w:rFonts w:ascii="宋体" w:hAnsi="宋体" w:cs="宋体"/>
          <w:color w:val="auto"/>
          <w:sz w:val="21"/>
          <w:szCs w:val="21"/>
          <w:highlight w:val="none"/>
        </w:rPr>
      </w:pPr>
      <w:r>
        <w:rPr>
          <w:rFonts w:hint="eastAsia" w:ascii="宋体" w:hAnsi="宋体" w:cs="宋体"/>
          <w:b/>
          <w:color w:val="auto"/>
          <w:sz w:val="21"/>
          <w:szCs w:val="21"/>
          <w:highlight w:val="none"/>
        </w:rPr>
        <w:t>原文：</w:t>
      </w:r>
      <w:r>
        <w:rPr>
          <w:rFonts w:hint="eastAsia" w:ascii="宋体" w:hAnsi="宋体" w:cs="宋体"/>
          <w:color w:val="auto"/>
          <w:sz w:val="21"/>
          <w:szCs w:val="21"/>
          <w:highlight w:val="none"/>
        </w:rPr>
        <w:t xml:space="preserve"> 11.1 投标文件由技术部分（含资格审查文件）和经济部分二部分投标文件组成。</w:t>
      </w:r>
    </w:p>
    <w:p w14:paraId="3BE9C7EA">
      <w:pPr>
        <w:pBdr>
          <w:bottom w:val="single" w:color="auto" w:sz="6" w:space="1"/>
        </w:pBdr>
        <w:adjustRightInd w:val="0"/>
        <w:snapToGrid w:val="0"/>
        <w:spacing w:line="360" w:lineRule="auto"/>
        <w:ind w:firstLine="472" w:firstLineChars="224"/>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11.1 投标文件由技术部分（含资格审查文件）</w:t>
      </w:r>
      <w:r>
        <w:rPr>
          <w:rFonts w:hint="eastAsia" w:ascii="宋体" w:hAnsi="宋体" w:cs="宋体"/>
          <w:b/>
          <w:bCs/>
          <w:color w:val="auto"/>
          <w:szCs w:val="21"/>
          <w:highlight w:val="none"/>
          <w:u w:val="single"/>
        </w:rPr>
        <w:t>、经济部分和定标文件三部分</w:t>
      </w:r>
      <w:r>
        <w:rPr>
          <w:rFonts w:hint="eastAsia" w:ascii="宋体" w:hAnsi="宋体" w:cs="宋体"/>
          <w:color w:val="auto"/>
          <w:szCs w:val="21"/>
          <w:highlight w:val="none"/>
        </w:rPr>
        <w:t>投标文件组成。</w:t>
      </w:r>
    </w:p>
    <w:p w14:paraId="3D6F7B59">
      <w:pPr>
        <w:adjustRightInd w:val="0"/>
        <w:snapToGrid w:val="0"/>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条款号：11.2                        修改类型：修改</w:t>
      </w:r>
    </w:p>
    <w:p w14:paraId="6E9FDF4D">
      <w:pPr>
        <w:adjustRightInd w:val="0"/>
        <w:snapToGrid w:val="0"/>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原文：</w:t>
      </w:r>
    </w:p>
    <w:p w14:paraId="5667B16E">
      <w:pPr>
        <w:adjustRightInd w:val="0"/>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11.2投标文件技术标部分主要包括下列内容：</w:t>
      </w:r>
    </w:p>
    <w:p w14:paraId="76B08532">
      <w:pPr>
        <w:adjustRightInd w:val="0"/>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11.2.1 技术投标文件</w:t>
      </w:r>
      <w:r>
        <w:rPr>
          <w:rFonts w:hint="eastAsia" w:ascii="宋体" w:hAnsi="宋体" w:cs="宋体"/>
          <w:color w:val="auto"/>
          <w:szCs w:val="21"/>
          <w:highlight w:val="none"/>
        </w:rPr>
        <w:t>(按招标文件的要求填写)</w:t>
      </w:r>
      <w:r>
        <w:rPr>
          <w:rFonts w:hint="eastAsia" w:ascii="宋体" w:hAnsi="宋体" w:cs="宋体"/>
          <w:bCs/>
          <w:color w:val="auto"/>
          <w:szCs w:val="21"/>
          <w:highlight w:val="none"/>
        </w:rPr>
        <w:t>；</w:t>
      </w:r>
    </w:p>
    <w:p w14:paraId="5C7E66C4">
      <w:pPr>
        <w:adjustRightInd w:val="0"/>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11.2.2 资格审查文件：</w:t>
      </w:r>
    </w:p>
    <w:p w14:paraId="5C7D5CC2">
      <w:pPr>
        <w:adjustRightInd w:val="0"/>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（1）投标人声明；</w:t>
      </w:r>
    </w:p>
    <w:p w14:paraId="1317F084">
      <w:pPr>
        <w:adjustRightInd w:val="0"/>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（2）法定代表人证明书、法定代表人签字或盖章的本投标文件授权委托证明书；</w:t>
      </w:r>
    </w:p>
    <w:p w14:paraId="5DB9DE6C">
      <w:pPr>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（3）企业营业执照扫描件或电子证照；</w:t>
      </w:r>
    </w:p>
    <w:p w14:paraId="194B0A02">
      <w:pPr>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（4）企业资质证书扫描件或电子证照；</w:t>
      </w:r>
    </w:p>
    <w:p w14:paraId="47B5EFFF">
      <w:pPr>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（5）建筑施工企业安全生产许可证扫描件或电子证照；</w:t>
      </w:r>
    </w:p>
    <w:p w14:paraId="18CA6149">
      <w:pPr>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（6）项目负责人（按网上投标登记时选择拟投标的项目负责人）；</w:t>
      </w:r>
    </w:p>
    <w:p w14:paraId="19601A08">
      <w:pPr>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（7）专职安全员（按网上投标登记时选择拟投标的专职安全员）；</w:t>
      </w:r>
    </w:p>
    <w:p w14:paraId="7AB36260">
      <w:pPr>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（8）拟委派技术负责人的相关证书、资料（具体要求由招标人明确）；</w:t>
      </w:r>
    </w:p>
    <w:p w14:paraId="2222306C">
      <w:pPr>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（9）拟委派项目负责人的有效期内的建造师注册证书扫描件或电子证书；</w:t>
      </w:r>
    </w:p>
    <w:p w14:paraId="3FF2E223">
      <w:pPr>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（10）项目负责人在有效期内的安全生产考核合格证书（B类）或建筑施工企业项目负责人安全生产考核合格证书扫描件或电子证书；</w:t>
      </w:r>
    </w:p>
    <w:p w14:paraId="0973FA3D">
      <w:pPr>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（11）专职安全员须具有在有效期内的安全生产考核合格证书（C类）或建筑施工企业专职安全生产管理人员安全生产考核合格证书扫描件或电子证书；</w:t>
      </w:r>
    </w:p>
    <w:p w14:paraId="65164375">
      <w:pPr>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（12）用于资格审查的业绩（设置业绩要求时选择此项，投标人须提供类似工程业绩的项目名称及项目编号，具体格式由招标人自定）；</w:t>
      </w:r>
    </w:p>
    <w:p w14:paraId="6DE2EF96">
      <w:pPr>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（13）资格审查前，投标人须在广州市住房和城乡建设局建立企业信用档案，拟担任本工程项目负责人、专职安全员须是本企业信用档案中的在册人员；</w:t>
      </w:r>
    </w:p>
    <w:p w14:paraId="075335EF">
      <w:pPr>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（14）列明主办单位的联合体工作协议（采用联合体投标时需递交，投标人拟任本工程项目负责人应为联合体主办方信用档案中的在册人员，联合体工作协议应明确约定各方拟承担的工作和责任）。</w:t>
      </w:r>
    </w:p>
    <w:p w14:paraId="67F998B5">
      <w:pPr>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注：1.相关电子证书按规定需打印后手写本人签名的，应按照规定手写本人签名后再扫描提交。</w:t>
      </w:r>
    </w:p>
    <w:p w14:paraId="2582C56D">
      <w:pPr>
        <w:adjustRightInd w:val="0"/>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投标人在投标登记时选择了拟投入本项目的项目负责人、专职安全员，即已满足“资格审查前，投标人须在广州市住房和城乡建设局建立企业信用档案，拟担任本工程项目负责人、专职安全员须是本企业信用档案中的在册人员”的要求，投标人无需提供证明材料。</w:t>
      </w:r>
    </w:p>
    <w:p w14:paraId="1D2D823D">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11.2.3项目管理机构配备。</w:t>
      </w:r>
    </w:p>
    <w:p w14:paraId="28DCAF08">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（1）投标人应列出该项目工程的施工组织机构构成和画出机构框架图及其负责人；</w:t>
      </w:r>
    </w:p>
    <w:p w14:paraId="7466F0DA">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（2）投标人应详细列出该施工组织机构中主要成员的名单、简历资料、职务职称和在本项目中拟担任的职务等资料，并附上有关证明材料扫描件；</w:t>
      </w:r>
    </w:p>
    <w:p w14:paraId="49D1E4F1">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（3）其他辅助说明资料。</w:t>
      </w:r>
    </w:p>
    <w:p w14:paraId="3478557D">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11.2.4投标人在广州市可使用适合本工程的机械设备（附：机械设备为自有或租赁的说明；及承诺机械设备如属于租赁的，其租赁是不属于重复租赁）。</w:t>
      </w:r>
    </w:p>
    <w:p w14:paraId="32B47A28">
      <w:pPr>
        <w:tabs>
          <w:tab w:val="left" w:pos="1125"/>
        </w:tabs>
        <w:adjustRightInd w:val="0"/>
        <w:snapToGrid w:val="0"/>
        <w:spacing w:line="360" w:lineRule="auto"/>
        <w:ind w:firstLine="420" w:firstLineChars="200"/>
        <w:rPr>
          <w:rFonts w:ascii="宋体" w:hAnsi="宋体" w:cs="宋体"/>
          <w:bCs/>
          <w:color w:val="auto"/>
          <w:kern w:val="0"/>
          <w:szCs w:val="21"/>
          <w:highlight w:val="none"/>
        </w:rPr>
      </w:pPr>
      <w:r>
        <w:rPr>
          <w:rFonts w:hint="eastAsia" w:ascii="宋体" w:hAnsi="宋体" w:cs="宋体"/>
          <w:bCs/>
          <w:color w:val="auto"/>
          <w:kern w:val="0"/>
          <w:szCs w:val="21"/>
          <w:highlight w:val="none"/>
        </w:rPr>
        <w:t>11.2.5施工组织设计或施工方案。</w:t>
      </w:r>
    </w:p>
    <w:p w14:paraId="697B1EFD">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（1）投标人在编制施工组织设计或施工方案时应按照招标人提出的施工现场建筑垃圾源头减量的具体要求以及建筑垃圾综合利用产品的使用要求提供相应措施。</w:t>
      </w:r>
    </w:p>
    <w:p w14:paraId="3A17373F">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投标人在编制施工组织设计或施工方案时应按照招标文件要求，并针对本项目的关键技术、工艺、重点、难点以及拟在本项目采用的新工艺、新技术、新材料编制，应突出重点，标准、规范中已有的内容无需赘述，一般篇幅不宜超过150页；对于技术特别复杂，施工工艺超出国家标准的项目，施工组织设计的篇幅要求可适当放宽，但不宜超过200页。超过部分不予评审。</w:t>
      </w:r>
    </w:p>
    <w:p w14:paraId="2BEDDDB8">
      <w:pPr>
        <w:tabs>
          <w:tab w:val="left" w:pos="1125"/>
        </w:tabs>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11.2.6按照</w:t>
      </w:r>
      <w:r>
        <w:rPr>
          <w:rFonts w:hint="eastAsia" w:ascii="宋体" w:hAnsi="宋体" w:cs="宋体"/>
          <w:bCs/>
          <w:color w:val="auto"/>
          <w:szCs w:val="21"/>
          <w:highlight w:val="none"/>
        </w:rPr>
        <w:t>招标文件要求</w:t>
      </w:r>
      <w:r>
        <w:rPr>
          <w:rFonts w:hint="eastAsia" w:ascii="宋体" w:hAnsi="宋体" w:cs="宋体"/>
          <w:color w:val="auto"/>
          <w:szCs w:val="21"/>
          <w:highlight w:val="none"/>
        </w:rPr>
        <w:t>填写的《参与编制技术标投标文件人员名单》。</w:t>
      </w:r>
    </w:p>
    <w:p w14:paraId="44776BBF">
      <w:pPr>
        <w:adjustRightInd w:val="0"/>
        <w:snapToGrid w:val="0"/>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现文：</w:t>
      </w:r>
    </w:p>
    <w:p w14:paraId="414287EC">
      <w:pPr>
        <w:adjustRightInd w:val="0"/>
        <w:snapToGrid w:val="0"/>
        <w:spacing w:line="360" w:lineRule="auto"/>
        <w:ind w:firstLine="420" w:firstLineChars="200"/>
        <w:rPr>
          <w:rFonts w:ascii="宋体" w:hAnsi="宋体" w:cs="宋体"/>
          <w:b/>
          <w:color w:val="auto"/>
          <w:szCs w:val="21"/>
          <w:highlight w:val="none"/>
          <w:u w:val="single"/>
        </w:rPr>
      </w:pPr>
      <w:r>
        <w:rPr>
          <w:rFonts w:hint="eastAsia" w:ascii="宋体" w:hAnsi="宋体" w:cs="宋体"/>
          <w:color w:val="auto"/>
          <w:szCs w:val="21"/>
          <w:highlight w:val="none"/>
        </w:rPr>
        <w:t>11.2</w:t>
      </w:r>
      <w:r>
        <w:rPr>
          <w:rFonts w:hint="eastAsia" w:ascii="宋体" w:hAnsi="宋体" w:cs="宋体"/>
          <w:b/>
          <w:color w:val="auto"/>
          <w:szCs w:val="21"/>
          <w:highlight w:val="none"/>
        </w:rPr>
        <w:t>投标文件技术标部分</w:t>
      </w:r>
      <w:r>
        <w:rPr>
          <w:rFonts w:hint="eastAsia" w:ascii="宋体" w:hAnsi="宋体" w:cs="宋体"/>
          <w:b/>
          <w:color w:val="auto"/>
          <w:szCs w:val="21"/>
          <w:highlight w:val="none"/>
          <w:u w:val="single"/>
        </w:rPr>
        <w:t>（含资格审查文件）</w:t>
      </w:r>
      <w:r>
        <w:rPr>
          <w:rFonts w:hint="eastAsia" w:ascii="宋体" w:hAnsi="宋体" w:cs="宋体"/>
          <w:color w:val="auto"/>
          <w:szCs w:val="21"/>
          <w:highlight w:val="none"/>
        </w:rPr>
        <w:t>主要包括下列内容</w:t>
      </w:r>
      <w:r>
        <w:rPr>
          <w:rFonts w:hint="eastAsia" w:ascii="宋体" w:hAnsi="宋体" w:cs="宋体"/>
          <w:b/>
          <w:bCs/>
          <w:color w:val="auto"/>
          <w:szCs w:val="21"/>
          <w:highlight w:val="none"/>
          <w:u w:val="single"/>
        </w:rPr>
        <w:t>（除注明原件外，均为清晰扫描件（网页截图）即可）</w:t>
      </w:r>
      <w:r>
        <w:rPr>
          <w:rFonts w:hint="eastAsia" w:ascii="宋体" w:hAnsi="宋体" w:cs="宋体"/>
          <w:color w:val="auto"/>
          <w:szCs w:val="21"/>
          <w:highlight w:val="none"/>
        </w:rPr>
        <w:t>：</w:t>
      </w:r>
    </w:p>
    <w:p w14:paraId="2742AF8F">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11.2.1广州建设工程施工招标投标书（技术标）</w:t>
      </w:r>
      <w:r>
        <w:rPr>
          <w:rFonts w:hint="eastAsia" w:ascii="宋体" w:hAnsi="宋体" w:cs="宋体"/>
          <w:bCs/>
          <w:color w:val="auto"/>
          <w:szCs w:val="21"/>
          <w:highlight w:val="none"/>
          <w:u w:val="single"/>
        </w:rPr>
        <w:t>（格式见招标文件第四章，具体格式以《广州建设工程施工招标投标书（技术标）》为准；电子投标管理软件编制的“广州建设工程施工招标投标书”不作为否决投标的条件)</w:t>
      </w:r>
      <w:r>
        <w:rPr>
          <w:rFonts w:hint="eastAsia" w:ascii="宋体" w:hAnsi="宋体" w:cs="宋体"/>
          <w:color w:val="auto"/>
          <w:szCs w:val="21"/>
          <w:highlight w:val="none"/>
        </w:rPr>
        <w:t>。</w:t>
      </w:r>
    </w:p>
    <w:p w14:paraId="454ACC4E">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bCs/>
          <w:color w:val="auto"/>
          <w:szCs w:val="21"/>
          <w:highlight w:val="none"/>
        </w:rPr>
        <w:t>11.2.2 资格审查文件：</w:t>
      </w:r>
    </w:p>
    <w:p w14:paraId="397195F4">
      <w:pPr>
        <w:adjustRightInd w:val="0"/>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（1）投标人声明</w:t>
      </w:r>
      <w:r>
        <w:rPr>
          <w:rFonts w:hint="eastAsia" w:ascii="宋体" w:hAnsi="宋体" w:cs="宋体"/>
          <w:b/>
          <w:bCs w:val="0"/>
          <w:color w:val="auto"/>
          <w:szCs w:val="21"/>
          <w:highlight w:val="none"/>
          <w:u w:val="single"/>
        </w:rPr>
        <w:t>扫描件（须按招标公告附件内容及格式要求编制）；</w:t>
      </w:r>
    </w:p>
    <w:p w14:paraId="247FC52B">
      <w:pPr>
        <w:adjustRightInd w:val="0"/>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（2）法定代表人证明书、法定代表人签字或盖章的本投标文件授权委托证明书</w:t>
      </w:r>
      <w:r>
        <w:rPr>
          <w:rFonts w:hint="eastAsia" w:ascii="宋体" w:hAnsi="宋体" w:eastAsia="宋体" w:cs="宋体"/>
          <w:b w:val="0"/>
          <w:bCs/>
          <w:color w:val="auto"/>
          <w:sz w:val="21"/>
          <w:szCs w:val="21"/>
          <w:highlight w:val="none"/>
          <w:u w:val="single"/>
        </w:rPr>
        <w:t>（若为联合体投标，由联合体主办方提供）</w:t>
      </w:r>
      <w:r>
        <w:rPr>
          <w:rFonts w:hint="eastAsia" w:ascii="宋体" w:hAnsi="宋体" w:cs="宋体"/>
          <w:b/>
          <w:bCs w:val="0"/>
          <w:color w:val="auto"/>
          <w:szCs w:val="21"/>
          <w:highlight w:val="none"/>
          <w:u w:val="single"/>
        </w:rPr>
        <w:t>扫描件；委托投标的还应提供授权委托人2025年</w:t>
      </w:r>
      <w:r>
        <w:rPr>
          <w:rFonts w:hint="eastAsia" w:ascii="宋体" w:hAnsi="宋体" w:cs="宋体"/>
          <w:b/>
          <w:bCs w:val="0"/>
          <w:color w:val="auto"/>
          <w:szCs w:val="21"/>
          <w:highlight w:val="none"/>
          <w:u w:val="single"/>
          <w:lang w:val="en-US" w:eastAsia="zh-CN"/>
        </w:rPr>
        <w:t>10</w:t>
      </w:r>
      <w:r>
        <w:rPr>
          <w:rFonts w:hint="eastAsia" w:ascii="宋体" w:hAnsi="宋体" w:cs="宋体"/>
          <w:b/>
          <w:bCs w:val="0"/>
          <w:color w:val="auto"/>
          <w:szCs w:val="21"/>
          <w:highlight w:val="none"/>
          <w:u w:val="single"/>
          <w:lang w:eastAsia="zh-CN"/>
        </w:rPr>
        <w:t>月或</w:t>
      </w:r>
      <w:r>
        <w:rPr>
          <w:rFonts w:hint="eastAsia" w:ascii="宋体" w:hAnsi="宋体" w:cs="宋体"/>
          <w:b/>
          <w:bCs w:val="0"/>
          <w:color w:val="auto"/>
          <w:szCs w:val="21"/>
          <w:highlight w:val="none"/>
          <w:u w:val="single"/>
          <w:lang w:val="en-US" w:eastAsia="zh-CN"/>
        </w:rPr>
        <w:t>11</w:t>
      </w:r>
      <w:r>
        <w:rPr>
          <w:rFonts w:hint="eastAsia" w:ascii="宋体" w:hAnsi="宋体" w:cs="宋体"/>
          <w:b/>
          <w:bCs w:val="0"/>
          <w:color w:val="auto"/>
          <w:szCs w:val="21"/>
          <w:highlight w:val="none"/>
          <w:u w:val="single"/>
          <w:lang w:eastAsia="zh-CN"/>
        </w:rPr>
        <w:t>月</w:t>
      </w:r>
      <w:r>
        <w:rPr>
          <w:rFonts w:hint="eastAsia" w:ascii="宋体" w:hAnsi="宋体" w:cs="宋体"/>
          <w:b/>
          <w:bCs w:val="0"/>
          <w:color w:val="auto"/>
          <w:szCs w:val="21"/>
          <w:highlight w:val="none"/>
          <w:u w:val="single"/>
        </w:rPr>
        <w:t>在本公司缴纳社保的有效社保证明；</w:t>
      </w:r>
    </w:p>
    <w:p w14:paraId="0EF6CACC">
      <w:pPr>
        <w:adjustRightInd w:val="0"/>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（3）企业营业执照</w:t>
      </w:r>
      <w:r>
        <w:rPr>
          <w:rFonts w:hint="eastAsia" w:ascii="宋体" w:hAnsi="宋体" w:eastAsia="宋体" w:cs="宋体"/>
          <w:b w:val="0"/>
          <w:bCs/>
          <w:color w:val="auto"/>
          <w:sz w:val="21"/>
          <w:szCs w:val="21"/>
          <w:highlight w:val="none"/>
          <w:u w:val="single"/>
        </w:rPr>
        <w:t>（若为联合体投标，联合体各成员均需提供）</w:t>
      </w:r>
      <w:r>
        <w:rPr>
          <w:rFonts w:hint="eastAsia" w:ascii="宋体" w:hAnsi="宋体" w:cs="宋体"/>
          <w:bCs/>
          <w:color w:val="auto"/>
          <w:szCs w:val="21"/>
          <w:highlight w:val="none"/>
        </w:rPr>
        <w:t>扫描件或电子证照；</w:t>
      </w:r>
    </w:p>
    <w:p w14:paraId="3162D3F5">
      <w:pPr>
        <w:adjustRightInd w:val="0"/>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（4）企业资质证书</w:t>
      </w:r>
      <w:r>
        <w:rPr>
          <w:rFonts w:hint="eastAsia" w:ascii="宋体" w:hAnsi="宋体" w:eastAsia="宋体" w:cs="宋体"/>
          <w:b w:val="0"/>
          <w:bCs/>
          <w:color w:val="auto"/>
          <w:sz w:val="21"/>
          <w:szCs w:val="21"/>
          <w:highlight w:val="none"/>
          <w:u w:val="single"/>
        </w:rPr>
        <w:t>（若为联合体投标，联合体各成员均需提供）</w:t>
      </w:r>
      <w:r>
        <w:rPr>
          <w:rFonts w:hint="eastAsia" w:ascii="宋体" w:hAnsi="宋体" w:cs="宋体"/>
          <w:bCs/>
          <w:color w:val="auto"/>
          <w:szCs w:val="21"/>
          <w:highlight w:val="none"/>
        </w:rPr>
        <w:t>扫描件或电子证照，</w:t>
      </w:r>
      <w:r>
        <w:rPr>
          <w:rFonts w:hint="eastAsia" w:ascii="宋体" w:hAnsi="宋体" w:cs="宋体"/>
          <w:b/>
          <w:bCs w:val="0"/>
          <w:color w:val="auto"/>
          <w:szCs w:val="21"/>
          <w:highlight w:val="none"/>
          <w:u w:val="single"/>
        </w:rPr>
        <w:t>或符合招标公告规定的相关证明材料（如有）；</w:t>
      </w:r>
    </w:p>
    <w:p w14:paraId="4C9FE693">
      <w:pPr>
        <w:adjustRightInd w:val="0"/>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（5）建筑施工企业安全生产许可证</w:t>
      </w:r>
      <w:r>
        <w:rPr>
          <w:rFonts w:hint="eastAsia" w:ascii="宋体" w:hAnsi="宋体" w:eastAsia="宋体" w:cs="宋体"/>
          <w:b w:val="0"/>
          <w:bCs/>
          <w:color w:val="auto"/>
          <w:sz w:val="21"/>
          <w:szCs w:val="21"/>
          <w:highlight w:val="none"/>
          <w:u w:val="single"/>
        </w:rPr>
        <w:t>（若为联合体投标，联合体各成员均需提供）</w:t>
      </w:r>
      <w:r>
        <w:rPr>
          <w:rFonts w:hint="eastAsia" w:ascii="宋体" w:hAnsi="宋体" w:cs="宋体"/>
          <w:bCs/>
          <w:color w:val="auto"/>
          <w:szCs w:val="21"/>
          <w:highlight w:val="none"/>
        </w:rPr>
        <w:t>扫描件或电子证照；</w:t>
      </w:r>
    </w:p>
    <w:p w14:paraId="172A4BF2">
      <w:pPr>
        <w:adjustRightInd w:val="0"/>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（6）项目负责人（按网上投标登记时选择拟投标的项目负责人）；</w:t>
      </w:r>
    </w:p>
    <w:p w14:paraId="7A44FD9B">
      <w:pPr>
        <w:adjustRightInd w:val="0"/>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（7）专职安全员（按网上投标登记时选择拟投标的专职安全员）；</w:t>
      </w:r>
    </w:p>
    <w:p w14:paraId="701CE6EA">
      <w:pPr>
        <w:adjustRightInd w:val="0"/>
        <w:snapToGrid w:val="0"/>
        <w:spacing w:line="360" w:lineRule="auto"/>
        <w:ind w:firstLine="420" w:firstLineChars="200"/>
        <w:rPr>
          <w:rFonts w:ascii="宋体" w:hAnsi="宋体" w:cs="宋体"/>
          <w:bCs/>
          <w:color w:val="auto"/>
          <w:szCs w:val="21"/>
          <w:highlight w:val="none"/>
          <w:u w:val="single"/>
        </w:rPr>
      </w:pPr>
      <w:r>
        <w:rPr>
          <w:rFonts w:hint="eastAsia" w:ascii="宋体" w:hAnsi="宋体" w:cs="宋体"/>
          <w:bCs/>
          <w:color w:val="auto"/>
          <w:szCs w:val="21"/>
          <w:highlight w:val="none"/>
        </w:rPr>
        <w:t>（8）拟委派技术负责人的</w:t>
      </w:r>
      <w:r>
        <w:rPr>
          <w:rFonts w:hint="eastAsia" w:ascii="宋体" w:hAnsi="宋体" w:cs="宋体"/>
          <w:b/>
          <w:bCs w:val="0"/>
          <w:color w:val="auto"/>
          <w:szCs w:val="21"/>
          <w:highlight w:val="none"/>
          <w:u w:val="single"/>
        </w:rPr>
        <w:t>职称证书扫描件或电子证照；</w:t>
      </w:r>
    </w:p>
    <w:p w14:paraId="68033BFC">
      <w:pPr>
        <w:adjustRightInd w:val="0"/>
        <w:snapToGrid w:val="0"/>
        <w:spacing w:line="360" w:lineRule="auto"/>
        <w:ind w:firstLine="420" w:firstLineChars="200"/>
        <w:rPr>
          <w:rFonts w:ascii="宋体" w:hAnsi="宋体" w:cs="宋体"/>
          <w:bCs/>
          <w:color w:val="auto"/>
          <w:szCs w:val="21"/>
          <w:highlight w:val="none"/>
          <w:u w:val="single"/>
        </w:rPr>
      </w:pPr>
      <w:r>
        <w:rPr>
          <w:rFonts w:hint="eastAsia" w:ascii="宋体" w:hAnsi="宋体" w:cs="宋体"/>
          <w:bCs/>
          <w:color w:val="auto"/>
          <w:szCs w:val="21"/>
          <w:highlight w:val="none"/>
        </w:rPr>
        <w:t>（9）拟委派项目负责人的有效期内的建造师证书扫描件或电子证书；</w:t>
      </w:r>
    </w:p>
    <w:p w14:paraId="304E977C">
      <w:pPr>
        <w:adjustRightInd w:val="0"/>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（10）项目负责人在有效期内的安全生产考核合格证（B类）或建筑施工企业项目负责人安全生产考核合格证书扫描件或电子证书；</w:t>
      </w:r>
    </w:p>
    <w:p w14:paraId="2D5AFB9D">
      <w:pPr>
        <w:adjustRightInd w:val="0"/>
        <w:snapToGrid w:val="0"/>
        <w:spacing w:line="360" w:lineRule="auto"/>
        <w:ind w:firstLine="420" w:firstLineChars="200"/>
        <w:rPr>
          <w:rFonts w:ascii="宋体" w:hAnsi="宋体" w:cs="宋体"/>
          <w:bCs/>
          <w:color w:val="auto"/>
          <w:szCs w:val="21"/>
          <w:highlight w:val="none"/>
          <w:u w:val="single"/>
        </w:rPr>
      </w:pPr>
      <w:r>
        <w:rPr>
          <w:rFonts w:hint="eastAsia" w:ascii="宋体" w:hAnsi="宋体" w:cs="宋体"/>
          <w:bCs/>
          <w:color w:val="auto"/>
          <w:szCs w:val="21"/>
          <w:highlight w:val="none"/>
        </w:rPr>
        <w:t>（</w:t>
      </w:r>
      <w:r>
        <w:rPr>
          <w:rFonts w:ascii="宋体" w:hAnsi="宋体" w:cs="宋体"/>
          <w:bCs/>
          <w:color w:val="auto"/>
          <w:szCs w:val="21"/>
          <w:highlight w:val="none"/>
        </w:rPr>
        <w:t>11）</w:t>
      </w:r>
      <w:r>
        <w:rPr>
          <w:rFonts w:hint="eastAsia" w:ascii="宋体" w:hAnsi="宋体" w:cs="宋体"/>
          <w:bCs/>
          <w:color w:val="auto"/>
          <w:szCs w:val="21"/>
          <w:highlight w:val="none"/>
        </w:rPr>
        <w:t>专职安全员须具有在有效期内的安全考核合格证书（C类）或建筑施工企业专职安全生产管理人员安全生产考核合格证书</w:t>
      </w:r>
      <w:r>
        <w:rPr>
          <w:rFonts w:hint="eastAsia" w:ascii="宋体" w:hAnsi="宋体" w:cs="宋体"/>
          <w:b/>
          <w:bCs w:val="0"/>
          <w:color w:val="auto"/>
          <w:szCs w:val="21"/>
          <w:highlight w:val="none"/>
          <w:u w:val="single"/>
        </w:rPr>
        <w:t>（C3）</w:t>
      </w:r>
      <w:r>
        <w:rPr>
          <w:rFonts w:hint="eastAsia" w:ascii="宋体" w:hAnsi="宋体" w:cs="宋体"/>
          <w:bCs/>
          <w:color w:val="auto"/>
          <w:szCs w:val="21"/>
          <w:highlight w:val="none"/>
        </w:rPr>
        <w:t>扫描件或电子证书；</w:t>
      </w:r>
    </w:p>
    <w:p w14:paraId="6B5EEE56">
      <w:pPr>
        <w:wordWrap w:val="0"/>
        <w:adjustRightInd w:val="0"/>
        <w:snapToGrid w:val="0"/>
        <w:spacing w:line="360" w:lineRule="auto"/>
        <w:ind w:firstLine="422" w:firstLineChars="200"/>
        <w:rPr>
          <w:rFonts w:ascii="宋体" w:hAnsi="宋体" w:cs="宋体"/>
          <w:b/>
          <w:bCs w:val="0"/>
          <w:color w:val="auto"/>
          <w:szCs w:val="21"/>
          <w:highlight w:val="none"/>
        </w:rPr>
      </w:pPr>
      <w:r>
        <w:rPr>
          <w:rFonts w:hint="eastAsia" w:ascii="宋体" w:hAnsi="宋体" w:cs="宋体"/>
          <w:b/>
          <w:bCs w:val="0"/>
          <w:color w:val="auto"/>
          <w:szCs w:val="21"/>
          <w:highlight w:val="none"/>
          <w:u w:val="single"/>
        </w:rPr>
        <w:t>（12）资格审查前，</w:t>
      </w:r>
      <w:r>
        <w:rPr>
          <w:rFonts w:hint="eastAsia" w:ascii="宋体" w:hAnsi="宋体" w:eastAsia="宋体" w:cs="宋体"/>
          <w:b/>
          <w:bCs w:val="0"/>
          <w:color w:val="auto"/>
          <w:szCs w:val="21"/>
          <w:highlight w:val="none"/>
          <w:u w:val="single"/>
        </w:rPr>
        <w:t>投标人（若为联合体投标，联合体各成员）</w:t>
      </w:r>
      <w:r>
        <w:rPr>
          <w:rFonts w:hint="eastAsia" w:ascii="宋体" w:hAnsi="宋体" w:cs="宋体"/>
          <w:b/>
          <w:bCs w:val="0"/>
          <w:color w:val="auto"/>
          <w:szCs w:val="21"/>
          <w:highlight w:val="none"/>
          <w:u w:val="single"/>
        </w:rPr>
        <w:t>须在广州市住房和城乡建设局建立企业信用档案，拟担任本工程项目负责人、专职安全员须是</w:t>
      </w:r>
      <w:r>
        <w:rPr>
          <w:rFonts w:hint="eastAsia" w:ascii="宋体" w:hAnsi="宋体" w:cs="宋体"/>
          <w:b/>
          <w:bCs w:val="0"/>
          <w:color w:val="auto"/>
          <w:szCs w:val="21"/>
          <w:highlight w:val="none"/>
          <w:u w:val="single"/>
          <w:lang w:val="en-US" w:eastAsia="zh-CN"/>
        </w:rPr>
        <w:t>投标人</w:t>
      </w:r>
      <w:r>
        <w:rPr>
          <w:rFonts w:hint="eastAsia" w:ascii="宋体" w:hAnsi="宋体" w:cs="宋体"/>
          <w:b/>
          <w:bCs w:val="0"/>
          <w:color w:val="auto"/>
          <w:szCs w:val="21"/>
          <w:highlight w:val="none"/>
          <w:u w:val="single"/>
        </w:rPr>
        <w:t>企业信用档案中的在册人员。</w:t>
      </w:r>
    </w:p>
    <w:p w14:paraId="75C88931">
      <w:pPr>
        <w:adjustRightInd w:val="0"/>
        <w:snapToGrid w:val="0"/>
        <w:spacing w:line="360" w:lineRule="auto"/>
        <w:ind w:firstLine="422" w:firstLineChars="200"/>
        <w:rPr>
          <w:rFonts w:hint="eastAsia" w:ascii="宋体" w:hAnsi="宋体" w:eastAsia="宋体" w:cs="宋体"/>
          <w:b/>
          <w:bCs w:val="0"/>
          <w:color w:val="auto"/>
          <w:szCs w:val="21"/>
          <w:highlight w:val="none"/>
          <w:u w:val="single"/>
        </w:rPr>
      </w:pPr>
      <w:r>
        <w:rPr>
          <w:rFonts w:hint="eastAsia" w:ascii="宋体" w:hAnsi="宋体" w:eastAsia="宋体" w:cs="宋体"/>
          <w:b/>
          <w:bCs w:val="0"/>
          <w:color w:val="auto"/>
          <w:szCs w:val="21"/>
          <w:highlight w:val="none"/>
          <w:u w:val="single"/>
        </w:rPr>
        <w:t>（13）按招标公告附件二要求编制的联合体工作协议（联合体投标时须提供）。</w:t>
      </w:r>
    </w:p>
    <w:p w14:paraId="5EAEFC4F">
      <w:pPr>
        <w:adjustRightInd w:val="0"/>
        <w:snapToGrid w:val="0"/>
        <w:spacing w:line="360" w:lineRule="auto"/>
        <w:ind w:firstLine="422" w:firstLineChars="200"/>
        <w:rPr>
          <w:rFonts w:hint="eastAsia" w:ascii="宋体" w:hAnsi="宋体" w:eastAsia="宋体" w:cs="宋体"/>
          <w:b/>
          <w:bCs w:val="0"/>
          <w:color w:val="auto"/>
          <w:szCs w:val="21"/>
          <w:highlight w:val="none"/>
          <w:u w:val="single"/>
        </w:rPr>
      </w:pPr>
      <w:r>
        <w:rPr>
          <w:rFonts w:hint="eastAsia" w:ascii="宋体" w:hAnsi="宋体" w:eastAsia="宋体" w:cs="宋体"/>
          <w:b/>
          <w:bCs w:val="0"/>
          <w:color w:val="auto"/>
          <w:szCs w:val="21"/>
          <w:highlight w:val="none"/>
          <w:u w:val="single"/>
        </w:rPr>
        <w:t>（14）投标人（若为联合体投标，指联合体各方）未出现以下情形：与其他投标人的单位负责人为同一人或者存在控股、管理关系的</w:t>
      </w:r>
      <w:r>
        <w:rPr>
          <w:rFonts w:hint="eastAsia" w:ascii="宋体" w:hAnsi="宋体" w:eastAsia="宋体" w:cs="宋体"/>
          <w:b/>
          <w:bCs w:val="0"/>
          <w:color w:val="auto"/>
          <w:szCs w:val="21"/>
          <w:highlight w:val="none"/>
          <w:u w:val="single"/>
          <w:lang w:eastAsia="zh-CN"/>
        </w:rPr>
        <w:t>【</w:t>
      </w:r>
      <w:r>
        <w:rPr>
          <w:rFonts w:hint="eastAsia" w:ascii="宋体" w:hAnsi="宋体" w:eastAsia="宋体" w:cs="宋体"/>
          <w:b/>
          <w:bCs w:val="0"/>
          <w:color w:val="auto"/>
          <w:szCs w:val="21"/>
          <w:highlight w:val="none"/>
          <w:u w:val="single"/>
        </w:rPr>
        <w:t>《投标人声明（适用于独立投标或联合体主办方）》第八条内容和《投标人声明（适用于联合体成员方）》第七条内容（若为联合体投标，成员方需提供；若为独立投标人，无需提供）进行评审</w:t>
      </w:r>
      <w:r>
        <w:rPr>
          <w:rFonts w:hint="eastAsia" w:ascii="宋体" w:hAnsi="宋体" w:eastAsia="宋体" w:cs="宋体"/>
          <w:b/>
          <w:bCs w:val="0"/>
          <w:color w:val="auto"/>
          <w:szCs w:val="21"/>
          <w:highlight w:val="none"/>
          <w:u w:val="single"/>
          <w:lang w:eastAsia="zh-CN"/>
        </w:rPr>
        <w:t>】</w:t>
      </w:r>
      <w:r>
        <w:rPr>
          <w:rFonts w:hint="eastAsia" w:ascii="宋体" w:hAnsi="宋体" w:eastAsia="宋体" w:cs="宋体"/>
          <w:b/>
          <w:bCs w:val="0"/>
          <w:color w:val="auto"/>
          <w:szCs w:val="21"/>
          <w:highlight w:val="none"/>
          <w:u w:val="single"/>
        </w:rPr>
        <w:t>。如不同投标申请人出现单位负责人为同一人或者存在控股、管理关系的情形，则均按不符合投标人合格条件处理。</w:t>
      </w:r>
    </w:p>
    <w:p w14:paraId="3BEEC985">
      <w:pPr>
        <w:adjustRightInd w:val="0"/>
        <w:snapToGrid w:val="0"/>
        <w:spacing w:line="360" w:lineRule="auto"/>
        <w:ind w:firstLine="422" w:firstLineChars="200"/>
        <w:rPr>
          <w:rFonts w:hint="eastAsia" w:ascii="宋体" w:hAnsi="宋体" w:cs="宋体"/>
          <w:b/>
          <w:bCs w:val="0"/>
          <w:color w:val="auto"/>
          <w:szCs w:val="21"/>
          <w:highlight w:val="none"/>
          <w:u w:val="single"/>
        </w:rPr>
      </w:pPr>
      <w:r>
        <w:rPr>
          <w:rFonts w:hint="eastAsia" w:ascii="宋体" w:hAnsi="宋体" w:cs="宋体"/>
          <w:b/>
          <w:bCs w:val="0"/>
          <w:color w:val="auto"/>
          <w:szCs w:val="21"/>
          <w:highlight w:val="none"/>
          <w:u w:val="single"/>
        </w:rPr>
        <w:t>（1</w:t>
      </w:r>
      <w:r>
        <w:rPr>
          <w:rFonts w:hint="eastAsia" w:ascii="宋体" w:hAnsi="宋体" w:cs="宋体"/>
          <w:b/>
          <w:bCs w:val="0"/>
          <w:color w:val="auto"/>
          <w:szCs w:val="21"/>
          <w:highlight w:val="none"/>
          <w:u w:val="single"/>
          <w:lang w:val="en-US" w:eastAsia="zh-CN"/>
        </w:rPr>
        <w:t>5</w:t>
      </w:r>
      <w:r>
        <w:rPr>
          <w:rFonts w:hint="eastAsia" w:ascii="宋体" w:hAnsi="宋体" w:cs="宋体"/>
          <w:b/>
          <w:bCs w:val="0"/>
          <w:color w:val="auto"/>
          <w:szCs w:val="21"/>
          <w:highlight w:val="none"/>
          <w:u w:val="single"/>
        </w:rPr>
        <w:t>）投标人（若为联合体投标，联合体各成员）未被列入拖欠农民工工资失信联合惩戒对象名单（投标人无需提供资料，按广州交易集团有限公司（广州公共资源交易中心）交易系统比对的结果进行评审）；</w:t>
      </w:r>
    </w:p>
    <w:p w14:paraId="427FBD19">
      <w:pPr>
        <w:adjustRightInd w:val="0"/>
        <w:snapToGrid w:val="0"/>
        <w:spacing w:line="360" w:lineRule="auto"/>
        <w:ind w:firstLine="422" w:firstLineChars="200"/>
        <w:rPr>
          <w:rFonts w:hint="eastAsia" w:ascii="宋体" w:hAnsi="宋体" w:cs="宋体"/>
          <w:b/>
          <w:bCs w:val="0"/>
          <w:color w:val="auto"/>
          <w:szCs w:val="21"/>
          <w:highlight w:val="none"/>
          <w:u w:val="single"/>
        </w:rPr>
      </w:pPr>
      <w:r>
        <w:rPr>
          <w:rFonts w:hint="eastAsia" w:ascii="宋体" w:hAnsi="宋体" w:cs="宋体"/>
          <w:b/>
          <w:bCs w:val="0"/>
          <w:color w:val="auto"/>
          <w:szCs w:val="21"/>
          <w:highlight w:val="none"/>
          <w:u w:val="single"/>
        </w:rPr>
        <w:t>（1</w:t>
      </w:r>
      <w:r>
        <w:rPr>
          <w:rFonts w:hint="eastAsia" w:ascii="宋体" w:hAnsi="宋体" w:cs="宋体"/>
          <w:b/>
          <w:bCs w:val="0"/>
          <w:color w:val="auto"/>
          <w:szCs w:val="21"/>
          <w:highlight w:val="none"/>
          <w:u w:val="single"/>
          <w:lang w:val="en-US" w:eastAsia="zh-CN"/>
        </w:rPr>
        <w:t>6</w:t>
      </w:r>
      <w:r>
        <w:rPr>
          <w:rFonts w:hint="eastAsia" w:ascii="宋体" w:hAnsi="宋体" w:cs="宋体"/>
          <w:b/>
          <w:bCs w:val="0"/>
          <w:color w:val="auto"/>
          <w:szCs w:val="21"/>
          <w:highlight w:val="none"/>
          <w:u w:val="single"/>
        </w:rPr>
        <w:t>）投标人认为应提供的其他资料（如有）。</w:t>
      </w:r>
    </w:p>
    <w:p w14:paraId="0737CCC3">
      <w:pPr>
        <w:adjustRightInd w:val="0"/>
        <w:snapToGrid w:val="0"/>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注：1.相关电子证书按规定需打印后手写本人签名的，应按照规定手写本人签名后再扫描提交。</w:t>
      </w:r>
    </w:p>
    <w:p w14:paraId="30B7E1A3">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2.投标人在投标登记时选择了拟投入本项目的项目负责人、专职安全员，即已满足“资格审查前，投标人须在广州市住房和城乡建设局建立企业信用档案，拟担任本工程项目负责人、专职安全员须是</w:t>
      </w:r>
      <w:r>
        <w:rPr>
          <w:rFonts w:hint="eastAsia" w:ascii="宋体" w:hAnsi="宋体" w:cs="宋体"/>
          <w:color w:val="auto"/>
          <w:szCs w:val="21"/>
          <w:highlight w:val="none"/>
          <w:lang w:val="en-US" w:eastAsia="zh-CN"/>
        </w:rPr>
        <w:t>投标人（若为联合体投标，则为主办方）</w:t>
      </w:r>
      <w:r>
        <w:rPr>
          <w:rFonts w:hint="eastAsia" w:ascii="宋体" w:hAnsi="宋体" w:cs="宋体"/>
          <w:color w:val="auto"/>
          <w:szCs w:val="21"/>
          <w:highlight w:val="none"/>
        </w:rPr>
        <w:t>企业信用档案中的在册人员”的要求，投标人无需提供证明材料。</w:t>
      </w:r>
    </w:p>
    <w:p w14:paraId="3DAD1175">
      <w:pPr>
        <w:adjustRightInd w:val="0"/>
        <w:snapToGrid w:val="0"/>
        <w:spacing w:line="360" w:lineRule="auto"/>
        <w:ind w:firstLine="422" w:firstLineChars="200"/>
        <w:rPr>
          <w:rFonts w:ascii="宋体" w:hAnsi="宋体" w:cs="宋体"/>
          <w:b/>
          <w:bCs/>
          <w:color w:val="auto"/>
          <w:szCs w:val="21"/>
          <w:highlight w:val="none"/>
          <w:u w:val="single"/>
        </w:rPr>
      </w:pPr>
      <w:r>
        <w:rPr>
          <w:rFonts w:hint="eastAsia" w:ascii="宋体" w:hAnsi="宋体" w:cs="宋体"/>
          <w:b/>
          <w:bCs/>
          <w:color w:val="auto"/>
          <w:szCs w:val="21"/>
          <w:highlight w:val="none"/>
        </w:rPr>
        <w:t>3.</w:t>
      </w:r>
      <w:r>
        <w:rPr>
          <w:rFonts w:hint="eastAsia" w:ascii="宋体" w:hAnsi="宋体" w:cs="宋体"/>
          <w:b/>
          <w:bCs/>
          <w:color w:val="auto"/>
          <w:szCs w:val="21"/>
          <w:highlight w:val="none"/>
          <w:u w:val="single"/>
        </w:rPr>
        <w:t>上述第11.2.2（1）—（1</w:t>
      </w:r>
      <w:r>
        <w:rPr>
          <w:rFonts w:hint="eastAsia" w:ascii="宋体" w:hAnsi="宋体" w:cs="宋体"/>
          <w:b/>
          <w:bCs/>
          <w:color w:val="auto"/>
          <w:szCs w:val="21"/>
          <w:highlight w:val="none"/>
          <w:u w:val="single"/>
          <w:lang w:val="en-US" w:eastAsia="zh-CN"/>
        </w:rPr>
        <w:t>4</w:t>
      </w:r>
      <w:r>
        <w:rPr>
          <w:rFonts w:hint="eastAsia" w:ascii="宋体" w:hAnsi="宋体" w:cs="宋体"/>
          <w:b/>
          <w:bCs/>
          <w:color w:val="auto"/>
          <w:szCs w:val="21"/>
          <w:highlight w:val="none"/>
          <w:u w:val="single"/>
        </w:rPr>
        <w:t>）条没有要求提交的资料，不作为资格审查不合格的依据。</w:t>
      </w:r>
    </w:p>
    <w:p w14:paraId="1339F029">
      <w:pPr>
        <w:adjustRightInd w:val="0"/>
        <w:snapToGrid w:val="0"/>
        <w:spacing w:line="360" w:lineRule="auto"/>
        <w:ind w:firstLine="422" w:firstLineChars="200"/>
        <w:rPr>
          <w:rFonts w:ascii="宋体" w:hAnsi="宋体" w:cs="宋体"/>
          <w:b/>
          <w:bCs/>
          <w:color w:val="auto"/>
          <w:szCs w:val="21"/>
          <w:highlight w:val="none"/>
          <w:u w:val="single"/>
        </w:rPr>
      </w:pPr>
      <w:r>
        <w:rPr>
          <w:rFonts w:hint="eastAsia" w:ascii="宋体" w:hAnsi="宋体" w:cs="宋体"/>
          <w:b/>
          <w:bCs/>
          <w:color w:val="auto"/>
          <w:szCs w:val="21"/>
          <w:highlight w:val="none"/>
          <w:u w:val="single"/>
        </w:rPr>
        <w:t>4.上述第11.2.2（1</w:t>
      </w:r>
      <w:r>
        <w:rPr>
          <w:rFonts w:hint="eastAsia" w:ascii="宋体" w:hAnsi="宋体" w:cs="宋体"/>
          <w:b/>
          <w:bCs/>
          <w:color w:val="auto"/>
          <w:szCs w:val="21"/>
          <w:highlight w:val="none"/>
          <w:u w:val="single"/>
          <w:lang w:val="en-US" w:eastAsia="zh-CN"/>
        </w:rPr>
        <w:t>5</w:t>
      </w:r>
      <w:r>
        <w:rPr>
          <w:rFonts w:hint="eastAsia" w:ascii="宋体" w:hAnsi="宋体" w:cs="宋体"/>
          <w:b/>
          <w:bCs/>
          <w:color w:val="auto"/>
          <w:szCs w:val="21"/>
          <w:highlight w:val="none"/>
          <w:u w:val="single"/>
        </w:rPr>
        <w:t>）条，投标人无需提供资料，按投标截止时间广州交易集团有限公司（广州公共资源交易中心）交易系统比对的结果进行评审。</w:t>
      </w:r>
    </w:p>
    <w:p w14:paraId="6B249C4D">
      <w:pPr>
        <w:adjustRightInd w:val="0"/>
        <w:snapToGrid w:val="0"/>
        <w:spacing w:line="360" w:lineRule="auto"/>
        <w:ind w:firstLine="422" w:firstLineChars="200"/>
        <w:rPr>
          <w:rFonts w:ascii="宋体" w:hAnsi="宋体" w:cs="宋体"/>
          <w:b/>
          <w:bCs/>
          <w:color w:val="auto"/>
          <w:szCs w:val="21"/>
          <w:highlight w:val="none"/>
          <w:u w:val="single"/>
        </w:rPr>
      </w:pPr>
      <w:r>
        <w:rPr>
          <w:rFonts w:hint="eastAsia" w:ascii="宋体" w:hAnsi="宋体" w:cs="宋体"/>
          <w:b/>
          <w:bCs/>
          <w:color w:val="auto"/>
          <w:szCs w:val="21"/>
          <w:highlight w:val="none"/>
          <w:u w:val="single"/>
        </w:rPr>
        <w:t>11.2.3《投标函》《标函承诺书》、《项目负责人驻场承诺书》、《投入项目负责人及专职安全员承诺书》（格式见招标文件第四章）。</w:t>
      </w:r>
    </w:p>
    <w:p w14:paraId="4E856E18">
      <w:pPr>
        <w:adjustRightInd w:val="0"/>
        <w:snapToGrid w:val="0"/>
        <w:spacing w:line="360" w:lineRule="auto"/>
        <w:ind w:firstLine="422" w:firstLineChars="200"/>
        <w:rPr>
          <w:rFonts w:ascii="宋体" w:hAnsi="宋体" w:cs="宋体"/>
          <w:b/>
          <w:bCs/>
          <w:color w:val="auto"/>
          <w:szCs w:val="21"/>
          <w:highlight w:val="none"/>
          <w:u w:val="single"/>
        </w:rPr>
      </w:pPr>
      <w:r>
        <w:rPr>
          <w:rFonts w:hint="eastAsia" w:ascii="宋体" w:hAnsi="宋体" w:cs="宋体"/>
          <w:b/>
          <w:bCs/>
          <w:color w:val="auto"/>
          <w:szCs w:val="21"/>
          <w:highlight w:val="none"/>
          <w:u w:val="single"/>
        </w:rPr>
        <w:t>11.2.4《施工项目管理团队人员信息表》《主要人员简历表》（格式见招标文件第四章、投标人需按相应表格备注要求提供相关资料）。</w:t>
      </w:r>
    </w:p>
    <w:p w14:paraId="591BBAE7">
      <w:pPr>
        <w:tabs>
          <w:tab w:val="left" w:pos="1125"/>
        </w:tabs>
        <w:adjustRightInd w:val="0"/>
        <w:snapToGrid w:val="0"/>
        <w:spacing w:line="360" w:lineRule="auto"/>
        <w:ind w:firstLine="422" w:firstLineChars="200"/>
        <w:rPr>
          <w:rFonts w:hint="eastAsia" w:ascii="宋体" w:hAnsi="宋体" w:eastAsia="宋体" w:cs="宋体"/>
          <w:b/>
          <w:bCs/>
          <w:color w:val="auto"/>
          <w:szCs w:val="21"/>
          <w:highlight w:val="none"/>
        </w:rPr>
      </w:pPr>
      <w:r>
        <w:rPr>
          <w:rFonts w:hint="eastAsia" w:ascii="宋体" w:hAnsi="宋体" w:cs="宋体"/>
          <w:b/>
          <w:bCs/>
          <w:color w:val="auto"/>
          <w:szCs w:val="21"/>
          <w:highlight w:val="none"/>
          <w:u w:val="single"/>
        </w:rPr>
        <w:t>11.2.5</w:t>
      </w:r>
      <w:r>
        <w:rPr>
          <w:rFonts w:hint="eastAsia" w:ascii="宋体" w:hAnsi="宋体" w:eastAsia="宋体" w:cs="宋体"/>
          <w:b/>
          <w:bCs/>
          <w:color w:val="auto"/>
          <w:szCs w:val="21"/>
          <w:highlight w:val="none"/>
          <w:u w:val="single"/>
        </w:rPr>
        <w:t>企业资信证明材料（按招标文件第二章附表《技术标详细审查评分表》要求提交资料。招标文件有规定格式的，需按招标文件格式提供，无格式要求的，格式自拟）。</w:t>
      </w:r>
    </w:p>
    <w:p w14:paraId="202EC6CA">
      <w:pPr>
        <w:tabs>
          <w:tab w:val="left" w:pos="1125"/>
        </w:tabs>
        <w:adjustRightInd w:val="0"/>
        <w:snapToGrid w:val="0"/>
        <w:spacing w:line="360" w:lineRule="auto"/>
        <w:ind w:firstLine="422" w:firstLineChars="200"/>
        <w:rPr>
          <w:rFonts w:ascii="宋体" w:hAnsi="宋体" w:cs="宋体"/>
          <w:b/>
          <w:bCs/>
          <w:strike w:val="0"/>
          <w:dstrike w:val="0"/>
          <w:color w:val="auto"/>
          <w:kern w:val="0"/>
          <w:szCs w:val="21"/>
          <w:highlight w:val="none"/>
          <w:u w:val="single"/>
        </w:rPr>
      </w:pPr>
      <w:r>
        <w:rPr>
          <w:rFonts w:hint="eastAsia" w:ascii="宋体" w:hAnsi="宋体" w:eastAsia="宋体" w:cs="宋体"/>
          <w:b/>
          <w:bCs/>
          <w:strike w:val="0"/>
          <w:dstrike w:val="0"/>
          <w:color w:val="auto"/>
          <w:szCs w:val="21"/>
          <w:highlight w:val="none"/>
          <w:u w:val="single"/>
        </w:rPr>
        <w:t>11.2.</w:t>
      </w:r>
      <w:r>
        <w:rPr>
          <w:rFonts w:hint="eastAsia" w:ascii="宋体" w:hAnsi="宋体" w:eastAsia="宋体" w:cs="宋体"/>
          <w:b/>
          <w:bCs/>
          <w:strike w:val="0"/>
          <w:dstrike w:val="0"/>
          <w:color w:val="auto"/>
          <w:szCs w:val="21"/>
          <w:highlight w:val="none"/>
          <w:u w:val="single"/>
          <w:lang w:val="en-US" w:eastAsia="zh-CN"/>
        </w:rPr>
        <w:t>6</w:t>
      </w:r>
      <w:r>
        <w:rPr>
          <w:rFonts w:hint="eastAsia" w:ascii="宋体" w:hAnsi="宋体" w:cs="宋体"/>
          <w:b/>
          <w:bCs/>
          <w:strike w:val="0"/>
          <w:dstrike w:val="0"/>
          <w:color w:val="auto"/>
          <w:kern w:val="0"/>
          <w:szCs w:val="21"/>
          <w:highlight w:val="none"/>
          <w:u w:val="single"/>
        </w:rPr>
        <w:t>施工组织设计或施工方案。</w:t>
      </w:r>
    </w:p>
    <w:p w14:paraId="0FB81AD9">
      <w:pPr>
        <w:adjustRightInd w:val="0"/>
        <w:snapToGrid w:val="0"/>
        <w:spacing w:line="360" w:lineRule="auto"/>
        <w:ind w:firstLine="422" w:firstLineChars="200"/>
        <w:rPr>
          <w:rFonts w:ascii="宋体" w:hAnsi="宋体" w:cs="宋体"/>
          <w:b/>
          <w:bCs/>
          <w:strike w:val="0"/>
          <w:dstrike w:val="0"/>
          <w:color w:val="auto"/>
          <w:szCs w:val="21"/>
          <w:highlight w:val="none"/>
          <w:u w:val="single"/>
        </w:rPr>
      </w:pPr>
      <w:r>
        <w:rPr>
          <w:rFonts w:hint="eastAsia" w:ascii="宋体" w:hAnsi="宋体" w:cs="宋体"/>
          <w:b/>
          <w:bCs/>
          <w:strike w:val="0"/>
          <w:dstrike w:val="0"/>
          <w:color w:val="auto"/>
          <w:szCs w:val="21"/>
          <w:highlight w:val="none"/>
          <w:u w:val="single"/>
        </w:rPr>
        <w:t>（1）投标人在编制施工组织设计或施工方案时应按照招标人提出的施工现场建筑垃圾源头减量的具体要求以及建筑垃圾综合利用产品的使用要求提供相应措施。</w:t>
      </w:r>
    </w:p>
    <w:p w14:paraId="2A1C8642">
      <w:pPr>
        <w:adjustRightInd w:val="0"/>
        <w:snapToGrid w:val="0"/>
        <w:spacing w:line="360" w:lineRule="auto"/>
        <w:ind w:firstLine="422" w:firstLineChars="200"/>
        <w:rPr>
          <w:rFonts w:ascii="宋体" w:hAnsi="宋体" w:cs="宋体"/>
          <w:b/>
          <w:bCs/>
          <w:strike w:val="0"/>
          <w:dstrike w:val="0"/>
          <w:color w:val="auto"/>
          <w:szCs w:val="21"/>
          <w:highlight w:val="none"/>
          <w:u w:val="single"/>
        </w:rPr>
      </w:pPr>
      <w:r>
        <w:rPr>
          <w:rFonts w:hint="eastAsia" w:ascii="宋体" w:hAnsi="宋体" w:cs="宋体"/>
          <w:b/>
          <w:bCs/>
          <w:strike w:val="0"/>
          <w:dstrike w:val="0"/>
          <w:color w:val="auto"/>
          <w:szCs w:val="21"/>
          <w:highlight w:val="none"/>
          <w:u w:val="single"/>
        </w:rPr>
        <w:t>（2）投标人在编制施工组织设计或施工方案时应按照招标文件要求，并针对本项目的关键技术、工艺、重点、难点以及拟在本项目采用的新工艺、新技术、新材料编制，应突出重点，标准、规范中已有的内容无需赘述，一般篇幅不宜超过150页。超过部分不予评审。</w:t>
      </w:r>
    </w:p>
    <w:p w14:paraId="4AD20C31">
      <w:pPr>
        <w:tabs>
          <w:tab w:val="left" w:pos="1125"/>
        </w:tabs>
        <w:adjustRightInd w:val="0"/>
        <w:snapToGrid w:val="0"/>
        <w:spacing w:line="360" w:lineRule="auto"/>
        <w:ind w:firstLine="422" w:firstLineChars="200"/>
        <w:rPr>
          <w:rFonts w:hint="eastAsia" w:ascii="宋体" w:hAnsi="宋体" w:eastAsia="宋体" w:cs="宋体"/>
          <w:b/>
          <w:bCs/>
          <w:color w:val="auto"/>
          <w:szCs w:val="21"/>
          <w:highlight w:val="none"/>
          <w:u w:val="single"/>
          <w:lang w:val="en-US" w:eastAsia="zh-CN"/>
        </w:rPr>
      </w:pPr>
      <w:r>
        <w:rPr>
          <w:rFonts w:hint="eastAsia" w:ascii="宋体" w:hAnsi="宋体" w:cs="宋体"/>
          <w:b/>
          <w:bCs/>
          <w:color w:val="auto"/>
          <w:szCs w:val="21"/>
          <w:highlight w:val="none"/>
          <w:u w:val="single"/>
          <w:lang w:val="en-US" w:eastAsia="zh-CN"/>
        </w:rPr>
        <w:t>11.2.7</w:t>
      </w:r>
      <w:r>
        <w:rPr>
          <w:rFonts w:hint="eastAsia" w:ascii="宋体" w:hAnsi="宋体" w:eastAsia="宋体" w:cs="宋体"/>
          <w:b/>
          <w:bCs/>
          <w:color w:val="auto"/>
          <w:szCs w:val="21"/>
          <w:highlight w:val="none"/>
          <w:u w:val="single"/>
          <w:lang w:val="en-US" w:eastAsia="zh-CN"/>
        </w:rPr>
        <w:t>《拟投入本工程施工的主要机械设备配备表》（格式见招标文件第四章）。</w:t>
      </w:r>
    </w:p>
    <w:p w14:paraId="6834DAEF">
      <w:pPr>
        <w:adjustRightInd w:val="0"/>
        <w:snapToGrid w:val="0"/>
        <w:spacing w:line="360" w:lineRule="auto"/>
        <w:ind w:firstLine="422" w:firstLineChars="200"/>
        <w:rPr>
          <w:rFonts w:ascii="宋体" w:hAnsi="宋体" w:cs="宋体"/>
          <w:b/>
          <w:bCs/>
          <w:color w:val="auto"/>
          <w:szCs w:val="21"/>
          <w:highlight w:val="none"/>
          <w:u w:val="single"/>
        </w:rPr>
      </w:pPr>
      <w:r>
        <w:rPr>
          <w:rFonts w:hint="eastAsia" w:ascii="宋体" w:hAnsi="宋体" w:cs="宋体"/>
          <w:b/>
          <w:bCs/>
          <w:color w:val="auto"/>
          <w:szCs w:val="21"/>
          <w:highlight w:val="none"/>
          <w:u w:val="single"/>
        </w:rPr>
        <w:t>11.2.</w:t>
      </w:r>
      <w:r>
        <w:rPr>
          <w:rFonts w:hint="eastAsia" w:ascii="宋体" w:hAnsi="宋体" w:cs="宋体"/>
          <w:b/>
          <w:bCs/>
          <w:color w:val="auto"/>
          <w:szCs w:val="21"/>
          <w:highlight w:val="none"/>
          <w:u w:val="single"/>
          <w:lang w:val="en-US" w:eastAsia="zh-CN"/>
        </w:rPr>
        <w:t>8</w:t>
      </w:r>
      <w:r>
        <w:rPr>
          <w:rFonts w:hint="eastAsia" w:ascii="宋体" w:hAnsi="宋体" w:cs="宋体"/>
          <w:b/>
          <w:bCs/>
          <w:color w:val="auto"/>
          <w:szCs w:val="21"/>
          <w:highlight w:val="none"/>
          <w:u w:val="single"/>
        </w:rPr>
        <w:t>《危险性较大的分部分项工程安全管理措施》（格式见招标文件第四章）。</w:t>
      </w:r>
    </w:p>
    <w:p w14:paraId="17D78573">
      <w:pPr>
        <w:adjustRightInd w:val="0"/>
        <w:snapToGrid w:val="0"/>
        <w:spacing w:line="360" w:lineRule="auto"/>
        <w:ind w:firstLine="422" w:firstLineChars="200"/>
        <w:rPr>
          <w:rFonts w:ascii="宋体" w:hAnsi="宋体" w:cs="宋体"/>
          <w:b/>
          <w:bCs/>
          <w:color w:val="auto"/>
          <w:szCs w:val="21"/>
          <w:highlight w:val="none"/>
          <w:u w:val="single"/>
        </w:rPr>
      </w:pPr>
      <w:r>
        <w:rPr>
          <w:rFonts w:hint="eastAsia" w:ascii="宋体" w:hAnsi="宋体" w:cs="宋体"/>
          <w:b/>
          <w:bCs/>
          <w:color w:val="auto"/>
          <w:szCs w:val="21"/>
          <w:highlight w:val="none"/>
          <w:u w:val="single"/>
        </w:rPr>
        <w:t>11.2.</w:t>
      </w:r>
      <w:r>
        <w:rPr>
          <w:rFonts w:hint="eastAsia" w:ascii="宋体" w:hAnsi="宋体" w:cs="宋体"/>
          <w:b/>
          <w:bCs/>
          <w:color w:val="auto"/>
          <w:szCs w:val="21"/>
          <w:highlight w:val="none"/>
          <w:u w:val="single"/>
          <w:lang w:val="en-US" w:eastAsia="zh-CN"/>
        </w:rPr>
        <w:t>9</w:t>
      </w:r>
      <w:r>
        <w:rPr>
          <w:rFonts w:hint="eastAsia" w:ascii="宋体" w:hAnsi="宋体" w:cs="宋体"/>
          <w:b/>
          <w:bCs/>
          <w:color w:val="auto"/>
          <w:szCs w:val="21"/>
          <w:highlight w:val="none"/>
          <w:u w:val="single"/>
        </w:rPr>
        <w:t>《参与编制技术标投标文件人员名单》（格式见招标文件第四章）。</w:t>
      </w:r>
    </w:p>
    <w:p w14:paraId="7A4A9D19">
      <w:pPr>
        <w:pBdr>
          <w:bottom w:val="single" w:color="auto" w:sz="4" w:space="0"/>
        </w:pBdr>
        <w:adjustRightInd w:val="0"/>
        <w:snapToGrid w:val="0"/>
        <w:spacing w:line="360" w:lineRule="auto"/>
        <w:ind w:firstLine="422" w:firstLineChars="200"/>
        <w:rPr>
          <w:rFonts w:ascii="宋体" w:hAnsi="宋体" w:cs="宋体"/>
          <w:b/>
          <w:bCs/>
          <w:color w:val="auto"/>
          <w:szCs w:val="21"/>
          <w:highlight w:val="none"/>
          <w:u w:val="single"/>
        </w:rPr>
      </w:pPr>
      <w:r>
        <w:rPr>
          <w:rFonts w:hint="eastAsia" w:ascii="宋体" w:hAnsi="宋体" w:cs="宋体"/>
          <w:b/>
          <w:bCs/>
          <w:color w:val="auto"/>
          <w:szCs w:val="21"/>
          <w:highlight w:val="none"/>
          <w:u w:val="single"/>
        </w:rPr>
        <w:t>11.2.</w:t>
      </w:r>
      <w:r>
        <w:rPr>
          <w:rFonts w:hint="eastAsia" w:ascii="宋体" w:hAnsi="宋体" w:cs="宋体"/>
          <w:b/>
          <w:bCs/>
          <w:color w:val="auto"/>
          <w:szCs w:val="21"/>
          <w:highlight w:val="none"/>
          <w:u w:val="single"/>
          <w:lang w:val="en-US" w:eastAsia="zh-CN"/>
        </w:rPr>
        <w:t>10</w:t>
      </w:r>
      <w:r>
        <w:rPr>
          <w:rFonts w:hint="eastAsia" w:ascii="宋体" w:hAnsi="宋体" w:cs="宋体"/>
          <w:b/>
          <w:bCs/>
          <w:color w:val="auto"/>
          <w:szCs w:val="21"/>
          <w:highlight w:val="none"/>
          <w:u w:val="single"/>
        </w:rPr>
        <w:t>投标人认为应提供的其他技术标资料（如有）。</w:t>
      </w:r>
    </w:p>
    <w:p w14:paraId="379EA7F1">
      <w:pPr>
        <w:adjustRightInd w:val="0"/>
        <w:snapToGrid w:val="0"/>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条款号：11.3                       修改类型：修改</w:t>
      </w:r>
    </w:p>
    <w:p w14:paraId="62AC7D33">
      <w:pPr>
        <w:adjustRightInd w:val="0"/>
        <w:snapToGrid w:val="0"/>
        <w:spacing w:line="360" w:lineRule="auto"/>
        <w:ind w:firstLine="472" w:firstLineChars="224"/>
        <w:rPr>
          <w:rFonts w:ascii="宋体" w:hAnsi="宋体" w:cs="宋体"/>
          <w:bCs/>
          <w:color w:val="auto"/>
          <w:szCs w:val="21"/>
          <w:highlight w:val="none"/>
        </w:rPr>
      </w:pPr>
      <w:r>
        <w:rPr>
          <w:rFonts w:hint="eastAsia" w:ascii="宋体" w:hAnsi="宋体" w:cs="宋体"/>
          <w:b/>
          <w:color w:val="auto"/>
          <w:szCs w:val="21"/>
          <w:highlight w:val="none"/>
        </w:rPr>
        <w:t>原文：</w:t>
      </w:r>
      <w:r>
        <w:rPr>
          <w:rFonts w:hint="eastAsia" w:ascii="宋体" w:hAnsi="宋体" w:cs="宋体"/>
          <w:bCs/>
          <w:color w:val="auto"/>
          <w:szCs w:val="21"/>
          <w:highlight w:val="none"/>
        </w:rPr>
        <w:t>11.3 经济部分投标文件主要包括下列内容：</w:t>
      </w:r>
    </w:p>
    <w:p w14:paraId="4B00541D">
      <w:pPr>
        <w:adjustRightInd w:val="0"/>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11.3.1 经济投标文件(按招标文件的要求填写)。</w:t>
      </w:r>
    </w:p>
    <w:p w14:paraId="7B558592">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11.3.2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其中包括如下：</w:t>
      </w:r>
    </w:p>
    <w:p w14:paraId="540AFE41">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（1）投标总价封面、扉页；</w:t>
      </w:r>
    </w:p>
    <w:p w14:paraId="2C3D5EBB">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（2）总说明；</w:t>
      </w:r>
    </w:p>
    <w:p w14:paraId="6F793DB9">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（3）工程项目投标报价汇总表；</w:t>
      </w:r>
    </w:p>
    <w:p w14:paraId="4F639405">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（4）单项工程投标报价汇总表；</w:t>
      </w:r>
    </w:p>
    <w:p w14:paraId="0B544CEC">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（5）单位工程投标报价汇总表；</w:t>
      </w:r>
    </w:p>
    <w:p w14:paraId="570E6DFF">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（6）分部分项工程清单与计价表；</w:t>
      </w:r>
    </w:p>
    <w:p w14:paraId="15ADAF2D">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（7）单价措施项目清单与计价表；</w:t>
      </w:r>
    </w:p>
    <w:p w14:paraId="558C61A6">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（8）总价措施项目清单与计价表；</w:t>
      </w:r>
    </w:p>
    <w:p w14:paraId="3E14331A">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（9）综合单价分析表；</w:t>
      </w:r>
    </w:p>
    <w:p w14:paraId="4339BC4E">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（10）其他项目清单与计价汇总表；</w:t>
      </w:r>
    </w:p>
    <w:p w14:paraId="651FC23A">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（11）暂列金额明细表；</w:t>
      </w:r>
    </w:p>
    <w:p w14:paraId="44941AF4">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（12）材料（工程设备）暂估价明细表；</w:t>
      </w:r>
    </w:p>
    <w:p w14:paraId="6A565289">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（13）专业工程暂估价明细表；</w:t>
      </w:r>
    </w:p>
    <w:p w14:paraId="2B646660">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（14）计日工表；</w:t>
      </w:r>
    </w:p>
    <w:p w14:paraId="0CC3857D">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（15）总承包服务计价表；</w:t>
      </w:r>
    </w:p>
    <w:p w14:paraId="23EE2859">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（16）规费和税金项目计价表；</w:t>
      </w:r>
    </w:p>
    <w:p w14:paraId="2FB56893">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（17）人工、主要材料和设备一览表</w:t>
      </w:r>
    </w:p>
    <w:p w14:paraId="4975912E">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11.3.3按照招标文件要求填写的《参与编制经济标投标文件人员名单》。</w:t>
      </w:r>
    </w:p>
    <w:p w14:paraId="0EAEADA9">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11.3.4若投标人的投标报价低于工程</w:t>
      </w:r>
      <w:r>
        <w:rPr>
          <w:rFonts w:hint="eastAsia" w:ascii="宋体" w:hAnsi="宋体" w:cs="宋体"/>
          <w:color w:val="auto"/>
          <w:szCs w:val="21"/>
          <w:highlight w:val="none"/>
          <w:lang w:eastAsia="zh-CN"/>
        </w:rPr>
        <w:t>成本警示价</w:t>
      </w:r>
      <w:r>
        <w:rPr>
          <w:rFonts w:hint="eastAsia" w:ascii="宋体" w:hAnsi="宋体" w:cs="宋体"/>
          <w:color w:val="auto"/>
          <w:szCs w:val="21"/>
          <w:highlight w:val="none"/>
        </w:rPr>
        <w:t>的，投标人还须提供详细的施工组织设计、单价、措施性费用、单价分析表、主要材料价格表、投标人成本分析供评标委员会评审。</w:t>
      </w:r>
    </w:p>
    <w:p w14:paraId="5F2E6194">
      <w:pPr>
        <w:adjustRightInd w:val="0"/>
        <w:snapToGrid w:val="0"/>
        <w:spacing w:line="360" w:lineRule="auto"/>
        <w:ind w:firstLine="472" w:firstLineChars="224"/>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11.3</w:t>
      </w:r>
      <w:r>
        <w:rPr>
          <w:rFonts w:hint="eastAsia" w:ascii="宋体" w:hAnsi="宋体" w:cs="宋体"/>
          <w:b/>
          <w:bCs/>
          <w:color w:val="auto"/>
          <w:szCs w:val="21"/>
          <w:highlight w:val="none"/>
          <w:u w:val="single"/>
        </w:rPr>
        <w:t>投标文件经济部分</w:t>
      </w:r>
      <w:r>
        <w:rPr>
          <w:rFonts w:hint="eastAsia" w:ascii="宋体" w:hAnsi="宋体" w:cs="宋体"/>
          <w:color w:val="auto"/>
          <w:szCs w:val="21"/>
          <w:highlight w:val="none"/>
        </w:rPr>
        <w:t>主要包括下列内容：</w:t>
      </w:r>
    </w:p>
    <w:p w14:paraId="23FE693E">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11.3.1</w:t>
      </w:r>
      <w:r>
        <w:rPr>
          <w:rFonts w:hint="eastAsia" w:ascii="宋体" w:hAnsi="宋体" w:cs="宋体"/>
          <w:b/>
          <w:bCs/>
          <w:color w:val="auto"/>
          <w:szCs w:val="21"/>
          <w:highlight w:val="none"/>
          <w:u w:val="single"/>
        </w:rPr>
        <w:t>广州建设工程施工招标投标书（经济标）（格式见招标文件第四章，具体格式以《广州建设工程施工招标投标书（经济标）》为准；电子投标管理软件编制的“广州建设工程施工招标投标书”不作为否决投标的条件)。</w:t>
      </w:r>
    </w:p>
    <w:p w14:paraId="67DE4181">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11.3.2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其中包括如下：</w:t>
      </w:r>
    </w:p>
    <w:p w14:paraId="55C6DD9D">
      <w:pPr>
        <w:numPr>
          <w:ilvl w:val="0"/>
          <w:numId w:val="1"/>
        </w:numPr>
        <w:pBdr>
          <w:bottom w:val="single" w:color="auto" w:sz="6" w:space="1"/>
        </w:pBd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投标总价封面、扉页</w:t>
      </w:r>
    </w:p>
    <w:p w14:paraId="58BE6226">
      <w:pPr>
        <w:numPr>
          <w:ilvl w:val="0"/>
          <w:numId w:val="1"/>
        </w:numPr>
        <w:pBdr>
          <w:bottom w:val="single" w:color="auto" w:sz="6" w:space="1"/>
        </w:pBd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总说明；</w:t>
      </w:r>
    </w:p>
    <w:p w14:paraId="1EF9E167">
      <w:pPr>
        <w:numPr>
          <w:ilvl w:val="0"/>
          <w:numId w:val="1"/>
        </w:numPr>
        <w:pBdr>
          <w:bottom w:val="single" w:color="auto" w:sz="6" w:space="1"/>
        </w:pBdr>
        <w:adjustRightInd w:val="0"/>
        <w:snapToGrid w:val="0"/>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u w:val="single"/>
        </w:rPr>
        <w:t>工程量清单报价表及综合单价分析表的相关内容及格式要求（相关表格的内容及格式要求以招标人发出的最新版电子招标文件中的相应内容及格式为准）</w:t>
      </w:r>
      <w:r>
        <w:rPr>
          <w:rFonts w:hint="eastAsia" w:ascii="宋体" w:hAnsi="宋体" w:cs="宋体"/>
          <w:b/>
          <w:bCs/>
          <w:color w:val="auto"/>
          <w:szCs w:val="21"/>
          <w:highlight w:val="none"/>
        </w:rPr>
        <w:t>；</w:t>
      </w:r>
    </w:p>
    <w:p w14:paraId="6275049B">
      <w:pPr>
        <w:numPr>
          <w:ilvl w:val="0"/>
          <w:numId w:val="1"/>
        </w:numPr>
        <w:pBdr>
          <w:bottom w:val="single" w:color="auto" w:sz="6" w:space="1"/>
        </w:pBdr>
        <w:adjustRightInd w:val="0"/>
        <w:snapToGrid w:val="0"/>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u w:val="single"/>
        </w:rPr>
        <w:t>其它辅助说明资料（包括但不限于招标文件要求填写的《对投标文件编制的承诺》，格式见招标文件第四章）</w:t>
      </w:r>
      <w:r>
        <w:rPr>
          <w:rFonts w:hint="eastAsia" w:ascii="宋体" w:hAnsi="宋体" w:cs="宋体"/>
          <w:b/>
          <w:bCs/>
          <w:color w:val="auto"/>
          <w:szCs w:val="21"/>
          <w:highlight w:val="none"/>
        </w:rPr>
        <w:t>。</w:t>
      </w:r>
    </w:p>
    <w:p w14:paraId="45A0D8B6">
      <w:pPr>
        <w:pBdr>
          <w:bottom w:val="single" w:color="auto" w:sz="6" w:space="1"/>
        </w:pBdr>
        <w:adjustRightInd w:val="0"/>
        <w:snapToGrid w:val="0"/>
        <w:spacing w:line="360" w:lineRule="auto"/>
        <w:ind w:firstLine="420" w:firstLineChars="200"/>
        <w:textAlignment w:val="baseline"/>
        <w:rPr>
          <w:rFonts w:ascii="宋体" w:hAnsi="宋体" w:cs="宋体"/>
          <w:color w:val="auto"/>
          <w:szCs w:val="21"/>
          <w:highlight w:val="none"/>
        </w:rPr>
      </w:pPr>
      <w:r>
        <w:rPr>
          <w:rFonts w:hint="eastAsia" w:ascii="宋体" w:hAnsi="宋体" w:cs="宋体"/>
          <w:color w:val="auto"/>
          <w:szCs w:val="21"/>
          <w:highlight w:val="none"/>
        </w:rPr>
        <w:t>11.3.3按照招标文件要求填写的《参与编制经济标投标文件人员名单》</w:t>
      </w:r>
      <w:r>
        <w:rPr>
          <w:rFonts w:hint="eastAsia" w:ascii="宋体" w:hAnsi="宋体" w:cs="宋体"/>
          <w:b/>
          <w:bCs/>
          <w:color w:val="auto"/>
          <w:szCs w:val="21"/>
          <w:highlight w:val="none"/>
          <w:u w:val="single"/>
        </w:rPr>
        <w:t>（格式见招标文件第四章）</w:t>
      </w:r>
      <w:r>
        <w:rPr>
          <w:rFonts w:hint="eastAsia" w:ascii="宋体" w:hAnsi="宋体" w:cs="宋体"/>
          <w:color w:val="auto"/>
          <w:szCs w:val="21"/>
          <w:highlight w:val="none"/>
        </w:rPr>
        <w:t>。</w:t>
      </w:r>
    </w:p>
    <w:p w14:paraId="7D56A8E6">
      <w:pPr>
        <w:pBdr>
          <w:bottom w:val="single" w:color="auto" w:sz="6" w:space="1"/>
        </w:pBdr>
        <w:adjustRightInd w:val="0"/>
        <w:snapToGrid w:val="0"/>
        <w:spacing w:line="360" w:lineRule="auto"/>
        <w:ind w:firstLine="420" w:firstLineChars="200"/>
        <w:textAlignment w:val="baseline"/>
        <w:rPr>
          <w:rFonts w:ascii="宋体" w:hAnsi="宋体" w:cs="宋体"/>
          <w:color w:val="auto"/>
          <w:szCs w:val="21"/>
          <w:highlight w:val="none"/>
        </w:rPr>
      </w:pPr>
      <w:r>
        <w:rPr>
          <w:rFonts w:hint="eastAsia" w:ascii="宋体" w:hAnsi="宋体" w:cs="宋体"/>
          <w:color w:val="auto"/>
          <w:szCs w:val="21"/>
          <w:highlight w:val="none"/>
        </w:rPr>
        <w:t>11.3.4若投标人的投标报价低于工程</w:t>
      </w:r>
      <w:r>
        <w:rPr>
          <w:rFonts w:hint="eastAsia" w:ascii="宋体" w:hAnsi="宋体" w:cs="宋体"/>
          <w:color w:val="auto"/>
          <w:szCs w:val="21"/>
          <w:highlight w:val="none"/>
          <w:lang w:eastAsia="zh-CN"/>
        </w:rPr>
        <w:t>成本警示价</w:t>
      </w:r>
      <w:r>
        <w:rPr>
          <w:rFonts w:hint="eastAsia" w:ascii="宋体" w:hAnsi="宋体" w:cs="宋体"/>
          <w:color w:val="auto"/>
          <w:szCs w:val="21"/>
          <w:highlight w:val="none"/>
        </w:rPr>
        <w:t>的，投标人还须提供详细的施工组织设计、单价、措施性费用、单价分析表、主要材料价格表、投标人成本分析供评标委员会评审。</w:t>
      </w:r>
    </w:p>
    <w:p w14:paraId="2B9B1FBC">
      <w:pPr>
        <w:pBdr>
          <w:bottom w:val="single" w:color="auto" w:sz="6" w:space="1"/>
        </w:pBdr>
        <w:adjustRightInd w:val="0"/>
        <w:snapToGrid w:val="0"/>
        <w:spacing w:line="360" w:lineRule="auto"/>
        <w:ind w:firstLine="420" w:firstLineChars="200"/>
        <w:textAlignment w:val="baseline"/>
        <w:rPr>
          <w:rFonts w:ascii="宋体" w:hAnsi="宋体" w:cs="宋体"/>
          <w:bCs/>
          <w:color w:val="auto"/>
          <w:szCs w:val="21"/>
          <w:highlight w:val="none"/>
          <w:u w:val="single"/>
        </w:rPr>
      </w:pPr>
      <w:r>
        <w:rPr>
          <w:rFonts w:hint="eastAsia" w:ascii="宋体" w:hAnsi="宋体" w:cs="宋体"/>
          <w:color w:val="auto"/>
          <w:szCs w:val="21"/>
          <w:highlight w:val="none"/>
        </w:rPr>
        <w:t>11.3.5</w:t>
      </w:r>
      <w:r>
        <w:rPr>
          <w:rFonts w:hint="eastAsia" w:ascii="宋体" w:hAnsi="宋体" w:cs="宋体"/>
          <w:b/>
          <w:bCs/>
          <w:color w:val="auto"/>
          <w:szCs w:val="21"/>
          <w:highlight w:val="none"/>
          <w:u w:val="single"/>
        </w:rPr>
        <w:t>投标人认为应提供的其他经济标资料（如有）。</w:t>
      </w:r>
    </w:p>
    <w:p w14:paraId="72F38832">
      <w:pPr>
        <w:adjustRightInd w:val="0"/>
        <w:spacing w:line="360" w:lineRule="auto"/>
        <w:ind w:firstLine="422" w:firstLineChars="200"/>
        <w:textAlignment w:val="baseline"/>
        <w:rPr>
          <w:rFonts w:hint="eastAsia" w:ascii="宋体" w:hAnsi="宋体" w:cs="宋体"/>
          <w:b/>
          <w:color w:val="000000"/>
          <w:szCs w:val="21"/>
          <w:highlight w:val="none"/>
        </w:rPr>
      </w:pPr>
      <w:r>
        <w:rPr>
          <w:rFonts w:hint="eastAsia" w:ascii="宋体" w:hAnsi="宋体" w:cs="宋体"/>
          <w:b/>
          <w:color w:val="000000"/>
          <w:szCs w:val="21"/>
          <w:highlight w:val="none"/>
        </w:rPr>
        <w:t>条款号：11.4                        修改类型：增加</w:t>
      </w:r>
    </w:p>
    <w:p w14:paraId="1D68609E">
      <w:pPr>
        <w:pBdr>
          <w:bottom w:val="single" w:color="auto" w:sz="6" w:space="1"/>
        </w:pBdr>
        <w:adjustRightInd w:val="0"/>
        <w:spacing w:line="360" w:lineRule="auto"/>
        <w:ind w:firstLine="422" w:firstLineChars="200"/>
        <w:textAlignment w:val="baseline"/>
        <w:rPr>
          <w:rFonts w:hint="eastAsia" w:ascii="宋体" w:hAnsi="宋体" w:cs="宋体"/>
          <w:b/>
          <w:bCs/>
          <w:color w:val="000000"/>
          <w:szCs w:val="21"/>
          <w:highlight w:val="none"/>
          <w:u w:val="single"/>
        </w:rPr>
      </w:pPr>
      <w:r>
        <w:rPr>
          <w:rFonts w:hint="eastAsia" w:ascii="宋体" w:hAnsi="宋体" w:cs="宋体"/>
          <w:b/>
          <w:color w:val="000000"/>
          <w:szCs w:val="21"/>
          <w:highlight w:val="none"/>
        </w:rPr>
        <w:t>现文：</w:t>
      </w:r>
      <w:r>
        <w:rPr>
          <w:rFonts w:hint="eastAsia" w:ascii="宋体" w:hAnsi="宋体" w:cs="宋体"/>
          <w:b/>
          <w:bCs/>
          <w:color w:val="000000"/>
          <w:szCs w:val="21"/>
          <w:highlight w:val="none"/>
          <w:u w:val="single"/>
        </w:rPr>
        <w:t>11.4定标文件主要包括下列内容：</w:t>
      </w:r>
    </w:p>
    <w:p w14:paraId="25A788C1">
      <w:pPr>
        <w:pBdr>
          <w:bottom w:val="single" w:color="auto" w:sz="6" w:space="1"/>
        </w:pBdr>
        <w:adjustRightInd w:val="0"/>
        <w:spacing w:line="360" w:lineRule="auto"/>
        <w:ind w:firstLine="422" w:firstLineChars="200"/>
        <w:textAlignment w:val="baseline"/>
        <w:rPr>
          <w:rFonts w:hint="eastAsia" w:ascii="宋体" w:hAnsi="宋体" w:cs="宋体"/>
          <w:b/>
          <w:bCs/>
          <w:color w:val="000000"/>
          <w:szCs w:val="21"/>
          <w:highlight w:val="none"/>
        </w:rPr>
      </w:pPr>
      <w:r>
        <w:rPr>
          <w:rFonts w:hint="eastAsia" w:ascii="宋体" w:hAnsi="宋体" w:cs="宋体"/>
          <w:b/>
          <w:bCs/>
          <w:color w:val="000000"/>
          <w:szCs w:val="21"/>
          <w:highlight w:val="none"/>
          <w:u w:val="single"/>
        </w:rPr>
        <w:t>11.4.1投标人认为应提供的其他定标资料（如有）。</w:t>
      </w:r>
    </w:p>
    <w:p w14:paraId="55B4C48C">
      <w:pPr>
        <w:pBdr>
          <w:bottom w:val="single" w:color="auto" w:sz="6" w:space="1"/>
        </w:pBdr>
        <w:adjustRightInd w:val="0"/>
        <w:spacing w:line="360" w:lineRule="auto"/>
        <w:ind w:firstLine="422" w:firstLineChars="200"/>
        <w:textAlignment w:val="baseline"/>
        <w:rPr>
          <w:rFonts w:hint="eastAsia" w:ascii="宋体" w:hAnsi="宋体" w:cs="宋体"/>
          <w:b/>
          <w:bCs/>
          <w:color w:val="000000"/>
          <w:szCs w:val="21"/>
          <w:highlight w:val="none"/>
        </w:rPr>
      </w:pPr>
      <w:r>
        <w:rPr>
          <w:rFonts w:hint="eastAsia" w:ascii="宋体" w:hAnsi="宋体" w:cs="宋体"/>
          <w:b/>
          <w:bCs/>
          <w:color w:val="000000"/>
          <w:szCs w:val="21"/>
          <w:highlight w:val="none"/>
          <w:u w:val="single"/>
        </w:rPr>
        <w:t>注：定标文件的递交时间和形式由投标人按照投标须知前附表第18项所规定的时间及本须知第18条的相关要求执行。</w:t>
      </w:r>
    </w:p>
    <w:p w14:paraId="6834D5BE">
      <w:pPr>
        <w:adjustRightInd w:val="0"/>
        <w:snapToGrid w:val="0"/>
        <w:spacing w:line="360" w:lineRule="auto"/>
        <w:ind w:firstLine="472" w:firstLineChars="224"/>
        <w:textAlignment w:val="baseline"/>
        <w:rPr>
          <w:rFonts w:ascii="宋体" w:hAnsi="宋体" w:cs="宋体"/>
          <w:b/>
          <w:color w:val="auto"/>
          <w:szCs w:val="21"/>
          <w:highlight w:val="none"/>
        </w:rPr>
      </w:pPr>
      <w:r>
        <w:rPr>
          <w:rFonts w:hint="eastAsia" w:ascii="宋体" w:hAnsi="宋体" w:cs="宋体"/>
          <w:b/>
          <w:color w:val="auto"/>
          <w:szCs w:val="21"/>
          <w:highlight w:val="none"/>
        </w:rPr>
        <w:t>条款号：12.2                       修改类型：修改</w:t>
      </w:r>
    </w:p>
    <w:p w14:paraId="16B11249">
      <w:pPr>
        <w:adjustRightInd w:val="0"/>
        <w:snapToGrid w:val="0"/>
        <w:spacing w:line="360" w:lineRule="auto"/>
        <w:ind w:firstLine="472" w:firstLineChars="224"/>
        <w:textAlignment w:val="baseline"/>
        <w:rPr>
          <w:rFonts w:ascii="宋体" w:hAnsi="宋体" w:cs="宋体"/>
          <w:bCs/>
          <w:color w:val="auto"/>
          <w:kern w:val="0"/>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12.2</w:t>
      </w:r>
      <w:r>
        <w:rPr>
          <w:rFonts w:hint="eastAsia" w:ascii="宋体" w:hAnsi="宋体" w:cs="宋体"/>
          <w:bCs/>
          <w:color w:val="auto"/>
          <w:kern w:val="0"/>
          <w:szCs w:val="21"/>
          <w:highlight w:val="none"/>
        </w:rPr>
        <w:t>投标文件全部采用电子文档，投标文件所附证书证件均为原件扫描件，并采用单位数字证书，对投标文件加盖电子印章。投标文件中需个人签字或盖章的，应加盖个人电子印章或在线下完成后扫描上传。按照交易平台关于全流程电子化项目的相关指南进行操作。详见：</w:t>
      </w:r>
      <w:r>
        <w:rPr>
          <w:rFonts w:hint="eastAsia" w:ascii="宋体" w:hAnsi="宋体" w:cs="宋体"/>
          <w:bCs/>
          <w:color w:val="auto"/>
          <w:kern w:val="0"/>
          <w:szCs w:val="21"/>
          <w:highlight w:val="none"/>
          <w:u w:val="single"/>
        </w:rPr>
        <w:t xml:space="preserve">        </w:t>
      </w:r>
      <w:r>
        <w:rPr>
          <w:rFonts w:hint="eastAsia" w:ascii="宋体" w:hAnsi="宋体" w:cs="宋体"/>
          <w:bCs/>
          <w:color w:val="auto"/>
          <w:kern w:val="0"/>
          <w:szCs w:val="21"/>
          <w:highlight w:val="none"/>
        </w:rPr>
        <w:t>。</w:t>
      </w:r>
    </w:p>
    <w:p w14:paraId="3382EA2D">
      <w:pPr>
        <w:pBdr>
          <w:bottom w:val="single" w:color="auto" w:sz="6" w:space="1"/>
        </w:pBdr>
        <w:adjustRightInd w:val="0"/>
        <w:snapToGrid w:val="0"/>
        <w:spacing w:line="360" w:lineRule="auto"/>
        <w:ind w:firstLine="525" w:firstLineChars="250"/>
        <w:textAlignment w:val="baseline"/>
        <w:rPr>
          <w:rFonts w:ascii="宋体" w:hAnsi="宋体" w:cs="宋体"/>
          <w:bCs/>
          <w:color w:val="auto"/>
          <w:szCs w:val="21"/>
          <w:highlight w:val="none"/>
        </w:rPr>
      </w:pPr>
      <w:r>
        <w:rPr>
          <w:rFonts w:hint="eastAsia" w:ascii="宋体" w:hAnsi="宋体" w:cs="宋体"/>
          <w:bCs/>
          <w:color w:val="auto"/>
          <w:szCs w:val="21"/>
          <w:highlight w:val="none"/>
        </w:rPr>
        <w:t>注释：投标文件电子文档需要投标人单位盖章的材料，投标人加盖电子印章即可，不得将投标人未对电子文档加盖实物印章作为否决投标的情形。</w:t>
      </w:r>
    </w:p>
    <w:p w14:paraId="12990677">
      <w:pPr>
        <w:pBdr>
          <w:bottom w:val="single" w:color="auto" w:sz="6" w:space="1"/>
        </w:pBdr>
        <w:adjustRightInd w:val="0"/>
        <w:snapToGrid w:val="0"/>
        <w:spacing w:line="360" w:lineRule="auto"/>
        <w:ind w:firstLine="527" w:firstLineChars="250"/>
        <w:textAlignment w:val="baseline"/>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12.2</w:t>
      </w:r>
      <w:r>
        <w:rPr>
          <w:rFonts w:hint="eastAsia" w:ascii="宋体" w:hAnsi="宋体" w:cs="宋体"/>
          <w:b/>
          <w:bCs/>
          <w:color w:val="auto"/>
          <w:szCs w:val="21"/>
          <w:highlight w:val="none"/>
          <w:u w:val="single"/>
        </w:rPr>
        <w:t>投标人应仔细阅读招标文件第四章投标文件格式的相关规定和要求。</w:t>
      </w:r>
      <w:r>
        <w:rPr>
          <w:rFonts w:hint="eastAsia" w:ascii="宋体" w:hAnsi="宋体" w:cs="宋体"/>
          <w:color w:val="auto"/>
          <w:szCs w:val="21"/>
          <w:highlight w:val="none"/>
        </w:rPr>
        <w:t>投标文件全部采用电子文档，投标文件所附证书证件均为扫描件或电子证照，并采用单位数字证书，对投标文件加盖电子印章。投标文件中需个人签字或盖章的，应加盖个人电子印章或在线下完成后原件扫描上传。按照</w:t>
      </w:r>
      <w:r>
        <w:rPr>
          <w:rFonts w:hint="eastAsia" w:ascii="宋体" w:hAnsi="宋体" w:cs="宋体"/>
          <w:b/>
          <w:bCs w:val="0"/>
          <w:color w:val="auto"/>
          <w:szCs w:val="21"/>
          <w:highlight w:val="none"/>
          <w:u w:val="single"/>
        </w:rPr>
        <w:t>广州交易集团有限公司（广州公共资源交易中心）</w:t>
      </w:r>
      <w:r>
        <w:rPr>
          <w:rFonts w:hint="eastAsia" w:ascii="宋体" w:hAnsi="宋体" w:cs="宋体"/>
          <w:color w:val="auto"/>
          <w:szCs w:val="21"/>
          <w:highlight w:val="none"/>
        </w:rPr>
        <w:t>交易平台关于全流程电子化项目的相关指南进行操作。详见：</w:t>
      </w:r>
      <w:r>
        <w:rPr>
          <w:rFonts w:hint="eastAsia" w:ascii="宋体" w:hAnsi="宋体" w:cs="宋体"/>
          <w:b/>
          <w:bCs/>
          <w:color w:val="auto"/>
          <w:szCs w:val="21"/>
          <w:highlight w:val="none"/>
          <w:u w:val="single"/>
        </w:rPr>
        <w:t>广州交易集团有限公司（广州公共资源交易中心）网站最新指引</w:t>
      </w:r>
      <w:r>
        <w:rPr>
          <w:rFonts w:hint="eastAsia" w:ascii="宋体" w:hAnsi="宋体" w:cs="宋体"/>
          <w:b/>
          <w:bCs/>
          <w:color w:val="auto"/>
          <w:szCs w:val="21"/>
          <w:highlight w:val="none"/>
        </w:rPr>
        <w:t>。</w:t>
      </w:r>
    </w:p>
    <w:p w14:paraId="4AACE6D1">
      <w:pPr>
        <w:pBdr>
          <w:bottom w:val="single" w:color="auto" w:sz="6" w:space="1"/>
        </w:pBdr>
        <w:adjustRightInd w:val="0"/>
        <w:snapToGrid w:val="0"/>
        <w:spacing w:line="360" w:lineRule="auto"/>
        <w:ind w:firstLine="525" w:firstLineChars="250"/>
        <w:textAlignment w:val="baseline"/>
        <w:rPr>
          <w:rFonts w:ascii="宋体" w:hAnsi="宋体" w:cs="宋体"/>
          <w:b/>
          <w:color w:val="auto"/>
          <w:szCs w:val="21"/>
          <w:highlight w:val="none"/>
        </w:rPr>
      </w:pPr>
      <w:r>
        <w:rPr>
          <w:rFonts w:hint="eastAsia" w:ascii="宋体" w:hAnsi="宋体" w:cs="宋体"/>
          <w:color w:val="auto"/>
          <w:szCs w:val="21"/>
          <w:highlight w:val="none"/>
        </w:rPr>
        <w:t>注释：投标文件电子文档需要投标人单位盖章的材料，投标人加盖电子印章即可，不得将投标人未对电子文档加盖实物印章作为否决投标的情形。</w:t>
      </w:r>
    </w:p>
    <w:p w14:paraId="3B425D33">
      <w:pPr>
        <w:adjustRightInd w:val="0"/>
        <w:snapToGrid w:val="0"/>
        <w:spacing w:line="360" w:lineRule="auto"/>
        <w:ind w:firstLine="422" w:firstLineChars="200"/>
        <w:textAlignment w:val="baseline"/>
        <w:rPr>
          <w:rFonts w:ascii="宋体" w:hAnsi="宋体" w:cs="宋体"/>
          <w:b/>
          <w:color w:val="auto"/>
          <w:szCs w:val="21"/>
          <w:highlight w:val="none"/>
        </w:rPr>
      </w:pPr>
      <w:r>
        <w:rPr>
          <w:rFonts w:hint="eastAsia" w:ascii="宋体" w:hAnsi="宋体" w:cs="宋体"/>
          <w:b/>
          <w:color w:val="auto"/>
          <w:szCs w:val="21"/>
          <w:highlight w:val="none"/>
        </w:rPr>
        <w:t>条款号：12.3                       修改类型：修改</w:t>
      </w:r>
    </w:p>
    <w:p w14:paraId="6CBE628D">
      <w:pPr>
        <w:adjustRightInd w:val="0"/>
        <w:snapToGrid w:val="0"/>
        <w:spacing w:line="360" w:lineRule="auto"/>
        <w:ind w:firstLine="422" w:firstLineChars="200"/>
        <w:textAlignment w:val="baseline"/>
        <w:rPr>
          <w:rFonts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 xml:space="preserve">12.3 </w:t>
      </w:r>
      <w:r>
        <w:rPr>
          <w:rFonts w:hint="eastAsia" w:ascii="宋体" w:hAnsi="宋体" w:cs="宋体"/>
          <w:bCs/>
          <w:color w:val="auto"/>
          <w:szCs w:val="21"/>
          <w:highlight w:val="none"/>
        </w:rPr>
        <w:t>投标文件应按</w:t>
      </w:r>
      <w:r>
        <w:rPr>
          <w:rFonts w:hint="eastAsia" w:ascii="宋体" w:hAnsi="宋体" w:cs="宋体"/>
          <w:color w:val="auto"/>
          <w:szCs w:val="21"/>
          <w:highlight w:val="none"/>
        </w:rPr>
        <w:t>照交易平台关于全流程电子化项目的相关指南进行编制，详见：</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7BEB8DDF">
      <w:pPr>
        <w:pBdr>
          <w:bottom w:val="single" w:color="auto" w:sz="6" w:space="1"/>
        </w:pBdr>
        <w:adjustRightInd w:val="0"/>
        <w:snapToGrid w:val="0"/>
        <w:spacing w:line="360" w:lineRule="auto"/>
        <w:ind w:firstLine="420" w:firstLineChars="200"/>
        <w:textAlignment w:val="baseline"/>
        <w:rPr>
          <w:rFonts w:ascii="宋体" w:hAnsi="宋体" w:cs="宋体"/>
          <w:b/>
          <w:color w:val="auto"/>
          <w:szCs w:val="21"/>
          <w:highlight w:val="none"/>
        </w:rPr>
      </w:pPr>
      <w:r>
        <w:rPr>
          <w:rFonts w:hint="eastAsia" w:ascii="宋体" w:hAnsi="宋体" w:cs="宋体"/>
          <w:bCs/>
          <w:color w:val="auto"/>
          <w:szCs w:val="21"/>
          <w:highlight w:val="none"/>
        </w:rPr>
        <w:t>如不按上述要求编制引起系统无法检索、读取相关信息的，其后果由投标人承担</w:t>
      </w:r>
      <w:r>
        <w:rPr>
          <w:rFonts w:hint="eastAsia" w:ascii="宋体" w:hAnsi="宋体" w:cs="宋体"/>
          <w:color w:val="auto"/>
          <w:szCs w:val="21"/>
          <w:highlight w:val="none"/>
        </w:rPr>
        <w:t>。</w:t>
      </w:r>
    </w:p>
    <w:p w14:paraId="064D6972">
      <w:pPr>
        <w:pBdr>
          <w:bottom w:val="single" w:color="auto" w:sz="6" w:space="1"/>
        </w:pBdr>
        <w:adjustRightInd w:val="0"/>
        <w:snapToGrid w:val="0"/>
        <w:spacing w:line="360" w:lineRule="auto"/>
        <w:ind w:firstLine="422" w:firstLineChars="200"/>
        <w:textAlignment w:val="baseline"/>
        <w:rPr>
          <w:rFonts w:ascii="宋体" w:hAnsi="宋体" w:cs="宋体"/>
          <w:b/>
          <w:color w:val="auto"/>
          <w:szCs w:val="21"/>
          <w:highlight w:val="none"/>
          <w:u w:val="single"/>
        </w:rPr>
      </w:pPr>
      <w:r>
        <w:rPr>
          <w:rFonts w:hint="eastAsia" w:ascii="宋体" w:hAnsi="宋体" w:cs="宋体"/>
          <w:b/>
          <w:color w:val="auto"/>
          <w:szCs w:val="21"/>
          <w:highlight w:val="none"/>
        </w:rPr>
        <w:t>现文：</w:t>
      </w:r>
      <w:r>
        <w:rPr>
          <w:rFonts w:hint="eastAsia" w:ascii="宋体" w:hAnsi="宋体" w:cs="宋体"/>
          <w:color w:val="auto"/>
          <w:szCs w:val="21"/>
          <w:highlight w:val="none"/>
        </w:rPr>
        <w:t>12.3</w:t>
      </w:r>
      <w:r>
        <w:rPr>
          <w:rFonts w:hint="eastAsia" w:ascii="宋体" w:hAnsi="宋体" w:cs="宋体"/>
          <w:bCs/>
          <w:color w:val="auto"/>
          <w:szCs w:val="21"/>
          <w:highlight w:val="none"/>
        </w:rPr>
        <w:t>投标文件应按</w:t>
      </w:r>
      <w:r>
        <w:rPr>
          <w:rFonts w:hint="eastAsia" w:ascii="宋体" w:hAnsi="宋体" w:cs="宋体"/>
          <w:color w:val="auto"/>
          <w:szCs w:val="21"/>
          <w:highlight w:val="none"/>
        </w:rPr>
        <w:t>照</w:t>
      </w:r>
      <w:r>
        <w:rPr>
          <w:rFonts w:hint="eastAsia" w:ascii="宋体" w:hAnsi="宋体" w:cs="宋体"/>
          <w:b/>
          <w:bCs w:val="0"/>
          <w:color w:val="auto"/>
          <w:szCs w:val="21"/>
          <w:highlight w:val="none"/>
          <w:u w:val="single"/>
        </w:rPr>
        <w:t>广州交易集团有限公司（广州公共资源交易中心）</w:t>
      </w:r>
      <w:r>
        <w:rPr>
          <w:rFonts w:hint="eastAsia" w:ascii="宋体" w:hAnsi="宋体" w:cs="宋体"/>
          <w:color w:val="auto"/>
          <w:szCs w:val="21"/>
          <w:highlight w:val="none"/>
        </w:rPr>
        <w:t>交易平台关于全流程电子化项目的相关指南进行编制，详见：</w:t>
      </w:r>
      <w:r>
        <w:rPr>
          <w:rFonts w:hint="eastAsia" w:ascii="宋体" w:hAnsi="宋体" w:cs="宋体"/>
          <w:b/>
          <w:bCs w:val="0"/>
          <w:color w:val="auto"/>
          <w:szCs w:val="21"/>
          <w:highlight w:val="none"/>
          <w:u w:val="single"/>
        </w:rPr>
        <w:t>广州交易集团有限公司（广州公共资源交易中心）网站最新指引。请各投标</w:t>
      </w:r>
      <w:r>
        <w:rPr>
          <w:rFonts w:hint="eastAsia" w:ascii="宋体" w:hAnsi="宋体" w:cs="宋体"/>
          <w:b/>
          <w:color w:val="auto"/>
          <w:szCs w:val="21"/>
          <w:highlight w:val="none"/>
          <w:u w:val="single"/>
        </w:rPr>
        <w:t>单位在投标系统上传投标文件时，要把资审文件、技术文件、经济文件等内容，分别上传至投标系统内对应的文件夹中，不要上传到定标文件夹中。定标文件夹中只上传定标文件。</w:t>
      </w:r>
      <w:r>
        <w:rPr>
          <w:rFonts w:ascii="宋体" w:hAnsi="宋体" w:cs="宋体"/>
          <w:b/>
          <w:color w:val="auto"/>
          <w:szCs w:val="21"/>
          <w:highlight w:val="none"/>
          <w:u w:val="single"/>
        </w:rPr>
        <w:t xml:space="preserve"> </w:t>
      </w:r>
    </w:p>
    <w:p w14:paraId="68E468CE">
      <w:pPr>
        <w:pBdr>
          <w:bottom w:val="single" w:color="auto" w:sz="6" w:space="1"/>
        </w:pBdr>
        <w:adjustRightInd w:val="0"/>
        <w:snapToGrid w:val="0"/>
        <w:spacing w:line="360" w:lineRule="auto"/>
        <w:ind w:firstLine="422" w:firstLineChars="200"/>
        <w:textAlignment w:val="baseline"/>
        <w:rPr>
          <w:rFonts w:ascii="宋体" w:hAnsi="宋体" w:cs="宋体"/>
          <w:color w:val="auto"/>
          <w:szCs w:val="21"/>
          <w:highlight w:val="none"/>
        </w:rPr>
      </w:pPr>
      <w:r>
        <w:rPr>
          <w:rFonts w:hint="eastAsia" w:ascii="宋体" w:hAnsi="宋体" w:cs="宋体"/>
          <w:b/>
          <w:color w:val="auto"/>
          <w:szCs w:val="21"/>
          <w:highlight w:val="none"/>
          <w:u w:val="single"/>
        </w:rPr>
        <w:t>注</w:t>
      </w:r>
      <w:r>
        <w:rPr>
          <w:rFonts w:ascii="宋体" w:hAnsi="宋体" w:cs="宋体"/>
          <w:b/>
          <w:color w:val="auto"/>
          <w:szCs w:val="21"/>
          <w:highlight w:val="none"/>
          <w:u w:val="single"/>
        </w:rPr>
        <w:t>:投标单位提交的定标文件在评标阶段不对评标委员会公开，由交易中心系统对定标文件进行加密处理</w:t>
      </w:r>
      <w:r>
        <w:rPr>
          <w:rFonts w:hint="eastAsia" w:ascii="宋体" w:hAnsi="宋体" w:cs="宋体"/>
          <w:b/>
          <w:color w:val="auto"/>
          <w:szCs w:val="21"/>
          <w:highlight w:val="none"/>
          <w:u w:val="single"/>
        </w:rPr>
        <w:t>；评标委员会不对定标文件进行评审，因投标人未按招标文件要求提供规定的资料，而未能通过资格审查</w:t>
      </w:r>
      <w:r>
        <w:rPr>
          <w:rFonts w:ascii="宋体" w:hAnsi="宋体" w:cs="宋体"/>
          <w:b/>
          <w:color w:val="auto"/>
          <w:szCs w:val="21"/>
          <w:highlight w:val="none"/>
          <w:u w:val="single"/>
        </w:rPr>
        <w:t>(或技术标有效性审查或经济标有效性审查)或影响评分的后果由投标人自行承担。</w:t>
      </w:r>
    </w:p>
    <w:p w14:paraId="66692ED0">
      <w:pPr>
        <w:pBdr>
          <w:bottom w:val="single" w:color="auto" w:sz="6" w:space="1"/>
        </w:pBdr>
        <w:adjustRightInd w:val="0"/>
        <w:snapToGrid w:val="0"/>
        <w:spacing w:line="360" w:lineRule="auto"/>
        <w:ind w:firstLine="420" w:firstLineChars="200"/>
        <w:textAlignment w:val="baseline"/>
        <w:rPr>
          <w:rFonts w:ascii="宋体" w:hAnsi="宋体" w:cs="宋体"/>
          <w:b/>
          <w:color w:val="auto"/>
          <w:szCs w:val="21"/>
          <w:highlight w:val="none"/>
        </w:rPr>
      </w:pPr>
      <w:r>
        <w:rPr>
          <w:rFonts w:hint="eastAsia" w:ascii="宋体" w:hAnsi="宋体" w:cs="宋体"/>
          <w:bCs/>
          <w:color w:val="auto"/>
          <w:szCs w:val="21"/>
          <w:highlight w:val="none"/>
        </w:rPr>
        <w:t>如不按上述要求编制引起系统无法检索、读取相关信息的，其后果由投标人承担</w:t>
      </w:r>
      <w:r>
        <w:rPr>
          <w:rFonts w:hint="eastAsia" w:ascii="宋体" w:hAnsi="宋体" w:cs="宋体"/>
          <w:color w:val="auto"/>
          <w:szCs w:val="21"/>
          <w:highlight w:val="none"/>
        </w:rPr>
        <w:t>。</w:t>
      </w:r>
    </w:p>
    <w:p w14:paraId="07B6AEBD">
      <w:pPr>
        <w:adjustRightInd w:val="0"/>
        <w:snapToGrid w:val="0"/>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条款号：13.1                        修改类型：修改</w:t>
      </w:r>
    </w:p>
    <w:p w14:paraId="2C60F00E">
      <w:pPr>
        <w:pBdr>
          <w:bottom w:val="single" w:color="auto" w:sz="6" w:space="1"/>
        </w:pBdr>
        <w:adjustRightInd w:val="0"/>
        <w:snapToGrid w:val="0"/>
        <w:spacing w:line="360" w:lineRule="auto"/>
        <w:ind w:firstLine="472" w:firstLineChars="224"/>
        <w:rPr>
          <w:rFonts w:ascii="宋体" w:hAnsi="宋体" w:cs="宋体"/>
          <w:color w:val="auto"/>
          <w:szCs w:val="21"/>
          <w:highlight w:val="none"/>
          <w:u w:val="single"/>
        </w:rPr>
      </w:pPr>
      <w:r>
        <w:rPr>
          <w:rFonts w:hint="eastAsia" w:ascii="宋体" w:hAnsi="宋体" w:cs="宋体"/>
          <w:b/>
          <w:color w:val="auto"/>
          <w:szCs w:val="21"/>
          <w:highlight w:val="none"/>
        </w:rPr>
        <w:t>原文：</w:t>
      </w:r>
      <w:r>
        <w:rPr>
          <w:rFonts w:hint="eastAsia" w:ascii="宋体" w:hAnsi="宋体" w:cs="宋体"/>
          <w:color w:val="auto"/>
          <w:szCs w:val="21"/>
          <w:highlight w:val="none"/>
        </w:rPr>
        <w:t>13.1本工程的投标报价采用投标须知前附表第12项所规定的方式。投标报价（含单价及总价）精确到“分”。</w:t>
      </w:r>
    </w:p>
    <w:p w14:paraId="12886DA9">
      <w:pPr>
        <w:pBdr>
          <w:bottom w:val="single" w:color="auto" w:sz="6" w:space="1"/>
        </w:pBdr>
        <w:adjustRightInd w:val="0"/>
        <w:snapToGrid w:val="0"/>
        <w:spacing w:line="360" w:lineRule="auto"/>
        <w:ind w:firstLine="472" w:firstLineChars="224"/>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13.1 本工程的投标报价采用投标须知前附表第12项所规定的方式。</w:t>
      </w:r>
      <w:r>
        <w:rPr>
          <w:rFonts w:hint="eastAsia" w:ascii="宋体" w:hAnsi="宋体" w:cs="宋体"/>
          <w:b/>
          <w:bCs/>
          <w:color w:val="auto"/>
          <w:szCs w:val="21"/>
          <w:highlight w:val="none"/>
          <w:u w:val="single"/>
        </w:rPr>
        <w:t>投标文件中的大写金额和小写金额不一致的，以大写金额为准。</w:t>
      </w:r>
      <w:r>
        <w:rPr>
          <w:rFonts w:hint="eastAsia" w:ascii="宋体" w:hAnsi="宋体" w:cs="宋体"/>
          <w:color w:val="auto"/>
          <w:szCs w:val="21"/>
          <w:highlight w:val="none"/>
        </w:rPr>
        <w:t>投标报价（含单价及总价）精确到“分”。</w:t>
      </w:r>
    </w:p>
    <w:p w14:paraId="506E9E2C">
      <w:pPr>
        <w:adjustRightInd w:val="0"/>
        <w:snapToGrid w:val="0"/>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条款号：13.3                        修改类型：修改</w:t>
      </w:r>
    </w:p>
    <w:p w14:paraId="58AF9812">
      <w:pPr>
        <w:adjustRightInd w:val="0"/>
        <w:snapToGrid w:val="0"/>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13.3投标人的投标报价，应是按照投标须知前附表第8项的工期要求，在投标须知前附表第3项的建设地点，完成投标须知前附表第7项的招标范围内已由招标人制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中有关规费、暂列金额、暂估价、绿色施工安全防护措施费等非竞争性项目明列了单价或合价的金额的，投标人应按照明列的单价或合价的金额报价，未按照规定金额报价的，由评标委员会按照招标文件规定的金额进行修正。</w:t>
      </w:r>
    </w:p>
    <w:p w14:paraId="4B0C5E7C">
      <w:pPr>
        <w:pBdr>
          <w:bottom w:val="single" w:color="auto" w:sz="6" w:space="1"/>
        </w:pBdr>
        <w:adjustRightInd w:val="0"/>
        <w:snapToGrid w:val="0"/>
        <w:spacing w:line="360" w:lineRule="auto"/>
        <w:ind w:firstLine="527" w:firstLineChars="250"/>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13.3投标人的投标报价，应是按照投标须知前附表第8项的工期要求，在投标须知前附表第3项的建设地点，完成投标须知前附表第7项的招标范围内已由招标人</w:t>
      </w:r>
      <w:r>
        <w:rPr>
          <w:rFonts w:hint="eastAsia" w:ascii="宋体" w:hAnsi="宋体" w:cs="宋体"/>
          <w:b/>
          <w:bCs/>
          <w:color w:val="auto"/>
          <w:szCs w:val="21"/>
          <w:highlight w:val="none"/>
          <w:u w:val="single"/>
        </w:rPr>
        <w:t>提供的招标图纸（包括有关于本项目招标的相关资料）</w:t>
      </w:r>
      <w:r>
        <w:rPr>
          <w:rFonts w:hint="eastAsia" w:ascii="宋体" w:hAnsi="宋体" w:cs="宋体"/>
          <w:color w:val="auto"/>
          <w:szCs w:val="21"/>
          <w:highlight w:val="none"/>
          <w:u w:val="single"/>
        </w:rPr>
        <w:t>及</w:t>
      </w:r>
      <w:r>
        <w:rPr>
          <w:rFonts w:hint="eastAsia" w:ascii="宋体" w:hAnsi="宋体" w:cs="宋体"/>
          <w:color w:val="auto"/>
          <w:szCs w:val="21"/>
          <w:highlight w:val="none"/>
        </w:rPr>
        <w:t>制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中有关规费、暂列金额、暂估价、绿色施工安全防护措施费等非竞争性项目明列了单价或合价的金额的，投标人应按照明列的单价或合价的金额报价，未按照规定金额报价的，由评标委员会按照招标文件规定的金额进行修正。</w:t>
      </w:r>
    </w:p>
    <w:p w14:paraId="1F02D00E">
      <w:pPr>
        <w:adjustRightInd w:val="0"/>
        <w:snapToGrid w:val="0"/>
        <w:spacing w:line="360" w:lineRule="auto"/>
        <w:ind w:firstLine="413" w:firstLineChars="196"/>
        <w:rPr>
          <w:rFonts w:ascii="宋体" w:hAnsi="宋体" w:cs="宋体"/>
          <w:b/>
          <w:color w:val="auto"/>
          <w:szCs w:val="21"/>
          <w:highlight w:val="none"/>
        </w:rPr>
      </w:pPr>
      <w:r>
        <w:rPr>
          <w:rFonts w:hint="eastAsia" w:ascii="宋体" w:hAnsi="宋体" w:cs="宋体"/>
          <w:b/>
          <w:color w:val="auto"/>
          <w:szCs w:val="21"/>
          <w:highlight w:val="none"/>
        </w:rPr>
        <w:t>条款号：13.4                         修改类型：修改</w:t>
      </w:r>
    </w:p>
    <w:p w14:paraId="7006294B">
      <w:pPr>
        <w:pStyle w:val="31"/>
        <w:adjustRightInd w:val="0"/>
        <w:snapToGrid w:val="0"/>
        <w:spacing w:after="0" w:line="360" w:lineRule="auto"/>
        <w:ind w:firstLine="422" w:firstLineChars="200"/>
        <w:rPr>
          <w:rFonts w:ascii="宋体" w:hAnsi="宋体" w:cs="宋体"/>
          <w:color w:val="auto"/>
          <w:sz w:val="21"/>
          <w:szCs w:val="21"/>
          <w:highlight w:val="none"/>
        </w:rPr>
      </w:pPr>
      <w:r>
        <w:rPr>
          <w:rFonts w:hint="eastAsia" w:ascii="宋体" w:hAnsi="宋体" w:cs="宋体"/>
          <w:b/>
          <w:color w:val="auto"/>
          <w:sz w:val="21"/>
          <w:szCs w:val="21"/>
          <w:highlight w:val="none"/>
        </w:rPr>
        <w:t>原文：</w:t>
      </w:r>
      <w:r>
        <w:rPr>
          <w:rFonts w:hint="eastAsia" w:ascii="宋体" w:hAnsi="宋体" w:cs="宋体"/>
          <w:color w:val="auto"/>
          <w:sz w:val="21"/>
          <w:szCs w:val="21"/>
          <w:highlight w:val="none"/>
        </w:rPr>
        <w:t>13.4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14:paraId="06B8B955">
      <w:pPr>
        <w:pBdr>
          <w:bottom w:val="single" w:color="auto" w:sz="6" w:space="1"/>
        </w:pBdr>
        <w:adjustRightInd w:val="0"/>
        <w:snapToGrid w:val="0"/>
        <w:spacing w:line="360" w:lineRule="auto"/>
        <w:ind w:firstLine="422" w:firstLineChars="200"/>
        <w:rPr>
          <w:rFonts w:ascii="宋体" w:hAnsi="宋体" w:cs="宋体"/>
          <w:b/>
          <w:bCs/>
          <w:color w:val="auto"/>
          <w:szCs w:val="21"/>
          <w:highlight w:val="none"/>
          <w:u w:val="single"/>
        </w:rPr>
      </w:pPr>
      <w:r>
        <w:rPr>
          <w:rFonts w:hint="eastAsia" w:ascii="宋体" w:hAnsi="宋体" w:cs="宋体"/>
          <w:b/>
          <w:color w:val="auto"/>
          <w:szCs w:val="21"/>
          <w:highlight w:val="none"/>
        </w:rPr>
        <w:t>现文：</w:t>
      </w:r>
      <w:r>
        <w:rPr>
          <w:rFonts w:hint="eastAsia" w:ascii="宋体" w:hAnsi="宋体" w:cs="宋体"/>
          <w:color w:val="auto"/>
          <w:szCs w:val="21"/>
          <w:highlight w:val="none"/>
        </w:rPr>
        <w:t>13.4投标人一旦中标，投标人对招标人提供的招标工程量清单中列出的工程项目所报出的综合单价</w:t>
      </w:r>
      <w:r>
        <w:rPr>
          <w:rFonts w:hint="eastAsia" w:ascii="宋体" w:hAnsi="宋体" w:cs="宋体"/>
          <w:b/>
          <w:bCs/>
          <w:color w:val="auto"/>
          <w:szCs w:val="21"/>
          <w:highlight w:val="none"/>
          <w:u w:val="single"/>
        </w:rPr>
        <w:t>和措施项目费（措施项目费必须单列，没有单独列出的，视为已经包含在投标报价中）。</w:t>
      </w:r>
    </w:p>
    <w:p w14:paraId="59A9FB5E">
      <w:pPr>
        <w:adjustRightInd w:val="0"/>
        <w:snapToGrid w:val="0"/>
        <w:spacing w:line="360" w:lineRule="auto"/>
        <w:ind w:firstLine="413" w:firstLineChars="196"/>
        <w:rPr>
          <w:rFonts w:ascii="宋体" w:hAnsi="宋体" w:cs="宋体"/>
          <w:b/>
          <w:color w:val="auto"/>
          <w:szCs w:val="21"/>
          <w:highlight w:val="none"/>
        </w:rPr>
      </w:pPr>
      <w:r>
        <w:rPr>
          <w:rFonts w:hint="eastAsia" w:ascii="宋体" w:hAnsi="宋体" w:cs="宋体"/>
          <w:b/>
          <w:color w:val="auto"/>
          <w:szCs w:val="21"/>
          <w:highlight w:val="none"/>
        </w:rPr>
        <w:t>条款号：13.5                         修改类型：修改</w:t>
      </w:r>
    </w:p>
    <w:p w14:paraId="6F2A599C">
      <w:pPr>
        <w:pStyle w:val="31"/>
        <w:adjustRightInd w:val="0"/>
        <w:snapToGrid w:val="0"/>
        <w:spacing w:after="0" w:line="360" w:lineRule="auto"/>
        <w:ind w:firstLine="422" w:firstLineChars="200"/>
        <w:rPr>
          <w:rFonts w:ascii="宋体" w:hAnsi="宋体" w:cs="宋体"/>
          <w:color w:val="auto"/>
          <w:sz w:val="21"/>
          <w:szCs w:val="21"/>
          <w:highlight w:val="none"/>
        </w:rPr>
      </w:pPr>
      <w:r>
        <w:rPr>
          <w:rFonts w:hint="eastAsia" w:ascii="宋体" w:hAnsi="宋体" w:cs="宋体"/>
          <w:b/>
          <w:color w:val="auto"/>
          <w:sz w:val="21"/>
          <w:szCs w:val="21"/>
          <w:highlight w:val="none"/>
        </w:rPr>
        <w:t>原文：</w:t>
      </w:r>
      <w:r>
        <w:rPr>
          <w:rFonts w:hint="eastAsia" w:ascii="宋体" w:hAnsi="宋体" w:cs="宋体"/>
          <w:color w:val="auto"/>
          <w:sz w:val="21"/>
          <w:szCs w:val="21"/>
          <w:highlight w:val="none"/>
        </w:rPr>
        <w:t>13.5工程项目实施期间和结算时，招标文件工程量清单中漏列而由监理单位和招标人现场签证确认的工程项目、原设计没有而由招标人批准设计变更产生的工程项目，视为新增项目，按以下顺序确定价格：</w:t>
      </w:r>
    </w:p>
    <w:p w14:paraId="24370FDF">
      <w:pPr>
        <w:pStyle w:val="31"/>
        <w:adjustRightInd w:val="0"/>
        <w:snapToGrid w:val="0"/>
        <w:spacing w:after="0" w:line="360" w:lineRule="auto"/>
        <w:ind w:firstLineChars="200"/>
        <w:rPr>
          <w:rFonts w:ascii="宋体" w:hAnsi="宋体" w:cs="宋体"/>
          <w:color w:val="auto"/>
          <w:sz w:val="21"/>
          <w:szCs w:val="21"/>
          <w:highlight w:val="none"/>
        </w:rPr>
      </w:pPr>
      <w:r>
        <w:rPr>
          <w:rFonts w:hint="eastAsia" w:ascii="宋体" w:hAnsi="宋体" w:cs="宋体"/>
          <w:color w:val="auto"/>
          <w:sz w:val="21"/>
          <w:szCs w:val="21"/>
          <w:highlight w:val="none"/>
        </w:rPr>
        <w:t>13.5.1中标的投标文件工程量清单中已有相同项目的适用综合单价，则沿用；</w:t>
      </w:r>
    </w:p>
    <w:p w14:paraId="106C9A0E">
      <w:pPr>
        <w:pStyle w:val="31"/>
        <w:adjustRightInd w:val="0"/>
        <w:snapToGrid w:val="0"/>
        <w:spacing w:after="0" w:line="360" w:lineRule="auto"/>
        <w:ind w:firstLineChars="200"/>
        <w:rPr>
          <w:rFonts w:ascii="宋体" w:hAnsi="宋体" w:cs="宋体"/>
          <w:color w:val="auto"/>
          <w:sz w:val="21"/>
          <w:szCs w:val="21"/>
          <w:highlight w:val="none"/>
        </w:rPr>
      </w:pPr>
      <w:r>
        <w:rPr>
          <w:rFonts w:hint="eastAsia" w:ascii="宋体" w:hAnsi="宋体" w:cs="宋体"/>
          <w:color w:val="auto"/>
          <w:sz w:val="21"/>
          <w:szCs w:val="21"/>
          <w:highlight w:val="none"/>
        </w:rPr>
        <w:t>13.5.2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按广州市造价管理站同期《广州地区建设工程常用材料税前综合价格》计算，《广州地区建设工程常用材料税前综合价格》没有的材料单价，由招标人在招标文件中依法确定计价方式。</w:t>
      </w:r>
    </w:p>
    <w:p w14:paraId="04148A55">
      <w:pPr>
        <w:pStyle w:val="31"/>
        <w:adjustRightInd w:val="0"/>
        <w:snapToGrid w:val="0"/>
        <w:spacing w:after="0" w:line="360" w:lineRule="auto"/>
        <w:ind w:firstLineChars="200"/>
        <w:rPr>
          <w:rFonts w:ascii="宋体" w:hAnsi="宋体" w:cs="宋体"/>
          <w:color w:val="auto"/>
          <w:sz w:val="21"/>
          <w:szCs w:val="21"/>
          <w:highlight w:val="none"/>
        </w:rPr>
      </w:pPr>
      <w:r>
        <w:rPr>
          <w:rFonts w:hint="eastAsia" w:ascii="宋体" w:hAnsi="宋体" w:cs="宋体"/>
          <w:color w:val="auto"/>
          <w:sz w:val="21"/>
          <w:szCs w:val="21"/>
          <w:highlight w:val="none"/>
        </w:rPr>
        <w:t>13.5.3 中标的投标文件工程量清单中没有相同项目或类似项目的，如可套取相关定额，则以相关定额为基数下浮计算单价,下浮率为中标价相对于最高投标限价的下浮率（下浮率=(最高投标限价-中标价)/ 最高投标限价）。</w:t>
      </w:r>
    </w:p>
    <w:p w14:paraId="668F2FFF">
      <w:pPr>
        <w:adjustRightInd w:val="0"/>
        <w:snapToGrid w:val="0"/>
        <w:spacing w:line="360" w:lineRule="auto"/>
        <w:ind w:firstLine="411" w:firstLineChars="196"/>
        <w:rPr>
          <w:rFonts w:ascii="宋体" w:hAnsi="宋体" w:cs="宋体"/>
          <w:color w:val="auto"/>
          <w:szCs w:val="21"/>
          <w:highlight w:val="none"/>
        </w:rPr>
      </w:pPr>
      <w:r>
        <w:rPr>
          <w:rFonts w:hint="eastAsia" w:ascii="宋体" w:hAnsi="宋体" w:cs="宋体"/>
          <w:color w:val="auto"/>
          <w:szCs w:val="21"/>
          <w:highlight w:val="none"/>
        </w:rPr>
        <w:t>13.5.4 如相关定额没有相应子目的，其计价方式由招标人在本招标文件第三章中另行规定。未规定的，中标后双方协商约定。</w:t>
      </w:r>
    </w:p>
    <w:p w14:paraId="60D31D66">
      <w:pPr>
        <w:adjustRightInd w:val="0"/>
        <w:snapToGrid w:val="0"/>
        <w:spacing w:line="360" w:lineRule="auto"/>
        <w:ind w:firstLine="413" w:firstLineChars="196"/>
        <w:rPr>
          <w:rFonts w:ascii="宋体" w:hAnsi="宋体" w:cs="宋体"/>
          <w:b/>
          <w:color w:val="auto"/>
          <w:szCs w:val="21"/>
          <w:highlight w:val="none"/>
          <w:u w:val="single"/>
        </w:rPr>
      </w:pPr>
      <w:r>
        <w:rPr>
          <w:rFonts w:hint="eastAsia" w:ascii="宋体" w:hAnsi="宋体" w:cs="宋体"/>
          <w:b/>
          <w:color w:val="auto"/>
          <w:szCs w:val="21"/>
          <w:highlight w:val="none"/>
        </w:rPr>
        <w:t>现文：</w:t>
      </w:r>
      <w:r>
        <w:rPr>
          <w:rFonts w:hint="eastAsia" w:ascii="宋体" w:hAnsi="宋体" w:cs="宋体"/>
          <w:b/>
          <w:bCs/>
          <w:color w:val="auto"/>
          <w:szCs w:val="21"/>
          <w:highlight w:val="none"/>
        </w:rPr>
        <w:t>13.5变更结算方式按招标文件及施工合同相关规定执行。</w:t>
      </w:r>
    </w:p>
    <w:p w14:paraId="12390FC1">
      <w:pPr>
        <w:pBdr>
          <w:top w:val="single" w:color="auto" w:sz="4" w:space="1"/>
        </w:pBdr>
        <w:adjustRightInd w:val="0"/>
        <w:snapToGrid w:val="0"/>
        <w:spacing w:line="360" w:lineRule="auto"/>
        <w:ind w:firstLine="413" w:firstLineChars="196"/>
        <w:rPr>
          <w:rFonts w:ascii="宋体" w:hAnsi="宋体" w:cs="宋体"/>
          <w:b/>
          <w:color w:val="auto"/>
          <w:szCs w:val="21"/>
          <w:highlight w:val="none"/>
        </w:rPr>
      </w:pPr>
      <w:r>
        <w:rPr>
          <w:rFonts w:hint="eastAsia" w:ascii="宋体" w:hAnsi="宋体" w:cs="宋体"/>
          <w:b/>
          <w:color w:val="auto"/>
          <w:szCs w:val="21"/>
          <w:highlight w:val="none"/>
        </w:rPr>
        <w:t>条款号：13.6.2                      修改类型：修改</w:t>
      </w:r>
    </w:p>
    <w:p w14:paraId="74AE6137">
      <w:pPr>
        <w:adjustRightInd w:val="0"/>
        <w:snapToGrid w:val="0"/>
        <w:spacing w:line="360" w:lineRule="auto"/>
        <w:ind w:firstLine="413" w:firstLineChars="196"/>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13.6.2在工程实施中，暂列金额、暂估价所包含的工作范围和图纸、标准深化固定后，按照工程专业、设备、材料类别等分类汇总的金额，达到法定招标范围标准的，应由招标人同中标人联合招标，确定承包人和承包价格。</w:t>
      </w:r>
    </w:p>
    <w:p w14:paraId="3B193AD4">
      <w:pPr>
        <w:pBdr>
          <w:bottom w:val="single" w:color="auto" w:sz="6" w:space="1"/>
        </w:pBdr>
        <w:adjustRightInd w:val="0"/>
        <w:snapToGrid w:val="0"/>
        <w:spacing w:line="360" w:lineRule="auto"/>
        <w:ind w:firstLine="422" w:firstLineChars="200"/>
        <w:rPr>
          <w:rFonts w:ascii="宋体" w:hAnsi="宋体" w:cs="宋体"/>
          <w:color w:val="auto"/>
          <w:sz w:val="21"/>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13.6.2</w:t>
      </w:r>
      <w:r>
        <w:rPr>
          <w:rFonts w:hint="eastAsia" w:ascii="宋体" w:hAnsi="宋体" w:cs="宋体"/>
          <w:color w:val="auto"/>
          <w:sz w:val="21"/>
          <w:szCs w:val="21"/>
          <w:highlight w:val="none"/>
        </w:rPr>
        <w:t>在工程实施中，暂列金额、暂估价所包含的工作范围和图纸、标准深化固定后，按照工程专业、设备、材料类别等分类汇总的金额，达到法定招标范围标准的</w:t>
      </w:r>
      <w:r>
        <w:rPr>
          <w:rFonts w:hint="eastAsia" w:ascii="宋体" w:hAnsi="宋体" w:cs="宋体"/>
          <w:b/>
          <w:bCs/>
          <w:color w:val="auto"/>
          <w:sz w:val="21"/>
          <w:szCs w:val="21"/>
          <w:highlight w:val="none"/>
          <w:u w:val="single"/>
        </w:rPr>
        <w:t>应由招标人招标确定承包人和承包价格。</w:t>
      </w:r>
    </w:p>
    <w:p w14:paraId="1E4151FC">
      <w:pPr>
        <w:adjustRightInd w:val="0"/>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条款号：13.6.4                      修改类型：修改</w:t>
      </w:r>
    </w:p>
    <w:p w14:paraId="6C16A592">
      <w:pPr>
        <w:adjustRightInd w:val="0"/>
        <w:snapToGrid w:val="0"/>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13.6.4在工程实施中，暂列金额、暂估价所包含的工作范围和图纸、标准深化固定后，按照工程专业、设备、材料类别等分类汇总的金额，未达到法定招标范围标准也不适用政府采购规定，承包人有法定的承包资格的，由承包人承包，承包人无法定的承包资格但有法定的分包权的，由承包人分包，招标人同承包人结算的价格按本投标须知13.5款规定确定。</w:t>
      </w:r>
    </w:p>
    <w:p w14:paraId="03169DDD">
      <w:pPr>
        <w:pStyle w:val="31"/>
        <w:pBdr>
          <w:bottom w:val="single" w:color="auto" w:sz="6" w:space="1"/>
        </w:pBdr>
        <w:adjustRightInd w:val="0"/>
        <w:snapToGrid w:val="0"/>
        <w:spacing w:after="0" w:line="360" w:lineRule="auto"/>
        <w:ind w:firstLine="422" w:firstLineChars="200"/>
        <w:rPr>
          <w:rFonts w:ascii="宋体" w:hAnsi="宋体" w:cs="宋体"/>
          <w:color w:val="auto"/>
          <w:sz w:val="21"/>
          <w:szCs w:val="21"/>
          <w:highlight w:val="none"/>
        </w:rPr>
      </w:pPr>
      <w:r>
        <w:rPr>
          <w:rFonts w:hint="eastAsia" w:ascii="宋体" w:hAnsi="宋体" w:cs="宋体"/>
          <w:b/>
          <w:color w:val="auto"/>
          <w:sz w:val="21"/>
          <w:szCs w:val="21"/>
          <w:highlight w:val="none"/>
        </w:rPr>
        <w:t>现文：</w:t>
      </w:r>
      <w:r>
        <w:rPr>
          <w:rFonts w:hint="eastAsia" w:ascii="宋体" w:hAnsi="宋体" w:cs="宋体"/>
          <w:color w:val="auto"/>
          <w:sz w:val="21"/>
          <w:szCs w:val="21"/>
          <w:highlight w:val="none"/>
        </w:rPr>
        <w:t>13.6.4在工程实施中，暂列金额、暂估价所包含的工作范围和图纸、标准深化固定后，按照工程专业、设备、材料类别等分类汇总的金额，未达到法定招标范围标准也不适用政府采购规定，</w:t>
      </w:r>
      <w:r>
        <w:rPr>
          <w:rFonts w:hint="eastAsia" w:ascii="宋体" w:hAnsi="宋体" w:cs="宋体"/>
          <w:b/>
          <w:bCs/>
          <w:color w:val="auto"/>
          <w:sz w:val="21"/>
          <w:szCs w:val="21"/>
          <w:highlight w:val="none"/>
          <w:u w:val="single"/>
        </w:rPr>
        <w:t>经发包人同意，</w:t>
      </w:r>
      <w:r>
        <w:rPr>
          <w:rFonts w:hint="eastAsia" w:ascii="宋体" w:hAnsi="宋体" w:cs="宋体"/>
          <w:color w:val="auto"/>
          <w:sz w:val="21"/>
          <w:szCs w:val="21"/>
          <w:highlight w:val="none"/>
        </w:rPr>
        <w:t>承包人有法定的承包资格的，由承包人承包，承包人无法定的承包资格但有法定的分包权的，由承包人分包，招标人同承包人结算的价格按本投标须知13.5款规定确定。</w:t>
      </w:r>
    </w:p>
    <w:p w14:paraId="0FD53D78">
      <w:pPr>
        <w:adjustRightInd w:val="0"/>
        <w:snapToGrid w:val="0"/>
        <w:spacing w:line="360" w:lineRule="auto"/>
        <w:ind w:firstLine="413" w:firstLineChars="196"/>
        <w:rPr>
          <w:rFonts w:ascii="宋体" w:hAnsi="宋体" w:cs="宋体"/>
          <w:b/>
          <w:color w:val="auto"/>
          <w:szCs w:val="21"/>
          <w:highlight w:val="none"/>
        </w:rPr>
      </w:pPr>
      <w:r>
        <w:rPr>
          <w:rFonts w:hint="eastAsia" w:ascii="宋体" w:hAnsi="宋体" w:cs="宋体"/>
          <w:b/>
          <w:color w:val="auto"/>
          <w:szCs w:val="21"/>
          <w:highlight w:val="none"/>
        </w:rPr>
        <w:t>条款号：13.8                         修改类型：修改</w:t>
      </w:r>
    </w:p>
    <w:p w14:paraId="60F8F50F">
      <w:pPr>
        <w:pStyle w:val="31"/>
        <w:adjustRightInd w:val="0"/>
        <w:snapToGrid w:val="0"/>
        <w:spacing w:after="0" w:line="360" w:lineRule="auto"/>
        <w:ind w:firstLine="422" w:firstLineChars="200"/>
        <w:rPr>
          <w:rFonts w:ascii="宋体" w:hAnsi="宋体" w:cs="宋体"/>
          <w:color w:val="auto"/>
          <w:sz w:val="21"/>
          <w:szCs w:val="21"/>
          <w:highlight w:val="none"/>
        </w:rPr>
      </w:pPr>
      <w:r>
        <w:rPr>
          <w:rFonts w:hint="eastAsia" w:ascii="宋体" w:hAnsi="宋体" w:cs="宋体"/>
          <w:b/>
          <w:color w:val="auto"/>
          <w:sz w:val="21"/>
          <w:szCs w:val="21"/>
          <w:highlight w:val="none"/>
        </w:rPr>
        <w:t>原文：</w:t>
      </w:r>
      <w:r>
        <w:rPr>
          <w:rFonts w:hint="eastAsia" w:ascii="宋体" w:hAnsi="宋体" w:cs="宋体"/>
          <w:color w:val="auto"/>
          <w:sz w:val="21"/>
          <w:szCs w:val="21"/>
          <w:highlight w:val="none"/>
        </w:rPr>
        <w:t>13.8属于承包人自行采购的主要材料、设备，招标人应当在招标文件中提出材料、设备的技术标准或者质量要求，或者提出不少于3个同等档次品牌或分包商供投标人报价时选择,凡招标人在招标文件中提出参考品牌的，必须在参考品牌后面加上“或相当于”字样。投标人在投标文件中应明确所选用主要材料、设备的品牌、厂家以及质量等级，并且应当符合招标文件的要求。</w:t>
      </w:r>
    </w:p>
    <w:p w14:paraId="16EB81B7">
      <w:pPr>
        <w:pBdr>
          <w:bottom w:val="single" w:color="auto" w:sz="4" w:space="0"/>
        </w:pBdr>
        <w:adjustRightInd w:val="0"/>
        <w:snapToGrid w:val="0"/>
        <w:spacing w:line="360" w:lineRule="auto"/>
        <w:ind w:firstLine="422" w:firstLineChars="200"/>
        <w:rPr>
          <w:rFonts w:ascii="宋体" w:hAnsi="宋体" w:cs="宋体"/>
          <w:b/>
          <w:bCs/>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13.8</w:t>
      </w:r>
      <w:r>
        <w:rPr>
          <w:rFonts w:hint="eastAsia" w:ascii="宋体" w:hAnsi="宋体" w:eastAsia="宋体" w:cs="宋体"/>
          <w:szCs w:val="21"/>
          <w:highlight w:val="none"/>
        </w:rPr>
        <w:t>本工程施工采用的主要材料推荐选用《主要材料推荐品牌表》同等档次品牌（或厂家）或选用相当于该档次（或以上）的产品。所有材料品牌选择均须报发包人、监理工程师确认，且经检验合格后方能使用。主要材料品牌详见招标文件附件，投标人在投标文件中可不附主要材料供应商及品牌。</w:t>
      </w:r>
    </w:p>
    <w:p w14:paraId="409CE27D">
      <w:pPr>
        <w:adjustRightInd w:val="0"/>
        <w:snapToGrid w:val="0"/>
        <w:spacing w:line="360" w:lineRule="auto"/>
        <w:ind w:firstLine="413" w:firstLineChars="196"/>
        <w:rPr>
          <w:rFonts w:ascii="宋体" w:hAnsi="宋体" w:cs="宋体"/>
          <w:b/>
          <w:color w:val="auto"/>
          <w:szCs w:val="21"/>
          <w:highlight w:val="none"/>
        </w:rPr>
      </w:pPr>
      <w:r>
        <w:rPr>
          <w:rFonts w:hint="eastAsia" w:ascii="宋体" w:hAnsi="宋体" w:cs="宋体"/>
          <w:b/>
          <w:color w:val="auto"/>
          <w:szCs w:val="21"/>
          <w:highlight w:val="none"/>
        </w:rPr>
        <w:t>条款号：13.10                         修改类型：增加</w:t>
      </w:r>
    </w:p>
    <w:p w14:paraId="6EBD61EA">
      <w:pPr>
        <w:pBdr>
          <w:bottom w:val="single" w:color="auto" w:sz="6" w:space="1"/>
        </w:pBdr>
        <w:adjustRightInd w:val="0"/>
        <w:snapToGrid w:val="0"/>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b/>
          <w:bCs/>
          <w:color w:val="auto"/>
          <w:szCs w:val="21"/>
          <w:highlight w:val="none"/>
          <w:u w:val="single"/>
        </w:rPr>
        <w:t>13.1</w:t>
      </w:r>
      <w:r>
        <w:rPr>
          <w:rFonts w:hint="eastAsia" w:ascii="宋体" w:hAnsi="宋体" w:cs="宋体"/>
          <w:b/>
          <w:bCs/>
          <w:color w:val="auto"/>
          <w:szCs w:val="21"/>
          <w:highlight w:val="none"/>
          <w:u w:val="single"/>
          <w:lang w:val="en-US" w:eastAsia="zh-CN"/>
        </w:rPr>
        <w:t>0</w:t>
      </w:r>
      <w:r>
        <w:rPr>
          <w:rFonts w:hint="eastAsia" w:ascii="宋体" w:hAnsi="宋体" w:cs="宋体"/>
          <w:b/>
          <w:bCs/>
          <w:color w:val="auto"/>
          <w:szCs w:val="21"/>
          <w:highlight w:val="none"/>
          <w:u w:val="single"/>
        </w:rPr>
        <w:t>投标人应对当地现有的交通道路状况进行充分调查，充分考虑该路段的交通疏导问题和文明施工，制定可行的交通疏导（包括场内和场外）方案，确保原有道路的交通畅通和施工临时排水的通畅，并符合施工环保要求。承包人应与交警及公路管理部门协商，取得同意和协助，并负责承担道路改线或改善和其他费用。相关费用包含在措施项目费中，结算时按发包人批准的实施方案，再按合同约定结算。如果中标人不及时按要求设置，业主可以另行委托实施，业主按实际发生的费用在工程款中扣除，中标人不得有任何异议。</w:t>
      </w:r>
    </w:p>
    <w:p w14:paraId="6CCDDA28">
      <w:pPr>
        <w:adjustRightInd w:val="0"/>
        <w:snapToGrid w:val="0"/>
        <w:spacing w:line="360" w:lineRule="auto"/>
        <w:ind w:firstLine="413" w:firstLineChars="196"/>
        <w:rPr>
          <w:rFonts w:ascii="宋体" w:hAnsi="宋体" w:cs="宋体"/>
          <w:b/>
          <w:color w:val="auto"/>
          <w:szCs w:val="21"/>
          <w:highlight w:val="none"/>
        </w:rPr>
      </w:pPr>
      <w:r>
        <w:rPr>
          <w:rFonts w:hint="eastAsia" w:ascii="宋体" w:hAnsi="宋体" w:cs="宋体"/>
          <w:b/>
          <w:color w:val="auto"/>
          <w:szCs w:val="21"/>
          <w:highlight w:val="none"/>
        </w:rPr>
        <w:t>条款号：13.1</w:t>
      </w:r>
      <w:r>
        <w:rPr>
          <w:rFonts w:hint="eastAsia" w:ascii="宋体" w:hAnsi="宋体" w:cs="宋体"/>
          <w:b/>
          <w:color w:val="auto"/>
          <w:szCs w:val="21"/>
          <w:highlight w:val="none"/>
          <w:lang w:val="en-US" w:eastAsia="zh-CN"/>
        </w:rPr>
        <w:t>1</w:t>
      </w:r>
      <w:r>
        <w:rPr>
          <w:rFonts w:hint="eastAsia" w:ascii="宋体" w:hAnsi="宋体" w:cs="宋体"/>
          <w:b/>
          <w:color w:val="auto"/>
          <w:szCs w:val="21"/>
          <w:highlight w:val="none"/>
        </w:rPr>
        <w:t xml:space="preserve">                          修改类型：增加</w:t>
      </w:r>
    </w:p>
    <w:p w14:paraId="666175C4">
      <w:pPr>
        <w:pBdr>
          <w:bottom w:val="single" w:color="auto" w:sz="4" w:space="0"/>
        </w:pBdr>
        <w:adjustRightInd w:val="0"/>
        <w:snapToGrid w:val="0"/>
        <w:spacing w:line="360" w:lineRule="auto"/>
        <w:ind w:firstLine="422" w:firstLineChars="200"/>
        <w:rPr>
          <w:rFonts w:ascii="宋体" w:hAnsi="宋体" w:cs="宋体"/>
          <w:b/>
          <w:bCs/>
          <w:color w:val="auto"/>
          <w:szCs w:val="21"/>
          <w:highlight w:val="none"/>
          <w:u w:val="single"/>
        </w:rPr>
      </w:pPr>
      <w:r>
        <w:rPr>
          <w:rFonts w:hint="eastAsia" w:ascii="宋体" w:hAnsi="宋体" w:cs="宋体"/>
          <w:b/>
          <w:color w:val="auto"/>
          <w:szCs w:val="21"/>
          <w:highlight w:val="none"/>
        </w:rPr>
        <w:t>现文：</w:t>
      </w:r>
      <w:r>
        <w:rPr>
          <w:rFonts w:hint="eastAsia" w:ascii="宋体" w:hAnsi="宋体" w:cs="宋体"/>
          <w:b/>
          <w:bCs/>
          <w:color w:val="auto"/>
          <w:szCs w:val="21"/>
          <w:highlight w:val="none"/>
          <w:u w:val="single"/>
        </w:rPr>
        <w:t>13.1</w:t>
      </w:r>
      <w:r>
        <w:rPr>
          <w:rFonts w:hint="eastAsia" w:ascii="宋体" w:hAnsi="宋体" w:cs="宋体"/>
          <w:b/>
          <w:bCs/>
          <w:color w:val="auto"/>
          <w:szCs w:val="21"/>
          <w:highlight w:val="none"/>
          <w:u w:val="single"/>
          <w:lang w:val="en-US" w:eastAsia="zh-CN"/>
        </w:rPr>
        <w:t>1</w:t>
      </w:r>
      <w:r>
        <w:rPr>
          <w:rFonts w:hint="eastAsia" w:ascii="宋体" w:hAnsi="宋体" w:cs="宋体"/>
          <w:b/>
          <w:bCs/>
          <w:color w:val="auto"/>
          <w:szCs w:val="21"/>
          <w:highlight w:val="none"/>
          <w:u w:val="single"/>
        </w:rPr>
        <w:t>承包人应加强周边学校、居民住宅的环境保护，制定绿色施工安全防护措施（包括防尘、防噪音、施工围蔽等），施工现场严格按照《广州市建设工程文明施工管理规定》（广州市人民政府令第158号）、《广州市建设工程现场文明施工管理办法》（穗建质〔2008〕937号）、《关于进一步加强我区建设工地文明施工管理的通知》（穗开规建〔2006〕74号）、《广州市住房和城乡建设委员会关于印发建设工程扬尘防治“6个100%”管理标准细化措施的通知》（穗建质〔2018〕1394号）及其他相关规定实施，施工围蔽严格按照、《关于进一步加强规范建设施工现场围蔽的通知》（穗建质〔2018〕1008号）、《广州市建设工程绿色施工围蔽指导图集（V2.0版）》(穗建质〔2020〕1号）、《危险性较大的分部分项工程安全管理规定》(中华人民共和国住房和城乡建设部令第47号)、《关于进一步落实我区市政建设项目施工围蔽提升工作的通知》（穗埔建[2019]123号）及《黄埔区住房和城乡建设局 广州开发区建设和交通局关于进一步规范全区建设工程施工围蔽标准的通知》（穗埔建﹝2020﹞183号）实施。以上文件要求不一致的，以后发布文件为准，若相关部门发布有关施工围蔽新文件规定的，按新规定执行。如承包人未及时按要求做好围蔽、落实工地扬尘防治等绿色施工安全防护措施，业主可另行委托单位实施，业主在工程款中扣减相应措施费用。承包人应当在项目施工前编制扬尘污染防治专项方案和扬尘污染防治费用使用计划，明确扬尘控制目标、防治部位、控制措施，并将扬尘污染防治费用专项使用。</w:t>
      </w:r>
    </w:p>
    <w:p w14:paraId="278B60E8">
      <w:pPr>
        <w:pBdr>
          <w:top w:val="single" w:color="auto" w:sz="4" w:space="1"/>
          <w:bottom w:val="single" w:color="auto" w:sz="6" w:space="1"/>
        </w:pBdr>
        <w:adjustRightInd w:val="0"/>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条款号：13.1</w:t>
      </w:r>
      <w:r>
        <w:rPr>
          <w:rFonts w:hint="eastAsia" w:ascii="宋体" w:hAnsi="宋体" w:cs="宋体"/>
          <w:b/>
          <w:color w:val="auto"/>
          <w:szCs w:val="21"/>
          <w:highlight w:val="none"/>
          <w:lang w:val="en-US" w:eastAsia="zh-CN"/>
        </w:rPr>
        <w:t>2</w:t>
      </w:r>
      <w:r>
        <w:rPr>
          <w:rFonts w:hint="eastAsia" w:ascii="宋体" w:hAnsi="宋体" w:cs="宋体"/>
          <w:b/>
          <w:color w:val="auto"/>
          <w:szCs w:val="21"/>
          <w:highlight w:val="none"/>
        </w:rPr>
        <w:t xml:space="preserve">                             修改类型：增加</w:t>
      </w:r>
    </w:p>
    <w:p w14:paraId="77D2905F">
      <w:pPr>
        <w:pBdr>
          <w:top w:val="single" w:color="auto" w:sz="4" w:space="1"/>
          <w:bottom w:val="single" w:color="auto" w:sz="6" w:space="1"/>
        </w:pBdr>
        <w:adjustRightInd w:val="0"/>
        <w:snapToGrid w:val="0"/>
        <w:spacing w:line="360" w:lineRule="auto"/>
        <w:ind w:firstLine="422" w:firstLineChars="200"/>
        <w:rPr>
          <w:rFonts w:ascii="宋体" w:hAnsi="宋体" w:cs="宋体"/>
          <w:b/>
          <w:bCs/>
          <w:color w:val="auto"/>
          <w:szCs w:val="21"/>
          <w:highlight w:val="none"/>
          <w:u w:val="single"/>
        </w:rPr>
      </w:pPr>
      <w:r>
        <w:rPr>
          <w:rFonts w:hint="eastAsia" w:ascii="宋体" w:hAnsi="宋体" w:cs="宋体"/>
          <w:b/>
          <w:color w:val="auto"/>
          <w:szCs w:val="21"/>
          <w:highlight w:val="none"/>
        </w:rPr>
        <w:t>现文：</w:t>
      </w:r>
      <w:r>
        <w:rPr>
          <w:rFonts w:hint="eastAsia" w:ascii="宋体" w:hAnsi="宋体" w:cs="宋体"/>
          <w:b/>
          <w:bCs/>
          <w:color w:val="auto"/>
          <w:szCs w:val="21"/>
          <w:highlight w:val="none"/>
          <w:u w:val="single"/>
        </w:rPr>
        <w:t>13.1</w:t>
      </w:r>
      <w:r>
        <w:rPr>
          <w:rFonts w:hint="eastAsia" w:ascii="宋体" w:hAnsi="宋体" w:cs="宋体"/>
          <w:b/>
          <w:bCs/>
          <w:color w:val="auto"/>
          <w:szCs w:val="21"/>
          <w:highlight w:val="none"/>
          <w:u w:val="single"/>
          <w:lang w:val="en-US" w:eastAsia="zh-CN"/>
        </w:rPr>
        <w:t>2</w:t>
      </w:r>
      <w:r>
        <w:rPr>
          <w:rFonts w:hint="eastAsia" w:ascii="宋体" w:hAnsi="宋体" w:cs="宋体"/>
          <w:b/>
          <w:bCs/>
          <w:color w:val="auto"/>
          <w:szCs w:val="21"/>
          <w:highlight w:val="none"/>
          <w:u w:val="single"/>
        </w:rPr>
        <w:t>投标单位应结合本工程招标内容对现场进行充分的调查，充分考虑工程招标内容及施工组织方案，承包单位应与相关管理部门（如铁路管理部门）协商，取得同意协调，按要求完成工程招标内容，工程及相关费用包含在投标总价中，不另行计费。如果中标人不及时按要求完成，业主可以另行委托实施，业主按实际发生的费用在工程款中扣除，中标人不得有任何异议。</w:t>
      </w:r>
    </w:p>
    <w:p w14:paraId="2A421459">
      <w:pPr>
        <w:adjustRightInd w:val="0"/>
        <w:snapToGrid w:val="0"/>
        <w:spacing w:line="360" w:lineRule="auto"/>
        <w:ind w:firstLine="413" w:firstLineChars="196"/>
        <w:rPr>
          <w:rFonts w:ascii="宋体" w:hAnsi="宋体" w:cs="宋体"/>
          <w:b/>
          <w:color w:val="auto"/>
          <w:szCs w:val="21"/>
          <w:highlight w:val="none"/>
        </w:rPr>
      </w:pPr>
      <w:r>
        <w:rPr>
          <w:rFonts w:hint="eastAsia" w:ascii="宋体" w:hAnsi="宋体" w:cs="宋体"/>
          <w:b/>
          <w:color w:val="auto"/>
          <w:szCs w:val="21"/>
          <w:highlight w:val="none"/>
        </w:rPr>
        <w:t>条款号：13.1</w:t>
      </w:r>
      <w:r>
        <w:rPr>
          <w:rFonts w:hint="eastAsia" w:ascii="宋体" w:hAnsi="宋体" w:cs="宋体"/>
          <w:b/>
          <w:color w:val="auto"/>
          <w:szCs w:val="21"/>
          <w:highlight w:val="none"/>
          <w:lang w:val="en-US" w:eastAsia="zh-CN"/>
        </w:rPr>
        <w:t>3</w:t>
      </w:r>
      <w:r>
        <w:rPr>
          <w:rFonts w:hint="eastAsia" w:ascii="宋体" w:hAnsi="宋体" w:cs="宋体"/>
          <w:b/>
          <w:color w:val="auto"/>
          <w:szCs w:val="21"/>
          <w:highlight w:val="none"/>
        </w:rPr>
        <w:t xml:space="preserve">                             修改类型：增加</w:t>
      </w:r>
    </w:p>
    <w:p w14:paraId="04CB3444">
      <w:pPr>
        <w:pBdr>
          <w:bottom w:val="single" w:color="auto" w:sz="6" w:space="1"/>
        </w:pBdr>
        <w:adjustRightInd w:val="0"/>
        <w:snapToGrid w:val="0"/>
        <w:spacing w:line="360" w:lineRule="auto"/>
        <w:ind w:firstLine="422" w:firstLineChars="200"/>
        <w:rPr>
          <w:rFonts w:ascii="宋体" w:hAnsi="宋体" w:cs="宋体"/>
          <w:color w:val="auto"/>
          <w:szCs w:val="21"/>
          <w:highlight w:val="none"/>
          <w:u w:val="single"/>
        </w:rPr>
      </w:pPr>
      <w:r>
        <w:rPr>
          <w:rFonts w:hint="eastAsia" w:ascii="宋体" w:hAnsi="宋体" w:cs="宋体"/>
          <w:b/>
          <w:color w:val="auto"/>
          <w:szCs w:val="21"/>
          <w:highlight w:val="none"/>
        </w:rPr>
        <w:t>现文：</w:t>
      </w:r>
      <w:r>
        <w:rPr>
          <w:rFonts w:hint="eastAsia" w:ascii="宋体" w:hAnsi="宋体" w:cs="宋体"/>
          <w:b/>
          <w:bCs/>
          <w:color w:val="auto"/>
          <w:szCs w:val="21"/>
          <w:highlight w:val="none"/>
          <w:u w:val="single"/>
        </w:rPr>
        <w:t>13.1</w:t>
      </w:r>
      <w:r>
        <w:rPr>
          <w:rFonts w:hint="eastAsia" w:ascii="宋体" w:hAnsi="宋体" w:cs="宋体"/>
          <w:b/>
          <w:bCs/>
          <w:color w:val="auto"/>
          <w:szCs w:val="21"/>
          <w:highlight w:val="none"/>
          <w:u w:val="single"/>
          <w:lang w:val="en-US" w:eastAsia="zh-CN"/>
        </w:rPr>
        <w:t>3</w:t>
      </w:r>
      <w:r>
        <w:rPr>
          <w:rFonts w:hint="eastAsia" w:ascii="宋体" w:hAnsi="宋体" w:cs="宋体"/>
          <w:b/>
          <w:bCs/>
          <w:color w:val="auto"/>
          <w:szCs w:val="21"/>
          <w:highlight w:val="none"/>
          <w:u w:val="single"/>
        </w:rPr>
        <w:t>投标单位应根据区相关主管部门批复的水土保持实施方案及相关规定完成本工程的水土保持工作，承担防止水土流失职责，相关费用包含在投标总价中，不另行计费。如果中标人不及时按要求完成上述工作，业主可以另行委托实施，业主按实际发生的费用在工程款中扣除，中标人不得有任何异议。</w:t>
      </w:r>
    </w:p>
    <w:p w14:paraId="21AC71E8">
      <w:pPr>
        <w:adjustRightInd w:val="0"/>
        <w:snapToGrid w:val="0"/>
        <w:spacing w:line="360" w:lineRule="auto"/>
        <w:ind w:firstLine="413" w:firstLineChars="196"/>
        <w:rPr>
          <w:rFonts w:ascii="宋体" w:hAnsi="宋体" w:cs="宋体"/>
          <w:b/>
          <w:color w:val="auto"/>
          <w:szCs w:val="21"/>
          <w:highlight w:val="none"/>
        </w:rPr>
      </w:pPr>
      <w:r>
        <w:rPr>
          <w:rFonts w:hint="eastAsia" w:ascii="宋体" w:hAnsi="宋体" w:cs="宋体"/>
          <w:b/>
          <w:color w:val="auto"/>
          <w:szCs w:val="21"/>
          <w:highlight w:val="none"/>
        </w:rPr>
        <w:t>条款号：13.1</w:t>
      </w:r>
      <w:r>
        <w:rPr>
          <w:rFonts w:hint="eastAsia" w:ascii="宋体" w:hAnsi="宋体" w:cs="宋体"/>
          <w:b/>
          <w:color w:val="auto"/>
          <w:szCs w:val="21"/>
          <w:highlight w:val="none"/>
          <w:lang w:val="en-US" w:eastAsia="zh-CN"/>
        </w:rPr>
        <w:t>4</w:t>
      </w:r>
      <w:r>
        <w:rPr>
          <w:rFonts w:hint="eastAsia" w:ascii="宋体" w:hAnsi="宋体" w:cs="宋体"/>
          <w:b/>
          <w:color w:val="auto"/>
          <w:szCs w:val="21"/>
          <w:highlight w:val="none"/>
        </w:rPr>
        <w:t xml:space="preserve">                              修改类型：增加</w:t>
      </w:r>
    </w:p>
    <w:p w14:paraId="7ADF61F6">
      <w:pPr>
        <w:pBdr>
          <w:bottom w:val="single" w:color="auto" w:sz="6" w:space="1"/>
        </w:pBdr>
        <w:adjustRightInd w:val="0"/>
        <w:snapToGrid w:val="0"/>
        <w:spacing w:line="360" w:lineRule="auto"/>
        <w:ind w:firstLine="422" w:firstLineChars="200"/>
        <w:rPr>
          <w:rFonts w:ascii="宋体" w:hAnsi="宋体" w:cs="宋体"/>
          <w:color w:val="auto"/>
          <w:szCs w:val="21"/>
          <w:highlight w:val="none"/>
          <w:u w:val="single"/>
        </w:rPr>
      </w:pPr>
      <w:r>
        <w:rPr>
          <w:rFonts w:hint="eastAsia" w:ascii="宋体" w:hAnsi="宋体" w:cs="宋体"/>
          <w:b/>
          <w:color w:val="auto"/>
          <w:szCs w:val="21"/>
          <w:highlight w:val="none"/>
        </w:rPr>
        <w:t>现文：</w:t>
      </w:r>
      <w:r>
        <w:rPr>
          <w:rFonts w:hint="eastAsia" w:ascii="宋体" w:hAnsi="宋体" w:cs="宋体"/>
          <w:b/>
          <w:bCs/>
          <w:color w:val="auto"/>
          <w:szCs w:val="21"/>
          <w:highlight w:val="none"/>
          <w:u w:val="single"/>
        </w:rPr>
        <w:t>13.1</w:t>
      </w:r>
      <w:r>
        <w:rPr>
          <w:rFonts w:hint="eastAsia" w:ascii="宋体" w:hAnsi="宋体" w:cs="宋体"/>
          <w:b/>
          <w:bCs/>
          <w:color w:val="auto"/>
          <w:szCs w:val="21"/>
          <w:highlight w:val="none"/>
          <w:u w:val="single"/>
          <w:lang w:val="en-US" w:eastAsia="zh-CN"/>
        </w:rPr>
        <w:t>4</w:t>
      </w:r>
      <w:r>
        <w:rPr>
          <w:rFonts w:hint="eastAsia" w:ascii="宋体" w:hAnsi="宋体" w:cs="宋体"/>
          <w:b/>
          <w:bCs/>
          <w:color w:val="auto"/>
          <w:szCs w:val="21"/>
          <w:highlight w:val="none"/>
          <w:u w:val="single"/>
        </w:rPr>
        <w:t>中标人应使用绿色生产达标企业生产的混凝土，若不遵守承诺，自愿按不履行合同约定处理。</w:t>
      </w:r>
    </w:p>
    <w:p w14:paraId="3EB5F051">
      <w:pPr>
        <w:adjustRightInd w:val="0"/>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条款号：13.1</w:t>
      </w:r>
      <w:r>
        <w:rPr>
          <w:rFonts w:hint="eastAsia" w:ascii="宋体" w:hAnsi="宋体" w:cs="宋体"/>
          <w:b/>
          <w:color w:val="auto"/>
          <w:szCs w:val="21"/>
          <w:highlight w:val="none"/>
          <w:lang w:val="en-US" w:eastAsia="zh-CN"/>
        </w:rPr>
        <w:t>5</w:t>
      </w:r>
      <w:r>
        <w:rPr>
          <w:rFonts w:hint="eastAsia" w:ascii="宋体" w:hAnsi="宋体" w:cs="宋体"/>
          <w:b/>
          <w:color w:val="auto"/>
          <w:szCs w:val="21"/>
          <w:highlight w:val="none"/>
        </w:rPr>
        <w:t xml:space="preserve">                              修改类型：增加</w:t>
      </w:r>
    </w:p>
    <w:p w14:paraId="43E9D7FE">
      <w:pPr>
        <w:pBdr>
          <w:bottom w:val="single" w:color="auto" w:sz="6" w:space="1"/>
        </w:pBdr>
        <w:adjustRightInd w:val="0"/>
        <w:snapToGrid w:val="0"/>
        <w:spacing w:line="360" w:lineRule="auto"/>
        <w:ind w:firstLine="472" w:firstLineChars="224"/>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b/>
          <w:bCs/>
          <w:color w:val="auto"/>
          <w:szCs w:val="21"/>
          <w:highlight w:val="none"/>
          <w:u w:val="single"/>
        </w:rPr>
        <w:t>13.1</w:t>
      </w:r>
      <w:r>
        <w:rPr>
          <w:rFonts w:hint="eastAsia" w:ascii="宋体" w:hAnsi="宋体" w:cs="宋体"/>
          <w:b/>
          <w:bCs/>
          <w:color w:val="auto"/>
          <w:szCs w:val="21"/>
          <w:highlight w:val="none"/>
          <w:u w:val="single"/>
          <w:lang w:val="en-US" w:eastAsia="zh-CN"/>
        </w:rPr>
        <w:t>5</w:t>
      </w:r>
      <w:r>
        <w:rPr>
          <w:rFonts w:hint="eastAsia" w:ascii="宋体" w:hAnsi="宋体" w:cs="宋体"/>
          <w:b/>
          <w:bCs/>
          <w:color w:val="auto"/>
          <w:szCs w:val="21"/>
          <w:highlight w:val="none"/>
          <w:u w:val="single"/>
        </w:rPr>
        <w:t>中标人应按有关规定协助建设业主完成公共排水设施竣工图纸备案工作。</w:t>
      </w:r>
    </w:p>
    <w:p w14:paraId="121BD03F">
      <w:pPr>
        <w:adjustRightInd w:val="0"/>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条款号：15.2                               修改类型：修改</w:t>
      </w:r>
    </w:p>
    <w:p w14:paraId="466D9447">
      <w:pPr>
        <w:pBdr>
          <w:bottom w:val="single" w:color="auto" w:sz="6" w:space="1"/>
        </w:pBdr>
        <w:adjustRightInd w:val="0"/>
        <w:snapToGrid w:val="0"/>
        <w:spacing w:line="360" w:lineRule="auto"/>
        <w:ind w:firstLine="472" w:firstLineChars="224"/>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15.2在特殊情况下，招标人在原定投标有效期内，可以根据需要以书面形式向投标人提出延长投标有效期的要求，对此要求投标人须以书面形式予以答复。投标人可以拒绝招标人这种要求，而不影响退还其投标保证金。同意延长投标有效期的投标人既不能要求也不允许修改其投标文件，但需要相应的延长投标保证金的有效期，在延长的投标有效期内，本须知第16条关于投标保证金的退还与不予退还的规定仍然适用。</w:t>
      </w:r>
    </w:p>
    <w:p w14:paraId="49E6C3B9">
      <w:pPr>
        <w:pBdr>
          <w:bottom w:val="single" w:color="auto" w:sz="6" w:space="1"/>
        </w:pBdr>
        <w:adjustRightInd w:val="0"/>
        <w:snapToGrid w:val="0"/>
        <w:spacing w:line="360" w:lineRule="auto"/>
        <w:ind w:firstLine="472" w:firstLineChars="224"/>
        <w:rPr>
          <w:rFonts w:ascii="宋体" w:hAnsi="宋体" w:cs="宋体"/>
          <w:b/>
          <w:bCs/>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15.2在特殊情况下，招标人在原定投标有效期内，可以根据需要以书面形式向投标人提出延长投标有效期的要求，对此要求投标人须以书面形式予以答复。</w:t>
      </w:r>
      <w:r>
        <w:rPr>
          <w:rFonts w:hint="eastAsia" w:ascii="宋体" w:hAnsi="宋体" w:cs="宋体"/>
          <w:b/>
          <w:bCs/>
          <w:color w:val="auto"/>
          <w:szCs w:val="21"/>
          <w:highlight w:val="none"/>
          <w:u w:val="single"/>
        </w:rPr>
        <w:t>投标人可以拒绝招标人这种要求。同意延长投标有效期的投标人既不能要求也不允许修改其投标文件。</w:t>
      </w:r>
    </w:p>
    <w:p w14:paraId="6FD156DA">
      <w:pPr>
        <w:adjustRightInd w:val="0"/>
        <w:snapToGrid w:val="0"/>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条款号：16.5.3                      修改类型：修改</w:t>
      </w:r>
    </w:p>
    <w:p w14:paraId="588B4FBF">
      <w:pPr>
        <w:pBdr>
          <w:bottom w:val="single" w:color="auto" w:sz="6" w:space="1"/>
        </w:pBdr>
        <w:adjustRightInd w:val="0"/>
        <w:snapToGrid w:val="0"/>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原文：</w:t>
      </w:r>
    </w:p>
    <w:p w14:paraId="2A540805">
      <w:pPr>
        <w:pBdr>
          <w:bottom w:val="single" w:color="auto" w:sz="6" w:space="1"/>
        </w:pBd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16.5.3按招标文件要求免于提供投标保证金的投标人存在16.4条款所列情形，且未按招标人要求补交投标保证金的；</w:t>
      </w:r>
    </w:p>
    <w:p w14:paraId="26FE9710">
      <w:pPr>
        <w:pBdr>
          <w:bottom w:val="single" w:color="auto" w:sz="6" w:space="1"/>
        </w:pBd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16.5.3按招标文件要求免于提供投标保证金的投标人存在16.4条款所列情形的。</w:t>
      </w:r>
    </w:p>
    <w:p w14:paraId="090436F5">
      <w:pPr>
        <w:pBdr>
          <w:bottom w:val="single" w:color="auto" w:sz="6" w:space="1"/>
        </w:pBdr>
        <w:adjustRightInd w:val="0"/>
        <w:snapToGrid w:val="0"/>
        <w:spacing w:line="360" w:lineRule="auto"/>
        <w:ind w:firstLine="420" w:firstLineChars="200"/>
        <w:rPr>
          <w:rFonts w:ascii="宋体" w:hAnsi="宋体" w:cs="宋体"/>
          <w:b/>
          <w:color w:val="auto"/>
          <w:szCs w:val="21"/>
          <w:highlight w:val="none"/>
        </w:rPr>
      </w:pPr>
      <w:r>
        <w:rPr>
          <w:rFonts w:hint="eastAsia" w:ascii="宋体" w:hAnsi="宋体" w:cs="宋体"/>
          <w:color w:val="auto"/>
          <w:szCs w:val="21"/>
          <w:highlight w:val="none"/>
        </w:rPr>
        <w:t>注：16.5.3款由招标人二选一，需在招标文件中明确。</w:t>
      </w:r>
    </w:p>
    <w:p w14:paraId="79897650">
      <w:pPr>
        <w:pBdr>
          <w:bottom w:val="single" w:color="auto" w:sz="6" w:space="1"/>
        </w:pBdr>
        <w:spacing w:line="360" w:lineRule="auto"/>
        <w:ind w:firstLine="422" w:firstLineChars="200"/>
        <w:rPr>
          <w:rFonts w:hint="eastAsia" w:ascii="宋体" w:hAnsi="宋体" w:cs="宋体"/>
          <w:strike/>
          <w:color w:val="auto"/>
          <w:szCs w:val="21"/>
          <w:highlight w:val="none"/>
        </w:rPr>
      </w:pPr>
      <w:r>
        <w:rPr>
          <w:rFonts w:hint="eastAsia" w:ascii="宋体" w:hAnsi="宋体" w:cs="宋体"/>
          <w:b/>
          <w:color w:val="auto"/>
          <w:szCs w:val="21"/>
          <w:highlight w:val="none"/>
        </w:rPr>
        <w:t>现文：</w:t>
      </w:r>
      <w:r>
        <w:rPr>
          <w:rFonts w:hint="eastAsia" w:ascii="宋体" w:hAnsi="宋体" w:cs="宋体"/>
          <w:strike/>
          <w:color w:val="auto"/>
          <w:szCs w:val="21"/>
          <w:highlight w:val="none"/>
        </w:rPr>
        <w:t>16.5.3按招标文件要求免于提供投标保证金的投标人存在16.4条款所列情形，且未按招标人要求补交投标保证金的；</w:t>
      </w:r>
    </w:p>
    <w:p w14:paraId="5A141E14">
      <w:pPr>
        <w:pBdr>
          <w:bottom w:val="single" w:color="auto" w:sz="6" w:space="1"/>
        </w:pBdr>
        <w:spacing w:line="360" w:lineRule="auto"/>
        <w:ind w:firstLine="420" w:firstLineChars="200"/>
        <w:rPr>
          <w:rFonts w:ascii="宋体" w:hAnsi="宋体" w:cs="宋体"/>
          <w:b/>
          <w:color w:val="auto"/>
          <w:szCs w:val="21"/>
          <w:highlight w:val="none"/>
          <w:u w:val="single"/>
        </w:rPr>
      </w:pPr>
      <w:r>
        <w:rPr>
          <w:rFonts w:hint="eastAsia" w:ascii="宋体" w:hAnsi="宋体" w:cs="宋体"/>
          <w:color w:val="auto"/>
          <w:szCs w:val="21"/>
          <w:highlight w:val="none"/>
        </w:rPr>
        <w:t>16.5.3按招标文件要求免于提供投标保证金的投标人存在16.4条款所列情形的。</w:t>
      </w:r>
    </w:p>
    <w:p w14:paraId="4DEB3C58">
      <w:pPr>
        <w:pStyle w:val="31"/>
        <w:adjustRightInd w:val="0"/>
        <w:snapToGrid w:val="0"/>
        <w:spacing w:after="0" w:line="360" w:lineRule="auto"/>
        <w:ind w:firstLine="422" w:firstLineChars="200"/>
        <w:rPr>
          <w:rFonts w:ascii="宋体" w:hAnsi="宋体" w:cs="宋体"/>
          <w:b/>
          <w:color w:val="auto"/>
          <w:kern w:val="2"/>
          <w:sz w:val="21"/>
          <w:szCs w:val="21"/>
          <w:highlight w:val="none"/>
        </w:rPr>
      </w:pPr>
      <w:r>
        <w:rPr>
          <w:rFonts w:hint="eastAsia" w:ascii="宋体" w:hAnsi="宋体" w:cs="宋体"/>
          <w:b/>
          <w:color w:val="auto"/>
          <w:kern w:val="2"/>
          <w:sz w:val="21"/>
          <w:szCs w:val="21"/>
          <w:highlight w:val="none"/>
        </w:rPr>
        <w:t>条款号：</w:t>
      </w:r>
      <w:r>
        <w:rPr>
          <w:rFonts w:hint="eastAsia" w:ascii="宋体" w:hAnsi="宋体" w:cs="宋体"/>
          <w:b/>
          <w:bCs/>
          <w:color w:val="auto"/>
          <w:kern w:val="2"/>
          <w:sz w:val="21"/>
          <w:szCs w:val="21"/>
          <w:highlight w:val="none"/>
        </w:rPr>
        <w:t>17．</w:t>
      </w:r>
      <w:r>
        <w:rPr>
          <w:rFonts w:hint="eastAsia" w:ascii="宋体" w:hAnsi="宋体" w:cs="宋体"/>
          <w:b/>
          <w:color w:val="auto"/>
          <w:kern w:val="2"/>
          <w:sz w:val="21"/>
          <w:szCs w:val="21"/>
          <w:highlight w:val="none"/>
        </w:rPr>
        <w:t>投标文件的签署                修改类型：修改</w:t>
      </w:r>
    </w:p>
    <w:p w14:paraId="7EB380D4">
      <w:pPr>
        <w:adjustRightInd w:val="0"/>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b/>
          <w:bCs/>
          <w:color w:val="auto"/>
          <w:szCs w:val="21"/>
          <w:highlight w:val="none"/>
        </w:rPr>
        <w:t>17．</w:t>
      </w:r>
      <w:r>
        <w:rPr>
          <w:rFonts w:hint="eastAsia" w:ascii="宋体" w:hAnsi="宋体" w:cs="宋体"/>
          <w:b/>
          <w:color w:val="auto"/>
          <w:szCs w:val="21"/>
          <w:highlight w:val="none"/>
        </w:rPr>
        <w:t>投标文件的签署</w:t>
      </w:r>
    </w:p>
    <w:p w14:paraId="62A6D6C6">
      <w:pPr>
        <w:adjustRightInd w:val="0"/>
        <w:snapToGrid w:val="0"/>
        <w:spacing w:line="360" w:lineRule="auto"/>
        <w:ind w:firstLine="420" w:firstLineChars="200"/>
        <w:rPr>
          <w:rFonts w:ascii="宋体" w:hAnsi="宋体" w:cs="宋体"/>
          <w:bCs/>
          <w:color w:val="auto"/>
          <w:szCs w:val="21"/>
          <w:highlight w:val="none"/>
        </w:rPr>
      </w:pPr>
      <w:r>
        <w:rPr>
          <w:rFonts w:hint="eastAsia" w:ascii="宋体" w:hAnsi="宋体" w:cs="宋体"/>
          <w:color w:val="auto"/>
          <w:szCs w:val="21"/>
          <w:highlight w:val="none"/>
        </w:rPr>
        <w:t>17.1</w:t>
      </w:r>
      <w:r>
        <w:rPr>
          <w:rFonts w:hint="eastAsia" w:ascii="宋体" w:hAnsi="宋体" w:cs="宋体"/>
          <w:bCs/>
          <w:color w:val="auto"/>
          <w:szCs w:val="21"/>
          <w:highlight w:val="none"/>
        </w:rPr>
        <w:t>投标人应采用单位数字证书，对投标文件加盖电子印章。投标文件中需个人签字或盖章的，应加盖个人电子印章或在线下完成后原件扫描上传。按照交易平台关于全流程电子化项目的相关指南进行操作。详见：</w:t>
      </w:r>
      <w:r>
        <w:rPr>
          <w:rFonts w:hint="eastAsia" w:ascii="宋体" w:hAnsi="宋体" w:cs="宋体"/>
          <w:color w:val="auto"/>
          <w:szCs w:val="21"/>
          <w:highlight w:val="none"/>
          <w:u w:val="single"/>
        </w:rPr>
        <w:t xml:space="preserve">        </w:t>
      </w:r>
      <w:r>
        <w:rPr>
          <w:rFonts w:hint="eastAsia" w:ascii="宋体" w:hAnsi="宋体" w:cs="宋体"/>
          <w:bCs/>
          <w:color w:val="auto"/>
          <w:szCs w:val="21"/>
          <w:highlight w:val="none"/>
        </w:rPr>
        <w:t>。</w:t>
      </w:r>
    </w:p>
    <w:p w14:paraId="39FA289F">
      <w:pPr>
        <w:adjustRightInd w:val="0"/>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现文：17．投标文件的签署</w:t>
      </w:r>
      <w:r>
        <w:rPr>
          <w:rFonts w:hint="eastAsia" w:ascii="宋体" w:hAnsi="宋体" w:cs="宋体"/>
          <w:b/>
          <w:color w:val="auto"/>
          <w:szCs w:val="21"/>
          <w:highlight w:val="none"/>
          <w:u w:val="single"/>
        </w:rPr>
        <w:t>及份数</w:t>
      </w:r>
    </w:p>
    <w:p w14:paraId="197142C7">
      <w:pPr>
        <w:adjustRightInd w:val="0"/>
        <w:snapToGrid w:val="0"/>
        <w:spacing w:line="360" w:lineRule="auto"/>
        <w:ind w:firstLine="420" w:firstLineChars="200"/>
        <w:rPr>
          <w:rFonts w:ascii="宋体" w:hAnsi="宋体" w:cs="宋体"/>
          <w:b/>
          <w:bCs/>
          <w:color w:val="auto"/>
          <w:szCs w:val="21"/>
          <w:highlight w:val="none"/>
        </w:rPr>
      </w:pPr>
      <w:r>
        <w:rPr>
          <w:rFonts w:hint="eastAsia" w:ascii="宋体" w:hAnsi="宋体" w:cs="宋体"/>
          <w:color w:val="auto"/>
          <w:szCs w:val="21"/>
          <w:highlight w:val="none"/>
        </w:rPr>
        <w:t>17.1投标人应采用单位数字证书，对投标文件加盖电子印章。投标文件中需个人签字或盖章的，应加盖个人电子印章或在线下完成后原件扫描上传。按照</w:t>
      </w:r>
      <w:r>
        <w:rPr>
          <w:rFonts w:hint="eastAsia" w:ascii="宋体" w:hAnsi="宋体" w:cs="宋体"/>
          <w:b/>
          <w:bCs/>
          <w:color w:val="auto"/>
          <w:szCs w:val="21"/>
          <w:highlight w:val="none"/>
          <w:u w:val="single"/>
        </w:rPr>
        <w:t>广州交易集团有限公司（广州公共资源交易中心）</w:t>
      </w:r>
      <w:r>
        <w:rPr>
          <w:rFonts w:hint="eastAsia" w:ascii="宋体" w:hAnsi="宋体" w:cs="宋体"/>
          <w:color w:val="auto"/>
          <w:szCs w:val="21"/>
          <w:highlight w:val="none"/>
        </w:rPr>
        <w:t>交易平台关于全流程电子化项目的相关指南进行操作。详见：</w:t>
      </w:r>
      <w:r>
        <w:rPr>
          <w:rFonts w:hint="eastAsia" w:ascii="宋体" w:hAnsi="宋体" w:cs="宋体"/>
          <w:b/>
          <w:bCs/>
          <w:color w:val="auto"/>
          <w:szCs w:val="21"/>
          <w:highlight w:val="none"/>
          <w:u w:val="single"/>
        </w:rPr>
        <w:t>广州交易集团有限公司（广州公共资源交易中心）网站最新指引</w:t>
      </w:r>
      <w:r>
        <w:rPr>
          <w:rFonts w:hint="eastAsia" w:ascii="宋体" w:hAnsi="宋体" w:cs="宋体"/>
          <w:b/>
          <w:bCs/>
          <w:color w:val="auto"/>
          <w:szCs w:val="21"/>
          <w:highlight w:val="none"/>
        </w:rPr>
        <w:t>。</w:t>
      </w:r>
    </w:p>
    <w:p w14:paraId="19802BF1">
      <w:pPr>
        <w:pBdr>
          <w:bottom w:val="single" w:color="auto" w:sz="4" w:space="0"/>
        </w:pBdr>
        <w:adjustRightInd w:val="0"/>
        <w:snapToGrid w:val="0"/>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u w:val="single"/>
        </w:rPr>
        <w:t>17.2投标文件份数为含电子印章的加密电子投标文件1套。中标人在签订合同前需向招标人另行提供与投标递交的电子标书一致且加盖单位公章的纸质投标文件（含投标人须知11.3列表明细包含的所有工程量清单报价表）</w:t>
      </w:r>
      <w:r>
        <w:rPr>
          <w:rFonts w:hint="eastAsia" w:ascii="宋体" w:hAnsi="宋体" w:cs="宋体"/>
          <w:b/>
          <w:bCs/>
          <w:color w:val="auto"/>
          <w:szCs w:val="21"/>
          <w:highlight w:val="none"/>
          <w:u w:val="single"/>
          <w:lang w:val="en-US" w:eastAsia="zh-CN"/>
        </w:rPr>
        <w:t>3</w:t>
      </w:r>
      <w:r>
        <w:rPr>
          <w:rFonts w:hint="eastAsia" w:ascii="宋体" w:hAnsi="宋体" w:cs="宋体"/>
          <w:b/>
          <w:bCs/>
          <w:color w:val="auto"/>
          <w:szCs w:val="21"/>
          <w:highlight w:val="none"/>
          <w:u w:val="single"/>
        </w:rPr>
        <w:t>份及电子文件1份（不用生成投标书；包括用Microsoft Excel 软件或广州交易集团有限公司（广州公共资源交易中心）提供的投标书制作软件制作的工程量清单报价表和单价分析表，用 Microsoft Word 软件或广州交易集团有限公司（广州公共资源交易中心）提供的投标书制作软件制作的经济投标文件其他部分。电子文件介质使用CD-R光盘，所有电子文件不能采用压缩处理）。</w:t>
      </w:r>
    </w:p>
    <w:p w14:paraId="1C385D73">
      <w:pPr>
        <w:adjustRightInd w:val="0"/>
        <w:snapToGrid w:val="0"/>
        <w:spacing w:line="360" w:lineRule="auto"/>
        <w:ind w:firstLine="413" w:firstLineChars="196"/>
        <w:rPr>
          <w:rFonts w:ascii="宋体" w:hAnsi="宋体" w:cs="宋体"/>
          <w:b/>
          <w:color w:val="auto"/>
          <w:szCs w:val="21"/>
          <w:highlight w:val="none"/>
        </w:rPr>
      </w:pPr>
      <w:r>
        <w:rPr>
          <w:rFonts w:hint="eastAsia" w:ascii="宋体" w:hAnsi="宋体" w:cs="宋体"/>
          <w:b/>
          <w:color w:val="auto"/>
          <w:szCs w:val="21"/>
          <w:highlight w:val="none"/>
        </w:rPr>
        <w:t>条款号：</w:t>
      </w:r>
      <w:r>
        <w:rPr>
          <w:rFonts w:hint="eastAsia" w:ascii="宋体" w:hAnsi="宋体" w:cs="宋体"/>
          <w:b/>
          <w:bCs/>
          <w:color w:val="auto"/>
          <w:szCs w:val="21"/>
          <w:highlight w:val="none"/>
        </w:rPr>
        <w:t xml:space="preserve">18.                          </w:t>
      </w:r>
      <w:r>
        <w:rPr>
          <w:rFonts w:hint="eastAsia" w:ascii="宋体" w:hAnsi="宋体" w:cs="宋体"/>
          <w:b/>
          <w:color w:val="auto"/>
          <w:szCs w:val="21"/>
          <w:highlight w:val="none"/>
        </w:rPr>
        <w:t>修改类型：修改</w:t>
      </w:r>
    </w:p>
    <w:p w14:paraId="63E145D7">
      <w:pPr>
        <w:adjustRightInd w:val="0"/>
        <w:snapToGrid w:val="0"/>
        <w:spacing w:line="360" w:lineRule="auto"/>
        <w:ind w:firstLine="413" w:firstLineChars="196"/>
        <w:rPr>
          <w:rFonts w:ascii="宋体" w:hAnsi="宋体" w:cs="宋体"/>
          <w:b/>
          <w:bCs/>
          <w:color w:val="auto"/>
          <w:szCs w:val="21"/>
          <w:highlight w:val="none"/>
        </w:rPr>
      </w:pPr>
      <w:r>
        <w:rPr>
          <w:rFonts w:hint="eastAsia" w:ascii="宋体" w:hAnsi="宋体" w:cs="宋体"/>
          <w:b/>
          <w:color w:val="auto"/>
          <w:szCs w:val="21"/>
          <w:highlight w:val="none"/>
        </w:rPr>
        <w:t>原文：18．投标文件的密封和标记</w:t>
      </w:r>
    </w:p>
    <w:p w14:paraId="5B1EBCB1">
      <w:pPr>
        <w:adjustRightInd w:val="0"/>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18.1递交的电子投标文件（不含备用光盘）必须进行加密。按照交易平台关于</w:t>
      </w:r>
      <w:r>
        <w:rPr>
          <w:rFonts w:hint="eastAsia" w:ascii="宋体" w:hAnsi="宋体" w:cs="宋体"/>
          <w:color w:val="auto"/>
          <w:szCs w:val="21"/>
          <w:highlight w:val="none"/>
        </w:rPr>
        <w:t>全流程电子化项目的相关指南进行操作。详见：</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6345E8BE">
      <w:pPr>
        <w:adjustRightInd w:val="0"/>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18.2 未按要求加密的投标文件，</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交易平台</w:t>
      </w:r>
      <w:r>
        <w:rPr>
          <w:rFonts w:hint="eastAsia" w:ascii="宋体" w:hAnsi="宋体" w:cs="宋体"/>
          <w:bCs/>
          <w:color w:val="auto"/>
          <w:szCs w:val="21"/>
          <w:highlight w:val="none"/>
        </w:rPr>
        <w:t>将予以拒收。</w:t>
      </w:r>
    </w:p>
    <w:p w14:paraId="020EDF74">
      <w:pPr>
        <w:pBdr>
          <w:bottom w:val="single" w:color="auto" w:sz="6" w:space="1"/>
        </w:pBdr>
        <w:adjustRightInd w:val="0"/>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现文：18．投标文件的密封和标记</w:t>
      </w:r>
    </w:p>
    <w:p w14:paraId="6A264F5D">
      <w:pPr>
        <w:pBdr>
          <w:bottom w:val="single" w:color="auto" w:sz="6" w:space="1"/>
        </w:pBdr>
        <w:adjustRightInd w:val="0"/>
        <w:snapToGrid w:val="0"/>
        <w:spacing w:line="360" w:lineRule="auto"/>
        <w:ind w:firstLine="420" w:firstLineChars="200"/>
        <w:rPr>
          <w:rFonts w:ascii="宋体" w:hAnsi="宋体" w:cs="宋体"/>
          <w:b/>
          <w:bCs/>
          <w:color w:val="auto"/>
          <w:szCs w:val="21"/>
          <w:highlight w:val="none"/>
          <w:u w:val="single"/>
        </w:rPr>
      </w:pPr>
      <w:r>
        <w:rPr>
          <w:rFonts w:hint="eastAsia" w:ascii="宋体" w:hAnsi="宋体" w:cs="宋体"/>
          <w:color w:val="auto"/>
          <w:szCs w:val="21"/>
          <w:highlight w:val="none"/>
        </w:rPr>
        <w:t>18.1</w:t>
      </w:r>
      <w:r>
        <w:rPr>
          <w:rFonts w:hint="eastAsia" w:ascii="宋体" w:hAnsi="宋体" w:cs="宋体"/>
          <w:bCs/>
          <w:color w:val="auto"/>
          <w:szCs w:val="21"/>
          <w:highlight w:val="none"/>
        </w:rPr>
        <w:t>递交的电子投标文件（不含备用光盘）必须进行加密。按照</w:t>
      </w:r>
      <w:r>
        <w:rPr>
          <w:rFonts w:hint="eastAsia" w:ascii="宋体" w:hAnsi="宋体" w:cs="宋体"/>
          <w:b/>
          <w:bCs/>
          <w:color w:val="auto"/>
          <w:szCs w:val="21"/>
          <w:highlight w:val="none"/>
          <w:u w:val="single"/>
        </w:rPr>
        <w:t>广州交易集团有限公司（广州公共资源交易中心）</w:t>
      </w:r>
      <w:r>
        <w:rPr>
          <w:rFonts w:hint="eastAsia" w:ascii="宋体" w:hAnsi="宋体" w:cs="宋体"/>
          <w:bCs/>
          <w:color w:val="auto"/>
          <w:szCs w:val="21"/>
          <w:highlight w:val="none"/>
        </w:rPr>
        <w:t>交易平台关于</w:t>
      </w:r>
      <w:r>
        <w:rPr>
          <w:rFonts w:hint="eastAsia" w:ascii="宋体" w:hAnsi="宋体" w:cs="宋体"/>
          <w:color w:val="auto"/>
          <w:szCs w:val="21"/>
          <w:highlight w:val="none"/>
        </w:rPr>
        <w:t>全流程电子化项目的相关指南进行操作。详见：</w:t>
      </w:r>
      <w:r>
        <w:rPr>
          <w:rFonts w:hint="eastAsia" w:ascii="宋体" w:hAnsi="宋体" w:cs="宋体"/>
          <w:b/>
          <w:bCs/>
          <w:color w:val="auto"/>
          <w:szCs w:val="21"/>
          <w:highlight w:val="none"/>
          <w:u w:val="single"/>
        </w:rPr>
        <w:t>广州交易集团有限公司（广州公共资源交易中心）网站最新指引</w:t>
      </w:r>
      <w:r>
        <w:rPr>
          <w:rFonts w:hint="eastAsia" w:ascii="宋体" w:hAnsi="宋体" w:cs="宋体"/>
          <w:b/>
          <w:bCs/>
          <w:color w:val="auto"/>
          <w:szCs w:val="21"/>
          <w:highlight w:val="none"/>
        </w:rPr>
        <w:t>。</w:t>
      </w:r>
    </w:p>
    <w:p w14:paraId="6794B3CC">
      <w:pPr>
        <w:pBdr>
          <w:bottom w:val="single" w:color="auto" w:sz="6" w:space="1"/>
        </w:pBdr>
        <w:adjustRightInd w:val="0"/>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18.2未按要求加密的投标文件，</w:t>
      </w:r>
      <w:r>
        <w:rPr>
          <w:rFonts w:hint="eastAsia" w:ascii="宋体" w:hAnsi="宋体" w:cs="宋体"/>
          <w:b/>
          <w:bCs w:val="0"/>
          <w:color w:val="auto"/>
          <w:szCs w:val="21"/>
          <w:highlight w:val="none"/>
          <w:u w:val="single"/>
        </w:rPr>
        <w:t>广州交易集团有限公司（广州公共资源交易中心）</w:t>
      </w:r>
      <w:r>
        <w:rPr>
          <w:rFonts w:hint="eastAsia" w:ascii="宋体" w:hAnsi="宋体" w:cs="宋体"/>
          <w:bCs/>
          <w:color w:val="auto"/>
          <w:szCs w:val="21"/>
          <w:highlight w:val="none"/>
        </w:rPr>
        <w:t>交易平台将予以拒收。</w:t>
      </w:r>
    </w:p>
    <w:p w14:paraId="6BAFBD20">
      <w:pPr>
        <w:adjustRightInd w:val="0"/>
        <w:snapToGrid w:val="0"/>
        <w:spacing w:line="360" w:lineRule="auto"/>
        <w:ind w:firstLine="413" w:firstLineChars="196"/>
        <w:rPr>
          <w:rFonts w:ascii="宋体" w:hAnsi="宋体" w:cs="宋体"/>
          <w:b/>
          <w:color w:val="auto"/>
          <w:szCs w:val="21"/>
          <w:highlight w:val="none"/>
        </w:rPr>
      </w:pPr>
      <w:r>
        <w:rPr>
          <w:rFonts w:hint="eastAsia" w:ascii="宋体" w:hAnsi="宋体" w:cs="宋体"/>
          <w:b/>
          <w:color w:val="auto"/>
          <w:szCs w:val="21"/>
          <w:highlight w:val="none"/>
        </w:rPr>
        <w:t>条款号：19</w:t>
      </w:r>
      <w:r>
        <w:rPr>
          <w:rFonts w:hint="eastAsia" w:ascii="宋体" w:hAnsi="宋体" w:cs="宋体"/>
          <w:b/>
          <w:bCs/>
          <w:color w:val="auto"/>
          <w:szCs w:val="21"/>
          <w:highlight w:val="none"/>
        </w:rPr>
        <w:t>.</w:t>
      </w:r>
      <w:r>
        <w:rPr>
          <w:rFonts w:hint="eastAsia" w:ascii="宋体" w:hAnsi="宋体" w:cs="宋体"/>
          <w:b/>
          <w:color w:val="auto"/>
          <w:szCs w:val="21"/>
          <w:highlight w:val="none"/>
        </w:rPr>
        <w:t xml:space="preserve">                         修改类型：修改</w:t>
      </w:r>
    </w:p>
    <w:p w14:paraId="36D76CB9">
      <w:pPr>
        <w:adjustRightInd w:val="0"/>
        <w:snapToGrid w:val="0"/>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原文：19.投标文件的递交和接收</w:t>
      </w:r>
    </w:p>
    <w:p w14:paraId="56778721">
      <w:pPr>
        <w:adjustRightInd w:val="0"/>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19.1投标人通过</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交易平台递交电子投标文件。</w:t>
      </w:r>
    </w:p>
    <w:p w14:paraId="7C356FDA">
      <w:pPr>
        <w:adjustRightInd w:val="0"/>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19.2投标人完成电子投标文件上传后，</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交易平台即时向投标人发出递交回执通知。递交时间以递交回执通知载明的传输完成时间为准。</w:t>
      </w:r>
    </w:p>
    <w:p w14:paraId="05836A44">
      <w:pPr>
        <w:adjustRightInd w:val="0"/>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19.3逾期送达的电子投标文件，</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交易平台将予以拒收。</w:t>
      </w:r>
    </w:p>
    <w:p w14:paraId="22C8DFC0">
      <w:pPr>
        <w:adjustRightInd w:val="0"/>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19.4 投标截止前，招标人拒绝接收符合条件的投标文件，投标人可向招标投标监督机构投诉。</w:t>
      </w:r>
    </w:p>
    <w:p w14:paraId="099F5CE9">
      <w:pPr>
        <w:adjustRightInd w:val="0"/>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19.5如技术标和经济标先后分别开启，</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交易平台将按招标文件规定的时间分别开启技术标和经济标。</w:t>
      </w:r>
    </w:p>
    <w:p w14:paraId="3CAF2D6A">
      <w:pPr>
        <w:adjustRightInd w:val="0"/>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现文：19.</w:t>
      </w:r>
      <w:r>
        <w:rPr>
          <w:rFonts w:hint="eastAsia" w:ascii="宋体" w:hAnsi="宋体" w:cs="宋体"/>
          <w:b/>
          <w:bCs w:val="0"/>
          <w:color w:val="auto"/>
          <w:szCs w:val="21"/>
          <w:highlight w:val="none"/>
          <w:u w:val="single"/>
        </w:rPr>
        <w:t>投标登记和</w:t>
      </w:r>
      <w:r>
        <w:rPr>
          <w:rFonts w:hint="eastAsia" w:ascii="宋体" w:hAnsi="宋体" w:cs="宋体"/>
          <w:b/>
          <w:color w:val="auto"/>
          <w:szCs w:val="21"/>
          <w:highlight w:val="none"/>
        </w:rPr>
        <w:t>投标文件的递交和接收</w:t>
      </w:r>
    </w:p>
    <w:p w14:paraId="5D77CDDB">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19.1</w:t>
      </w:r>
      <w:r>
        <w:rPr>
          <w:rFonts w:hint="eastAsia" w:ascii="宋体" w:hAnsi="宋体" w:cs="宋体"/>
          <w:bCs/>
          <w:color w:val="auto"/>
          <w:szCs w:val="21"/>
          <w:highlight w:val="none"/>
        </w:rPr>
        <w:t>投标人通过</w:t>
      </w:r>
      <w:r>
        <w:rPr>
          <w:rFonts w:hint="eastAsia" w:ascii="宋体" w:hAnsi="宋体" w:cs="宋体"/>
          <w:b/>
          <w:bCs/>
          <w:color w:val="auto"/>
          <w:szCs w:val="21"/>
          <w:highlight w:val="none"/>
          <w:u w:val="single"/>
        </w:rPr>
        <w:t>广州交易集团有限公司（广州公共资源交易中心）</w:t>
      </w:r>
      <w:r>
        <w:rPr>
          <w:rFonts w:hint="eastAsia" w:ascii="宋体" w:hAnsi="宋体" w:cs="宋体"/>
          <w:color w:val="auto"/>
          <w:szCs w:val="21"/>
          <w:highlight w:val="none"/>
        </w:rPr>
        <w:t>交易平台递交电子投标文件。</w:t>
      </w:r>
    </w:p>
    <w:p w14:paraId="2C896073">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19.2投标人完成电子投标文件上传后，</w:t>
      </w:r>
      <w:r>
        <w:rPr>
          <w:rFonts w:hint="eastAsia" w:ascii="宋体" w:hAnsi="宋体" w:cs="宋体"/>
          <w:b/>
          <w:bCs/>
          <w:color w:val="auto"/>
          <w:szCs w:val="21"/>
          <w:highlight w:val="none"/>
          <w:u w:val="single"/>
        </w:rPr>
        <w:t>广州交易集团有限公司（广州公共资源交易中心）</w:t>
      </w:r>
      <w:r>
        <w:rPr>
          <w:rFonts w:hint="eastAsia" w:ascii="宋体" w:hAnsi="宋体" w:cs="宋体"/>
          <w:color w:val="auto"/>
          <w:szCs w:val="21"/>
          <w:highlight w:val="none"/>
        </w:rPr>
        <w:t>交易平台即时向投标人发出递交回执通知。递交时间以递交回执通知载明的传输完成时间为准。</w:t>
      </w:r>
    </w:p>
    <w:p w14:paraId="78D69C35">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19.3逾期送达的电子投标文件，</w:t>
      </w:r>
      <w:r>
        <w:rPr>
          <w:rFonts w:hint="eastAsia" w:ascii="宋体" w:hAnsi="宋体" w:cs="宋体"/>
          <w:b/>
          <w:bCs/>
          <w:color w:val="auto"/>
          <w:szCs w:val="21"/>
          <w:highlight w:val="none"/>
          <w:u w:val="single"/>
        </w:rPr>
        <w:t>广州交易集团有限公司（广州公共资源交易中心）</w:t>
      </w:r>
      <w:r>
        <w:rPr>
          <w:rFonts w:hint="eastAsia" w:ascii="宋体" w:hAnsi="宋体" w:cs="宋体"/>
          <w:color w:val="auto"/>
          <w:szCs w:val="21"/>
          <w:highlight w:val="none"/>
        </w:rPr>
        <w:t>交易平台将予以拒收。</w:t>
      </w:r>
    </w:p>
    <w:p w14:paraId="4E0B15ED">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19.4投标截止前，招标人拒绝接收符合条件的投标文件，投标人可向招标投标监督机构投诉。</w:t>
      </w:r>
    </w:p>
    <w:p w14:paraId="43602563">
      <w:pPr>
        <w:pBdr>
          <w:bottom w:val="single" w:color="auto" w:sz="6" w:space="1"/>
        </w:pBd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19.5</w:t>
      </w:r>
      <w:r>
        <w:rPr>
          <w:rFonts w:hint="eastAsia" w:ascii="宋体" w:hAnsi="宋体" w:cs="宋体"/>
          <w:b/>
          <w:bCs/>
          <w:color w:val="auto"/>
          <w:szCs w:val="21"/>
          <w:highlight w:val="none"/>
          <w:u w:val="single"/>
        </w:rPr>
        <w:t>广州交易集团有限公司（广州公共资源交易中心）交易平台将按招标文件规定的时间同时开启技术标（含资格审查文件）和经济标文件。</w:t>
      </w:r>
    </w:p>
    <w:p w14:paraId="148C7A1D">
      <w:pPr>
        <w:adjustRightInd w:val="0"/>
        <w:snapToGrid w:val="0"/>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条款号：20.3                       修改类型：修改</w:t>
      </w:r>
    </w:p>
    <w:p w14:paraId="6D5FF5EE">
      <w:pPr>
        <w:pBdr>
          <w:bottom w:val="single" w:color="auto" w:sz="6" w:space="1"/>
        </w:pBdr>
        <w:adjustRightInd w:val="0"/>
        <w:snapToGrid w:val="0"/>
        <w:spacing w:line="360" w:lineRule="auto"/>
        <w:ind w:firstLine="472" w:firstLineChars="224"/>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20.3到投标截止时间止，招标人收到的投标文件少于3家的，招标人将重新组织招标（当N个标段同时招标且不允许兼中时，若有效投标人不足N+2家，则重新组织招标）。</w:t>
      </w:r>
    </w:p>
    <w:p w14:paraId="7939ECA8">
      <w:pPr>
        <w:pBdr>
          <w:bottom w:val="single" w:color="auto" w:sz="6" w:space="1"/>
        </w:pBdr>
        <w:adjustRightInd w:val="0"/>
        <w:snapToGrid w:val="0"/>
        <w:spacing w:line="360" w:lineRule="auto"/>
        <w:ind w:firstLine="472" w:firstLineChars="224"/>
        <w:rPr>
          <w:rFonts w:ascii="宋体" w:hAnsi="宋体" w:cs="宋体"/>
          <w:b/>
          <w:bCs/>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20.3</w:t>
      </w:r>
      <w:r>
        <w:rPr>
          <w:rFonts w:hint="eastAsia" w:ascii="宋体" w:hAnsi="宋体" w:cs="宋体"/>
          <w:b/>
          <w:bCs/>
          <w:color w:val="auto"/>
          <w:szCs w:val="21"/>
          <w:highlight w:val="none"/>
          <w:u w:val="single"/>
        </w:rPr>
        <w:t>到投标截止时间止，招标人收到的投标文件少于3家的，招标人将重新组织招标。</w:t>
      </w:r>
    </w:p>
    <w:p w14:paraId="22910B8E">
      <w:pPr>
        <w:adjustRightInd w:val="0"/>
        <w:snapToGrid w:val="0"/>
        <w:spacing w:line="360" w:lineRule="auto"/>
        <w:ind w:firstLine="472" w:firstLineChars="224"/>
        <w:textAlignment w:val="baseline"/>
        <w:rPr>
          <w:rFonts w:ascii="宋体" w:hAnsi="宋体" w:cs="宋体"/>
          <w:b/>
          <w:color w:val="auto"/>
          <w:szCs w:val="21"/>
          <w:highlight w:val="none"/>
        </w:rPr>
      </w:pPr>
      <w:r>
        <w:rPr>
          <w:rFonts w:hint="eastAsia" w:ascii="宋体" w:hAnsi="宋体" w:cs="宋体"/>
          <w:b/>
          <w:color w:val="auto"/>
          <w:szCs w:val="21"/>
          <w:highlight w:val="none"/>
        </w:rPr>
        <w:t>条款号：21.1                       修改类型：修改</w:t>
      </w:r>
    </w:p>
    <w:p w14:paraId="0633740F">
      <w:pPr>
        <w:adjustRightInd w:val="0"/>
        <w:snapToGrid w:val="0"/>
        <w:spacing w:line="360" w:lineRule="auto"/>
        <w:ind w:firstLine="472" w:firstLineChars="224"/>
        <w:textAlignment w:val="baseline"/>
        <w:rPr>
          <w:rFonts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21.1本须知前附表第17项规定的投标截止时间</w:t>
      </w:r>
      <w:r>
        <w:rPr>
          <w:rFonts w:hint="eastAsia" w:ascii="宋体" w:hAnsi="宋体" w:cs="宋体"/>
          <w:bCs/>
          <w:color w:val="auto"/>
          <w:szCs w:val="21"/>
          <w:highlight w:val="none"/>
        </w:rPr>
        <w:t>后送达的电子投标文件，</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交易平台将予以拒收。</w:t>
      </w:r>
    </w:p>
    <w:p w14:paraId="64968B93">
      <w:pPr>
        <w:pBdr>
          <w:bottom w:val="single" w:color="auto" w:sz="6" w:space="1"/>
        </w:pBdr>
        <w:adjustRightInd w:val="0"/>
        <w:snapToGrid w:val="0"/>
        <w:spacing w:line="360" w:lineRule="auto"/>
        <w:ind w:firstLine="527" w:firstLineChars="250"/>
        <w:textAlignment w:val="baseline"/>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21.1本须知前附表第17项规定的投标截止时间</w:t>
      </w:r>
      <w:r>
        <w:rPr>
          <w:rFonts w:hint="eastAsia" w:ascii="宋体" w:hAnsi="宋体" w:cs="宋体"/>
          <w:bCs/>
          <w:color w:val="auto"/>
          <w:szCs w:val="21"/>
          <w:highlight w:val="none"/>
        </w:rPr>
        <w:t>后送达的电子投标文件，</w:t>
      </w:r>
      <w:r>
        <w:rPr>
          <w:rFonts w:hint="eastAsia" w:ascii="宋体" w:hAnsi="宋体" w:cs="宋体"/>
          <w:b/>
          <w:bCs/>
          <w:color w:val="auto"/>
          <w:szCs w:val="21"/>
          <w:highlight w:val="none"/>
          <w:u w:val="single"/>
        </w:rPr>
        <w:t>广州交易集团有限公司（广州公共资源交易中心）</w:t>
      </w:r>
      <w:r>
        <w:rPr>
          <w:rFonts w:hint="eastAsia" w:ascii="宋体" w:hAnsi="宋体" w:cs="宋体"/>
          <w:color w:val="auto"/>
          <w:szCs w:val="21"/>
          <w:highlight w:val="none"/>
        </w:rPr>
        <w:t>交易平台将予以拒收。</w:t>
      </w:r>
    </w:p>
    <w:p w14:paraId="3733D609">
      <w:pPr>
        <w:adjustRightInd w:val="0"/>
        <w:snapToGrid w:val="0"/>
        <w:spacing w:line="360" w:lineRule="auto"/>
        <w:ind w:firstLine="472" w:firstLineChars="224"/>
        <w:textAlignment w:val="baseline"/>
        <w:rPr>
          <w:rFonts w:ascii="宋体" w:hAnsi="宋体" w:cs="宋体"/>
          <w:b/>
          <w:color w:val="auto"/>
          <w:szCs w:val="21"/>
          <w:highlight w:val="none"/>
        </w:rPr>
      </w:pPr>
      <w:r>
        <w:rPr>
          <w:rFonts w:hint="eastAsia" w:ascii="宋体" w:hAnsi="宋体" w:cs="宋体"/>
          <w:b/>
          <w:color w:val="auto"/>
          <w:szCs w:val="21"/>
          <w:highlight w:val="none"/>
        </w:rPr>
        <w:t>条款号：24                         修改类型：修改</w:t>
      </w:r>
    </w:p>
    <w:p w14:paraId="2818248A">
      <w:pPr>
        <w:adjustRightInd w:val="0"/>
        <w:snapToGrid w:val="0"/>
        <w:spacing w:line="360" w:lineRule="auto"/>
        <w:ind w:firstLine="472" w:firstLineChars="224"/>
        <w:textAlignment w:val="baseline"/>
        <w:rPr>
          <w:rFonts w:ascii="宋体" w:hAnsi="宋体" w:cs="宋体"/>
          <w:b/>
          <w:color w:val="auto"/>
          <w:szCs w:val="21"/>
          <w:highlight w:val="none"/>
        </w:rPr>
      </w:pPr>
      <w:r>
        <w:rPr>
          <w:rFonts w:hint="eastAsia" w:ascii="宋体" w:hAnsi="宋体" w:cs="宋体"/>
          <w:b/>
          <w:color w:val="auto"/>
          <w:szCs w:val="21"/>
          <w:highlight w:val="none"/>
        </w:rPr>
        <w:t>原文：24．评标过程的保密</w:t>
      </w:r>
    </w:p>
    <w:p w14:paraId="1F8BC979">
      <w:pPr>
        <w:adjustRightInd w:val="0"/>
        <w:snapToGrid w:val="0"/>
        <w:spacing w:line="360" w:lineRule="auto"/>
        <w:ind w:firstLine="420" w:firstLineChars="200"/>
        <w:textAlignment w:val="baseline"/>
        <w:rPr>
          <w:rFonts w:ascii="宋体" w:hAnsi="宋体" w:cs="宋体"/>
          <w:color w:val="auto"/>
          <w:szCs w:val="21"/>
          <w:highlight w:val="none"/>
        </w:rPr>
      </w:pPr>
      <w:r>
        <w:rPr>
          <w:rFonts w:hint="eastAsia" w:ascii="宋体" w:hAnsi="宋体" w:cs="宋体"/>
          <w:color w:val="auto"/>
          <w:szCs w:val="21"/>
          <w:highlight w:val="none"/>
        </w:rPr>
        <w:t>24.1开标后，直至中标公示为止，凡属于对投标文件的审查、澄清、评价和比较有关的资料以及中标候选人的推荐情况，与评标有关的其他任何情况均严格保密。</w:t>
      </w:r>
    </w:p>
    <w:p w14:paraId="69B30099">
      <w:pPr>
        <w:adjustRightInd w:val="0"/>
        <w:snapToGrid w:val="0"/>
        <w:spacing w:line="360" w:lineRule="auto"/>
        <w:ind w:firstLine="420" w:firstLineChars="200"/>
        <w:textAlignment w:val="baseline"/>
        <w:rPr>
          <w:rFonts w:ascii="宋体" w:hAnsi="宋体" w:cs="宋体"/>
          <w:b/>
          <w:color w:val="auto"/>
          <w:szCs w:val="21"/>
          <w:highlight w:val="none"/>
        </w:rPr>
      </w:pPr>
      <w:r>
        <w:rPr>
          <w:rFonts w:hint="eastAsia" w:ascii="宋体" w:hAnsi="宋体" w:cs="宋体"/>
          <w:color w:val="auto"/>
          <w:szCs w:val="21"/>
          <w:highlight w:val="none"/>
        </w:rPr>
        <w:t>24.2在投标文件的评审和比较、中标候选人推荐以及授予合同的过程中，投标人向招标人和评标委员会施加不公正影响的任何行为，都将会导致其投标被拒绝。</w:t>
      </w:r>
    </w:p>
    <w:p w14:paraId="71445E3E">
      <w:pPr>
        <w:pBdr>
          <w:bottom w:val="single" w:color="auto" w:sz="6" w:space="1"/>
        </w:pBdr>
        <w:adjustRightInd w:val="0"/>
        <w:snapToGrid w:val="0"/>
        <w:spacing w:line="360" w:lineRule="auto"/>
        <w:ind w:firstLine="527" w:firstLineChars="250"/>
        <w:textAlignment w:val="baseline"/>
        <w:rPr>
          <w:rFonts w:ascii="宋体" w:hAnsi="宋体" w:cs="宋体"/>
          <w:b/>
          <w:color w:val="auto"/>
          <w:szCs w:val="21"/>
          <w:highlight w:val="none"/>
        </w:rPr>
      </w:pPr>
      <w:r>
        <w:rPr>
          <w:rFonts w:hint="eastAsia" w:ascii="宋体" w:hAnsi="宋体" w:cs="宋体"/>
          <w:b/>
          <w:color w:val="auto"/>
          <w:szCs w:val="21"/>
          <w:highlight w:val="none"/>
        </w:rPr>
        <w:t>现文：24．评标过程的保密</w:t>
      </w:r>
    </w:p>
    <w:p w14:paraId="01FCEF04">
      <w:pPr>
        <w:pBdr>
          <w:bottom w:val="single" w:color="auto" w:sz="6" w:space="1"/>
        </w:pBdr>
        <w:adjustRightInd w:val="0"/>
        <w:snapToGrid w:val="0"/>
        <w:spacing w:line="360" w:lineRule="auto"/>
        <w:ind w:firstLine="420" w:firstLineChars="200"/>
        <w:textAlignment w:val="baseline"/>
        <w:rPr>
          <w:rFonts w:ascii="宋体" w:hAnsi="宋体" w:cs="宋体"/>
          <w:color w:val="auto"/>
          <w:szCs w:val="21"/>
          <w:highlight w:val="none"/>
        </w:rPr>
      </w:pPr>
      <w:r>
        <w:rPr>
          <w:rFonts w:hint="eastAsia" w:ascii="宋体" w:hAnsi="宋体" w:cs="宋体"/>
          <w:color w:val="auto"/>
          <w:szCs w:val="21"/>
          <w:highlight w:val="none"/>
        </w:rPr>
        <w:t>24.1开标后，直至</w:t>
      </w:r>
      <w:r>
        <w:rPr>
          <w:rFonts w:hint="eastAsia" w:ascii="宋体" w:hAnsi="宋体" w:cs="宋体"/>
          <w:b/>
          <w:bCs/>
          <w:color w:val="auto"/>
          <w:szCs w:val="21"/>
          <w:highlight w:val="none"/>
          <w:u w:val="single"/>
        </w:rPr>
        <w:t>合格的中标候选人</w:t>
      </w:r>
      <w:r>
        <w:rPr>
          <w:rFonts w:hint="eastAsia" w:ascii="宋体" w:hAnsi="宋体" w:cs="宋体"/>
          <w:color w:val="auto"/>
          <w:szCs w:val="21"/>
          <w:highlight w:val="none"/>
        </w:rPr>
        <w:t>公示为止，凡属于对投标文件的审查、澄清、评价和比较有关的资料以及</w:t>
      </w:r>
      <w:r>
        <w:rPr>
          <w:rFonts w:hint="eastAsia" w:ascii="宋体" w:hAnsi="宋体" w:cs="宋体"/>
          <w:b/>
          <w:bCs/>
          <w:color w:val="auto"/>
          <w:szCs w:val="21"/>
          <w:highlight w:val="none"/>
          <w:u w:val="single"/>
        </w:rPr>
        <w:t>合格的</w:t>
      </w:r>
      <w:r>
        <w:rPr>
          <w:rFonts w:hint="eastAsia" w:ascii="宋体" w:hAnsi="宋体" w:cs="宋体"/>
          <w:color w:val="auto"/>
          <w:szCs w:val="21"/>
          <w:highlight w:val="none"/>
        </w:rPr>
        <w:t>中标候选人的推荐情况，与评标有关的其他任何情况均严格保密。</w:t>
      </w:r>
    </w:p>
    <w:p w14:paraId="1C9167B7">
      <w:pPr>
        <w:pBdr>
          <w:bottom w:val="single" w:color="auto" w:sz="6" w:space="1"/>
        </w:pBdr>
        <w:adjustRightInd w:val="0"/>
        <w:snapToGrid w:val="0"/>
        <w:spacing w:line="360" w:lineRule="auto"/>
        <w:ind w:firstLine="420" w:firstLineChars="200"/>
        <w:textAlignment w:val="baseline"/>
        <w:rPr>
          <w:rFonts w:ascii="宋体" w:hAnsi="宋体" w:cs="宋体"/>
          <w:color w:val="auto"/>
          <w:szCs w:val="21"/>
          <w:highlight w:val="none"/>
        </w:rPr>
      </w:pPr>
      <w:r>
        <w:rPr>
          <w:rFonts w:hint="eastAsia" w:ascii="宋体" w:hAnsi="宋体" w:cs="宋体"/>
          <w:color w:val="auto"/>
          <w:szCs w:val="21"/>
          <w:highlight w:val="none"/>
        </w:rPr>
        <w:t>24.2在投标文件的评审和比较、</w:t>
      </w:r>
      <w:r>
        <w:rPr>
          <w:rFonts w:hint="eastAsia" w:ascii="宋体" w:hAnsi="宋体" w:cs="宋体"/>
          <w:b/>
          <w:bCs/>
          <w:color w:val="auto"/>
          <w:szCs w:val="21"/>
          <w:highlight w:val="none"/>
          <w:u w:val="single"/>
        </w:rPr>
        <w:t>合格的</w:t>
      </w:r>
      <w:r>
        <w:rPr>
          <w:rFonts w:hint="eastAsia" w:ascii="宋体" w:hAnsi="宋体" w:cs="宋体"/>
          <w:color w:val="auto"/>
          <w:szCs w:val="21"/>
          <w:highlight w:val="none"/>
        </w:rPr>
        <w:t>中标候选人推荐</w:t>
      </w:r>
      <w:r>
        <w:rPr>
          <w:rFonts w:hint="eastAsia" w:ascii="宋体" w:hAnsi="宋体" w:cs="宋体"/>
          <w:color w:val="auto"/>
          <w:szCs w:val="21"/>
          <w:highlight w:val="none"/>
          <w:u w:val="single"/>
        </w:rPr>
        <w:t>[</w:t>
      </w:r>
      <w:r>
        <w:rPr>
          <w:rFonts w:hint="eastAsia" w:ascii="宋体" w:hAnsi="宋体" w:cs="宋体"/>
          <w:b/>
          <w:bCs/>
          <w:color w:val="auto"/>
          <w:szCs w:val="21"/>
          <w:highlight w:val="none"/>
          <w:u w:val="single"/>
        </w:rPr>
        <w:t>不排序，按统一社会信用代码后4位（除校验码外）大小排位，如统一社会信用代码后4位出现字母情况的，字母以“0”进行代替大小排位；如出现后4位（除校验码外）大小一致的，则随机排位。]、定标</w:t>
      </w:r>
      <w:r>
        <w:rPr>
          <w:rFonts w:hint="eastAsia" w:ascii="宋体" w:hAnsi="宋体" w:cs="宋体"/>
          <w:color w:val="auto"/>
          <w:szCs w:val="21"/>
          <w:highlight w:val="none"/>
        </w:rPr>
        <w:t>以及授予合同的过程中，投标人向招标人和评标委员会</w:t>
      </w:r>
      <w:r>
        <w:rPr>
          <w:rFonts w:hint="eastAsia" w:ascii="宋体" w:hAnsi="宋体" w:cs="宋体"/>
          <w:b/>
          <w:bCs/>
          <w:color w:val="auto"/>
          <w:szCs w:val="21"/>
          <w:highlight w:val="none"/>
          <w:u w:val="single"/>
        </w:rPr>
        <w:t>和定标委员会</w:t>
      </w:r>
      <w:r>
        <w:rPr>
          <w:rFonts w:hint="eastAsia" w:ascii="宋体" w:hAnsi="宋体" w:cs="宋体"/>
          <w:color w:val="auto"/>
          <w:szCs w:val="21"/>
          <w:highlight w:val="none"/>
        </w:rPr>
        <w:t>施加不公正影响的任何行为，都将会导致其投标被拒绝。</w:t>
      </w:r>
    </w:p>
    <w:p w14:paraId="50B5F8A5">
      <w:pPr>
        <w:adjustRightInd w:val="0"/>
        <w:snapToGrid w:val="0"/>
        <w:spacing w:line="360" w:lineRule="auto"/>
        <w:ind w:firstLine="413" w:firstLineChars="196"/>
        <w:rPr>
          <w:rFonts w:ascii="宋体" w:hAnsi="宋体" w:cs="宋体"/>
          <w:b/>
          <w:color w:val="auto"/>
          <w:szCs w:val="21"/>
          <w:highlight w:val="none"/>
        </w:rPr>
      </w:pPr>
      <w:r>
        <w:rPr>
          <w:rFonts w:hint="eastAsia" w:ascii="宋体" w:hAnsi="宋体" w:cs="宋体"/>
          <w:b/>
          <w:color w:val="auto"/>
          <w:szCs w:val="21"/>
          <w:highlight w:val="none"/>
        </w:rPr>
        <w:t>条款号：27.1                        修改类型：修改</w:t>
      </w:r>
    </w:p>
    <w:p w14:paraId="06ADB969">
      <w:pPr>
        <w:adjustRightInd w:val="0"/>
        <w:snapToGrid w:val="0"/>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27.1招标人将在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交易平台、广东省招标投标监管网和中国招标投标公共服务平台公示中标候选人，公示期为三天。投标人或其他利害关系人对评标结果有异议的，应当在中标候选人公示期间提出，可以通过线下或线上的形式提出异议。线上提交的，应通过</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交易平台进行，招标人也应通过</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交易平台答复线上提交的异议。作出答复前，应当暂停招标投标活动。</w:t>
      </w:r>
    </w:p>
    <w:p w14:paraId="0FA4126D">
      <w:pPr>
        <w:pBdr>
          <w:bottom w:val="single" w:color="auto" w:sz="6" w:space="1"/>
        </w:pBdr>
        <w:adjustRightInd w:val="0"/>
        <w:snapToGrid w:val="0"/>
        <w:spacing w:line="360" w:lineRule="auto"/>
        <w:ind w:firstLine="472" w:firstLineChars="224"/>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27.1</w:t>
      </w:r>
      <w:r>
        <w:rPr>
          <w:rFonts w:hint="eastAsia" w:ascii="宋体" w:hAnsi="宋体" w:cs="宋体"/>
          <w:b/>
          <w:bCs/>
          <w:color w:val="auto"/>
          <w:szCs w:val="21"/>
          <w:highlight w:val="none"/>
          <w:u w:val="single"/>
        </w:rPr>
        <w:t>在评标委员会完成评标工作后，</w:t>
      </w:r>
      <w:r>
        <w:rPr>
          <w:rFonts w:hint="eastAsia" w:ascii="宋体" w:hAnsi="宋体" w:cs="宋体"/>
          <w:color w:val="auto"/>
          <w:szCs w:val="21"/>
          <w:highlight w:val="none"/>
        </w:rPr>
        <w:t>招标人将在</w:t>
      </w:r>
      <w:r>
        <w:rPr>
          <w:rFonts w:hint="eastAsia" w:ascii="宋体" w:hAnsi="宋体" w:cs="宋体"/>
          <w:b/>
          <w:bCs/>
          <w:color w:val="auto"/>
          <w:szCs w:val="21"/>
          <w:highlight w:val="none"/>
          <w:u w:val="single"/>
        </w:rPr>
        <w:t>广州交易集团有限公司（广州公共资源交易中心）</w:t>
      </w:r>
      <w:r>
        <w:rPr>
          <w:rFonts w:hint="eastAsia" w:ascii="宋体" w:hAnsi="宋体" w:cs="宋体"/>
          <w:color w:val="auto"/>
          <w:szCs w:val="21"/>
          <w:highlight w:val="none"/>
        </w:rPr>
        <w:t>交易平台、广东省招标投标监管网和中国招标投标公共服务平台公示</w:t>
      </w:r>
      <w:r>
        <w:rPr>
          <w:rFonts w:hint="eastAsia" w:ascii="宋体" w:hAnsi="宋体" w:cs="宋体"/>
          <w:b/>
          <w:bCs/>
          <w:color w:val="auto"/>
          <w:szCs w:val="21"/>
          <w:highlight w:val="none"/>
          <w:u w:val="single"/>
        </w:rPr>
        <w:t>合格的</w:t>
      </w:r>
      <w:r>
        <w:rPr>
          <w:rFonts w:hint="eastAsia" w:ascii="宋体" w:hAnsi="宋体" w:cs="宋体"/>
          <w:color w:val="auto"/>
          <w:szCs w:val="21"/>
          <w:highlight w:val="none"/>
        </w:rPr>
        <w:t>中标候选人，公示期为三天。投标人或其他利害关系人对评标结果有异议的，应当在中标候选人公示期间提出，可以通过线下或线上的形式提出异议。线上提交的，应通过</w:t>
      </w:r>
      <w:r>
        <w:rPr>
          <w:rFonts w:hint="eastAsia" w:ascii="宋体" w:hAnsi="宋体" w:cs="宋体"/>
          <w:b/>
          <w:bCs/>
          <w:color w:val="auto"/>
          <w:szCs w:val="21"/>
          <w:highlight w:val="none"/>
          <w:u w:val="single"/>
        </w:rPr>
        <w:t>广州交易集团有限公司（广州公共资源交易中心）</w:t>
      </w:r>
      <w:r>
        <w:rPr>
          <w:rFonts w:hint="eastAsia" w:ascii="宋体" w:hAnsi="宋体" w:cs="宋体"/>
          <w:color w:val="auto"/>
          <w:szCs w:val="21"/>
          <w:highlight w:val="none"/>
        </w:rPr>
        <w:t>交易平台进行，招标人也应通过</w:t>
      </w:r>
      <w:r>
        <w:rPr>
          <w:rFonts w:hint="eastAsia" w:ascii="宋体" w:hAnsi="宋体" w:cs="宋体"/>
          <w:b/>
          <w:bCs/>
          <w:color w:val="auto"/>
          <w:szCs w:val="21"/>
          <w:highlight w:val="none"/>
          <w:u w:val="single"/>
        </w:rPr>
        <w:t>广州交易集团有限公司（广州公共资源交易中心）</w:t>
      </w:r>
      <w:r>
        <w:rPr>
          <w:rFonts w:hint="eastAsia" w:ascii="宋体" w:hAnsi="宋体" w:cs="宋体"/>
          <w:color w:val="auto"/>
          <w:szCs w:val="21"/>
          <w:highlight w:val="none"/>
        </w:rPr>
        <w:t>交易平台答复线上提交的异议。作出答复前，应当暂停招标投标活动。</w:t>
      </w:r>
    </w:p>
    <w:p w14:paraId="40633E1E">
      <w:pPr>
        <w:adjustRightInd w:val="0"/>
        <w:snapToGrid w:val="0"/>
        <w:spacing w:line="360" w:lineRule="auto"/>
        <w:ind w:firstLine="413" w:firstLineChars="196"/>
        <w:rPr>
          <w:rFonts w:ascii="宋体" w:hAnsi="宋体" w:cs="宋体"/>
          <w:b/>
          <w:color w:val="auto"/>
          <w:szCs w:val="21"/>
          <w:highlight w:val="none"/>
        </w:rPr>
      </w:pPr>
      <w:r>
        <w:rPr>
          <w:rFonts w:hint="eastAsia" w:ascii="宋体" w:hAnsi="宋体" w:cs="宋体"/>
          <w:b/>
          <w:color w:val="auto"/>
          <w:szCs w:val="21"/>
          <w:highlight w:val="none"/>
        </w:rPr>
        <w:t>条款号：27.4                        修改类型：修改</w:t>
      </w:r>
    </w:p>
    <w:p w14:paraId="20278F08">
      <w:pPr>
        <w:adjustRightInd w:val="0"/>
        <w:snapToGrid w:val="0"/>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27.4在产生中标候选人后，招标人将中标候选人的投标文件商务部分文件的所有内容（包括人员、业绩、奖项等资料）在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交易平台和广东省招标投标监管网公开。</w:t>
      </w:r>
    </w:p>
    <w:p w14:paraId="45BE6AFC">
      <w:pPr>
        <w:pBdr>
          <w:bottom w:val="single" w:color="auto" w:sz="6" w:space="1"/>
        </w:pBdr>
        <w:adjustRightInd w:val="0"/>
        <w:snapToGrid w:val="0"/>
        <w:spacing w:line="360" w:lineRule="auto"/>
        <w:ind w:firstLine="472" w:firstLineChars="224"/>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27.4在产生</w:t>
      </w:r>
      <w:r>
        <w:rPr>
          <w:rFonts w:hint="eastAsia" w:ascii="宋体" w:hAnsi="宋体" w:cs="宋体"/>
          <w:b/>
          <w:bCs/>
          <w:color w:val="auto"/>
          <w:szCs w:val="21"/>
          <w:highlight w:val="none"/>
          <w:u w:val="single"/>
        </w:rPr>
        <w:t>合格的</w:t>
      </w:r>
      <w:r>
        <w:rPr>
          <w:rFonts w:hint="eastAsia" w:ascii="宋体" w:hAnsi="宋体" w:cs="宋体"/>
          <w:color w:val="auto"/>
          <w:szCs w:val="21"/>
          <w:highlight w:val="none"/>
        </w:rPr>
        <w:t>中标候选人后，招标人将</w:t>
      </w:r>
      <w:r>
        <w:rPr>
          <w:rFonts w:hint="eastAsia" w:ascii="宋体" w:hAnsi="宋体" w:cs="宋体"/>
          <w:color w:val="auto"/>
          <w:szCs w:val="21"/>
          <w:highlight w:val="none"/>
          <w:u w:val="single"/>
        </w:rPr>
        <w:t>合格的</w:t>
      </w:r>
      <w:r>
        <w:rPr>
          <w:rFonts w:hint="eastAsia" w:ascii="宋体" w:hAnsi="宋体" w:cs="宋体"/>
          <w:color w:val="auto"/>
          <w:szCs w:val="21"/>
          <w:highlight w:val="none"/>
        </w:rPr>
        <w:t>中标候选人的投标文件商务部分文件的所有内容（包括人员、业绩、奖项等资料）在</w:t>
      </w:r>
      <w:r>
        <w:rPr>
          <w:rFonts w:hint="eastAsia" w:ascii="宋体" w:hAnsi="宋体" w:cs="宋体"/>
          <w:b/>
          <w:bCs/>
          <w:color w:val="auto"/>
          <w:szCs w:val="21"/>
          <w:highlight w:val="none"/>
          <w:u w:val="single"/>
        </w:rPr>
        <w:t>广州交易集团有限公司（广州公共资源交易中心）</w:t>
      </w:r>
      <w:r>
        <w:rPr>
          <w:rFonts w:hint="eastAsia" w:ascii="宋体" w:hAnsi="宋体" w:cs="宋体"/>
          <w:color w:val="auto"/>
          <w:szCs w:val="21"/>
          <w:highlight w:val="none"/>
        </w:rPr>
        <w:t>交易平台和广东省招标投标监管网公开。</w:t>
      </w:r>
    </w:p>
    <w:p w14:paraId="7852B219">
      <w:pPr>
        <w:adjustRightInd w:val="0"/>
        <w:snapToGrid w:val="0"/>
        <w:spacing w:line="360" w:lineRule="auto"/>
        <w:ind w:firstLine="413" w:firstLineChars="196"/>
        <w:rPr>
          <w:rFonts w:ascii="宋体" w:hAnsi="宋体" w:cs="宋体"/>
          <w:b/>
          <w:color w:val="auto"/>
          <w:szCs w:val="21"/>
          <w:highlight w:val="none"/>
        </w:rPr>
      </w:pPr>
      <w:r>
        <w:rPr>
          <w:rFonts w:hint="eastAsia" w:ascii="宋体" w:hAnsi="宋体" w:cs="宋体"/>
          <w:b/>
          <w:color w:val="auto"/>
          <w:szCs w:val="21"/>
          <w:highlight w:val="none"/>
        </w:rPr>
        <w:t>条款号：28.2                        修改类型：修改</w:t>
      </w:r>
    </w:p>
    <w:p w14:paraId="6C438A2A">
      <w:pPr>
        <w:adjustRightInd w:val="0"/>
        <w:snapToGrid w:val="0"/>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28.2中标通知书发出之日起30日后，中标人未按上款的规定与招标人订立合同，招标人将解除中标通知书，原中标人的投标保证金不予退还，且依法承担相应法律责任。原中标人给招标人造成的损失超过投标保证金数额的，还应当对超过部分予以赔偿。原中标人有异议的，可以向人民法院起诉。</w:t>
      </w:r>
    </w:p>
    <w:p w14:paraId="49D82F3B">
      <w:pPr>
        <w:pBdr>
          <w:bottom w:val="single" w:color="auto" w:sz="6" w:space="1"/>
        </w:pBdr>
        <w:adjustRightInd w:val="0"/>
        <w:snapToGrid w:val="0"/>
        <w:spacing w:line="360" w:lineRule="auto"/>
        <w:ind w:firstLine="472" w:firstLineChars="224"/>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28.2中标通知书发出之日起30日后，中标人未按上款的规定与招标人订立合同，招标人将解除中标通知书，</w:t>
      </w:r>
      <w:r>
        <w:rPr>
          <w:rFonts w:hint="eastAsia" w:ascii="宋体" w:hAnsi="宋体" w:cs="宋体"/>
          <w:b/>
          <w:bCs/>
          <w:color w:val="auto"/>
          <w:szCs w:val="21"/>
          <w:highlight w:val="none"/>
          <w:u w:val="single"/>
        </w:rPr>
        <w:t>原中标人依法承担相应法律责任。原中标人给招标人造成的损失，应当对其予以赔偿。</w:t>
      </w:r>
      <w:r>
        <w:rPr>
          <w:rFonts w:hint="eastAsia" w:ascii="宋体" w:hAnsi="宋体" w:cs="宋体"/>
          <w:color w:val="auto"/>
          <w:szCs w:val="21"/>
          <w:highlight w:val="none"/>
        </w:rPr>
        <w:t>原中标人有异议的，可以向人民法院起诉。</w:t>
      </w:r>
    </w:p>
    <w:p w14:paraId="46AB1BA0">
      <w:pPr>
        <w:adjustRightInd w:val="0"/>
        <w:snapToGrid w:val="0"/>
        <w:spacing w:line="360" w:lineRule="auto"/>
        <w:ind w:firstLine="413" w:firstLineChars="196"/>
        <w:rPr>
          <w:rFonts w:ascii="宋体" w:hAnsi="宋体" w:cs="宋体"/>
          <w:b/>
          <w:color w:val="auto"/>
          <w:szCs w:val="21"/>
          <w:highlight w:val="none"/>
        </w:rPr>
      </w:pPr>
      <w:r>
        <w:rPr>
          <w:rFonts w:hint="eastAsia" w:ascii="宋体" w:hAnsi="宋体" w:cs="宋体"/>
          <w:b/>
          <w:color w:val="auto"/>
          <w:szCs w:val="21"/>
          <w:highlight w:val="none"/>
        </w:rPr>
        <w:t>条款号：28.3                        修改类型：修改</w:t>
      </w:r>
    </w:p>
    <w:p w14:paraId="6A867051">
      <w:pPr>
        <w:adjustRightInd w:val="0"/>
        <w:snapToGrid w:val="0"/>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28.3非经招标人同意，中标人在投标过程中使用的银行名称及帐号至完成竣工结算不得变更，否则招标人有权停止工程款项的拔付及至解除合同，由此造成的一切责任由中标人承担。</w:t>
      </w:r>
    </w:p>
    <w:p w14:paraId="444E934A">
      <w:pPr>
        <w:pBdr>
          <w:bottom w:val="single" w:color="auto" w:sz="6" w:space="1"/>
        </w:pBdr>
        <w:adjustRightInd w:val="0"/>
        <w:snapToGrid w:val="0"/>
        <w:spacing w:line="360" w:lineRule="auto"/>
        <w:ind w:firstLine="472" w:firstLineChars="224"/>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28.3非经招标人同意，中标人在投标过程中使用的银行名称及</w:t>
      </w:r>
      <w:r>
        <w:rPr>
          <w:rFonts w:hint="eastAsia" w:ascii="宋体" w:hAnsi="宋体" w:cs="宋体"/>
          <w:b/>
          <w:bCs/>
          <w:color w:val="auto"/>
          <w:szCs w:val="21"/>
          <w:highlight w:val="none"/>
          <w:u w:val="single"/>
        </w:rPr>
        <w:t>账号</w:t>
      </w:r>
      <w:r>
        <w:rPr>
          <w:rFonts w:hint="eastAsia" w:ascii="宋体" w:hAnsi="宋体" w:cs="宋体"/>
          <w:color w:val="auto"/>
          <w:szCs w:val="21"/>
          <w:highlight w:val="none"/>
        </w:rPr>
        <w:t>至完成竣工结算不得变更，否则招标人有权停止工程款项的</w:t>
      </w:r>
      <w:r>
        <w:rPr>
          <w:rFonts w:hint="eastAsia" w:ascii="宋体" w:hAnsi="宋体" w:cs="宋体"/>
          <w:b/>
          <w:bCs/>
          <w:color w:val="auto"/>
          <w:szCs w:val="21"/>
          <w:highlight w:val="none"/>
          <w:u w:val="single"/>
        </w:rPr>
        <w:t>拨付</w:t>
      </w:r>
      <w:r>
        <w:rPr>
          <w:rFonts w:hint="eastAsia" w:ascii="宋体" w:hAnsi="宋体" w:cs="宋体"/>
          <w:color w:val="auto"/>
          <w:szCs w:val="21"/>
          <w:highlight w:val="none"/>
        </w:rPr>
        <w:t>及至解除合同，由此造成的一切责任由中标人承担。</w:t>
      </w:r>
    </w:p>
    <w:p w14:paraId="0A732113">
      <w:pPr>
        <w:adjustRightInd w:val="0"/>
        <w:snapToGrid w:val="0"/>
        <w:spacing w:line="360" w:lineRule="auto"/>
        <w:ind w:firstLine="413" w:firstLineChars="196"/>
        <w:contextualSpacing/>
        <w:rPr>
          <w:rFonts w:ascii="宋体" w:hAnsi="宋体" w:cs="宋体"/>
          <w:b/>
          <w:color w:val="auto"/>
          <w:szCs w:val="21"/>
          <w:highlight w:val="none"/>
        </w:rPr>
      </w:pPr>
      <w:r>
        <w:rPr>
          <w:rFonts w:hint="eastAsia" w:ascii="宋体" w:hAnsi="宋体" w:cs="宋体"/>
          <w:b/>
          <w:color w:val="auto"/>
          <w:szCs w:val="21"/>
          <w:highlight w:val="none"/>
        </w:rPr>
        <w:t>条款号：28.5                        修改类型：增加</w:t>
      </w:r>
    </w:p>
    <w:p w14:paraId="2FED4A6E">
      <w:pPr>
        <w:pBdr>
          <w:bottom w:val="single" w:color="auto" w:sz="6" w:space="1"/>
        </w:pBdr>
        <w:adjustRightInd w:val="0"/>
        <w:snapToGrid w:val="0"/>
        <w:spacing w:line="360" w:lineRule="auto"/>
        <w:ind w:firstLine="422" w:firstLineChars="200"/>
        <w:rPr>
          <w:rFonts w:ascii="宋体" w:hAnsi="宋体" w:cs="宋体"/>
          <w:b/>
          <w:bCs/>
          <w:color w:val="auto"/>
          <w:szCs w:val="21"/>
          <w:highlight w:val="none"/>
          <w:u w:val="single"/>
        </w:rPr>
      </w:pPr>
      <w:r>
        <w:rPr>
          <w:rFonts w:hint="eastAsia" w:ascii="宋体" w:hAnsi="宋体" w:cs="宋体"/>
          <w:b/>
          <w:color w:val="auto"/>
          <w:szCs w:val="21"/>
          <w:highlight w:val="none"/>
        </w:rPr>
        <w:t>现文：</w:t>
      </w:r>
      <w:r>
        <w:rPr>
          <w:rFonts w:hint="eastAsia" w:ascii="宋体" w:hAnsi="宋体" w:cs="宋体"/>
          <w:b/>
          <w:bCs/>
          <w:color w:val="auto"/>
          <w:szCs w:val="21"/>
          <w:highlight w:val="none"/>
          <w:u w:val="single"/>
        </w:rPr>
        <w:t>28.5如本工程委托代建单位（项目建设管理单位），则可由代建单位作为发包人与中标人签订合同。</w:t>
      </w:r>
    </w:p>
    <w:p w14:paraId="0CF557BD">
      <w:pPr>
        <w:adjustRightInd w:val="0"/>
        <w:snapToGrid w:val="0"/>
        <w:spacing w:line="360" w:lineRule="auto"/>
        <w:ind w:firstLine="413" w:firstLineChars="196"/>
        <w:rPr>
          <w:rFonts w:ascii="宋体" w:hAnsi="宋体" w:cs="宋体"/>
          <w:b/>
          <w:color w:val="auto"/>
          <w:szCs w:val="21"/>
          <w:highlight w:val="none"/>
        </w:rPr>
      </w:pPr>
      <w:r>
        <w:rPr>
          <w:rFonts w:hint="eastAsia" w:ascii="宋体" w:hAnsi="宋体" w:cs="宋体"/>
          <w:b/>
          <w:color w:val="auto"/>
          <w:szCs w:val="21"/>
          <w:highlight w:val="none"/>
        </w:rPr>
        <w:t>条款号：29.1                        修改类型：修改</w:t>
      </w:r>
    </w:p>
    <w:p w14:paraId="3448FECB">
      <w:pPr>
        <w:pBdr>
          <w:bottom w:val="single" w:color="auto" w:sz="6" w:space="1"/>
        </w:pBdr>
        <w:adjustRightInd w:val="0"/>
        <w:snapToGrid w:val="0"/>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29.1在收到中标通知书后的</w:t>
      </w:r>
      <w:r>
        <w:rPr>
          <w:rFonts w:hint="eastAsia" w:ascii="宋体" w:hAnsi="宋体" w:cs="宋体"/>
          <w:bCs/>
          <w:color w:val="auto"/>
          <w:szCs w:val="21"/>
          <w:highlight w:val="none"/>
        </w:rPr>
        <w:t>15日</w:t>
      </w:r>
      <w:r>
        <w:rPr>
          <w:rFonts w:hint="eastAsia" w:ascii="宋体" w:hAnsi="宋体" w:cs="宋体"/>
          <w:color w:val="auto"/>
          <w:szCs w:val="21"/>
          <w:highlight w:val="none"/>
        </w:rPr>
        <w:t>内，中标人应按本须知前附表第20项的规定向招标人提交履约担保。</w:t>
      </w:r>
    </w:p>
    <w:p w14:paraId="34293BB8">
      <w:pPr>
        <w:pBdr>
          <w:bottom w:val="single" w:color="auto" w:sz="6" w:space="1"/>
        </w:pBdr>
        <w:adjustRightInd w:val="0"/>
        <w:snapToGrid w:val="0"/>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29.1</w:t>
      </w:r>
      <w:r>
        <w:rPr>
          <w:rFonts w:hint="eastAsia" w:ascii="宋体" w:hAnsi="宋体" w:cs="宋体"/>
          <w:b/>
          <w:bCs/>
          <w:color w:val="auto"/>
          <w:szCs w:val="21"/>
          <w:highlight w:val="none"/>
          <w:u w:val="single"/>
        </w:rPr>
        <w:t>合同正式签订之日后的30日内</w:t>
      </w:r>
      <w:r>
        <w:rPr>
          <w:rFonts w:hint="eastAsia" w:ascii="宋体" w:hAnsi="宋体" w:cs="宋体"/>
          <w:b/>
          <w:bCs/>
          <w:color w:val="auto"/>
          <w:szCs w:val="21"/>
          <w:highlight w:val="none"/>
        </w:rPr>
        <w:t>，</w:t>
      </w:r>
      <w:r>
        <w:rPr>
          <w:rFonts w:hint="eastAsia" w:ascii="宋体" w:hAnsi="宋体" w:cs="宋体"/>
          <w:color w:val="auto"/>
          <w:szCs w:val="21"/>
          <w:highlight w:val="none"/>
        </w:rPr>
        <w:t>中标人应按本须知前附表第20项的规定向招标人提交履约担保。</w:t>
      </w:r>
    </w:p>
    <w:p w14:paraId="4AB3B15C">
      <w:pPr>
        <w:adjustRightInd w:val="0"/>
        <w:snapToGrid w:val="0"/>
        <w:spacing w:line="360" w:lineRule="auto"/>
        <w:ind w:firstLine="413" w:firstLineChars="196"/>
        <w:rPr>
          <w:rFonts w:ascii="宋体" w:hAnsi="宋体" w:cs="宋体"/>
          <w:b/>
          <w:color w:val="auto"/>
          <w:szCs w:val="21"/>
          <w:highlight w:val="none"/>
        </w:rPr>
      </w:pPr>
      <w:r>
        <w:rPr>
          <w:rFonts w:hint="eastAsia" w:ascii="宋体" w:hAnsi="宋体" w:cs="宋体"/>
          <w:b/>
          <w:color w:val="auto"/>
          <w:szCs w:val="21"/>
          <w:highlight w:val="none"/>
        </w:rPr>
        <w:t>条款号：29.2                        修改类型：修改</w:t>
      </w:r>
    </w:p>
    <w:p w14:paraId="698B8B85">
      <w:pPr>
        <w:adjustRightInd w:val="0"/>
        <w:snapToGrid w:val="0"/>
        <w:spacing w:line="360" w:lineRule="auto"/>
        <w:ind w:firstLine="413" w:firstLineChars="196"/>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29.2中标通知书发出之日起15日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14:paraId="28921931">
      <w:pPr>
        <w:pBdr>
          <w:bottom w:val="single" w:color="auto" w:sz="6" w:space="1"/>
        </w:pBdr>
        <w:adjustRightInd w:val="0"/>
        <w:snapToGrid w:val="0"/>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：29.2</w:t>
      </w:r>
      <w:r>
        <w:rPr>
          <w:rFonts w:hint="eastAsia" w:ascii="宋体" w:hAnsi="宋体" w:cs="宋体"/>
          <w:b/>
          <w:bCs/>
          <w:color w:val="auto"/>
          <w:szCs w:val="21"/>
          <w:highlight w:val="none"/>
          <w:u w:val="single"/>
        </w:rPr>
        <w:t>合同正式签订之日后的30日内</w:t>
      </w:r>
      <w:r>
        <w:rPr>
          <w:rFonts w:hint="eastAsia" w:ascii="宋体" w:hAnsi="宋体" w:cs="宋体"/>
          <w:color w:val="auto"/>
          <w:szCs w:val="21"/>
          <w:highlight w:val="none"/>
        </w:rPr>
        <w:t>，中标人未按上款的规定递交履约担保，招标人将解除中标通知书，</w:t>
      </w:r>
      <w:r>
        <w:rPr>
          <w:rFonts w:hint="eastAsia" w:ascii="宋体" w:hAnsi="宋体" w:cs="宋体"/>
          <w:b/>
          <w:bCs/>
          <w:color w:val="auto"/>
          <w:szCs w:val="21"/>
          <w:highlight w:val="none"/>
          <w:u w:val="single"/>
        </w:rPr>
        <w:t>原中标人依法承担相应法律责任。原中标人给招标人造成的损失，还应当予以赔偿</w:t>
      </w:r>
      <w:r>
        <w:rPr>
          <w:rFonts w:hint="eastAsia" w:ascii="宋体" w:hAnsi="宋体" w:cs="宋体"/>
          <w:b/>
          <w:bCs/>
          <w:color w:val="auto"/>
          <w:szCs w:val="21"/>
          <w:highlight w:val="none"/>
        </w:rPr>
        <w:t>。</w:t>
      </w:r>
      <w:r>
        <w:rPr>
          <w:rFonts w:hint="eastAsia" w:ascii="宋体" w:hAnsi="宋体" w:cs="宋体"/>
          <w:color w:val="auto"/>
          <w:szCs w:val="21"/>
          <w:highlight w:val="none"/>
        </w:rPr>
        <w:t>原中标人有异议的，可以向人民法院起诉。</w:t>
      </w:r>
    </w:p>
    <w:p w14:paraId="674DFAD8">
      <w:pPr>
        <w:adjustRightInd w:val="0"/>
        <w:snapToGrid w:val="0"/>
        <w:spacing w:line="360" w:lineRule="auto"/>
        <w:ind w:firstLine="413" w:firstLineChars="196"/>
        <w:rPr>
          <w:rFonts w:ascii="宋体" w:hAnsi="宋体" w:cs="宋体"/>
          <w:b/>
          <w:color w:val="auto"/>
          <w:szCs w:val="21"/>
          <w:highlight w:val="none"/>
        </w:rPr>
      </w:pPr>
      <w:r>
        <w:rPr>
          <w:rFonts w:hint="eastAsia" w:ascii="宋体" w:hAnsi="宋体" w:cs="宋体"/>
          <w:b/>
          <w:color w:val="auto"/>
          <w:szCs w:val="21"/>
          <w:highlight w:val="none"/>
        </w:rPr>
        <w:t>条款号：30.1                        修改类型：修改</w:t>
      </w:r>
    </w:p>
    <w:p w14:paraId="595CE1E7">
      <w:pPr>
        <w:adjustRightInd w:val="0"/>
        <w:snapToGrid w:val="0"/>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30.1在合同双方全权代表在合同协议书上签字，并分别加盖双方单位的公章后，合同正式生效。</w:t>
      </w:r>
    </w:p>
    <w:p w14:paraId="77A2520E">
      <w:pPr>
        <w:pBdr>
          <w:bottom w:val="single" w:color="auto" w:sz="6" w:space="1"/>
        </w:pBdr>
        <w:adjustRightInd w:val="0"/>
        <w:snapToGrid w:val="0"/>
        <w:spacing w:line="360" w:lineRule="auto"/>
        <w:ind w:firstLine="472" w:firstLineChars="224"/>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30.1在合同双方全权代表在合同协议书上签字，并分别加盖双方单位的公章</w:t>
      </w:r>
      <w:r>
        <w:rPr>
          <w:rFonts w:hint="eastAsia" w:ascii="宋体" w:hAnsi="宋体" w:cs="宋体"/>
          <w:b/>
          <w:bCs/>
          <w:color w:val="auto"/>
          <w:szCs w:val="21"/>
          <w:highlight w:val="none"/>
          <w:u w:val="single"/>
        </w:rPr>
        <w:t>且承包人提交履约担保后，合同正式生效。</w:t>
      </w:r>
    </w:p>
    <w:p w14:paraId="55AE3701">
      <w:pPr>
        <w:adjustRightInd w:val="0"/>
        <w:snapToGrid w:val="0"/>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条款号：31                          修改类型：修改</w:t>
      </w:r>
    </w:p>
    <w:p w14:paraId="432A5B4C">
      <w:pPr>
        <w:adjustRightInd w:val="0"/>
        <w:snapToGrid w:val="0"/>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原文：31.其它费用</w:t>
      </w:r>
    </w:p>
    <w:p w14:paraId="7804BDA5">
      <w:pPr>
        <w:adjustRightInd w:val="0"/>
        <w:snapToGrid w:val="0"/>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w:t>
      </w:r>
      <w:r>
        <w:rPr>
          <w:rFonts w:hint="eastAsia" w:ascii="宋体" w:hAnsi="宋体" w:cs="宋体"/>
          <w:b/>
          <w:color w:val="auto"/>
          <w:szCs w:val="21"/>
          <w:highlight w:val="none"/>
        </w:rPr>
        <w:t>31.</w:t>
      </w:r>
      <w:r>
        <w:rPr>
          <w:rFonts w:hint="eastAsia" w:ascii="宋体" w:hAnsi="宋体" w:cs="宋体"/>
          <w:b/>
          <w:bCs/>
          <w:color w:val="auto"/>
          <w:szCs w:val="21"/>
          <w:highlight w:val="none"/>
        </w:rPr>
        <w:t>其它费用</w:t>
      </w:r>
    </w:p>
    <w:p w14:paraId="228B58D4">
      <w:pPr>
        <w:pBdr>
          <w:bottom w:val="single" w:color="auto" w:sz="6" w:space="1"/>
        </w:pBd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u w:val="single"/>
        </w:rPr>
        <w:t>中标人应交纳交易服务费，该费用包含在投标价中</w:t>
      </w:r>
      <w:r>
        <w:rPr>
          <w:rFonts w:hint="eastAsia" w:ascii="宋体" w:hAnsi="宋体" w:cs="宋体"/>
          <w:color w:val="auto"/>
          <w:szCs w:val="21"/>
          <w:highlight w:val="none"/>
        </w:rPr>
        <w:t>。</w:t>
      </w:r>
    </w:p>
    <w:p w14:paraId="16724775">
      <w:pPr>
        <w:adjustRightInd w:val="0"/>
        <w:snapToGrid w:val="0"/>
        <w:spacing w:line="360" w:lineRule="auto"/>
        <w:ind w:firstLine="211" w:firstLineChars="100"/>
        <w:rPr>
          <w:rFonts w:ascii="宋体" w:hAnsi="宋体" w:cs="宋体"/>
          <w:b/>
          <w:strike/>
          <w:color w:val="auto"/>
          <w:szCs w:val="21"/>
          <w:highlight w:val="none"/>
        </w:rPr>
      </w:pPr>
      <w:r>
        <w:rPr>
          <w:rFonts w:hint="eastAsia" w:ascii="宋体" w:hAnsi="宋体" w:cs="宋体"/>
          <w:b/>
          <w:strike/>
          <w:color w:val="auto"/>
          <w:szCs w:val="21"/>
          <w:highlight w:val="none"/>
        </w:rPr>
        <w:t>注：以上修改，仅限于本范本中有可供选择条款的情形。</w:t>
      </w:r>
    </w:p>
    <w:p w14:paraId="3394CFE6">
      <w:pPr>
        <w:adjustRightInd w:val="0"/>
        <w:snapToGrid w:val="0"/>
        <w:spacing w:line="360" w:lineRule="auto"/>
        <w:rPr>
          <w:rFonts w:ascii="宋体" w:hAnsi="宋体" w:cs="宋体"/>
          <w:color w:val="auto"/>
          <w:szCs w:val="21"/>
          <w:highlight w:val="none"/>
        </w:rPr>
      </w:pPr>
      <w:r>
        <w:rPr>
          <w:rFonts w:hint="eastAsia" w:ascii="宋体" w:hAnsi="宋体" w:cs="宋体"/>
          <w:b/>
          <w:color w:val="auto"/>
          <w:szCs w:val="21"/>
          <w:highlight w:val="none"/>
        </w:rPr>
        <w:t>（以下无正文）</w:t>
      </w:r>
    </w:p>
    <w:p w14:paraId="47CF83D3">
      <w:pPr>
        <w:rPr>
          <w:color w:val="auto"/>
          <w:highlight w:val="none"/>
        </w:rPr>
      </w:pPr>
    </w:p>
    <w:p w14:paraId="31FE3A93">
      <w:pPr>
        <w:pStyle w:val="4"/>
        <w:snapToGrid w:val="0"/>
        <w:spacing w:before="0" w:after="0" w:line="360" w:lineRule="auto"/>
        <w:ind w:left="0"/>
        <w:rPr>
          <w:rFonts w:ascii="宋体" w:hAnsi="宋体" w:cs="宋体"/>
          <w:color w:val="auto"/>
          <w:highlight w:val="none"/>
        </w:rPr>
      </w:pPr>
      <w:r>
        <w:rPr>
          <w:rFonts w:hint="eastAsia" w:ascii="宋体" w:hAnsi="宋体" w:cs="宋体"/>
          <w:color w:val="auto"/>
          <w:highlight w:val="none"/>
        </w:rPr>
        <w:br w:type="page"/>
      </w:r>
      <w:bookmarkStart w:id="4" w:name="_Toc21525492"/>
      <w:bookmarkStart w:id="5" w:name="_Toc31334"/>
      <w:r>
        <w:rPr>
          <w:rFonts w:hint="eastAsia" w:ascii="宋体" w:hAnsi="宋体" w:cs="宋体"/>
          <w:color w:val="auto"/>
          <w:sz w:val="32"/>
          <w:szCs w:val="32"/>
          <w:highlight w:val="none"/>
        </w:rPr>
        <w:t>三、投标须知通用条款</w:t>
      </w:r>
      <w:bookmarkEnd w:id="4"/>
      <w:bookmarkEnd w:id="5"/>
    </w:p>
    <w:p w14:paraId="4FF6AABC">
      <w:pPr>
        <w:pStyle w:val="5"/>
        <w:snapToGrid w:val="0"/>
        <w:spacing w:before="0" w:beforeAutospacing="0" w:after="0" w:afterAutospacing="0" w:line="360" w:lineRule="auto"/>
        <w:rPr>
          <w:rFonts w:cs="宋体"/>
          <w:color w:val="auto"/>
          <w:sz w:val="21"/>
          <w:szCs w:val="21"/>
          <w:highlight w:val="none"/>
        </w:rPr>
      </w:pPr>
      <w:bookmarkStart w:id="6" w:name="_Toc21525493"/>
      <w:bookmarkStart w:id="7" w:name="_Toc12947"/>
      <w:r>
        <w:rPr>
          <w:rFonts w:hint="eastAsia" w:cs="宋体"/>
          <w:color w:val="auto"/>
          <w:sz w:val="21"/>
          <w:szCs w:val="21"/>
          <w:highlight w:val="none"/>
        </w:rPr>
        <w:t>（一）总则</w:t>
      </w:r>
      <w:bookmarkEnd w:id="6"/>
      <w:bookmarkEnd w:id="7"/>
    </w:p>
    <w:p w14:paraId="629C46A0">
      <w:pPr>
        <w:pStyle w:val="31"/>
        <w:snapToGrid w:val="0"/>
        <w:spacing w:after="0" w:line="360" w:lineRule="auto"/>
        <w:ind w:firstLine="422" w:firstLineChars="200"/>
        <w:rPr>
          <w:rFonts w:ascii="宋体" w:hAnsi="宋体" w:cs="宋体"/>
          <w:b/>
          <w:bCs/>
          <w:color w:val="auto"/>
          <w:sz w:val="21"/>
          <w:szCs w:val="21"/>
          <w:highlight w:val="none"/>
        </w:rPr>
      </w:pPr>
      <w:r>
        <w:rPr>
          <w:rFonts w:hint="eastAsia" w:ascii="宋体" w:hAnsi="宋体" w:cs="宋体"/>
          <w:b/>
          <w:bCs/>
          <w:color w:val="auto"/>
          <w:sz w:val="21"/>
          <w:szCs w:val="21"/>
          <w:highlight w:val="none"/>
        </w:rPr>
        <w:t>1、定义</w:t>
      </w:r>
    </w:p>
    <w:p w14:paraId="2829D764">
      <w:pPr>
        <w:pStyle w:val="31"/>
        <w:snapToGrid w:val="0"/>
        <w:spacing w:after="0" w:line="360" w:lineRule="auto"/>
        <w:ind w:firstLineChars="200"/>
        <w:rPr>
          <w:rFonts w:ascii="宋体" w:hAnsi="宋体" w:cs="宋体"/>
          <w:b/>
          <w:bCs/>
          <w:color w:val="auto"/>
          <w:sz w:val="21"/>
          <w:szCs w:val="21"/>
          <w:highlight w:val="none"/>
        </w:rPr>
      </w:pPr>
      <w:r>
        <w:rPr>
          <w:rFonts w:hint="eastAsia" w:ascii="宋体" w:hAnsi="宋体" w:cs="宋体"/>
          <w:color w:val="auto"/>
          <w:sz w:val="21"/>
          <w:szCs w:val="21"/>
          <w:highlight w:val="none"/>
        </w:rPr>
        <w:t>本招标文件使用的下列词语具有如下规定的意义：</w:t>
      </w:r>
    </w:p>
    <w:p w14:paraId="6D7532DE">
      <w:pPr>
        <w:pStyle w:val="31"/>
        <w:snapToGrid w:val="0"/>
        <w:spacing w:after="0" w:line="360" w:lineRule="auto"/>
        <w:ind w:firstLineChars="200"/>
        <w:rPr>
          <w:rFonts w:ascii="宋体" w:hAnsi="宋体" w:cs="宋体"/>
          <w:b/>
          <w:bCs/>
          <w:color w:val="auto"/>
          <w:sz w:val="21"/>
          <w:szCs w:val="21"/>
          <w:highlight w:val="none"/>
          <w:u w:val="single"/>
        </w:rPr>
      </w:pPr>
      <w:r>
        <w:rPr>
          <w:rFonts w:hint="eastAsia" w:ascii="宋体" w:hAnsi="宋体" w:cs="宋体"/>
          <w:color w:val="auto"/>
          <w:sz w:val="21"/>
          <w:szCs w:val="21"/>
          <w:highlight w:val="none"/>
        </w:rPr>
        <w:t>（1）“招标人”（即发包人）、“项目建设管理单位”（或称“项目代建单位”）、“招标代理”、“设计单位”、“监理单位”均已在投标须知前附表中列明。</w:t>
      </w:r>
    </w:p>
    <w:p w14:paraId="2B323DF5">
      <w:pPr>
        <w:pStyle w:val="31"/>
        <w:snapToGrid w:val="0"/>
        <w:spacing w:after="0" w:line="360" w:lineRule="auto"/>
        <w:ind w:firstLineChars="200"/>
        <w:rPr>
          <w:rFonts w:ascii="宋体" w:hAnsi="宋体" w:cs="宋体"/>
          <w:color w:val="auto"/>
          <w:sz w:val="21"/>
          <w:szCs w:val="21"/>
          <w:highlight w:val="none"/>
          <w:u w:val="single"/>
        </w:rPr>
      </w:pPr>
      <w:r>
        <w:rPr>
          <w:rFonts w:hint="eastAsia" w:ascii="宋体" w:hAnsi="宋体" w:cs="宋体"/>
          <w:color w:val="auto"/>
          <w:sz w:val="21"/>
          <w:szCs w:val="21"/>
          <w:highlight w:val="none"/>
        </w:rPr>
        <w:t>（2）“投标人”指向招标人提交投标文件的当事人。</w:t>
      </w:r>
    </w:p>
    <w:p w14:paraId="3CA4814D">
      <w:pPr>
        <w:pStyle w:val="31"/>
        <w:snapToGrid w:val="0"/>
        <w:spacing w:after="0" w:line="360" w:lineRule="auto"/>
        <w:ind w:firstLineChars="200"/>
        <w:rPr>
          <w:rFonts w:ascii="宋体" w:hAnsi="宋体" w:cs="宋体"/>
          <w:color w:val="auto"/>
          <w:sz w:val="21"/>
          <w:szCs w:val="21"/>
          <w:highlight w:val="none"/>
        </w:rPr>
      </w:pPr>
      <w:r>
        <w:rPr>
          <w:rFonts w:hint="eastAsia" w:ascii="宋体" w:hAnsi="宋体" w:cs="宋体"/>
          <w:color w:val="auto"/>
          <w:sz w:val="21"/>
          <w:szCs w:val="21"/>
          <w:highlight w:val="none"/>
        </w:rPr>
        <w:t>（3）“承包人”指其投标被招标人接受并与其签订承包合同的当事人。</w:t>
      </w:r>
    </w:p>
    <w:p w14:paraId="6A0905E2">
      <w:pPr>
        <w:pStyle w:val="31"/>
        <w:snapToGrid w:val="0"/>
        <w:spacing w:after="0" w:line="360" w:lineRule="auto"/>
        <w:ind w:firstLineChars="200"/>
        <w:rPr>
          <w:rFonts w:ascii="宋体" w:hAnsi="宋体" w:cs="宋体"/>
          <w:color w:val="auto"/>
          <w:sz w:val="21"/>
          <w:szCs w:val="21"/>
          <w:highlight w:val="none"/>
          <w:u w:val="single"/>
        </w:rPr>
      </w:pPr>
      <w:r>
        <w:rPr>
          <w:rFonts w:hint="eastAsia" w:ascii="宋体" w:hAnsi="宋体" w:cs="宋体"/>
          <w:color w:val="auto"/>
          <w:sz w:val="21"/>
          <w:szCs w:val="21"/>
          <w:highlight w:val="none"/>
        </w:rPr>
        <w:t>（4）“招标文件”指由招标代理发出的本文件（包括全部章节、附件）及招标答疑会会议纪要和</w:t>
      </w:r>
      <w:r>
        <w:rPr>
          <w:rFonts w:hint="eastAsia" w:ascii="宋体" w:hAnsi="宋体" w:cs="宋体"/>
          <w:bCs/>
          <w:color w:val="auto"/>
          <w:sz w:val="21"/>
          <w:szCs w:val="21"/>
          <w:highlight w:val="none"/>
        </w:rPr>
        <w:t>招标文件的澄清与修改</w:t>
      </w:r>
      <w:r>
        <w:rPr>
          <w:rFonts w:hint="eastAsia" w:ascii="宋体" w:hAnsi="宋体" w:cs="宋体"/>
          <w:color w:val="auto"/>
          <w:sz w:val="21"/>
          <w:szCs w:val="21"/>
          <w:highlight w:val="none"/>
        </w:rPr>
        <w:t>文件。</w:t>
      </w:r>
    </w:p>
    <w:p w14:paraId="5E31F570">
      <w:pPr>
        <w:pStyle w:val="31"/>
        <w:snapToGrid w:val="0"/>
        <w:spacing w:after="0" w:line="360" w:lineRule="auto"/>
        <w:ind w:firstLineChars="200"/>
        <w:rPr>
          <w:rFonts w:ascii="宋体" w:hAnsi="宋体" w:cs="宋体"/>
          <w:color w:val="auto"/>
          <w:sz w:val="21"/>
          <w:szCs w:val="21"/>
          <w:highlight w:val="none"/>
        </w:rPr>
      </w:pPr>
      <w:r>
        <w:rPr>
          <w:rFonts w:hint="eastAsia" w:ascii="宋体" w:hAnsi="宋体" w:cs="宋体"/>
          <w:color w:val="auto"/>
          <w:sz w:val="21"/>
          <w:szCs w:val="21"/>
          <w:highlight w:val="none"/>
        </w:rPr>
        <w:t>（5）“投标文件”指投标人根据本项目招标文件向招标人提交的全部文件。</w:t>
      </w:r>
    </w:p>
    <w:p w14:paraId="720EC65B">
      <w:pPr>
        <w:pStyle w:val="31"/>
        <w:snapToGrid w:val="0"/>
        <w:spacing w:after="0" w:line="360" w:lineRule="auto"/>
        <w:ind w:firstLineChars="200"/>
        <w:rPr>
          <w:rFonts w:ascii="宋体" w:hAnsi="宋体" w:cs="宋体"/>
          <w:color w:val="auto"/>
          <w:sz w:val="21"/>
          <w:szCs w:val="21"/>
          <w:highlight w:val="none"/>
        </w:rPr>
      </w:pPr>
      <w:r>
        <w:rPr>
          <w:rFonts w:hint="eastAsia" w:ascii="宋体" w:hAnsi="宋体" w:cs="宋体"/>
          <w:color w:val="auto"/>
          <w:sz w:val="21"/>
          <w:szCs w:val="21"/>
          <w:highlight w:val="none"/>
        </w:rPr>
        <w:t>（6）“书面形式”指打字或印刷的文件和数据电文（包括电报、电传、传真、电子数据交换和电子邮件）。</w:t>
      </w:r>
    </w:p>
    <w:p w14:paraId="56C02D66">
      <w:pPr>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2、招标说明</w:t>
      </w:r>
    </w:p>
    <w:p w14:paraId="02D30E74">
      <w:pPr>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2.1本招标工程项目按照《中华人民共和国招标投标法》等有关法律、行政法规、规章和规范性文件，通过招标方式选定承包人。</w:t>
      </w:r>
    </w:p>
    <w:p w14:paraId="26D97BAC">
      <w:pPr>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2.2工程名称、建设地点、建设规模、承包方式、质量标准、招标范围、工期要求等均在投标须知前附表中列明。</w:t>
      </w:r>
    </w:p>
    <w:p w14:paraId="19E4C85C">
      <w:pPr>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2.3设计说明：详见招标图纸。</w:t>
      </w:r>
    </w:p>
    <w:p w14:paraId="49D61CD0">
      <w:pPr>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2.4工程施工特点：详见招标图纸。</w:t>
      </w:r>
    </w:p>
    <w:p w14:paraId="16F447DF">
      <w:pPr>
        <w:tabs>
          <w:tab w:val="left" w:pos="105"/>
        </w:tabs>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3．资金来源</w:t>
      </w:r>
    </w:p>
    <w:p w14:paraId="4B6DEB4A">
      <w:pPr>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3.1本招标工程项目资金来源见投标须知前附表第9项</w:t>
      </w:r>
    </w:p>
    <w:p w14:paraId="32E1D2C7">
      <w:pPr>
        <w:tabs>
          <w:tab w:val="left" w:pos="105"/>
        </w:tabs>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4．合格投标人的条件</w:t>
      </w:r>
    </w:p>
    <w:p w14:paraId="52C249E6">
      <w:pPr>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4.1详见本项目招标公告</w:t>
      </w:r>
    </w:p>
    <w:p w14:paraId="0457B13E">
      <w:pPr>
        <w:tabs>
          <w:tab w:val="left" w:pos="105"/>
        </w:tabs>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5．踏勘现场</w:t>
      </w:r>
    </w:p>
    <w:p w14:paraId="531D8EC9">
      <w:pPr>
        <w:snapToGrid w:val="0"/>
        <w:spacing w:line="360" w:lineRule="auto"/>
        <w:ind w:firstLine="420" w:firstLineChars="200"/>
        <w:rPr>
          <w:rFonts w:ascii="宋体" w:hAnsi="宋体" w:cs="宋体"/>
          <w:bCs/>
          <w:color w:val="auto"/>
          <w:szCs w:val="21"/>
          <w:highlight w:val="none"/>
          <w:u w:val="single"/>
        </w:rPr>
      </w:pPr>
      <w:r>
        <w:rPr>
          <w:rFonts w:hint="eastAsia" w:ascii="宋体" w:hAnsi="宋体" w:cs="宋体"/>
          <w:bCs/>
          <w:color w:val="auto"/>
          <w:szCs w:val="21"/>
          <w:highlight w:val="none"/>
        </w:rPr>
        <w:t>5.1 投标人应按本投标须知前附表第15项所述时间和要求对工程现场及周围环境进行踏勘，</w:t>
      </w:r>
      <w:r>
        <w:rPr>
          <w:rFonts w:hint="eastAsia" w:ascii="宋体" w:hAnsi="宋体" w:cs="宋体"/>
          <w:color w:val="auto"/>
          <w:szCs w:val="21"/>
          <w:highlight w:val="none"/>
        </w:rPr>
        <w:t>投标人应充分重视和仔细地进行这种考察，</w:t>
      </w:r>
      <w:r>
        <w:rPr>
          <w:rFonts w:hint="eastAsia" w:ascii="宋体" w:hAnsi="宋体" w:cs="宋体"/>
          <w:bCs/>
          <w:color w:val="auto"/>
          <w:szCs w:val="21"/>
          <w:highlight w:val="none"/>
        </w:rPr>
        <w:t>以便投标人获取</w:t>
      </w:r>
      <w:r>
        <w:rPr>
          <w:rFonts w:hint="eastAsia" w:ascii="宋体" w:hAnsi="宋体" w:cs="宋体"/>
          <w:color w:val="auto"/>
          <w:szCs w:val="21"/>
          <w:highlight w:val="none"/>
        </w:rPr>
        <w:t>那些须投标人自己负责的</w:t>
      </w:r>
      <w:r>
        <w:rPr>
          <w:rFonts w:hint="eastAsia" w:ascii="宋体" w:hAnsi="宋体" w:cs="宋体"/>
          <w:bCs/>
          <w:color w:val="auto"/>
          <w:szCs w:val="21"/>
          <w:highlight w:val="none"/>
        </w:rPr>
        <w:t>有关编制投标文件和签署合同所涉及现场所有的资料。</w:t>
      </w:r>
      <w:r>
        <w:rPr>
          <w:rFonts w:hint="eastAsia" w:ascii="宋体" w:hAnsi="宋体" w:cs="宋体"/>
          <w:color w:val="auto"/>
          <w:szCs w:val="21"/>
          <w:highlight w:val="none"/>
        </w:rPr>
        <w:t>一旦中标，这种考察即被认为其结果已在中标文件中得到充分反映。考察现场的费用由投标人自己承担。</w:t>
      </w:r>
    </w:p>
    <w:p w14:paraId="3B9F8E40">
      <w:pPr>
        <w:tabs>
          <w:tab w:val="left" w:pos="105"/>
        </w:tabs>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5.2 招标人向投标人提供的有关现场的数据和资料，是招标人现有的能被投标人利用的资料，招标人对投标人做出的任何推论、理解和结论均不负责任。</w:t>
      </w:r>
    </w:p>
    <w:p w14:paraId="0D69058F">
      <w:pPr>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5.3 经招标人允许，投标人可为踏勘目的进入招标人的项目现场。</w:t>
      </w:r>
      <w:r>
        <w:rPr>
          <w:rFonts w:hint="eastAsia" w:ascii="宋体" w:hAnsi="宋体" w:cs="宋体"/>
          <w:color w:val="auto"/>
          <w:szCs w:val="21"/>
          <w:highlight w:val="none"/>
        </w:rPr>
        <w:t>在考察过程中，投标人及其代表必须承担那些进入现场后，由于他们的行为所造成的人身伤害（不管是否致命）、财产损失或损坏，以及其他任何原因造成的损失、损坏或费用，</w:t>
      </w:r>
      <w:r>
        <w:rPr>
          <w:rFonts w:hint="eastAsia" w:ascii="宋体" w:hAnsi="宋体" w:cs="宋体"/>
          <w:bCs/>
          <w:color w:val="auto"/>
          <w:szCs w:val="21"/>
          <w:highlight w:val="none"/>
        </w:rPr>
        <w:t>投标人不得因此使招标人承担有关的责任和蒙受损失。</w:t>
      </w:r>
    </w:p>
    <w:p w14:paraId="1826C6EF">
      <w:pPr>
        <w:tabs>
          <w:tab w:val="left" w:pos="105"/>
        </w:tabs>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6．投标费用</w:t>
      </w:r>
    </w:p>
    <w:p w14:paraId="76B59F56">
      <w:pPr>
        <w:tabs>
          <w:tab w:val="left" w:pos="105"/>
        </w:tabs>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6.1</w:t>
      </w:r>
      <w:r>
        <w:rPr>
          <w:rFonts w:hint="eastAsia" w:ascii="宋体" w:hAnsi="宋体" w:cs="宋体"/>
          <w:color w:val="auto"/>
          <w:szCs w:val="21"/>
          <w:highlight w:val="none"/>
        </w:rPr>
        <w:t>不论投标结果如何，投标人应承担</w:t>
      </w:r>
      <w:r>
        <w:rPr>
          <w:rFonts w:hint="eastAsia" w:ascii="宋体" w:hAnsi="宋体" w:cs="宋体"/>
          <w:bCs/>
          <w:color w:val="auto"/>
          <w:szCs w:val="21"/>
          <w:highlight w:val="none"/>
        </w:rPr>
        <w:t>自身</w:t>
      </w:r>
      <w:r>
        <w:rPr>
          <w:rFonts w:hint="eastAsia" w:ascii="宋体" w:hAnsi="宋体" w:cs="宋体"/>
          <w:color w:val="auto"/>
          <w:szCs w:val="21"/>
          <w:highlight w:val="none"/>
        </w:rPr>
        <w:t>因投标文件编制、递交及其他</w:t>
      </w:r>
      <w:r>
        <w:rPr>
          <w:rFonts w:hint="eastAsia" w:ascii="宋体" w:hAnsi="宋体" w:cs="宋体"/>
          <w:bCs/>
          <w:color w:val="auto"/>
          <w:szCs w:val="21"/>
          <w:highlight w:val="none"/>
        </w:rPr>
        <w:t>参加本招标活动</w:t>
      </w:r>
      <w:r>
        <w:rPr>
          <w:rFonts w:hint="eastAsia" w:ascii="宋体" w:hAnsi="宋体" w:cs="宋体"/>
          <w:color w:val="auto"/>
          <w:szCs w:val="21"/>
          <w:highlight w:val="none"/>
        </w:rPr>
        <w:t>所涉及的一切费用，招标人对上述费用不负任何责任。</w:t>
      </w:r>
    </w:p>
    <w:p w14:paraId="1AE796CB">
      <w:pPr>
        <w:pStyle w:val="5"/>
        <w:snapToGrid w:val="0"/>
        <w:spacing w:before="0" w:beforeAutospacing="0" w:after="0" w:afterAutospacing="0" w:line="360" w:lineRule="auto"/>
        <w:rPr>
          <w:rFonts w:cs="宋体"/>
          <w:color w:val="auto"/>
          <w:sz w:val="21"/>
          <w:szCs w:val="21"/>
          <w:highlight w:val="none"/>
        </w:rPr>
      </w:pPr>
      <w:bookmarkStart w:id="8" w:name="_Toc32111"/>
      <w:bookmarkStart w:id="9" w:name="_Toc21525494"/>
      <w:r>
        <w:rPr>
          <w:rFonts w:hint="eastAsia" w:cs="宋体"/>
          <w:color w:val="auto"/>
          <w:sz w:val="21"/>
          <w:szCs w:val="21"/>
          <w:highlight w:val="none"/>
        </w:rPr>
        <w:t>（二）招标文件</w:t>
      </w:r>
      <w:bookmarkEnd w:id="8"/>
      <w:bookmarkEnd w:id="9"/>
    </w:p>
    <w:p w14:paraId="0D7868F3">
      <w:pPr>
        <w:tabs>
          <w:tab w:val="left" w:pos="105"/>
        </w:tabs>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7.招标文件的组成</w:t>
      </w:r>
    </w:p>
    <w:p w14:paraId="257CE198">
      <w:pPr>
        <w:snapToGrid w:val="0"/>
        <w:spacing w:line="360" w:lineRule="auto"/>
        <w:ind w:firstLine="420" w:firstLineChars="200"/>
        <w:rPr>
          <w:rFonts w:ascii="宋体" w:hAnsi="宋体" w:cs="宋体"/>
          <w:color w:val="auto"/>
          <w:szCs w:val="21"/>
          <w:highlight w:val="none"/>
        </w:rPr>
      </w:pPr>
      <w:r>
        <w:rPr>
          <w:rFonts w:hint="eastAsia" w:ascii="宋体" w:hAnsi="宋体" w:cs="宋体"/>
          <w:bCs/>
          <w:color w:val="auto"/>
          <w:szCs w:val="21"/>
          <w:highlight w:val="none"/>
        </w:rPr>
        <w:t>7.1</w:t>
      </w:r>
      <w:r>
        <w:rPr>
          <w:rFonts w:hint="eastAsia" w:ascii="宋体" w:hAnsi="宋体" w:cs="宋体"/>
          <w:color w:val="auto"/>
          <w:szCs w:val="21"/>
          <w:highlight w:val="none"/>
        </w:rPr>
        <w:t>本招标文件包括下列文件，以及所有按本须知第8条发出的招标答疑会会议纪要和按本须知第9条发出的澄清或修改：</w:t>
      </w:r>
    </w:p>
    <w:p w14:paraId="7E5CFB34">
      <w:pPr>
        <w:pStyle w:val="31"/>
        <w:snapToGrid w:val="0"/>
        <w:spacing w:after="0" w:line="360" w:lineRule="auto"/>
        <w:ind w:left="-2" w:firstLineChars="200"/>
        <w:rPr>
          <w:rFonts w:ascii="宋体" w:hAnsi="宋体" w:cs="宋体"/>
          <w:color w:val="auto"/>
          <w:sz w:val="21"/>
          <w:szCs w:val="21"/>
          <w:highlight w:val="none"/>
        </w:rPr>
      </w:pPr>
      <w:r>
        <w:rPr>
          <w:rFonts w:hint="eastAsia" w:ascii="宋体" w:hAnsi="宋体" w:cs="宋体"/>
          <w:bCs/>
          <w:color w:val="auto"/>
          <w:sz w:val="21"/>
          <w:szCs w:val="21"/>
          <w:highlight w:val="none"/>
        </w:rPr>
        <w:t xml:space="preserve">第一章  </w:t>
      </w:r>
      <w:r>
        <w:rPr>
          <w:rFonts w:hint="eastAsia" w:ascii="宋体" w:hAnsi="宋体" w:cs="宋体"/>
          <w:color w:val="auto"/>
          <w:sz w:val="21"/>
          <w:szCs w:val="21"/>
          <w:highlight w:val="none"/>
        </w:rPr>
        <w:t>投标须知</w:t>
      </w:r>
    </w:p>
    <w:p w14:paraId="36C440FB">
      <w:pPr>
        <w:pStyle w:val="31"/>
        <w:snapToGrid w:val="0"/>
        <w:spacing w:after="0" w:line="360" w:lineRule="auto"/>
        <w:ind w:left="-2" w:firstLineChars="200"/>
        <w:rPr>
          <w:rFonts w:ascii="宋体" w:hAnsi="宋体" w:cs="宋体"/>
          <w:color w:val="auto"/>
          <w:sz w:val="21"/>
          <w:szCs w:val="21"/>
          <w:highlight w:val="none"/>
        </w:rPr>
      </w:pPr>
      <w:r>
        <w:rPr>
          <w:rFonts w:hint="eastAsia" w:ascii="宋体" w:hAnsi="宋体" w:cs="宋体"/>
          <w:bCs/>
          <w:color w:val="auto"/>
          <w:sz w:val="21"/>
          <w:szCs w:val="21"/>
          <w:highlight w:val="none"/>
        </w:rPr>
        <w:t xml:space="preserve">第二章  </w:t>
      </w:r>
      <w:r>
        <w:rPr>
          <w:rFonts w:hint="eastAsia" w:ascii="宋体" w:hAnsi="宋体" w:cs="宋体"/>
          <w:color w:val="auto"/>
          <w:sz w:val="21"/>
          <w:szCs w:val="21"/>
          <w:highlight w:val="none"/>
        </w:rPr>
        <w:t>开标、评标及定标办法</w:t>
      </w:r>
    </w:p>
    <w:p w14:paraId="1C3E505D">
      <w:pPr>
        <w:pStyle w:val="31"/>
        <w:snapToGrid w:val="0"/>
        <w:spacing w:after="0" w:line="360" w:lineRule="auto"/>
        <w:ind w:firstLineChars="200"/>
        <w:rPr>
          <w:rFonts w:ascii="宋体" w:hAnsi="宋体" w:cs="宋体"/>
          <w:color w:val="auto"/>
          <w:sz w:val="21"/>
          <w:szCs w:val="21"/>
          <w:highlight w:val="none"/>
        </w:rPr>
      </w:pPr>
      <w:r>
        <w:rPr>
          <w:rFonts w:hint="eastAsia" w:ascii="宋体" w:hAnsi="宋体" w:cs="宋体"/>
          <w:color w:val="auto"/>
          <w:sz w:val="21"/>
          <w:szCs w:val="21"/>
          <w:highlight w:val="none"/>
        </w:rPr>
        <w:t>第三章  合同条款</w:t>
      </w:r>
    </w:p>
    <w:p w14:paraId="2625663E">
      <w:pPr>
        <w:pStyle w:val="31"/>
        <w:snapToGrid w:val="0"/>
        <w:spacing w:after="0" w:line="360" w:lineRule="auto"/>
        <w:ind w:firstLineChars="200"/>
        <w:rPr>
          <w:rFonts w:ascii="宋体" w:hAnsi="宋体" w:cs="宋体"/>
          <w:color w:val="auto"/>
          <w:sz w:val="21"/>
          <w:szCs w:val="21"/>
          <w:highlight w:val="none"/>
        </w:rPr>
      </w:pPr>
      <w:r>
        <w:rPr>
          <w:rFonts w:hint="eastAsia" w:ascii="宋体" w:hAnsi="宋体" w:cs="宋体"/>
          <w:bCs/>
          <w:color w:val="auto"/>
          <w:sz w:val="21"/>
          <w:szCs w:val="21"/>
          <w:highlight w:val="none"/>
        </w:rPr>
        <w:t xml:space="preserve">第四章  </w:t>
      </w:r>
      <w:r>
        <w:rPr>
          <w:rFonts w:hint="eastAsia" w:ascii="宋体" w:hAnsi="宋体" w:cs="宋体"/>
          <w:color w:val="auto"/>
          <w:sz w:val="21"/>
          <w:szCs w:val="21"/>
          <w:highlight w:val="none"/>
        </w:rPr>
        <w:t>投标文件格式</w:t>
      </w:r>
    </w:p>
    <w:p w14:paraId="046F5770">
      <w:pPr>
        <w:pStyle w:val="31"/>
        <w:snapToGrid w:val="0"/>
        <w:spacing w:after="0" w:line="360" w:lineRule="auto"/>
        <w:ind w:left="-2" w:firstLineChars="200"/>
        <w:rPr>
          <w:rFonts w:ascii="宋体" w:hAnsi="宋体" w:cs="宋体"/>
          <w:color w:val="auto"/>
          <w:sz w:val="21"/>
          <w:szCs w:val="21"/>
          <w:highlight w:val="none"/>
        </w:rPr>
      </w:pPr>
      <w:r>
        <w:rPr>
          <w:rFonts w:hint="eastAsia" w:ascii="宋体" w:hAnsi="宋体" w:cs="宋体"/>
          <w:bCs/>
          <w:color w:val="auto"/>
          <w:sz w:val="21"/>
          <w:szCs w:val="21"/>
          <w:highlight w:val="none"/>
        </w:rPr>
        <w:t xml:space="preserve">第五章  </w:t>
      </w:r>
      <w:r>
        <w:rPr>
          <w:rFonts w:hint="eastAsia" w:ascii="宋体" w:hAnsi="宋体" w:cs="宋体"/>
          <w:color w:val="auto"/>
          <w:sz w:val="21"/>
          <w:szCs w:val="21"/>
          <w:highlight w:val="none"/>
        </w:rPr>
        <w:t>技术条件（工程建设标准）（另册）</w:t>
      </w:r>
    </w:p>
    <w:p w14:paraId="74C40005">
      <w:pPr>
        <w:pStyle w:val="31"/>
        <w:snapToGrid w:val="0"/>
        <w:spacing w:after="0" w:line="360" w:lineRule="auto"/>
        <w:ind w:left="-2" w:firstLineChars="200"/>
        <w:rPr>
          <w:rFonts w:ascii="宋体" w:hAnsi="宋体" w:cs="宋体"/>
          <w:color w:val="auto"/>
          <w:sz w:val="21"/>
          <w:szCs w:val="21"/>
          <w:highlight w:val="none"/>
        </w:rPr>
      </w:pPr>
      <w:r>
        <w:rPr>
          <w:rFonts w:hint="eastAsia" w:ascii="宋体" w:hAnsi="宋体" w:cs="宋体"/>
          <w:bCs/>
          <w:color w:val="auto"/>
          <w:sz w:val="21"/>
          <w:szCs w:val="21"/>
          <w:highlight w:val="none"/>
        </w:rPr>
        <w:t xml:space="preserve">第六章  </w:t>
      </w:r>
      <w:r>
        <w:rPr>
          <w:rFonts w:hint="eastAsia" w:ascii="宋体" w:hAnsi="宋体" w:cs="宋体"/>
          <w:color w:val="auto"/>
          <w:sz w:val="21"/>
          <w:szCs w:val="21"/>
          <w:highlight w:val="none"/>
        </w:rPr>
        <w:t>图纸及勘察资料（另册）</w:t>
      </w:r>
    </w:p>
    <w:p w14:paraId="076DE1F5">
      <w:pPr>
        <w:pStyle w:val="31"/>
        <w:snapToGrid w:val="0"/>
        <w:spacing w:after="0" w:line="360" w:lineRule="auto"/>
        <w:ind w:left="-2" w:firstLineChars="200"/>
        <w:rPr>
          <w:rFonts w:ascii="宋体" w:hAnsi="宋体" w:cs="宋体"/>
          <w:color w:val="auto"/>
          <w:sz w:val="21"/>
          <w:szCs w:val="21"/>
          <w:highlight w:val="none"/>
        </w:rPr>
      </w:pPr>
      <w:r>
        <w:rPr>
          <w:rFonts w:hint="eastAsia" w:ascii="宋体" w:hAnsi="宋体" w:cs="宋体"/>
          <w:bCs/>
          <w:color w:val="auto"/>
          <w:sz w:val="21"/>
          <w:szCs w:val="21"/>
          <w:highlight w:val="none"/>
        </w:rPr>
        <w:t>第七章  招标</w:t>
      </w:r>
      <w:r>
        <w:rPr>
          <w:rFonts w:hint="eastAsia" w:ascii="宋体" w:hAnsi="宋体" w:cs="宋体"/>
          <w:color w:val="auto"/>
          <w:sz w:val="21"/>
          <w:szCs w:val="21"/>
          <w:highlight w:val="none"/>
        </w:rPr>
        <w:t>工程量清单（另册）</w:t>
      </w:r>
    </w:p>
    <w:p w14:paraId="749432D8">
      <w:pPr>
        <w:pStyle w:val="31"/>
        <w:snapToGrid w:val="0"/>
        <w:spacing w:after="0" w:line="360" w:lineRule="auto"/>
        <w:ind w:left="-2" w:firstLineChars="200"/>
        <w:rPr>
          <w:rFonts w:ascii="宋体" w:hAnsi="宋体" w:cs="宋体"/>
          <w:color w:val="auto"/>
          <w:sz w:val="21"/>
          <w:szCs w:val="21"/>
          <w:highlight w:val="none"/>
        </w:rPr>
      </w:pPr>
      <w:r>
        <w:rPr>
          <w:rFonts w:hint="eastAsia" w:ascii="宋体" w:hAnsi="宋体" w:cs="宋体"/>
          <w:color w:val="auto"/>
          <w:sz w:val="21"/>
          <w:szCs w:val="21"/>
          <w:highlight w:val="none"/>
        </w:rPr>
        <w:t>第八章  最高投标限价</w:t>
      </w:r>
    </w:p>
    <w:p w14:paraId="0AFC04A7">
      <w:pPr>
        <w:pStyle w:val="31"/>
        <w:snapToGrid w:val="0"/>
        <w:spacing w:after="0" w:line="360" w:lineRule="auto"/>
        <w:ind w:left="-2" w:firstLineChars="200"/>
        <w:rPr>
          <w:rFonts w:ascii="宋体" w:hAnsi="宋体" w:cs="宋体"/>
          <w:color w:val="auto"/>
          <w:sz w:val="21"/>
          <w:szCs w:val="21"/>
          <w:highlight w:val="none"/>
        </w:rPr>
      </w:pPr>
      <w:r>
        <w:rPr>
          <w:rFonts w:hint="eastAsia" w:ascii="宋体" w:hAnsi="宋体" w:cs="宋体"/>
          <w:color w:val="auto"/>
          <w:sz w:val="21"/>
          <w:szCs w:val="21"/>
          <w:highlight w:val="none"/>
        </w:rPr>
        <w:t>注：</w:t>
      </w:r>
      <w:r>
        <w:rPr>
          <w:rFonts w:hint="eastAsia" w:ascii="宋体" w:hAnsi="宋体" w:cs="宋体"/>
          <w:color w:val="auto"/>
          <w:sz w:val="22"/>
          <w:highlight w:val="none"/>
        </w:rPr>
        <w:fldChar w:fldCharType="begin"/>
      </w:r>
      <w:r>
        <w:rPr>
          <w:rFonts w:hint="eastAsia" w:ascii="宋体" w:hAnsi="宋体" w:cs="宋体"/>
          <w:color w:val="auto"/>
          <w:sz w:val="22"/>
          <w:highlight w:val="none"/>
        </w:rPr>
        <w:instrText xml:space="preserve"> = 1 \* GB3 </w:instrText>
      </w:r>
      <w:r>
        <w:rPr>
          <w:rFonts w:hint="eastAsia" w:ascii="宋体" w:hAnsi="宋体" w:cs="宋体"/>
          <w:color w:val="auto"/>
          <w:sz w:val="22"/>
          <w:highlight w:val="none"/>
        </w:rPr>
        <w:fldChar w:fldCharType="separate"/>
      </w:r>
      <w:r>
        <w:rPr>
          <w:rFonts w:hint="eastAsia" w:ascii="宋体" w:hAnsi="宋体" w:cs="宋体"/>
          <w:color w:val="auto"/>
          <w:sz w:val="22"/>
          <w:highlight w:val="none"/>
        </w:rPr>
        <w:t>①</w:t>
      </w:r>
      <w:r>
        <w:rPr>
          <w:rFonts w:hint="eastAsia" w:ascii="宋体" w:hAnsi="宋体" w:cs="宋体"/>
          <w:color w:val="auto"/>
          <w:sz w:val="22"/>
          <w:highlight w:val="none"/>
        </w:rPr>
        <w:fldChar w:fldCharType="end"/>
      </w:r>
      <w:r>
        <w:rPr>
          <w:rFonts w:hint="eastAsia" w:ascii="宋体" w:hAnsi="宋体" w:cs="宋体"/>
          <w:color w:val="auto"/>
          <w:sz w:val="22"/>
          <w:highlight w:val="none"/>
        </w:rPr>
        <w:t>招标人应在技术条件（工程建设标准）中提出本项目对关键技术、工艺、重点、难点，以及拟在本项目采用的智能建造和新型建筑工业化相关技术的具体要求，明确本项目采购绿色建材和对原材料、生产制造工艺的环保、节能、低碳的要求，明确施工现场建筑垃圾源头减量的具体要求以及建筑垃圾综合利用产品的使用要求。</w:t>
      </w:r>
      <w:r>
        <w:rPr>
          <w:rFonts w:hint="eastAsia" w:ascii="宋体" w:hAnsi="宋体" w:cs="宋体"/>
          <w:color w:val="auto"/>
          <w:sz w:val="22"/>
          <w:highlight w:val="none"/>
        </w:rPr>
        <w:fldChar w:fldCharType="begin"/>
      </w:r>
      <w:r>
        <w:rPr>
          <w:rFonts w:hint="eastAsia" w:ascii="宋体" w:hAnsi="宋体" w:cs="宋体"/>
          <w:color w:val="auto"/>
          <w:sz w:val="22"/>
          <w:highlight w:val="none"/>
        </w:rPr>
        <w:instrText xml:space="preserve"> = 2 \* GB3 </w:instrText>
      </w:r>
      <w:r>
        <w:rPr>
          <w:rFonts w:hint="eastAsia" w:ascii="宋体" w:hAnsi="宋体" w:cs="宋体"/>
          <w:color w:val="auto"/>
          <w:sz w:val="22"/>
          <w:highlight w:val="none"/>
        </w:rPr>
        <w:fldChar w:fldCharType="separate"/>
      </w:r>
      <w:r>
        <w:rPr>
          <w:rFonts w:hint="eastAsia" w:ascii="宋体" w:hAnsi="宋体" w:cs="宋体"/>
          <w:color w:val="auto"/>
          <w:sz w:val="22"/>
          <w:highlight w:val="none"/>
        </w:rPr>
        <w:t>②</w:t>
      </w:r>
      <w:r>
        <w:rPr>
          <w:rFonts w:hint="eastAsia" w:ascii="宋体" w:hAnsi="宋体" w:cs="宋体"/>
          <w:color w:val="auto"/>
          <w:sz w:val="22"/>
          <w:highlight w:val="none"/>
        </w:rPr>
        <w:fldChar w:fldCharType="end"/>
      </w:r>
      <w:r>
        <w:rPr>
          <w:rFonts w:hint="eastAsia" w:ascii="宋体" w:hAnsi="宋体" w:cs="宋体"/>
          <w:color w:val="auto"/>
          <w:sz w:val="22"/>
          <w:highlight w:val="none"/>
        </w:rPr>
        <w:t>鼓励招标人对施工组织设计或施工方案实行隐藏投标人信息的暗标评审</w:t>
      </w:r>
      <w:r>
        <w:rPr>
          <w:rFonts w:hint="eastAsia" w:ascii="宋体" w:hAnsi="宋体" w:cs="宋体"/>
          <w:color w:val="auto"/>
          <w:sz w:val="21"/>
          <w:szCs w:val="21"/>
          <w:highlight w:val="none"/>
        </w:rPr>
        <w:t>。</w:t>
      </w:r>
    </w:p>
    <w:p w14:paraId="19906302">
      <w:pPr>
        <w:pStyle w:val="31"/>
        <w:snapToGrid w:val="0"/>
        <w:spacing w:after="0" w:line="360" w:lineRule="auto"/>
        <w:ind w:firstLineChars="200"/>
        <w:rPr>
          <w:rFonts w:ascii="宋体" w:hAnsi="宋体" w:cs="宋体"/>
          <w:color w:val="auto"/>
          <w:sz w:val="21"/>
          <w:szCs w:val="21"/>
          <w:highlight w:val="none"/>
        </w:rPr>
      </w:pPr>
      <w:r>
        <w:rPr>
          <w:rFonts w:hint="eastAsia" w:ascii="宋体" w:hAnsi="宋体" w:cs="宋体"/>
          <w:color w:val="auto"/>
          <w:sz w:val="21"/>
          <w:szCs w:val="21"/>
          <w:highlight w:val="none"/>
        </w:rPr>
        <w:t>7.2 投标人获取招标文件后，应仔细检查招标文件的所有内容，认真审阅招标文件中所有的事项、格式、条款和规范要求等，若投标人的投标文件没有按招标文件要求提交全部资料，或投标文件实质上没有响应招标文件的要求，招标人将按评标办法的规定予以拒绝，并且不允许投标人通过修改或撤消其不符合要求的差异或保留使之成为具有响应性的投标文件。</w:t>
      </w:r>
    </w:p>
    <w:p w14:paraId="1479D91D">
      <w:pPr>
        <w:pStyle w:val="31"/>
        <w:snapToGrid w:val="0"/>
        <w:spacing w:after="0" w:line="360" w:lineRule="auto"/>
        <w:ind w:firstLineChars="200"/>
        <w:rPr>
          <w:rFonts w:ascii="宋体" w:hAnsi="宋体" w:cs="宋体"/>
          <w:color w:val="auto"/>
          <w:sz w:val="21"/>
          <w:szCs w:val="21"/>
          <w:highlight w:val="none"/>
        </w:rPr>
      </w:pPr>
      <w:r>
        <w:rPr>
          <w:rFonts w:hint="eastAsia" w:ascii="宋体" w:hAnsi="宋体" w:cs="宋体"/>
          <w:color w:val="auto"/>
          <w:sz w:val="21"/>
          <w:szCs w:val="21"/>
          <w:highlight w:val="none"/>
        </w:rPr>
        <w:t>7.3 投标人一旦中标，招标文件的内容对招标人和中标人双方均有约束力。</w:t>
      </w:r>
    </w:p>
    <w:p w14:paraId="5C44DF29">
      <w:pPr>
        <w:pStyle w:val="31"/>
        <w:snapToGrid w:val="0"/>
        <w:spacing w:after="0" w:line="360" w:lineRule="auto"/>
        <w:ind w:firstLine="422" w:firstLineChars="200"/>
        <w:rPr>
          <w:rFonts w:ascii="宋体" w:hAnsi="宋体" w:cs="宋体"/>
          <w:b/>
          <w:bCs/>
          <w:color w:val="auto"/>
          <w:sz w:val="21"/>
          <w:szCs w:val="21"/>
          <w:highlight w:val="none"/>
        </w:rPr>
      </w:pPr>
      <w:r>
        <w:rPr>
          <w:rFonts w:hint="eastAsia" w:ascii="宋体" w:hAnsi="宋体" w:cs="宋体"/>
          <w:b/>
          <w:bCs/>
          <w:color w:val="auto"/>
          <w:sz w:val="21"/>
          <w:szCs w:val="21"/>
          <w:highlight w:val="none"/>
        </w:rPr>
        <w:t>8．招标答疑</w:t>
      </w:r>
    </w:p>
    <w:p w14:paraId="61F1B02F">
      <w:pPr>
        <w:pStyle w:val="31"/>
        <w:snapToGrid w:val="0"/>
        <w:spacing w:after="0" w:line="360" w:lineRule="auto"/>
        <w:ind w:firstLineChars="200"/>
        <w:rPr>
          <w:rFonts w:ascii="宋体" w:hAnsi="宋体" w:cs="宋体"/>
          <w:color w:val="auto"/>
          <w:sz w:val="21"/>
          <w:szCs w:val="21"/>
          <w:highlight w:val="none"/>
        </w:rPr>
      </w:pPr>
      <w:r>
        <w:rPr>
          <w:rFonts w:hint="eastAsia" w:ascii="宋体" w:hAnsi="宋体" w:cs="宋体"/>
          <w:color w:val="auto"/>
          <w:sz w:val="21"/>
          <w:szCs w:val="21"/>
          <w:highlight w:val="none"/>
        </w:rPr>
        <w:t>8.1 投标人若对招标文件（包括招标图纸）中有疑问，可以书面形式通过</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交易平台提交给招标人或招标代理人，提交形式见本须知前附表第16项。</w:t>
      </w:r>
    </w:p>
    <w:p w14:paraId="61012544">
      <w:pPr>
        <w:pStyle w:val="31"/>
        <w:snapToGrid w:val="0"/>
        <w:spacing w:after="0" w:line="360" w:lineRule="auto"/>
        <w:ind w:firstLineChars="200"/>
        <w:rPr>
          <w:rFonts w:ascii="宋体" w:hAnsi="宋体" w:cs="宋体"/>
          <w:color w:val="auto"/>
          <w:sz w:val="21"/>
          <w:szCs w:val="21"/>
          <w:highlight w:val="none"/>
        </w:rPr>
      </w:pPr>
      <w:r>
        <w:rPr>
          <w:rFonts w:hint="eastAsia" w:ascii="宋体" w:hAnsi="宋体" w:cs="宋体"/>
          <w:color w:val="auto"/>
          <w:sz w:val="21"/>
          <w:szCs w:val="21"/>
          <w:highlight w:val="none"/>
        </w:rPr>
        <w:t>8.2招标答疑会会议纪要将在提交投标文件截止时间15日前在</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交易平台“项目答疑纪要”专区公开发布。答疑纪要一经在</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交易平台发布，视作已发放给所有投标人。</w:t>
      </w:r>
    </w:p>
    <w:p w14:paraId="1C5F13B8">
      <w:pPr>
        <w:pStyle w:val="31"/>
        <w:snapToGrid w:val="0"/>
        <w:spacing w:after="0" w:line="360" w:lineRule="auto"/>
        <w:ind w:firstLineChars="200"/>
        <w:rPr>
          <w:rFonts w:ascii="宋体" w:hAnsi="宋体" w:cs="宋体"/>
          <w:color w:val="auto"/>
          <w:sz w:val="21"/>
          <w:szCs w:val="21"/>
          <w:highlight w:val="none"/>
        </w:rPr>
      </w:pPr>
      <w:r>
        <w:rPr>
          <w:rFonts w:hint="eastAsia" w:ascii="宋体" w:hAnsi="宋体" w:cs="宋体"/>
          <w:color w:val="auto"/>
          <w:sz w:val="21"/>
          <w:szCs w:val="21"/>
          <w:highlight w:val="none"/>
        </w:rPr>
        <w:t>8.3答疑会会议纪要为招标文件的一部分。</w:t>
      </w:r>
    </w:p>
    <w:p w14:paraId="1E552876">
      <w:pPr>
        <w:pStyle w:val="31"/>
        <w:snapToGrid w:val="0"/>
        <w:spacing w:after="0" w:line="360" w:lineRule="auto"/>
        <w:ind w:firstLineChars="200"/>
        <w:rPr>
          <w:rFonts w:ascii="宋体" w:hAnsi="宋体" w:cs="宋体"/>
          <w:color w:val="auto"/>
          <w:sz w:val="21"/>
          <w:szCs w:val="21"/>
          <w:highlight w:val="none"/>
        </w:rPr>
      </w:pPr>
      <w:r>
        <w:rPr>
          <w:rFonts w:hint="eastAsia" w:ascii="宋体" w:hAnsi="宋体" w:cs="宋体"/>
          <w:color w:val="auto"/>
          <w:sz w:val="21"/>
          <w:szCs w:val="21"/>
          <w:highlight w:val="none"/>
        </w:rPr>
        <w:t>8.4若招标答疑会会议纪要与招标文件有矛盾，以答疑会议纪要最后发出的书面形式的文件为准。</w:t>
      </w:r>
    </w:p>
    <w:p w14:paraId="67A076BA">
      <w:pPr>
        <w:pStyle w:val="31"/>
        <w:snapToGrid w:val="0"/>
        <w:spacing w:after="0" w:line="360" w:lineRule="auto"/>
        <w:ind w:firstLine="422" w:firstLineChars="200"/>
        <w:rPr>
          <w:rFonts w:ascii="宋体" w:hAnsi="宋体" w:cs="宋体"/>
          <w:b/>
          <w:bCs/>
          <w:color w:val="auto"/>
          <w:sz w:val="21"/>
          <w:szCs w:val="21"/>
          <w:highlight w:val="none"/>
        </w:rPr>
      </w:pPr>
      <w:r>
        <w:rPr>
          <w:rFonts w:hint="eastAsia" w:ascii="宋体" w:hAnsi="宋体" w:cs="宋体"/>
          <w:b/>
          <w:bCs/>
          <w:color w:val="auto"/>
          <w:sz w:val="21"/>
          <w:szCs w:val="21"/>
          <w:highlight w:val="none"/>
        </w:rPr>
        <w:t>9.招标文件的澄清与修改</w:t>
      </w:r>
    </w:p>
    <w:p w14:paraId="6C054B39">
      <w:pPr>
        <w:pStyle w:val="31"/>
        <w:snapToGrid w:val="0"/>
        <w:spacing w:after="0" w:line="360" w:lineRule="auto"/>
        <w:ind w:firstLineChars="200"/>
        <w:rPr>
          <w:rFonts w:ascii="宋体" w:hAnsi="宋体" w:cs="宋体"/>
          <w:color w:val="auto"/>
          <w:sz w:val="21"/>
          <w:szCs w:val="21"/>
          <w:highlight w:val="none"/>
        </w:rPr>
      </w:pPr>
      <w:r>
        <w:rPr>
          <w:rFonts w:hint="eastAsia" w:ascii="宋体" w:hAnsi="宋体" w:cs="宋体"/>
          <w:color w:val="auto"/>
          <w:sz w:val="21"/>
          <w:szCs w:val="21"/>
          <w:highlight w:val="none"/>
        </w:rPr>
        <w:t>9.1招标文件发出后,在提交投标文件截止时间15日前，招标人可对招标文件进行必要的澄清或修改。</w:t>
      </w:r>
    </w:p>
    <w:p w14:paraId="3F9091AA">
      <w:pPr>
        <w:pStyle w:val="31"/>
        <w:snapToGrid w:val="0"/>
        <w:spacing w:after="0" w:line="360" w:lineRule="auto"/>
        <w:ind w:firstLineChars="200"/>
        <w:rPr>
          <w:rFonts w:ascii="宋体" w:hAnsi="宋体" w:cs="宋体"/>
          <w:color w:val="auto"/>
          <w:sz w:val="21"/>
          <w:szCs w:val="21"/>
          <w:highlight w:val="none"/>
        </w:rPr>
      </w:pPr>
      <w:r>
        <w:rPr>
          <w:rFonts w:hint="eastAsia" w:ascii="宋体" w:hAnsi="宋体" w:cs="宋体"/>
          <w:color w:val="auto"/>
          <w:sz w:val="21"/>
          <w:szCs w:val="21"/>
          <w:highlight w:val="none"/>
        </w:rPr>
        <w:t>9.2招标文件的澄清或修改将在</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交易平台“项目答疑纪要”专区公开发布。答疑纪要一经在</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交易平台发布，视作已发放给所有投标人，以</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交易平台上网发布时间作为送达时间。</w:t>
      </w:r>
    </w:p>
    <w:p w14:paraId="5CCEF149">
      <w:pPr>
        <w:pStyle w:val="31"/>
        <w:snapToGrid w:val="0"/>
        <w:spacing w:after="0" w:line="360" w:lineRule="auto"/>
        <w:ind w:firstLineChars="200"/>
        <w:rPr>
          <w:rFonts w:ascii="宋体" w:hAnsi="宋体" w:cs="宋体"/>
          <w:color w:val="auto"/>
          <w:sz w:val="21"/>
          <w:szCs w:val="21"/>
          <w:highlight w:val="none"/>
        </w:rPr>
      </w:pPr>
      <w:r>
        <w:rPr>
          <w:rFonts w:hint="eastAsia" w:ascii="宋体" w:hAnsi="宋体" w:cs="宋体"/>
          <w:color w:val="auto"/>
          <w:sz w:val="21"/>
          <w:szCs w:val="21"/>
          <w:highlight w:val="none"/>
        </w:rPr>
        <w:t>9.3招标文件的修改内容为招标文件的组成部分。</w:t>
      </w:r>
    </w:p>
    <w:p w14:paraId="61D982E6">
      <w:pPr>
        <w:pStyle w:val="31"/>
        <w:snapToGrid w:val="0"/>
        <w:spacing w:after="0" w:line="360" w:lineRule="auto"/>
        <w:ind w:firstLineChars="200"/>
        <w:rPr>
          <w:rFonts w:ascii="宋体" w:hAnsi="宋体" w:cs="宋体"/>
          <w:color w:val="auto"/>
          <w:sz w:val="21"/>
          <w:szCs w:val="21"/>
          <w:highlight w:val="none"/>
        </w:rPr>
      </w:pPr>
      <w:r>
        <w:rPr>
          <w:rFonts w:hint="eastAsia" w:ascii="宋体" w:hAnsi="宋体" w:cs="宋体"/>
          <w:color w:val="auto"/>
          <w:sz w:val="21"/>
          <w:szCs w:val="21"/>
          <w:highlight w:val="none"/>
        </w:rPr>
        <w:t>9.4招标文件的澄清或修改均以书面形式明确的内容为准。当招标文件的澄清、修改、补充等在同一内容的表述不一致时，以最后发出的书面形式的文件为准。</w:t>
      </w:r>
    </w:p>
    <w:p w14:paraId="214810EF">
      <w:pPr>
        <w:pStyle w:val="31"/>
        <w:snapToGrid w:val="0"/>
        <w:spacing w:after="0" w:line="360" w:lineRule="auto"/>
        <w:ind w:firstLineChars="200"/>
        <w:rPr>
          <w:rFonts w:ascii="宋体" w:hAnsi="宋体" w:cs="宋体"/>
          <w:color w:val="auto"/>
          <w:sz w:val="21"/>
          <w:szCs w:val="21"/>
          <w:highlight w:val="none"/>
        </w:rPr>
      </w:pPr>
      <w:r>
        <w:rPr>
          <w:rFonts w:hint="eastAsia" w:ascii="宋体" w:hAnsi="宋体" w:cs="宋体"/>
          <w:color w:val="auto"/>
          <w:sz w:val="21"/>
          <w:szCs w:val="21"/>
          <w:highlight w:val="none"/>
        </w:rPr>
        <w:t>9.5为使投标人在编制投标文件时有充分的时间对招标文件的澄清或修改等内容考虑进去，招标人将酌情延长提交投标文件的截止时间，具体时间将在招标文件的澄清或修改中予以明确。若澄清或修改中没有明确延长时间，即表示投标时间不延长。</w:t>
      </w:r>
    </w:p>
    <w:p w14:paraId="5B3A118A">
      <w:pPr>
        <w:pStyle w:val="5"/>
        <w:snapToGrid w:val="0"/>
        <w:spacing w:before="0" w:beforeAutospacing="0" w:after="0" w:afterAutospacing="0" w:line="360" w:lineRule="auto"/>
        <w:rPr>
          <w:rFonts w:cs="宋体"/>
          <w:color w:val="auto"/>
          <w:sz w:val="21"/>
          <w:szCs w:val="21"/>
          <w:highlight w:val="none"/>
        </w:rPr>
      </w:pPr>
      <w:bookmarkStart w:id="10" w:name="_Toc21525495"/>
      <w:bookmarkStart w:id="11" w:name="_Toc32542"/>
      <w:r>
        <w:rPr>
          <w:rFonts w:hint="eastAsia" w:cs="宋体"/>
          <w:color w:val="auto"/>
          <w:sz w:val="21"/>
          <w:szCs w:val="21"/>
          <w:highlight w:val="none"/>
        </w:rPr>
        <w:t>（三）投标文件的编制</w:t>
      </w:r>
      <w:bookmarkEnd w:id="10"/>
      <w:bookmarkEnd w:id="11"/>
    </w:p>
    <w:p w14:paraId="766FADEF">
      <w:pPr>
        <w:pStyle w:val="31"/>
        <w:snapToGrid w:val="0"/>
        <w:spacing w:after="0" w:line="360" w:lineRule="auto"/>
        <w:ind w:firstLine="422" w:firstLineChars="200"/>
        <w:rPr>
          <w:rFonts w:ascii="宋体" w:hAnsi="宋体" w:cs="宋体"/>
          <w:b/>
          <w:bCs/>
          <w:color w:val="auto"/>
          <w:sz w:val="21"/>
          <w:szCs w:val="21"/>
          <w:highlight w:val="none"/>
        </w:rPr>
      </w:pPr>
      <w:r>
        <w:rPr>
          <w:rFonts w:hint="eastAsia" w:ascii="宋体" w:hAnsi="宋体" w:cs="宋体"/>
          <w:b/>
          <w:bCs/>
          <w:color w:val="auto"/>
          <w:sz w:val="21"/>
          <w:szCs w:val="21"/>
          <w:highlight w:val="none"/>
        </w:rPr>
        <w:t>10．投标文件的语言及度量衡单位</w:t>
      </w:r>
    </w:p>
    <w:p w14:paraId="218D0C85">
      <w:pPr>
        <w:pStyle w:val="31"/>
        <w:snapToGrid w:val="0"/>
        <w:spacing w:after="0" w:line="360" w:lineRule="auto"/>
        <w:ind w:firstLineChars="200"/>
        <w:rPr>
          <w:rFonts w:ascii="宋体" w:hAnsi="宋体" w:cs="宋体"/>
          <w:color w:val="auto"/>
          <w:sz w:val="21"/>
          <w:szCs w:val="21"/>
          <w:highlight w:val="none"/>
        </w:rPr>
      </w:pPr>
      <w:r>
        <w:rPr>
          <w:rFonts w:hint="eastAsia" w:ascii="宋体" w:hAnsi="宋体" w:cs="宋体"/>
          <w:color w:val="auto"/>
          <w:sz w:val="21"/>
          <w:szCs w:val="21"/>
          <w:highlight w:val="none"/>
        </w:rPr>
        <w:t>10.1 投标文件和与投标有关的所有文件均应使用中文。</w:t>
      </w:r>
    </w:p>
    <w:p w14:paraId="425BD882">
      <w:pPr>
        <w:pStyle w:val="31"/>
        <w:snapToGrid w:val="0"/>
        <w:spacing w:after="0" w:line="360" w:lineRule="auto"/>
        <w:ind w:firstLineChars="200"/>
        <w:rPr>
          <w:rFonts w:ascii="宋体" w:hAnsi="宋体" w:cs="宋体"/>
          <w:color w:val="auto"/>
          <w:sz w:val="21"/>
          <w:szCs w:val="21"/>
          <w:highlight w:val="none"/>
        </w:rPr>
      </w:pPr>
      <w:r>
        <w:rPr>
          <w:rFonts w:hint="eastAsia" w:ascii="宋体" w:hAnsi="宋体" w:cs="宋体"/>
          <w:color w:val="auto"/>
          <w:sz w:val="21"/>
          <w:szCs w:val="21"/>
          <w:highlight w:val="none"/>
        </w:rPr>
        <w:t>10.2 除工程规范另有规定外，投标文件使用的度量衡单位，均采用中华人民共和国法定计量单位。</w:t>
      </w:r>
    </w:p>
    <w:p w14:paraId="6F167C3F">
      <w:pPr>
        <w:pStyle w:val="31"/>
        <w:snapToGrid w:val="0"/>
        <w:spacing w:after="0" w:line="360" w:lineRule="auto"/>
        <w:ind w:firstLine="422" w:firstLineChars="200"/>
        <w:rPr>
          <w:rFonts w:ascii="宋体" w:hAnsi="宋体" w:cs="宋体"/>
          <w:b/>
          <w:bCs/>
          <w:color w:val="auto"/>
          <w:sz w:val="21"/>
          <w:szCs w:val="21"/>
          <w:highlight w:val="none"/>
        </w:rPr>
      </w:pPr>
      <w:r>
        <w:rPr>
          <w:rFonts w:hint="eastAsia" w:ascii="宋体" w:hAnsi="宋体" w:cs="宋体"/>
          <w:b/>
          <w:bCs/>
          <w:color w:val="auto"/>
          <w:sz w:val="21"/>
          <w:szCs w:val="21"/>
          <w:highlight w:val="none"/>
        </w:rPr>
        <w:t>11．投标文件的组成</w:t>
      </w:r>
    </w:p>
    <w:p w14:paraId="18671AD8">
      <w:pPr>
        <w:pStyle w:val="31"/>
        <w:snapToGrid w:val="0"/>
        <w:spacing w:after="0" w:line="360" w:lineRule="auto"/>
        <w:ind w:firstLineChars="200"/>
        <w:rPr>
          <w:rFonts w:ascii="宋体" w:hAnsi="宋体" w:cs="宋体"/>
          <w:b/>
          <w:color w:val="auto"/>
          <w:sz w:val="21"/>
          <w:szCs w:val="21"/>
          <w:highlight w:val="none"/>
        </w:rPr>
      </w:pPr>
      <w:r>
        <w:rPr>
          <w:rFonts w:hint="eastAsia" w:ascii="宋体" w:hAnsi="宋体" w:cs="宋体"/>
          <w:color w:val="auto"/>
          <w:sz w:val="21"/>
          <w:szCs w:val="21"/>
          <w:highlight w:val="none"/>
        </w:rPr>
        <w:t>11.1 投标文件由技术部分（含资格审查文件）和经济部分二部分投标文件组成</w:t>
      </w:r>
      <w:r>
        <w:rPr>
          <w:rFonts w:hint="eastAsia" w:ascii="宋体" w:hAnsi="宋体" w:cs="宋体"/>
          <w:b/>
          <w:color w:val="auto"/>
          <w:sz w:val="21"/>
          <w:szCs w:val="21"/>
          <w:highlight w:val="none"/>
        </w:rPr>
        <w:t>。</w:t>
      </w:r>
    </w:p>
    <w:p w14:paraId="6F96C570">
      <w:pPr>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11.2投标文件技术标部分主要包括下列内容:</w:t>
      </w:r>
    </w:p>
    <w:p w14:paraId="35E47C4B">
      <w:pPr>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11.2.1 技术投标文件</w:t>
      </w:r>
      <w:r>
        <w:rPr>
          <w:rFonts w:hint="eastAsia" w:ascii="宋体" w:hAnsi="宋体" w:cs="宋体"/>
          <w:color w:val="auto"/>
          <w:szCs w:val="21"/>
          <w:highlight w:val="none"/>
        </w:rPr>
        <w:t>(按招标文件的要求填写)</w:t>
      </w:r>
      <w:r>
        <w:rPr>
          <w:rFonts w:hint="eastAsia" w:ascii="宋体" w:hAnsi="宋体" w:cs="宋体"/>
          <w:bCs/>
          <w:color w:val="auto"/>
          <w:szCs w:val="21"/>
          <w:highlight w:val="none"/>
        </w:rPr>
        <w:t>；</w:t>
      </w:r>
    </w:p>
    <w:p w14:paraId="6AF7969D">
      <w:pPr>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11.2.2 资格审查文件：</w:t>
      </w:r>
    </w:p>
    <w:p w14:paraId="4E1776E0">
      <w:pPr>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（1）投标人声明；</w:t>
      </w:r>
    </w:p>
    <w:p w14:paraId="04820E98">
      <w:pPr>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（2）法定代表人证明书、法定代表人签字或盖章的本投标文件授权委托证明书；</w:t>
      </w:r>
    </w:p>
    <w:p w14:paraId="2CC98E00">
      <w:pPr>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（3）企业营业执照扫描件或电子证照；</w:t>
      </w:r>
    </w:p>
    <w:p w14:paraId="20C2DB35">
      <w:pPr>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（4）企业资质证书扫描件或电子证照；</w:t>
      </w:r>
    </w:p>
    <w:p w14:paraId="0D0FF62A">
      <w:pPr>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（5）建筑施工企业安全生产许可证扫描件或电子证照；</w:t>
      </w:r>
    </w:p>
    <w:p w14:paraId="4F9CC9C4">
      <w:pPr>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（6）项目负责人（按网上投标登记时选择拟投标的项目负责人）；</w:t>
      </w:r>
    </w:p>
    <w:p w14:paraId="6A64A67A">
      <w:pPr>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（7）专职安全员（按网上投标登记时选择拟投标的专职安全员）；</w:t>
      </w:r>
    </w:p>
    <w:p w14:paraId="78DD9E8D">
      <w:pPr>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（8）拟委派技术负责人的相关证书、资料（具体要求由招标人明确；）</w:t>
      </w:r>
    </w:p>
    <w:p w14:paraId="31B4C4AA">
      <w:pPr>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（9）拟委派项目负责人的有效期内的建造师注册证书扫描件或电子证书；</w:t>
      </w:r>
    </w:p>
    <w:p w14:paraId="188ECF63">
      <w:pPr>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（10）项目负责人在有效期内的安全生产考核合格证书（B类）或建筑施工企业项目负责人安全生产考核合格证书扫描件或电子证书；</w:t>
      </w:r>
    </w:p>
    <w:p w14:paraId="63AD7EBF">
      <w:pPr>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（11）专职安全员须具有在有效期内的安全生产考核合格证书（C类）或建筑施工企业专职安全生产管理人员安全生产考核合格证书扫描件或电子证书；</w:t>
      </w:r>
    </w:p>
    <w:p w14:paraId="09346537">
      <w:pPr>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（12）用于资格审查的业绩（设置业绩要求时选择此项，投标人须提供类似工程业绩的项目名称及项目编号，具体格式由招标人自定）；</w:t>
      </w:r>
    </w:p>
    <w:p w14:paraId="39B873AD">
      <w:pPr>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（13）资格审查前，投标人须在广州市住房和城乡建设局建立企业信用档案，拟担任本工程项目负责人、专职安全员须是本企业信用档案中的在册人员；</w:t>
      </w:r>
    </w:p>
    <w:p w14:paraId="7EC1125C">
      <w:pPr>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（14）列明主办单位的联合体工作协议（采用联合体投标时需递交，投标人拟任本工程项目负责人应为联合体主办方信用档案中的在册人员，联合体工作协议应明确约定各方拟承担的工作和责任）。</w:t>
      </w:r>
    </w:p>
    <w:p w14:paraId="0B7B78D4">
      <w:pPr>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注：1.相关电子证书按规定需打印后手写本人签名的，应按照规定手写本人签名后再扫描提交。</w:t>
      </w:r>
    </w:p>
    <w:p w14:paraId="73630EE1">
      <w:pPr>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投标人在投标登记时选择了拟投入本项目的项目负责人、专职安全员，即已满足“资格审查前，投标人须在广州市住房和城乡建设局建立企业信用档案，拟担任本工程项目负责人、专职安全员须是本企业信用档案中的在册人员”的要求，投标人无需提供证明材料。</w:t>
      </w:r>
    </w:p>
    <w:p w14:paraId="674D7EB2">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11.2.3项目管理机构配备。</w:t>
      </w:r>
    </w:p>
    <w:p w14:paraId="7E44D859">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（1）投标人应列出该项目工程的施工组织机构构成和画出机构框架图及其负责人；</w:t>
      </w:r>
    </w:p>
    <w:p w14:paraId="61003F31">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（2）投标人应详细列出该施工组织机构中主要成员的名单、简历资料、职务职称和在本项目中拟担任的职务等资料，并附上有关证明材料扫描件；</w:t>
      </w:r>
    </w:p>
    <w:p w14:paraId="00397C7B">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（3）其他辅助说明资料。</w:t>
      </w:r>
    </w:p>
    <w:p w14:paraId="18B80269">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11.2.4投标人在广州市可使用适合本工程的机械设备（附：机械设备为自有或租赁的说明；及承诺机械设备如属于租赁的，其租赁是不属于重复租赁）。</w:t>
      </w:r>
    </w:p>
    <w:p w14:paraId="2BC31880">
      <w:pPr>
        <w:tabs>
          <w:tab w:val="left" w:pos="1125"/>
        </w:tabs>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11.2.5施工组织设计或施工方案。</w:t>
      </w:r>
    </w:p>
    <w:p w14:paraId="1411134E">
      <w:pPr>
        <w:tabs>
          <w:tab w:val="left" w:pos="1125"/>
        </w:tabs>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（1）投标人在编制施工组织设计或施工方案时应按照招标人提出的施工现场建筑垃圾源头减量的具体要求以及建筑垃圾综合利用产品的使用要求提供相应措施。</w:t>
      </w:r>
    </w:p>
    <w:p w14:paraId="740C23E5">
      <w:pPr>
        <w:tabs>
          <w:tab w:val="left" w:pos="1125"/>
        </w:tabs>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投标人在编制施工组织设计或施工方案时应按照招标文件要求，并针对本项目的关键技术、工艺、重点、难点以及拟在本项目采用的新工艺、新技术、新材料编制，应突出重点，标准、规范中已有的内容无需赘述，一般篇幅不宜超过150页；对于技术特别复杂，施工工艺超出国家标准的项目，施工组织设计的篇幅要求可适当放宽，但不宜超过200页。超过部分不予评审。</w:t>
      </w:r>
    </w:p>
    <w:p w14:paraId="3B1B014E">
      <w:pPr>
        <w:tabs>
          <w:tab w:val="left" w:pos="1125"/>
        </w:tabs>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11.2.6按照</w:t>
      </w:r>
      <w:r>
        <w:rPr>
          <w:rFonts w:hint="eastAsia" w:ascii="宋体" w:hAnsi="宋体" w:cs="宋体"/>
          <w:bCs/>
          <w:color w:val="auto"/>
          <w:szCs w:val="21"/>
          <w:highlight w:val="none"/>
        </w:rPr>
        <w:t>招标文件要求</w:t>
      </w:r>
      <w:r>
        <w:rPr>
          <w:rFonts w:hint="eastAsia" w:ascii="宋体" w:hAnsi="宋体" w:cs="宋体"/>
          <w:color w:val="auto"/>
          <w:szCs w:val="21"/>
          <w:highlight w:val="none"/>
        </w:rPr>
        <w:t>填写的《参与编制技术标投标文件人员名单》。</w:t>
      </w:r>
    </w:p>
    <w:p w14:paraId="28852E13">
      <w:pPr>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11.3 经济部分投标文件主要包括下列内容：</w:t>
      </w:r>
    </w:p>
    <w:p w14:paraId="510258D0">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11.3.1 经济投标文件(按招标文件的要求填写)。</w:t>
      </w:r>
    </w:p>
    <w:p w14:paraId="3D30EE0F">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11.3.2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其中包括如下：</w:t>
      </w:r>
    </w:p>
    <w:p w14:paraId="22A69406">
      <w:pPr>
        <w:snapToGrid w:val="0"/>
        <w:spacing w:line="360" w:lineRule="auto"/>
        <w:ind w:firstLine="495" w:firstLineChars="236"/>
        <w:rPr>
          <w:rFonts w:ascii="宋体" w:hAnsi="宋体" w:cs="宋体"/>
          <w:color w:val="auto"/>
          <w:szCs w:val="21"/>
          <w:highlight w:val="none"/>
        </w:rPr>
      </w:pPr>
      <w:r>
        <w:rPr>
          <w:rFonts w:hint="eastAsia" w:ascii="宋体" w:hAnsi="宋体" w:cs="宋体"/>
          <w:color w:val="auto"/>
          <w:szCs w:val="21"/>
          <w:highlight w:val="none"/>
        </w:rPr>
        <w:t>（1）投标总价封面、扉页；</w:t>
      </w:r>
    </w:p>
    <w:p w14:paraId="61AA99B7">
      <w:pPr>
        <w:snapToGrid w:val="0"/>
        <w:spacing w:line="360" w:lineRule="auto"/>
        <w:ind w:firstLine="495" w:firstLineChars="236"/>
        <w:rPr>
          <w:rFonts w:ascii="宋体" w:hAnsi="宋体" w:cs="宋体"/>
          <w:color w:val="auto"/>
          <w:szCs w:val="21"/>
          <w:highlight w:val="none"/>
        </w:rPr>
      </w:pPr>
      <w:r>
        <w:rPr>
          <w:rFonts w:hint="eastAsia" w:ascii="宋体" w:hAnsi="宋体" w:cs="宋体"/>
          <w:color w:val="auto"/>
          <w:szCs w:val="21"/>
          <w:highlight w:val="none"/>
        </w:rPr>
        <w:t>（2）总说明</w:t>
      </w:r>
    </w:p>
    <w:p w14:paraId="597688A8">
      <w:pPr>
        <w:snapToGrid w:val="0"/>
        <w:spacing w:line="360" w:lineRule="auto"/>
        <w:ind w:firstLine="495" w:firstLineChars="236"/>
        <w:rPr>
          <w:rFonts w:ascii="宋体" w:hAnsi="宋体" w:cs="宋体"/>
          <w:color w:val="auto"/>
          <w:szCs w:val="21"/>
          <w:highlight w:val="none"/>
        </w:rPr>
      </w:pPr>
      <w:r>
        <w:rPr>
          <w:rFonts w:hint="eastAsia" w:ascii="宋体" w:hAnsi="宋体" w:cs="宋体"/>
          <w:color w:val="auto"/>
          <w:szCs w:val="21"/>
          <w:highlight w:val="none"/>
        </w:rPr>
        <w:t>（3）工程项目投标报价汇总表；</w:t>
      </w:r>
    </w:p>
    <w:p w14:paraId="22BE103E">
      <w:pPr>
        <w:snapToGrid w:val="0"/>
        <w:spacing w:line="360" w:lineRule="auto"/>
        <w:ind w:firstLine="495" w:firstLineChars="236"/>
        <w:rPr>
          <w:rFonts w:ascii="宋体" w:hAnsi="宋体" w:cs="宋体"/>
          <w:color w:val="auto"/>
          <w:szCs w:val="21"/>
          <w:highlight w:val="none"/>
        </w:rPr>
      </w:pPr>
      <w:r>
        <w:rPr>
          <w:rFonts w:hint="eastAsia" w:ascii="宋体" w:hAnsi="宋体" w:cs="宋体"/>
          <w:color w:val="auto"/>
          <w:szCs w:val="21"/>
          <w:highlight w:val="none"/>
        </w:rPr>
        <w:t>（4）单项工程投标报价汇总表；</w:t>
      </w:r>
    </w:p>
    <w:p w14:paraId="091902E3">
      <w:pPr>
        <w:snapToGrid w:val="0"/>
        <w:spacing w:line="360" w:lineRule="auto"/>
        <w:ind w:firstLine="495" w:firstLineChars="236"/>
        <w:rPr>
          <w:rFonts w:ascii="宋体" w:hAnsi="宋体" w:cs="宋体"/>
          <w:color w:val="auto"/>
          <w:szCs w:val="21"/>
          <w:highlight w:val="none"/>
        </w:rPr>
      </w:pPr>
      <w:r>
        <w:rPr>
          <w:rFonts w:hint="eastAsia" w:ascii="宋体" w:hAnsi="宋体" w:cs="宋体"/>
          <w:color w:val="auto"/>
          <w:szCs w:val="21"/>
          <w:highlight w:val="none"/>
        </w:rPr>
        <w:t>（5）单位工程投标报价汇总表；</w:t>
      </w:r>
    </w:p>
    <w:p w14:paraId="7D413AA3">
      <w:pPr>
        <w:snapToGrid w:val="0"/>
        <w:spacing w:line="360" w:lineRule="auto"/>
        <w:ind w:firstLine="495" w:firstLineChars="236"/>
        <w:rPr>
          <w:rFonts w:ascii="宋体" w:hAnsi="宋体" w:cs="宋体"/>
          <w:color w:val="auto"/>
          <w:szCs w:val="21"/>
          <w:highlight w:val="none"/>
        </w:rPr>
      </w:pPr>
      <w:r>
        <w:rPr>
          <w:rFonts w:hint="eastAsia" w:ascii="宋体" w:hAnsi="宋体" w:cs="宋体"/>
          <w:color w:val="auto"/>
          <w:szCs w:val="21"/>
          <w:highlight w:val="none"/>
        </w:rPr>
        <w:t>（6）分部分项工程清单与计价表；</w:t>
      </w:r>
    </w:p>
    <w:p w14:paraId="5FDCB572">
      <w:pPr>
        <w:snapToGrid w:val="0"/>
        <w:spacing w:line="360" w:lineRule="auto"/>
        <w:ind w:firstLine="495" w:firstLineChars="236"/>
        <w:rPr>
          <w:rFonts w:ascii="宋体" w:hAnsi="宋体" w:cs="宋体"/>
          <w:color w:val="auto"/>
          <w:szCs w:val="21"/>
          <w:highlight w:val="none"/>
        </w:rPr>
      </w:pPr>
      <w:r>
        <w:rPr>
          <w:rFonts w:hint="eastAsia" w:ascii="宋体" w:hAnsi="宋体" w:cs="宋体"/>
          <w:color w:val="auto"/>
          <w:szCs w:val="21"/>
          <w:highlight w:val="none"/>
        </w:rPr>
        <w:t>（7）单价措施项目清单与计价表；</w:t>
      </w:r>
    </w:p>
    <w:p w14:paraId="46789C91">
      <w:pPr>
        <w:snapToGrid w:val="0"/>
        <w:spacing w:line="360" w:lineRule="auto"/>
        <w:ind w:firstLine="495" w:firstLineChars="236"/>
        <w:rPr>
          <w:rFonts w:ascii="宋体" w:hAnsi="宋体" w:cs="宋体"/>
          <w:color w:val="auto"/>
          <w:szCs w:val="21"/>
          <w:highlight w:val="none"/>
        </w:rPr>
      </w:pPr>
      <w:r>
        <w:rPr>
          <w:rFonts w:hint="eastAsia" w:ascii="宋体" w:hAnsi="宋体" w:cs="宋体"/>
          <w:color w:val="auto"/>
          <w:szCs w:val="21"/>
          <w:highlight w:val="none"/>
        </w:rPr>
        <w:t>（8）总价措施项目清单与计价表；</w:t>
      </w:r>
    </w:p>
    <w:p w14:paraId="724A6A60">
      <w:pPr>
        <w:snapToGrid w:val="0"/>
        <w:spacing w:line="360" w:lineRule="auto"/>
        <w:ind w:firstLine="495" w:firstLineChars="236"/>
        <w:rPr>
          <w:rFonts w:ascii="宋体" w:hAnsi="宋体" w:cs="宋体"/>
          <w:color w:val="auto"/>
          <w:szCs w:val="21"/>
          <w:highlight w:val="none"/>
        </w:rPr>
      </w:pPr>
      <w:r>
        <w:rPr>
          <w:rFonts w:hint="eastAsia" w:ascii="宋体" w:hAnsi="宋体" w:cs="宋体"/>
          <w:color w:val="auto"/>
          <w:szCs w:val="21"/>
          <w:highlight w:val="none"/>
        </w:rPr>
        <w:t>（9）综合单价分析表；</w:t>
      </w:r>
    </w:p>
    <w:p w14:paraId="37FD1B79">
      <w:pPr>
        <w:snapToGrid w:val="0"/>
        <w:spacing w:line="360" w:lineRule="auto"/>
        <w:ind w:firstLine="495" w:firstLineChars="236"/>
        <w:rPr>
          <w:rFonts w:ascii="宋体" w:hAnsi="宋体" w:cs="宋体"/>
          <w:color w:val="auto"/>
          <w:szCs w:val="21"/>
          <w:highlight w:val="none"/>
        </w:rPr>
      </w:pPr>
      <w:r>
        <w:rPr>
          <w:rFonts w:hint="eastAsia" w:ascii="宋体" w:hAnsi="宋体" w:cs="宋体"/>
          <w:color w:val="auto"/>
          <w:szCs w:val="21"/>
          <w:highlight w:val="none"/>
        </w:rPr>
        <w:t>（10）其他项目清单与计价汇总表；</w:t>
      </w:r>
    </w:p>
    <w:p w14:paraId="29CEB20D">
      <w:pPr>
        <w:snapToGrid w:val="0"/>
        <w:spacing w:line="360" w:lineRule="auto"/>
        <w:ind w:firstLine="495" w:firstLineChars="236"/>
        <w:rPr>
          <w:rFonts w:ascii="宋体" w:hAnsi="宋体" w:cs="宋体"/>
          <w:color w:val="auto"/>
          <w:szCs w:val="21"/>
          <w:highlight w:val="none"/>
        </w:rPr>
      </w:pPr>
      <w:r>
        <w:rPr>
          <w:rFonts w:hint="eastAsia" w:ascii="宋体" w:hAnsi="宋体" w:cs="宋体"/>
          <w:color w:val="auto"/>
          <w:szCs w:val="21"/>
          <w:highlight w:val="none"/>
        </w:rPr>
        <w:t>（11）暂列金额明细表；</w:t>
      </w:r>
    </w:p>
    <w:p w14:paraId="74924D20">
      <w:pPr>
        <w:snapToGrid w:val="0"/>
        <w:spacing w:line="360" w:lineRule="auto"/>
        <w:ind w:firstLine="495" w:firstLineChars="236"/>
        <w:rPr>
          <w:rFonts w:ascii="宋体" w:hAnsi="宋体" w:cs="宋体"/>
          <w:color w:val="auto"/>
          <w:szCs w:val="21"/>
          <w:highlight w:val="none"/>
        </w:rPr>
      </w:pPr>
      <w:r>
        <w:rPr>
          <w:rFonts w:hint="eastAsia" w:ascii="宋体" w:hAnsi="宋体" w:cs="宋体"/>
          <w:color w:val="auto"/>
          <w:szCs w:val="21"/>
          <w:highlight w:val="none"/>
        </w:rPr>
        <w:t>（12）材料（工程设备）暂估价明细表；</w:t>
      </w:r>
    </w:p>
    <w:p w14:paraId="23F9ED01">
      <w:pPr>
        <w:snapToGrid w:val="0"/>
        <w:spacing w:line="360" w:lineRule="auto"/>
        <w:ind w:firstLine="495" w:firstLineChars="236"/>
        <w:rPr>
          <w:rFonts w:ascii="宋体" w:hAnsi="宋体" w:cs="宋体"/>
          <w:color w:val="auto"/>
          <w:szCs w:val="21"/>
          <w:highlight w:val="none"/>
        </w:rPr>
      </w:pPr>
      <w:r>
        <w:rPr>
          <w:rFonts w:hint="eastAsia" w:ascii="宋体" w:hAnsi="宋体" w:cs="宋体"/>
          <w:color w:val="auto"/>
          <w:szCs w:val="21"/>
          <w:highlight w:val="none"/>
        </w:rPr>
        <w:t>（13）专业工程暂估价明细表；</w:t>
      </w:r>
    </w:p>
    <w:p w14:paraId="70F32F7D">
      <w:pPr>
        <w:snapToGrid w:val="0"/>
        <w:spacing w:line="360" w:lineRule="auto"/>
        <w:ind w:firstLine="495" w:firstLineChars="236"/>
        <w:rPr>
          <w:rFonts w:ascii="宋体" w:hAnsi="宋体" w:cs="宋体"/>
          <w:color w:val="auto"/>
          <w:szCs w:val="21"/>
          <w:highlight w:val="none"/>
        </w:rPr>
      </w:pPr>
      <w:r>
        <w:rPr>
          <w:rFonts w:hint="eastAsia" w:ascii="宋体" w:hAnsi="宋体" w:cs="宋体"/>
          <w:color w:val="auto"/>
          <w:szCs w:val="21"/>
          <w:highlight w:val="none"/>
        </w:rPr>
        <w:t>（14）计日工表；</w:t>
      </w:r>
    </w:p>
    <w:p w14:paraId="733936CB">
      <w:pPr>
        <w:snapToGrid w:val="0"/>
        <w:spacing w:line="360" w:lineRule="auto"/>
        <w:ind w:firstLine="495" w:firstLineChars="236"/>
        <w:rPr>
          <w:rFonts w:ascii="宋体" w:hAnsi="宋体" w:cs="宋体"/>
          <w:color w:val="auto"/>
          <w:szCs w:val="21"/>
          <w:highlight w:val="none"/>
        </w:rPr>
      </w:pPr>
      <w:r>
        <w:rPr>
          <w:rFonts w:hint="eastAsia" w:ascii="宋体" w:hAnsi="宋体" w:cs="宋体"/>
          <w:color w:val="auto"/>
          <w:szCs w:val="21"/>
          <w:highlight w:val="none"/>
        </w:rPr>
        <w:t>（15）总承包服务计价表；</w:t>
      </w:r>
    </w:p>
    <w:p w14:paraId="41D8D136">
      <w:pPr>
        <w:snapToGrid w:val="0"/>
        <w:spacing w:line="360" w:lineRule="auto"/>
        <w:ind w:firstLine="495" w:firstLineChars="236"/>
        <w:rPr>
          <w:rFonts w:ascii="宋体" w:hAnsi="宋体" w:cs="宋体"/>
          <w:color w:val="auto"/>
          <w:szCs w:val="21"/>
          <w:highlight w:val="none"/>
        </w:rPr>
      </w:pPr>
      <w:r>
        <w:rPr>
          <w:rFonts w:hint="eastAsia" w:ascii="宋体" w:hAnsi="宋体" w:cs="宋体"/>
          <w:color w:val="auto"/>
          <w:szCs w:val="21"/>
          <w:highlight w:val="none"/>
        </w:rPr>
        <w:t>（16）规费和税金项目计价表；</w:t>
      </w:r>
    </w:p>
    <w:p w14:paraId="45409A9D">
      <w:pPr>
        <w:snapToGrid w:val="0"/>
        <w:spacing w:line="360" w:lineRule="auto"/>
        <w:ind w:firstLine="495" w:firstLineChars="236"/>
        <w:rPr>
          <w:rFonts w:ascii="宋体" w:hAnsi="宋体" w:cs="宋体"/>
          <w:color w:val="auto"/>
          <w:szCs w:val="21"/>
          <w:highlight w:val="none"/>
        </w:rPr>
      </w:pPr>
      <w:r>
        <w:rPr>
          <w:rFonts w:hint="eastAsia" w:ascii="宋体" w:hAnsi="宋体" w:cs="宋体"/>
          <w:color w:val="auto"/>
          <w:szCs w:val="21"/>
          <w:highlight w:val="none"/>
        </w:rPr>
        <w:t>（17）人工、主要材料和设备一览表。</w:t>
      </w:r>
    </w:p>
    <w:p w14:paraId="4C838EC9">
      <w:pPr>
        <w:tabs>
          <w:tab w:val="left" w:pos="1125"/>
        </w:tabs>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11.3.3按照</w:t>
      </w:r>
      <w:r>
        <w:rPr>
          <w:rFonts w:hint="eastAsia" w:ascii="宋体" w:hAnsi="宋体" w:cs="宋体"/>
          <w:bCs/>
          <w:color w:val="auto"/>
          <w:szCs w:val="21"/>
          <w:highlight w:val="none"/>
        </w:rPr>
        <w:t>招标文件要求</w:t>
      </w:r>
      <w:r>
        <w:rPr>
          <w:rFonts w:hint="eastAsia" w:ascii="宋体" w:hAnsi="宋体" w:cs="宋体"/>
          <w:color w:val="auto"/>
          <w:szCs w:val="21"/>
          <w:highlight w:val="none"/>
        </w:rPr>
        <w:t>填写的《参与编制经济标投标文件人员名单》。</w:t>
      </w:r>
    </w:p>
    <w:p w14:paraId="13160A23">
      <w:pPr>
        <w:tabs>
          <w:tab w:val="left" w:pos="1125"/>
        </w:tabs>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11.3.4若投标人的投标报价低于工程</w:t>
      </w:r>
      <w:r>
        <w:rPr>
          <w:rFonts w:hint="eastAsia" w:ascii="宋体" w:hAnsi="宋体" w:cs="宋体"/>
          <w:color w:val="auto"/>
          <w:szCs w:val="21"/>
          <w:highlight w:val="none"/>
          <w:lang w:eastAsia="zh-CN"/>
        </w:rPr>
        <w:t>成本警示价</w:t>
      </w:r>
      <w:r>
        <w:rPr>
          <w:rFonts w:hint="eastAsia" w:ascii="宋体" w:hAnsi="宋体" w:cs="宋体"/>
          <w:color w:val="auto"/>
          <w:szCs w:val="21"/>
          <w:highlight w:val="none"/>
        </w:rPr>
        <w:t>的，投标人还须提供详细的施工组织设计、单价、措施性费用、单价分析表、主要材料价格表、投标人成本分析供评标委员会评审。</w:t>
      </w:r>
    </w:p>
    <w:p w14:paraId="251A815A">
      <w:pPr>
        <w:pStyle w:val="31"/>
        <w:snapToGrid w:val="0"/>
        <w:spacing w:after="0" w:line="360" w:lineRule="auto"/>
        <w:ind w:firstLine="422" w:firstLineChars="200"/>
        <w:rPr>
          <w:rFonts w:ascii="宋体" w:hAnsi="宋体" w:cs="宋体"/>
          <w:b/>
          <w:bCs/>
          <w:color w:val="auto"/>
          <w:sz w:val="21"/>
          <w:szCs w:val="21"/>
          <w:highlight w:val="none"/>
        </w:rPr>
      </w:pPr>
      <w:r>
        <w:rPr>
          <w:rFonts w:hint="eastAsia" w:ascii="宋体" w:hAnsi="宋体" w:cs="宋体"/>
          <w:b/>
          <w:bCs/>
          <w:color w:val="auto"/>
          <w:sz w:val="21"/>
          <w:szCs w:val="21"/>
          <w:highlight w:val="none"/>
        </w:rPr>
        <w:t>12．投标文件格式</w:t>
      </w:r>
    </w:p>
    <w:p w14:paraId="67F9D465">
      <w:pPr>
        <w:pStyle w:val="31"/>
        <w:snapToGrid w:val="0"/>
        <w:spacing w:after="0" w:line="360" w:lineRule="auto"/>
        <w:ind w:firstLineChars="200"/>
        <w:rPr>
          <w:rFonts w:ascii="宋体" w:hAnsi="宋体" w:cs="宋体"/>
          <w:color w:val="auto"/>
          <w:sz w:val="21"/>
          <w:szCs w:val="21"/>
          <w:highlight w:val="none"/>
        </w:rPr>
      </w:pPr>
      <w:r>
        <w:rPr>
          <w:rFonts w:hint="eastAsia" w:ascii="宋体" w:hAnsi="宋体" w:cs="宋体"/>
          <w:color w:val="auto"/>
          <w:sz w:val="21"/>
          <w:szCs w:val="21"/>
          <w:highlight w:val="none"/>
        </w:rPr>
        <w:t>12.1 投标文件包括本须知第11条中规定的内容，投标人提交的投标文件应当使用招标文件所提供的投标文件全部格式（表格可以按同样格式扩展）。</w:t>
      </w:r>
    </w:p>
    <w:p w14:paraId="6705BD2E">
      <w:pPr>
        <w:pStyle w:val="31"/>
        <w:snapToGrid w:val="0"/>
        <w:spacing w:after="0" w:line="360" w:lineRule="auto"/>
        <w:ind w:firstLineChars="200"/>
        <w:rPr>
          <w:rFonts w:ascii="宋体" w:hAnsi="宋体" w:cs="宋体"/>
          <w:color w:val="auto"/>
          <w:sz w:val="21"/>
          <w:szCs w:val="21"/>
          <w:highlight w:val="none"/>
        </w:rPr>
      </w:pPr>
      <w:r>
        <w:rPr>
          <w:rFonts w:hint="eastAsia" w:ascii="宋体" w:hAnsi="宋体" w:cs="宋体"/>
          <w:color w:val="auto"/>
          <w:sz w:val="21"/>
          <w:szCs w:val="21"/>
          <w:highlight w:val="none"/>
        </w:rPr>
        <w:t>12.2 投标文件全部采用电子文档，投标文件所附证书证件均为原件扫描件，并采用单位数字证书，对投标文件加盖电子印章。投标文件中需个人签字或盖章的，应加盖个人电子印章或在线下完成后扫描上传。按照交易平台关于全流程电子化项目的相关指南进行操作。详见：</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w:t>
      </w:r>
    </w:p>
    <w:p w14:paraId="74EBF538">
      <w:pPr>
        <w:pStyle w:val="31"/>
        <w:snapToGrid w:val="0"/>
        <w:spacing w:after="0" w:line="360" w:lineRule="auto"/>
        <w:ind w:firstLineChars="200"/>
        <w:rPr>
          <w:rFonts w:ascii="宋体" w:hAnsi="宋体" w:cs="宋体"/>
          <w:color w:val="auto"/>
          <w:sz w:val="21"/>
          <w:szCs w:val="21"/>
          <w:highlight w:val="none"/>
        </w:rPr>
      </w:pPr>
      <w:r>
        <w:rPr>
          <w:rFonts w:hint="eastAsia" w:ascii="宋体" w:hAnsi="宋体" w:cs="宋体"/>
          <w:color w:val="auto"/>
          <w:sz w:val="21"/>
          <w:szCs w:val="21"/>
          <w:highlight w:val="none"/>
        </w:rPr>
        <w:t>注释：投标文件电子文档需要投标人单位盖章的材料，投标人加盖电子印章即可，不得将投标人未对电子文档加盖实物印章作为否决投标的情形。</w:t>
      </w:r>
    </w:p>
    <w:p w14:paraId="5E1B4203">
      <w:pPr>
        <w:pStyle w:val="31"/>
        <w:snapToGrid w:val="0"/>
        <w:spacing w:after="0" w:line="360" w:lineRule="auto"/>
        <w:ind w:firstLineChars="200"/>
        <w:rPr>
          <w:rFonts w:ascii="宋体" w:hAnsi="宋体" w:cs="宋体"/>
          <w:color w:val="auto"/>
          <w:sz w:val="21"/>
          <w:szCs w:val="21"/>
          <w:highlight w:val="none"/>
        </w:rPr>
      </w:pPr>
      <w:r>
        <w:rPr>
          <w:rFonts w:hint="eastAsia" w:ascii="宋体" w:hAnsi="宋体" w:cs="宋体"/>
          <w:color w:val="auto"/>
          <w:sz w:val="21"/>
          <w:szCs w:val="21"/>
          <w:highlight w:val="none"/>
        </w:rPr>
        <w:t xml:space="preserve">12.3 </w:t>
      </w:r>
      <w:r>
        <w:rPr>
          <w:rFonts w:hint="eastAsia" w:ascii="宋体" w:hAnsi="宋体" w:cs="宋体"/>
          <w:bCs/>
          <w:color w:val="auto"/>
          <w:sz w:val="21"/>
          <w:szCs w:val="21"/>
          <w:highlight w:val="none"/>
        </w:rPr>
        <w:t>投标文件应按</w:t>
      </w:r>
      <w:r>
        <w:rPr>
          <w:rFonts w:hint="eastAsia" w:ascii="宋体" w:hAnsi="宋体" w:cs="宋体"/>
          <w:color w:val="auto"/>
          <w:sz w:val="21"/>
          <w:szCs w:val="21"/>
          <w:highlight w:val="none"/>
        </w:rPr>
        <w:t>照交易平台关于全流程电子化项目的相关指南进行编制，详见：</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w:t>
      </w:r>
    </w:p>
    <w:p w14:paraId="7BEA63CE">
      <w:pPr>
        <w:pStyle w:val="31"/>
        <w:snapToGrid w:val="0"/>
        <w:spacing w:after="0" w:line="360" w:lineRule="auto"/>
        <w:ind w:firstLine="0"/>
        <w:rPr>
          <w:rFonts w:ascii="宋体" w:hAnsi="宋体" w:cs="宋体"/>
          <w:color w:val="auto"/>
          <w:sz w:val="21"/>
          <w:szCs w:val="21"/>
          <w:highlight w:val="none"/>
        </w:rPr>
      </w:pPr>
      <w:r>
        <w:rPr>
          <w:rFonts w:hint="eastAsia" w:ascii="宋体" w:hAnsi="宋体" w:cs="宋体"/>
          <w:bCs/>
          <w:color w:val="auto"/>
          <w:sz w:val="21"/>
          <w:szCs w:val="21"/>
          <w:highlight w:val="none"/>
        </w:rPr>
        <w:t>如不按上述要求编制引起系统无法检索、读取相关信息的，其后果由投标人承担。</w:t>
      </w:r>
    </w:p>
    <w:p w14:paraId="68C117DD">
      <w:pPr>
        <w:pStyle w:val="31"/>
        <w:snapToGrid w:val="0"/>
        <w:spacing w:after="0" w:line="360" w:lineRule="auto"/>
        <w:ind w:firstLine="422" w:firstLineChars="200"/>
        <w:rPr>
          <w:rFonts w:ascii="宋体" w:hAnsi="宋体" w:cs="宋体"/>
          <w:b/>
          <w:bCs/>
          <w:color w:val="auto"/>
          <w:sz w:val="21"/>
          <w:szCs w:val="21"/>
          <w:highlight w:val="none"/>
        </w:rPr>
      </w:pPr>
      <w:r>
        <w:rPr>
          <w:rFonts w:hint="eastAsia" w:ascii="宋体" w:hAnsi="宋体" w:cs="宋体"/>
          <w:b/>
          <w:bCs/>
          <w:color w:val="auto"/>
          <w:sz w:val="21"/>
          <w:szCs w:val="21"/>
          <w:highlight w:val="none"/>
        </w:rPr>
        <w:t>13．投标报价及造价承包和变更结算方式</w:t>
      </w:r>
    </w:p>
    <w:p w14:paraId="60235BC2">
      <w:pPr>
        <w:pStyle w:val="31"/>
        <w:snapToGrid w:val="0"/>
        <w:spacing w:after="0" w:line="360" w:lineRule="auto"/>
        <w:ind w:firstLineChars="200"/>
        <w:rPr>
          <w:rFonts w:ascii="宋体" w:hAnsi="宋体" w:cs="宋体"/>
          <w:color w:val="auto"/>
          <w:sz w:val="21"/>
          <w:szCs w:val="21"/>
          <w:highlight w:val="none"/>
        </w:rPr>
      </w:pPr>
      <w:r>
        <w:rPr>
          <w:rFonts w:hint="eastAsia" w:ascii="宋体" w:hAnsi="宋体" w:cs="宋体"/>
          <w:color w:val="auto"/>
          <w:sz w:val="21"/>
          <w:szCs w:val="21"/>
          <w:highlight w:val="none"/>
        </w:rPr>
        <w:t>13.1 本工程的投标报价采用投标须知前附表第12项所规定的方式。投标报价（含单价及总价）精确到“分”。</w:t>
      </w:r>
    </w:p>
    <w:p w14:paraId="6045563C">
      <w:pPr>
        <w:pStyle w:val="31"/>
        <w:snapToGrid w:val="0"/>
        <w:spacing w:after="0" w:line="360" w:lineRule="auto"/>
        <w:ind w:firstLineChars="200"/>
        <w:rPr>
          <w:rFonts w:ascii="宋体" w:hAnsi="宋体" w:cs="宋体"/>
          <w:color w:val="auto"/>
          <w:sz w:val="21"/>
          <w:szCs w:val="21"/>
          <w:highlight w:val="none"/>
        </w:rPr>
      </w:pPr>
      <w:r>
        <w:rPr>
          <w:rFonts w:hint="eastAsia" w:ascii="宋体" w:hAnsi="宋体" w:cs="宋体"/>
          <w:color w:val="auto"/>
          <w:sz w:val="21"/>
          <w:szCs w:val="21"/>
          <w:highlight w:val="none"/>
        </w:rPr>
        <w:t>13.2招标人按照招标图纸制定招标工程量清单，该清单载于本招标文件第七章中，投标人按照招标人提供的招标工程量清单中列出的工程项目和工程量填报单价和合价，每一项目只允许有一个报价，任何有选择的报价将不予接受。投标人未填报单价或合价的工程项目，视为此项费用已包含在已标价工程量清单中其他项目的单价和合价之中，在实施后，此项目不得重新组价予以调整，招标人将不予支付。</w:t>
      </w:r>
    </w:p>
    <w:p w14:paraId="2C474FB0">
      <w:pPr>
        <w:pStyle w:val="31"/>
        <w:snapToGrid w:val="0"/>
        <w:spacing w:after="0" w:line="360" w:lineRule="auto"/>
        <w:ind w:firstLineChars="200"/>
        <w:rPr>
          <w:rFonts w:ascii="宋体" w:hAnsi="宋体" w:cs="宋体"/>
          <w:color w:val="auto"/>
          <w:sz w:val="21"/>
          <w:szCs w:val="21"/>
          <w:highlight w:val="none"/>
        </w:rPr>
      </w:pPr>
      <w:r>
        <w:rPr>
          <w:rFonts w:hint="eastAsia" w:ascii="宋体" w:hAnsi="宋体" w:cs="宋体"/>
          <w:color w:val="auto"/>
          <w:sz w:val="21"/>
          <w:szCs w:val="21"/>
          <w:highlight w:val="none"/>
        </w:rPr>
        <w:t>13.3投标人的投标报价，应是按照投标须知前附表第8项的工期要求，在投标须知前附表第3项的建设地点，完成投标须知前附表第7项的招标范围内已由招标人制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中有关规费、暂列金额、暂估价、绿色施工安全防护措施费等非竞争性项目明列了单价或合价的金额的，投标人应按照明列的单价或合价的金额报价，未按照规定金额报价的，由评标委员会按照招标文件规定的金额进行修正。</w:t>
      </w:r>
    </w:p>
    <w:p w14:paraId="2C8349EE">
      <w:pPr>
        <w:pStyle w:val="31"/>
        <w:snapToGrid w:val="0"/>
        <w:spacing w:after="0" w:line="360" w:lineRule="auto"/>
        <w:ind w:firstLineChars="200"/>
        <w:rPr>
          <w:rFonts w:ascii="宋体" w:hAnsi="宋体" w:cs="宋体"/>
          <w:color w:val="auto"/>
          <w:sz w:val="21"/>
          <w:szCs w:val="21"/>
          <w:highlight w:val="none"/>
        </w:rPr>
      </w:pPr>
      <w:r>
        <w:rPr>
          <w:rFonts w:hint="eastAsia" w:ascii="宋体" w:hAnsi="宋体" w:cs="宋体"/>
          <w:color w:val="auto"/>
          <w:sz w:val="21"/>
          <w:szCs w:val="21"/>
          <w:highlight w:val="none"/>
        </w:rPr>
        <w:t>13.4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14:paraId="2EA18E3D">
      <w:pPr>
        <w:pStyle w:val="31"/>
        <w:snapToGrid w:val="0"/>
        <w:spacing w:after="0" w:line="360" w:lineRule="auto"/>
        <w:ind w:firstLineChars="200"/>
        <w:rPr>
          <w:rFonts w:ascii="宋体" w:hAnsi="宋体" w:cs="宋体"/>
          <w:color w:val="auto"/>
          <w:sz w:val="21"/>
          <w:szCs w:val="21"/>
          <w:highlight w:val="none"/>
        </w:rPr>
      </w:pPr>
      <w:r>
        <w:rPr>
          <w:rFonts w:hint="eastAsia" w:ascii="宋体" w:hAnsi="宋体" w:cs="宋体"/>
          <w:color w:val="auto"/>
          <w:sz w:val="21"/>
          <w:szCs w:val="21"/>
          <w:highlight w:val="none"/>
        </w:rPr>
        <w:t>13.5工程项目实施期间和结算时，招标文件工程量清单中漏列而由监理单位和招标人现场签证确认的工程项目、原设计没有而由招标人批准设计变更产生的工程项目，视为新增项目，按以下顺序确定价格：</w:t>
      </w:r>
    </w:p>
    <w:p w14:paraId="24B00CE3">
      <w:pPr>
        <w:pStyle w:val="31"/>
        <w:snapToGrid w:val="0"/>
        <w:spacing w:after="0" w:line="360" w:lineRule="auto"/>
        <w:ind w:firstLineChars="200"/>
        <w:rPr>
          <w:rFonts w:ascii="宋体" w:hAnsi="宋体" w:cs="宋体"/>
          <w:color w:val="auto"/>
          <w:sz w:val="21"/>
          <w:szCs w:val="21"/>
          <w:highlight w:val="none"/>
        </w:rPr>
      </w:pPr>
      <w:r>
        <w:rPr>
          <w:rFonts w:hint="eastAsia" w:ascii="宋体" w:hAnsi="宋体" w:cs="宋体"/>
          <w:color w:val="auto"/>
          <w:sz w:val="21"/>
          <w:szCs w:val="21"/>
          <w:highlight w:val="none"/>
        </w:rPr>
        <w:t>13.5.1中标的投标文件工程量清单中已有相同项目的适用综合单价，则沿用；</w:t>
      </w:r>
    </w:p>
    <w:p w14:paraId="1B147DD9">
      <w:pPr>
        <w:pStyle w:val="31"/>
        <w:snapToGrid w:val="0"/>
        <w:spacing w:after="0" w:line="360" w:lineRule="auto"/>
        <w:ind w:firstLineChars="200"/>
        <w:rPr>
          <w:rFonts w:ascii="宋体" w:hAnsi="宋体" w:cs="宋体"/>
          <w:color w:val="auto"/>
          <w:sz w:val="21"/>
          <w:szCs w:val="21"/>
          <w:highlight w:val="none"/>
        </w:rPr>
      </w:pPr>
      <w:r>
        <w:rPr>
          <w:rFonts w:hint="eastAsia" w:ascii="宋体" w:hAnsi="宋体" w:cs="宋体"/>
          <w:color w:val="auto"/>
          <w:sz w:val="21"/>
          <w:szCs w:val="21"/>
          <w:highlight w:val="none"/>
        </w:rPr>
        <w:t>13.5.2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按广州市造价管理站同期《广州地区建设工程常用材料税前综合价格》计算，《广州地区建设工程常用材料税前综合价格》没有的材料单价，由招标人在招标文件中依法确定计价方式。</w:t>
      </w:r>
    </w:p>
    <w:p w14:paraId="29A3F68F">
      <w:pPr>
        <w:pStyle w:val="31"/>
        <w:snapToGrid w:val="0"/>
        <w:spacing w:after="0" w:line="360" w:lineRule="auto"/>
        <w:ind w:firstLineChars="200"/>
        <w:rPr>
          <w:rFonts w:ascii="宋体" w:hAnsi="宋体" w:cs="宋体"/>
          <w:color w:val="auto"/>
          <w:sz w:val="21"/>
          <w:szCs w:val="21"/>
          <w:highlight w:val="none"/>
        </w:rPr>
      </w:pPr>
      <w:r>
        <w:rPr>
          <w:rFonts w:hint="eastAsia" w:ascii="宋体" w:hAnsi="宋体" w:cs="宋体"/>
          <w:color w:val="auto"/>
          <w:sz w:val="21"/>
          <w:szCs w:val="21"/>
          <w:highlight w:val="none"/>
        </w:rPr>
        <w:t>13.5.3 中标的投标文件工程量清单中没有相同项目或类似项目的，如可套取相关定额，则以相关定额为基数下浮计算单价,下浮率为中标价相对于最高投标限价的下浮率（下浮率=(最高投标限价-中标价)/ 最高投标限价）。</w:t>
      </w:r>
    </w:p>
    <w:p w14:paraId="59669895">
      <w:pPr>
        <w:pStyle w:val="31"/>
        <w:snapToGrid w:val="0"/>
        <w:spacing w:after="0" w:line="360" w:lineRule="auto"/>
        <w:ind w:firstLineChars="200"/>
        <w:rPr>
          <w:rFonts w:ascii="宋体" w:hAnsi="宋体" w:cs="宋体"/>
          <w:color w:val="auto"/>
          <w:sz w:val="21"/>
          <w:szCs w:val="21"/>
          <w:highlight w:val="none"/>
        </w:rPr>
      </w:pPr>
      <w:r>
        <w:rPr>
          <w:rFonts w:hint="eastAsia" w:ascii="宋体" w:hAnsi="宋体" w:cs="宋体"/>
          <w:color w:val="auto"/>
          <w:sz w:val="21"/>
          <w:szCs w:val="21"/>
          <w:highlight w:val="none"/>
        </w:rPr>
        <w:t>13.5.4 如相关定额没有相应子目的，其计价方式由招标人在本招标文件第三章中另行规定。未规定的，中标后双方协商约定。</w:t>
      </w:r>
    </w:p>
    <w:p w14:paraId="1925E1EC">
      <w:pPr>
        <w:pStyle w:val="31"/>
        <w:snapToGrid w:val="0"/>
        <w:spacing w:after="0" w:line="360" w:lineRule="auto"/>
        <w:ind w:firstLineChars="200"/>
        <w:rPr>
          <w:rFonts w:ascii="宋体" w:hAnsi="宋体" w:cs="宋体"/>
          <w:color w:val="auto"/>
          <w:sz w:val="21"/>
          <w:szCs w:val="21"/>
          <w:highlight w:val="none"/>
        </w:rPr>
      </w:pPr>
      <w:r>
        <w:rPr>
          <w:rFonts w:hint="eastAsia" w:ascii="宋体" w:hAnsi="宋体" w:cs="宋体"/>
          <w:color w:val="auto"/>
          <w:sz w:val="21"/>
          <w:szCs w:val="21"/>
          <w:highlight w:val="none"/>
        </w:rPr>
        <w:t>13.6暂列金额、暂估价</w:t>
      </w:r>
    </w:p>
    <w:p w14:paraId="34724173">
      <w:pPr>
        <w:pStyle w:val="31"/>
        <w:snapToGrid w:val="0"/>
        <w:spacing w:after="0" w:line="360" w:lineRule="auto"/>
        <w:ind w:firstLineChars="200"/>
        <w:rPr>
          <w:rFonts w:ascii="宋体" w:hAnsi="宋体" w:cs="宋体"/>
          <w:color w:val="auto"/>
          <w:sz w:val="21"/>
          <w:szCs w:val="21"/>
          <w:highlight w:val="none"/>
        </w:rPr>
      </w:pPr>
      <w:r>
        <w:rPr>
          <w:rFonts w:hint="eastAsia" w:ascii="宋体" w:hAnsi="宋体" w:cs="宋体"/>
          <w:color w:val="auto"/>
          <w:sz w:val="21"/>
          <w:szCs w:val="21"/>
          <w:highlight w:val="none"/>
        </w:rPr>
        <w:t>13.6.1暂列金额指招标人在工程量清单中暂定并包括在合同价款中的一笔款项。用于施工合同签订时尚未确定或者不可预见的所需材料、设备、服务的采购，施工中可能发生的工程量变更、合同约定调整因素出现时的工程价款调整以及发生的索赔、现场签证等费用。</w:t>
      </w:r>
    </w:p>
    <w:p w14:paraId="6E0D0241">
      <w:pPr>
        <w:pStyle w:val="31"/>
        <w:snapToGrid w:val="0"/>
        <w:spacing w:after="0" w:line="360" w:lineRule="auto"/>
        <w:ind w:firstLineChars="200"/>
        <w:rPr>
          <w:rFonts w:ascii="宋体" w:hAnsi="宋体" w:cs="宋体"/>
          <w:color w:val="auto"/>
          <w:sz w:val="21"/>
          <w:szCs w:val="21"/>
          <w:highlight w:val="none"/>
        </w:rPr>
      </w:pPr>
      <w:r>
        <w:rPr>
          <w:rFonts w:hint="eastAsia" w:ascii="宋体" w:hAnsi="宋体" w:cs="宋体"/>
          <w:color w:val="auto"/>
          <w:sz w:val="21"/>
          <w:szCs w:val="21"/>
          <w:highlight w:val="none"/>
        </w:rPr>
        <w:t>暂估价是指招标人在工程量清单中提供的用于支付必然发生但暂时不能确定价格的材料的单价以及专业工程的金额。</w:t>
      </w:r>
    </w:p>
    <w:p w14:paraId="0E8A89D3">
      <w:pPr>
        <w:pStyle w:val="31"/>
        <w:snapToGrid w:val="0"/>
        <w:spacing w:after="0" w:line="360" w:lineRule="auto"/>
        <w:ind w:firstLineChars="200"/>
        <w:rPr>
          <w:rFonts w:ascii="宋体" w:hAnsi="宋体" w:cs="宋体"/>
          <w:color w:val="auto"/>
          <w:sz w:val="21"/>
          <w:szCs w:val="21"/>
          <w:highlight w:val="none"/>
        </w:rPr>
      </w:pPr>
      <w:r>
        <w:rPr>
          <w:rFonts w:hint="eastAsia" w:ascii="宋体" w:hAnsi="宋体" w:cs="宋体"/>
          <w:color w:val="auto"/>
          <w:sz w:val="21"/>
          <w:szCs w:val="21"/>
          <w:highlight w:val="none"/>
        </w:rPr>
        <w:t>13.6.2在工程实施中，暂列金额、暂估价所包含的工作范围和图纸、标准深化固定后，按照工程专业、设备、材料类别等分类汇总的金额，达到法定招标范围标准的，应由招标人同中标人联合招标，确定承包人和承包价格。</w:t>
      </w:r>
    </w:p>
    <w:p w14:paraId="120C7E9B">
      <w:pPr>
        <w:pStyle w:val="31"/>
        <w:snapToGrid w:val="0"/>
        <w:spacing w:after="0" w:line="360" w:lineRule="auto"/>
        <w:ind w:firstLineChars="200"/>
        <w:rPr>
          <w:rFonts w:ascii="宋体" w:hAnsi="宋体" w:cs="宋体"/>
          <w:color w:val="auto"/>
          <w:sz w:val="21"/>
          <w:szCs w:val="21"/>
          <w:highlight w:val="none"/>
        </w:rPr>
      </w:pPr>
      <w:r>
        <w:rPr>
          <w:rFonts w:hint="eastAsia" w:ascii="宋体" w:hAnsi="宋体" w:cs="宋体"/>
          <w:color w:val="auto"/>
          <w:sz w:val="21"/>
          <w:szCs w:val="21"/>
          <w:highlight w:val="none"/>
        </w:rPr>
        <w:t>13.6.3在工程实施中，暂列金额、暂估价所包含的工作范围和图纸、标准深化固定后，按照工程专业、设备、材料类别等分类汇总的金额，未达到法定招标范围标准但适用政府采购规定的，应按照政府采购规定确定承包人和承包价格。</w:t>
      </w:r>
    </w:p>
    <w:p w14:paraId="4B91A018">
      <w:pPr>
        <w:pStyle w:val="31"/>
        <w:snapToGrid w:val="0"/>
        <w:spacing w:after="0" w:line="360" w:lineRule="auto"/>
        <w:ind w:firstLineChars="200"/>
        <w:rPr>
          <w:rFonts w:ascii="宋体" w:hAnsi="宋体" w:cs="宋体"/>
          <w:color w:val="auto"/>
          <w:sz w:val="21"/>
          <w:szCs w:val="21"/>
          <w:highlight w:val="none"/>
        </w:rPr>
      </w:pPr>
      <w:r>
        <w:rPr>
          <w:rFonts w:hint="eastAsia" w:ascii="宋体" w:hAnsi="宋体" w:cs="宋体"/>
          <w:color w:val="auto"/>
          <w:sz w:val="21"/>
          <w:szCs w:val="21"/>
          <w:highlight w:val="none"/>
        </w:rPr>
        <w:t>13.6.4在工程实施中，暂列金额、暂估价所包含的工作范围和图纸、标准深化固定后，按照工程专业、设备、材料类别等分类汇总的金额，未达到法定招标范围标准也不适用政府采购规定，承包人有法定的承包资格的，由承包人承包，承包人无法定的承包资格但有法定的分包权的，由承包人分包，招标人同承包人结算的价格按本投标须知13.5款规定确定。</w:t>
      </w:r>
    </w:p>
    <w:p w14:paraId="739D5374">
      <w:pPr>
        <w:pStyle w:val="31"/>
        <w:snapToGrid w:val="0"/>
        <w:spacing w:after="0" w:line="360" w:lineRule="auto"/>
        <w:ind w:firstLineChars="200"/>
        <w:rPr>
          <w:rFonts w:ascii="宋体" w:hAnsi="宋体" w:cs="宋体"/>
          <w:color w:val="auto"/>
          <w:sz w:val="21"/>
          <w:szCs w:val="21"/>
          <w:highlight w:val="none"/>
        </w:rPr>
      </w:pPr>
      <w:r>
        <w:rPr>
          <w:rFonts w:hint="eastAsia" w:ascii="宋体" w:hAnsi="宋体" w:cs="宋体"/>
          <w:color w:val="auto"/>
          <w:sz w:val="21"/>
          <w:szCs w:val="21"/>
          <w:highlight w:val="none"/>
        </w:rPr>
        <w:t>13.6.5在工程实施中，暂列金额、暂估价所包含的工作范围和图纸、标准深化固定后，按照工程专业、设备、材料类别等分类汇总的金额，未达到法定招标范围标准也不适用政府采购规定，承包人既无法定的承包资格又无法定的分包权的，由招标人另行发包。</w:t>
      </w:r>
    </w:p>
    <w:p w14:paraId="211B8A84">
      <w:pPr>
        <w:pStyle w:val="31"/>
        <w:snapToGrid w:val="0"/>
        <w:spacing w:after="0" w:line="360" w:lineRule="auto"/>
        <w:ind w:firstLineChars="200"/>
        <w:rPr>
          <w:rFonts w:ascii="宋体" w:hAnsi="宋体" w:cs="宋体"/>
          <w:color w:val="auto"/>
          <w:sz w:val="21"/>
          <w:szCs w:val="21"/>
          <w:highlight w:val="none"/>
        </w:rPr>
      </w:pPr>
      <w:r>
        <w:rPr>
          <w:rFonts w:hint="eastAsia" w:ascii="宋体" w:hAnsi="宋体" w:cs="宋体"/>
          <w:color w:val="auto"/>
          <w:sz w:val="21"/>
          <w:szCs w:val="21"/>
          <w:highlight w:val="none"/>
        </w:rPr>
        <w:t>13.6.6 在工程实施中，暂列金额、暂估价所包含的工作范围由其他承包人承包的，纳入本项目承包人的管理和协调范围，由其他承包人向本项目承包人承担质量、安全、文明施工、工期责任，本项目承包人向招标人承担责任。投标人应当充分考虑此项管理和协调所发生的费用，并将其纳入招标人提供的工程量清单中的适当项目报价中。招标人将视为此项管理和协调所发生的费用已包含在其它有价款的竞争性报价内，在实施后，招标人将不予支付。</w:t>
      </w:r>
    </w:p>
    <w:p w14:paraId="5B152D41">
      <w:pPr>
        <w:pStyle w:val="31"/>
        <w:snapToGrid w:val="0"/>
        <w:spacing w:after="0" w:line="360" w:lineRule="auto"/>
        <w:ind w:firstLineChars="200"/>
        <w:rPr>
          <w:rFonts w:ascii="宋体" w:hAnsi="宋体" w:cs="宋体"/>
          <w:color w:val="auto"/>
          <w:sz w:val="21"/>
          <w:szCs w:val="21"/>
          <w:highlight w:val="none"/>
        </w:rPr>
      </w:pPr>
      <w:r>
        <w:rPr>
          <w:rFonts w:hint="eastAsia" w:ascii="宋体" w:hAnsi="宋体" w:cs="宋体"/>
          <w:color w:val="auto"/>
          <w:sz w:val="21"/>
          <w:szCs w:val="21"/>
          <w:highlight w:val="none"/>
        </w:rPr>
        <w:t>13.7投标人可先到工地踏勘以充分了解工地位置、情况、道路、储存空间、装卸限制及任何其他足以影响承包价的情况，任何因忽视或误解工地情况而导致的索赔或工期延长申请将不被批准。</w:t>
      </w:r>
    </w:p>
    <w:p w14:paraId="6CCE0B16">
      <w:pPr>
        <w:pStyle w:val="31"/>
        <w:snapToGrid w:val="0"/>
        <w:spacing w:after="0" w:line="360" w:lineRule="auto"/>
        <w:ind w:firstLineChars="200"/>
        <w:rPr>
          <w:rFonts w:ascii="宋体" w:hAnsi="宋体" w:cs="宋体"/>
          <w:color w:val="auto"/>
          <w:sz w:val="21"/>
          <w:szCs w:val="21"/>
          <w:highlight w:val="none"/>
        </w:rPr>
      </w:pPr>
      <w:r>
        <w:rPr>
          <w:rFonts w:hint="eastAsia" w:ascii="宋体" w:hAnsi="宋体" w:cs="宋体"/>
          <w:color w:val="auto"/>
          <w:sz w:val="21"/>
          <w:szCs w:val="21"/>
          <w:highlight w:val="none"/>
        </w:rPr>
        <w:t>13.8属于承包人自行采购的主要材料、设备，招标人应当在招标文件中提出材料、设备的技术标准或者质量要求，或者提出不少于3个同等档次品牌或分包商供投标人报价时选择,凡招标人在招标文件中提出参考品牌的，必须在参考品牌后面加上“或相当于”字样。投标人在投标文件中应明确所选用主要材料、设备的品牌、厂家以及质量等级，并且应当符合招标文件的要求。</w:t>
      </w:r>
    </w:p>
    <w:p w14:paraId="306E497C">
      <w:pPr>
        <w:pStyle w:val="31"/>
        <w:snapToGrid w:val="0"/>
        <w:spacing w:after="0" w:line="360" w:lineRule="auto"/>
        <w:ind w:firstLineChars="200"/>
        <w:rPr>
          <w:rFonts w:ascii="宋体" w:hAnsi="宋体" w:cs="宋体"/>
          <w:color w:val="auto"/>
          <w:sz w:val="21"/>
          <w:szCs w:val="21"/>
          <w:highlight w:val="none"/>
        </w:rPr>
      </w:pPr>
      <w:r>
        <w:rPr>
          <w:rFonts w:hint="eastAsia" w:ascii="宋体" w:hAnsi="宋体" w:cs="宋体"/>
          <w:color w:val="auto"/>
          <w:sz w:val="21"/>
          <w:szCs w:val="21"/>
          <w:highlight w:val="none"/>
        </w:rPr>
        <w:t>13.9招标人与中标人应本着实事求是、风险共担的原则，充分考虑施工合同履行期间人工、建筑材料、机械设备价格因素的影响。对于各类钢筋、混凝土等主要材料以及人工、机械设备等，应结合合同工期、各价格因素对工程总造价的影响等，合理约定调价机制。调价机制应由招标人在招标文件及合同中明确，内容包括调价范围（含材料、机械的具体名称、工种等）、价格变动时限、幅度以及相应的合同价款调整方法。</w:t>
      </w:r>
    </w:p>
    <w:p w14:paraId="76C69AD9">
      <w:pPr>
        <w:pStyle w:val="31"/>
        <w:snapToGrid w:val="0"/>
        <w:spacing w:after="0" w:line="360" w:lineRule="auto"/>
        <w:ind w:firstLine="422" w:firstLineChars="200"/>
        <w:rPr>
          <w:rFonts w:ascii="宋体" w:hAnsi="宋体" w:cs="宋体"/>
          <w:b/>
          <w:bCs/>
          <w:color w:val="auto"/>
          <w:sz w:val="21"/>
          <w:szCs w:val="21"/>
          <w:highlight w:val="none"/>
        </w:rPr>
      </w:pPr>
      <w:r>
        <w:rPr>
          <w:rFonts w:hint="eastAsia" w:ascii="宋体" w:hAnsi="宋体" w:cs="宋体"/>
          <w:b/>
          <w:bCs/>
          <w:color w:val="auto"/>
          <w:sz w:val="21"/>
          <w:szCs w:val="21"/>
          <w:highlight w:val="none"/>
        </w:rPr>
        <w:t>14．投标货币</w:t>
      </w:r>
    </w:p>
    <w:p w14:paraId="7BA63C60">
      <w:pPr>
        <w:pStyle w:val="31"/>
        <w:snapToGrid w:val="0"/>
        <w:spacing w:after="0" w:line="360" w:lineRule="auto"/>
        <w:ind w:firstLineChars="200"/>
        <w:rPr>
          <w:rFonts w:ascii="宋体" w:hAnsi="宋体" w:cs="宋体"/>
          <w:color w:val="auto"/>
          <w:sz w:val="21"/>
          <w:szCs w:val="21"/>
          <w:highlight w:val="none"/>
        </w:rPr>
      </w:pPr>
      <w:r>
        <w:rPr>
          <w:rFonts w:hint="eastAsia" w:ascii="宋体" w:hAnsi="宋体" w:cs="宋体"/>
          <w:color w:val="auto"/>
          <w:sz w:val="21"/>
          <w:szCs w:val="21"/>
          <w:highlight w:val="none"/>
        </w:rPr>
        <w:t>14.1 本工程投标报价采用的币种为人民币。</w:t>
      </w:r>
    </w:p>
    <w:p w14:paraId="2CE77B85">
      <w:pPr>
        <w:pStyle w:val="31"/>
        <w:snapToGrid w:val="0"/>
        <w:spacing w:after="0" w:line="360" w:lineRule="auto"/>
        <w:ind w:firstLine="422" w:firstLineChars="200"/>
        <w:rPr>
          <w:rFonts w:ascii="宋体" w:hAnsi="宋体" w:cs="宋体"/>
          <w:color w:val="auto"/>
          <w:sz w:val="21"/>
          <w:szCs w:val="21"/>
          <w:highlight w:val="none"/>
        </w:rPr>
      </w:pPr>
      <w:r>
        <w:rPr>
          <w:rFonts w:hint="eastAsia" w:ascii="宋体" w:hAnsi="宋体" w:cs="宋体"/>
          <w:b/>
          <w:bCs/>
          <w:color w:val="auto"/>
          <w:sz w:val="21"/>
          <w:szCs w:val="21"/>
          <w:highlight w:val="none"/>
        </w:rPr>
        <w:t>15．投标有效期</w:t>
      </w:r>
    </w:p>
    <w:p w14:paraId="56043E60">
      <w:pPr>
        <w:pStyle w:val="31"/>
        <w:snapToGrid w:val="0"/>
        <w:spacing w:after="0" w:line="360" w:lineRule="auto"/>
        <w:ind w:firstLineChars="200"/>
        <w:rPr>
          <w:rFonts w:ascii="宋体" w:hAnsi="宋体" w:cs="宋体"/>
          <w:color w:val="auto"/>
          <w:sz w:val="21"/>
          <w:szCs w:val="21"/>
          <w:highlight w:val="none"/>
        </w:rPr>
      </w:pPr>
      <w:r>
        <w:rPr>
          <w:rFonts w:hint="eastAsia" w:ascii="宋体" w:hAnsi="宋体" w:cs="宋体"/>
          <w:color w:val="auto"/>
          <w:sz w:val="21"/>
          <w:szCs w:val="21"/>
          <w:highlight w:val="none"/>
        </w:rPr>
        <w:t>15.1 投标有效期见投标须知前附表第13项所规定的期限，在此期限内，凡符合本招标文件要求的投标文件均保持有效。</w:t>
      </w:r>
    </w:p>
    <w:p w14:paraId="2314A188">
      <w:pPr>
        <w:pStyle w:val="31"/>
        <w:snapToGrid w:val="0"/>
        <w:spacing w:after="0" w:line="360" w:lineRule="auto"/>
        <w:ind w:firstLineChars="200"/>
        <w:rPr>
          <w:rFonts w:ascii="宋体" w:hAnsi="宋体" w:cs="宋体"/>
          <w:color w:val="auto"/>
          <w:sz w:val="21"/>
          <w:szCs w:val="21"/>
          <w:highlight w:val="none"/>
        </w:rPr>
      </w:pPr>
      <w:r>
        <w:rPr>
          <w:rFonts w:hint="eastAsia" w:ascii="宋体" w:hAnsi="宋体" w:cs="宋体"/>
          <w:color w:val="auto"/>
          <w:sz w:val="21"/>
          <w:szCs w:val="21"/>
          <w:highlight w:val="none"/>
        </w:rPr>
        <w:t>15.2 在特殊情况下，招标人在原定投标有效期内，可以根据需要以书面形式向投标人提出延长投标有效期的要求，对此要求投标人须以书面形式予以答复。投标人可以拒绝招标人这种要求，而不影响退还其投标保证金。同意延长投标有效期的投标人既不能要求也不允许修改其投标文件，但需要相应的延长投标保证金的有效期，在延长的投标有效期内，本须知第16条关于投标保证金的退还与不予退还的规定仍然适用。</w:t>
      </w:r>
    </w:p>
    <w:p w14:paraId="05A815BF">
      <w:pPr>
        <w:pStyle w:val="31"/>
        <w:snapToGrid w:val="0"/>
        <w:spacing w:after="0" w:line="360" w:lineRule="auto"/>
        <w:ind w:firstLine="422" w:firstLineChars="200"/>
        <w:rPr>
          <w:rFonts w:ascii="宋体" w:hAnsi="宋体" w:cs="宋体"/>
          <w:b/>
          <w:bCs/>
          <w:color w:val="auto"/>
          <w:sz w:val="21"/>
          <w:szCs w:val="21"/>
          <w:highlight w:val="none"/>
        </w:rPr>
      </w:pPr>
      <w:r>
        <w:rPr>
          <w:rFonts w:hint="eastAsia" w:ascii="宋体" w:hAnsi="宋体" w:cs="宋体"/>
          <w:b/>
          <w:bCs/>
          <w:color w:val="auto"/>
          <w:sz w:val="21"/>
          <w:szCs w:val="21"/>
          <w:highlight w:val="none"/>
        </w:rPr>
        <w:t>16．投标保证金</w:t>
      </w:r>
    </w:p>
    <w:p w14:paraId="476D50D4">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16.1投标人应按投标须知前附表第14项所述金额和时间递交</w:t>
      </w:r>
      <w:r>
        <w:rPr>
          <w:rFonts w:hint="eastAsia" w:ascii="宋体" w:hAnsi="宋体" w:cs="宋体"/>
          <w:bCs/>
          <w:color w:val="auto"/>
          <w:szCs w:val="21"/>
          <w:highlight w:val="none"/>
        </w:rPr>
        <w:t>投标保证金</w:t>
      </w:r>
      <w:r>
        <w:rPr>
          <w:rFonts w:hint="eastAsia" w:ascii="宋体" w:hAnsi="宋体" w:cs="宋体"/>
          <w:color w:val="auto"/>
          <w:szCs w:val="21"/>
          <w:highlight w:val="none"/>
        </w:rPr>
        <w:t>。招标人应当允许投标人自主选择现金、银行保函、保证保险、专业工程担保公司担保等方式缴纳投标保证金。</w:t>
      </w:r>
    </w:p>
    <w:p w14:paraId="7E010276">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16.1.1 采用现金或者支票形式提交的，投标保证金须从投标人的银行基本账户转出。</w:t>
      </w:r>
    </w:p>
    <w:p w14:paraId="2B3EE0F6">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16.1.2 依法必须招标的房屋建筑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存在16.4条款所列情形的，应将纸质原件提交给招标人。</w:t>
      </w:r>
    </w:p>
    <w:p w14:paraId="75587ECE">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16.1.3 采用电子形式的保函、担保或保证保险提交投标保证金的，应在招标文件中明确电子递交途径。</w:t>
      </w:r>
    </w:p>
    <w:p w14:paraId="33CE9BF0">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16.2开标时投标人没有按要求提供投标保证金的，其投标文件将被否决；未按招标文件要求提交符合免予提供投标保证金相关证明材料，且未提交投标保证金的投标人，视为未按要求提供投标保证金。</w:t>
      </w:r>
    </w:p>
    <w:p w14:paraId="776A2BB4">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16.3投标保证金应依据法律法规的相关规定退还。</w:t>
      </w:r>
    </w:p>
    <w:p w14:paraId="2F64289B">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16.4如有下列情况之一的，招标人可以不予退还投标保证金（是否退还投标保证金由招标人在招标文件中规定）：</w:t>
      </w:r>
    </w:p>
    <w:p w14:paraId="7900FFBB">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16.4.1因投标人原因造成投标文件未解密的；</w:t>
      </w:r>
    </w:p>
    <w:p w14:paraId="569A519D">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16.4.2投标人在投标有效期内撤销投标文件；</w:t>
      </w:r>
    </w:p>
    <w:p w14:paraId="352D5F56">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16.4.3中标人未能在规定期限内按要求提交履约担保；</w:t>
      </w:r>
    </w:p>
    <w:p w14:paraId="47D1A5B1">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16.4.4中标人未能在规定期限内签署合同协议。</w:t>
      </w:r>
    </w:p>
    <w:p w14:paraId="5052D548">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16.5投标人如存在下列情况之一的，将被拒绝在一定时期内参与招标人后续工程投标（拒绝时限需在招标文件中明确）：</w:t>
      </w:r>
    </w:p>
    <w:p w14:paraId="1D63CB47">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16.5.1投标人存在16.4条款所列情形且投标人提交的保函、担保或保证保险无法兑付的；</w:t>
      </w:r>
    </w:p>
    <w:p w14:paraId="334D79E9">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16.5.2采用非电子形式提交投标保证金的投标人存在16.4条款所列情形，且未按招标人要求补交银行保函、专业工程担保公司担保或保证保险原件的；</w:t>
      </w:r>
    </w:p>
    <w:p w14:paraId="600C1D7B">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16.5.3按招标文件要求免于提供投标保证金的投标人存在16.4条款所列情形，且未按招标人要求补交投标保证金的；</w:t>
      </w:r>
    </w:p>
    <w:p w14:paraId="1AB46AA3">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16.5.3按招标文件要求免于提供投标保证金的投标人存在16.4条款所列情形的。</w:t>
      </w:r>
    </w:p>
    <w:p w14:paraId="7064081B">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注：16.5.3款由招标人二选一，需在招标文件中明确。</w:t>
      </w:r>
    </w:p>
    <w:p w14:paraId="6B1E9F9E">
      <w:pPr>
        <w:pStyle w:val="31"/>
        <w:snapToGrid w:val="0"/>
        <w:spacing w:after="0" w:line="360" w:lineRule="auto"/>
        <w:ind w:firstLine="422" w:firstLineChars="200"/>
        <w:rPr>
          <w:rFonts w:ascii="宋体" w:hAnsi="宋体" w:cs="宋体"/>
          <w:b/>
          <w:bCs/>
          <w:color w:val="auto"/>
          <w:sz w:val="21"/>
          <w:szCs w:val="21"/>
          <w:highlight w:val="none"/>
        </w:rPr>
      </w:pPr>
      <w:r>
        <w:rPr>
          <w:rFonts w:hint="eastAsia" w:ascii="宋体" w:hAnsi="宋体" w:cs="宋体"/>
          <w:b/>
          <w:bCs/>
          <w:color w:val="auto"/>
          <w:sz w:val="21"/>
          <w:szCs w:val="21"/>
          <w:highlight w:val="none"/>
        </w:rPr>
        <w:t>17．投标文件的签署</w:t>
      </w:r>
    </w:p>
    <w:p w14:paraId="5E8839C6">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17.1投标人应采用单位数字证书，对投标文件加盖电子印章。投标文件中需个人签字或盖章的，应加盖个人电子印章或在线下完成后扫描上传。按照交易平台关于全流程电子化项目的相关指南进行操作。详见：</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3A8A60E8">
      <w:pPr>
        <w:pStyle w:val="5"/>
        <w:snapToGrid w:val="0"/>
        <w:spacing w:before="0" w:beforeAutospacing="0" w:after="0" w:afterAutospacing="0" w:line="360" w:lineRule="auto"/>
        <w:rPr>
          <w:rFonts w:cs="宋体"/>
          <w:color w:val="auto"/>
          <w:sz w:val="21"/>
          <w:szCs w:val="21"/>
          <w:highlight w:val="none"/>
        </w:rPr>
      </w:pPr>
      <w:bookmarkStart w:id="12" w:name="_Toc24057"/>
      <w:bookmarkStart w:id="13" w:name="_Toc21525496"/>
      <w:r>
        <w:rPr>
          <w:rFonts w:hint="eastAsia" w:cs="宋体"/>
          <w:color w:val="auto"/>
          <w:sz w:val="21"/>
          <w:szCs w:val="21"/>
          <w:highlight w:val="none"/>
        </w:rPr>
        <w:t>（四）投标文件的提交</w:t>
      </w:r>
      <w:bookmarkEnd w:id="12"/>
      <w:bookmarkEnd w:id="13"/>
    </w:p>
    <w:p w14:paraId="03B7F4A0">
      <w:pPr>
        <w:pStyle w:val="31"/>
        <w:snapToGrid w:val="0"/>
        <w:spacing w:after="0" w:line="360" w:lineRule="auto"/>
        <w:ind w:firstLine="422" w:firstLineChars="200"/>
        <w:rPr>
          <w:rFonts w:ascii="宋体" w:hAnsi="宋体" w:cs="宋体"/>
          <w:b/>
          <w:bCs/>
          <w:color w:val="auto"/>
          <w:sz w:val="21"/>
          <w:szCs w:val="21"/>
          <w:highlight w:val="none"/>
        </w:rPr>
      </w:pPr>
      <w:r>
        <w:rPr>
          <w:rFonts w:hint="eastAsia" w:ascii="宋体" w:hAnsi="宋体" w:cs="宋体"/>
          <w:b/>
          <w:bCs/>
          <w:color w:val="auto"/>
          <w:sz w:val="21"/>
          <w:szCs w:val="21"/>
          <w:highlight w:val="none"/>
        </w:rPr>
        <w:t>18．</w:t>
      </w:r>
      <w:r>
        <w:rPr>
          <w:rFonts w:hint="eastAsia" w:ascii="宋体" w:hAnsi="宋体" w:cs="宋体"/>
          <w:b/>
          <w:color w:val="auto"/>
          <w:sz w:val="21"/>
          <w:szCs w:val="21"/>
          <w:highlight w:val="none"/>
        </w:rPr>
        <w:t>投标文件的密封和标记</w:t>
      </w:r>
    </w:p>
    <w:p w14:paraId="0AA7A564">
      <w:pPr>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18.1递交的电子投标文件（不含备用光盘）必须进行加密。按照交易平台关于</w:t>
      </w:r>
      <w:r>
        <w:rPr>
          <w:rFonts w:hint="eastAsia" w:ascii="宋体" w:hAnsi="宋体" w:cs="宋体"/>
          <w:color w:val="auto"/>
          <w:szCs w:val="21"/>
          <w:highlight w:val="none"/>
        </w:rPr>
        <w:t>全流程电子化项目的相关指南进行操作。详见：</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713AB89A">
      <w:pPr>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18.2 未按要求加密的投标文件，</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交易平台</w:t>
      </w:r>
      <w:r>
        <w:rPr>
          <w:rFonts w:hint="eastAsia" w:ascii="宋体" w:hAnsi="宋体" w:cs="宋体"/>
          <w:bCs/>
          <w:color w:val="auto"/>
          <w:szCs w:val="21"/>
          <w:highlight w:val="none"/>
        </w:rPr>
        <w:t>将予以拒收。</w:t>
      </w:r>
    </w:p>
    <w:p w14:paraId="2DD2657A">
      <w:pPr>
        <w:snapToGrid w:val="0"/>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19．投标文件的递交和接收</w:t>
      </w:r>
    </w:p>
    <w:p w14:paraId="45DC38E6">
      <w:pPr>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19.1投标人通过</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交易平台递交电子投标文件。</w:t>
      </w:r>
    </w:p>
    <w:p w14:paraId="549FFFF9">
      <w:pPr>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19.2投标人完成电子</w:t>
      </w:r>
      <w:r>
        <w:rPr>
          <w:rFonts w:hint="eastAsia" w:ascii="宋体" w:hAnsi="宋体" w:cs="宋体"/>
          <w:color w:val="auto"/>
          <w:szCs w:val="21"/>
          <w:highlight w:val="none"/>
        </w:rPr>
        <w:t>投标文件</w:t>
      </w:r>
      <w:r>
        <w:rPr>
          <w:rFonts w:hint="eastAsia" w:ascii="宋体" w:hAnsi="宋体" w:cs="宋体"/>
          <w:bCs/>
          <w:color w:val="auto"/>
          <w:szCs w:val="21"/>
          <w:highlight w:val="none"/>
        </w:rPr>
        <w:t>上传后，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交易平台即时向投标人发出递交回执通知。递交时间以递交回执通知载明的传输完成时间为准。</w:t>
      </w:r>
    </w:p>
    <w:p w14:paraId="03D3FA4C">
      <w:pPr>
        <w:snapToGrid w:val="0"/>
        <w:spacing w:line="360" w:lineRule="auto"/>
        <w:ind w:firstLine="420" w:firstLineChars="200"/>
        <w:rPr>
          <w:rFonts w:ascii="宋体" w:hAnsi="宋体" w:cs="宋体"/>
          <w:color w:val="auto"/>
          <w:szCs w:val="21"/>
          <w:highlight w:val="none"/>
        </w:rPr>
      </w:pPr>
      <w:r>
        <w:rPr>
          <w:rFonts w:hint="eastAsia" w:ascii="宋体" w:hAnsi="宋体" w:cs="宋体"/>
          <w:bCs/>
          <w:color w:val="auto"/>
          <w:szCs w:val="21"/>
          <w:highlight w:val="none"/>
        </w:rPr>
        <w:t>19.3逾期送达的电子投标文件，</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交易平台将予以拒收。</w:t>
      </w:r>
    </w:p>
    <w:p w14:paraId="69AADAF2">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19.4 投标截止前，招标人拒绝接收符合条件的投标文件，投标人可向招标投标监督机构投诉。</w:t>
      </w:r>
    </w:p>
    <w:p w14:paraId="06C198ED">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19.5如技术标和经济标先后分别开启，</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交易平台将按招标文件规定的时间分别开启技术标和经济标。</w:t>
      </w:r>
    </w:p>
    <w:p w14:paraId="2EDC148C">
      <w:pPr>
        <w:snapToGrid w:val="0"/>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20．投标文件提交的截止时间</w:t>
      </w:r>
    </w:p>
    <w:p w14:paraId="6F4BE3C6">
      <w:pPr>
        <w:snapToGrid w:val="0"/>
        <w:spacing w:line="360" w:lineRule="auto"/>
        <w:ind w:firstLine="420" w:firstLineChars="200"/>
        <w:rPr>
          <w:rFonts w:ascii="宋体" w:hAnsi="宋体" w:cs="宋体"/>
          <w:b/>
          <w:bCs/>
          <w:color w:val="auto"/>
          <w:szCs w:val="21"/>
          <w:highlight w:val="none"/>
        </w:rPr>
      </w:pPr>
      <w:r>
        <w:rPr>
          <w:rFonts w:hint="eastAsia" w:ascii="宋体" w:hAnsi="宋体" w:cs="宋体"/>
          <w:color w:val="auto"/>
          <w:szCs w:val="21"/>
          <w:highlight w:val="none"/>
        </w:rPr>
        <w:t>20.1投标人应在投标须知前附表第17项所述的时间前提交投标文件。</w:t>
      </w:r>
    </w:p>
    <w:p w14:paraId="6BD832E6">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20.2招标人可按本须知第9条规定以招标文件修改的方式，酌情延长提交投标文件的截止时间。在此情况下，投标人的所有权利和义务以及投标人受制约的截止时间，均以延长后新的投标截止时间为准。</w:t>
      </w:r>
    </w:p>
    <w:p w14:paraId="62E8B4E3">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20.3 到投标截止时间止，招标人收到的投标文件少于3家的，招标人将重新组织招标（当N个标段同时招标且不允许兼中时，若有效投标人不足N+2家，则重新组织招标）。</w:t>
      </w:r>
    </w:p>
    <w:p w14:paraId="41E77326">
      <w:pPr>
        <w:snapToGrid w:val="0"/>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21．迟交的投标文件</w:t>
      </w:r>
    </w:p>
    <w:p w14:paraId="55F6D29B">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21.1 本须知前附表第17项规定的投标截止时间</w:t>
      </w:r>
      <w:r>
        <w:rPr>
          <w:rFonts w:hint="eastAsia" w:ascii="宋体" w:hAnsi="宋体" w:cs="宋体"/>
          <w:bCs/>
          <w:color w:val="auto"/>
          <w:szCs w:val="21"/>
          <w:highlight w:val="none"/>
        </w:rPr>
        <w:t>后送达的电子投标文件，</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交易平台将予以拒收。</w:t>
      </w:r>
    </w:p>
    <w:p w14:paraId="4AAD3DBC">
      <w:pPr>
        <w:snapToGrid w:val="0"/>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22．投标文件的修改与撤回</w:t>
      </w:r>
    </w:p>
    <w:p w14:paraId="3A1CE358">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22.1在规定的投标截止时间前，投标人可以修改或撤回已递交的投标文件，但应以书面形式通知招标人。</w:t>
      </w:r>
    </w:p>
    <w:p w14:paraId="64AF1BB1">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22.2投标人修改或撤回已递交的投标文件，需在交易平台发出修改或撤回通知，并按要求加盖电子印章。</w:t>
      </w:r>
      <w:r>
        <w:rPr>
          <w:rFonts w:hint="eastAsia" w:ascii="宋体" w:hAnsi="宋体" w:cs="宋体"/>
          <w:bCs/>
          <w:iCs/>
          <w:color w:val="auto"/>
          <w:szCs w:val="21"/>
          <w:highlight w:val="none"/>
        </w:rPr>
        <w:t>电子招标投标交易平台收到通知后，</w:t>
      </w:r>
      <w:r>
        <w:rPr>
          <w:rFonts w:hint="eastAsia" w:ascii="宋体" w:hAnsi="宋体" w:cs="宋体"/>
          <w:color w:val="auto"/>
          <w:szCs w:val="21"/>
          <w:highlight w:val="none"/>
        </w:rPr>
        <w:t>即时向投标人发出确认回执通知。</w:t>
      </w:r>
    </w:p>
    <w:p w14:paraId="29348E95">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22.3修改后再次递交的，按19点的规定执行。</w:t>
      </w:r>
    </w:p>
    <w:p w14:paraId="38B2EB58">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22.4 在投标截止时间之后，投标人不得补充、修改和更换投标文件。</w:t>
      </w:r>
    </w:p>
    <w:p w14:paraId="79069A5D">
      <w:pPr>
        <w:pStyle w:val="5"/>
        <w:snapToGrid w:val="0"/>
        <w:spacing w:before="0" w:beforeAutospacing="0" w:after="0" w:afterAutospacing="0" w:line="360" w:lineRule="auto"/>
        <w:rPr>
          <w:rFonts w:cs="宋体"/>
          <w:color w:val="auto"/>
          <w:sz w:val="21"/>
          <w:szCs w:val="21"/>
          <w:highlight w:val="none"/>
        </w:rPr>
      </w:pPr>
      <w:bookmarkStart w:id="14" w:name="_Toc21525497"/>
      <w:bookmarkStart w:id="15" w:name="_Toc13732"/>
      <w:r>
        <w:rPr>
          <w:rFonts w:hint="eastAsia" w:cs="宋体"/>
          <w:color w:val="auto"/>
          <w:sz w:val="21"/>
          <w:szCs w:val="21"/>
          <w:highlight w:val="none"/>
        </w:rPr>
        <w:t>（五）开标、评标、定标及合同签定</w:t>
      </w:r>
      <w:bookmarkEnd w:id="14"/>
      <w:bookmarkEnd w:id="15"/>
    </w:p>
    <w:p w14:paraId="2A9E56E5">
      <w:pPr>
        <w:snapToGrid w:val="0"/>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23、开标。</w:t>
      </w:r>
    </w:p>
    <w:p w14:paraId="74795999">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详见第二章开标、评标及定标办法</w:t>
      </w:r>
    </w:p>
    <w:p w14:paraId="5F5E5D23">
      <w:pPr>
        <w:snapToGrid w:val="0"/>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24．评标过程的保密</w:t>
      </w:r>
    </w:p>
    <w:p w14:paraId="3792FC54">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24.1 开标后，直至中标公示为止，凡属于对投标文件的审查、澄清、评价和比较有关的资料以及中标候选人的推荐情况，与评标有关的其他任何情况均严格保密。</w:t>
      </w:r>
    </w:p>
    <w:p w14:paraId="65D3E691">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24.2 在投标文件的评审和比较、中标候选人推荐以及授予合同的过程中，投标人向招标人和评标委员会施加不公正影响的任何行为，都将会导致其投标被拒绝。</w:t>
      </w:r>
    </w:p>
    <w:p w14:paraId="58256AB7">
      <w:pPr>
        <w:snapToGrid w:val="0"/>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25．投标文件的澄清，计算错误的修正</w:t>
      </w:r>
    </w:p>
    <w:p w14:paraId="1DBA2A3D">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详见招标文件第二章开标、评标及定标办法</w:t>
      </w:r>
    </w:p>
    <w:p w14:paraId="0D9E2FF2">
      <w:pPr>
        <w:snapToGrid w:val="0"/>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26．投标文件的评审、比较和否决</w:t>
      </w:r>
    </w:p>
    <w:p w14:paraId="4A1A4CED">
      <w:pPr>
        <w:snapToGrid w:val="0"/>
        <w:spacing w:line="360" w:lineRule="auto"/>
        <w:ind w:firstLine="420" w:firstLineChars="200"/>
        <w:rPr>
          <w:rFonts w:ascii="宋体" w:hAnsi="宋体" w:cs="宋体"/>
          <w:bCs/>
          <w:color w:val="auto"/>
          <w:szCs w:val="21"/>
          <w:highlight w:val="none"/>
        </w:rPr>
      </w:pPr>
      <w:r>
        <w:rPr>
          <w:rFonts w:hint="eastAsia" w:ascii="宋体" w:hAnsi="宋体" w:cs="宋体"/>
          <w:color w:val="auto"/>
          <w:szCs w:val="21"/>
          <w:highlight w:val="none"/>
        </w:rPr>
        <w:t>详见招标文件第二章开标、评标及定标办法。</w:t>
      </w:r>
    </w:p>
    <w:p w14:paraId="46116FF9">
      <w:pPr>
        <w:snapToGrid w:val="0"/>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27．中标通知书</w:t>
      </w:r>
    </w:p>
    <w:p w14:paraId="71EF3C61">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27.1招标人将在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交易平台、广东省招标投标监管网和中国招标投标公共服务平台公示中标候选人，公示期为三天。投标人或其他利害关系人对评标结果有异议的，应当在中标候选人公示期间提出，可以通过线下或线上的形式提出异议。线上提交的，应通过</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交易平台进行，招标人也应通过</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交易平台答复线上提交的异议。作出答复前，应当暂停招标投标活动。</w:t>
      </w:r>
    </w:p>
    <w:p w14:paraId="09F1A364">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27.2招标人应当自确定中标人后，向招标投标监管机构提交招标投标情况的书面报告；经招投标监管机构备案后，方可发出中标通知书。</w:t>
      </w:r>
    </w:p>
    <w:p w14:paraId="30D7C1CB">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27.3中标人必须在收到中标通知书后24小时之内以书面形式回复招标人，确认收到。</w:t>
      </w:r>
    </w:p>
    <w:p w14:paraId="1D71E639">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27.4在产生中标候选人后，招标人将中标候选人的投标文件商务部分文件的所有内容（包括人员、业绩、奖项等资料）在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交易平台和广东省招标投标监管网公开。</w:t>
      </w:r>
    </w:p>
    <w:p w14:paraId="43D854FC">
      <w:pPr>
        <w:snapToGrid w:val="0"/>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28．合同协议书的签订</w:t>
      </w:r>
    </w:p>
    <w:p w14:paraId="5184E3F9">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28.1 招标人与中标人将于中标通知书发出之日起30日内，按照招标文件和中标人的投标文件商定和签订合同，招标人和中标人不得再行订立背离合同实质性内容的其他协议。</w:t>
      </w:r>
    </w:p>
    <w:p w14:paraId="563D80E2">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28.2中标通知书发出之日起30日后，中标人未按上款的规定与招标人订立合同，招标人将解除中标通知书，原中标人的投标保证金不予退还，且依法承担相应法律责任。原中标人给招标人造成的损失超过投标保证金数额的，还应当对超过部分予以赔偿。原中标人有异议的，可以向人民法院起诉。</w:t>
      </w:r>
    </w:p>
    <w:p w14:paraId="33C3832F">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28.3非经招标人同意，中标人在投标过程中使用的银行名称及帐号至完成竣工结算不得变更，否则招标人有权停止工程款项的拔付及至解除合同，由此造成的一切责任由中标人承担。</w:t>
      </w:r>
    </w:p>
    <w:p w14:paraId="5EE022F1">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28.4工程进度款支付应不低于已完成工程价款的80%，招标人支付工程款时，中标人应按规定开具发票。质量保证金不超过工程价款总额3%。当年开工、当年不能竣工的新开工项目可以采用过程结算。</w:t>
      </w:r>
    </w:p>
    <w:p w14:paraId="24ED87FA">
      <w:pPr>
        <w:snapToGrid w:val="0"/>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29．履约担保</w:t>
      </w:r>
    </w:p>
    <w:p w14:paraId="1B7C0124">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29.1 在收到中标通知书后的</w:t>
      </w:r>
      <w:r>
        <w:rPr>
          <w:rFonts w:hint="eastAsia" w:ascii="宋体" w:hAnsi="宋体" w:cs="宋体"/>
          <w:b/>
          <w:color w:val="auto"/>
          <w:szCs w:val="21"/>
          <w:highlight w:val="none"/>
        </w:rPr>
        <w:t>15日</w:t>
      </w:r>
      <w:r>
        <w:rPr>
          <w:rFonts w:hint="eastAsia" w:ascii="宋体" w:hAnsi="宋体" w:cs="宋体"/>
          <w:color w:val="auto"/>
          <w:szCs w:val="21"/>
          <w:highlight w:val="none"/>
        </w:rPr>
        <w:t>内，中标人应按本须知前附表第20项的规定向招标人提交履约担保。</w:t>
      </w:r>
    </w:p>
    <w:p w14:paraId="235A0AE7">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29.2中标通知书发出之日起15日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14:paraId="5B1975DB">
      <w:pPr>
        <w:snapToGrid w:val="0"/>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30．合同生效</w:t>
      </w:r>
    </w:p>
    <w:p w14:paraId="73E74DD0">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30.1在合同双方全权代表在合同协议书上签字，并分别加盖双方单位的公章后，合同正式生效。</w:t>
      </w:r>
    </w:p>
    <w:p w14:paraId="059362BB">
      <w:pPr>
        <w:snapToGrid w:val="0"/>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31．其它费用</w:t>
      </w:r>
    </w:p>
    <w:p w14:paraId="638A9049">
      <w:pPr>
        <w:pStyle w:val="31"/>
        <w:snapToGrid w:val="0"/>
        <w:spacing w:after="0" w:line="360" w:lineRule="auto"/>
        <w:ind w:firstLine="422" w:firstLineChars="200"/>
        <w:rPr>
          <w:rFonts w:ascii="宋体" w:hAnsi="宋体" w:cs="宋体"/>
          <w:b/>
          <w:bCs/>
          <w:color w:val="auto"/>
          <w:sz w:val="21"/>
          <w:szCs w:val="21"/>
          <w:highlight w:val="none"/>
        </w:rPr>
      </w:pPr>
      <w:r>
        <w:rPr>
          <w:rFonts w:hint="eastAsia" w:ascii="宋体" w:hAnsi="宋体" w:cs="宋体"/>
          <w:b/>
          <w:bCs/>
          <w:color w:val="auto"/>
          <w:sz w:val="21"/>
          <w:szCs w:val="21"/>
          <w:highlight w:val="none"/>
        </w:rPr>
        <w:t>32．腐败与欺诈行为</w:t>
      </w:r>
    </w:p>
    <w:p w14:paraId="67C98118">
      <w:pPr>
        <w:pStyle w:val="31"/>
        <w:snapToGrid w:val="0"/>
        <w:spacing w:after="0" w:line="360" w:lineRule="auto"/>
        <w:ind w:firstLineChars="200"/>
        <w:rPr>
          <w:rFonts w:ascii="宋体" w:hAnsi="宋体" w:cs="宋体"/>
          <w:color w:val="auto"/>
          <w:sz w:val="21"/>
          <w:szCs w:val="21"/>
          <w:highlight w:val="none"/>
        </w:rPr>
      </w:pPr>
      <w:r>
        <w:rPr>
          <w:rFonts w:hint="eastAsia" w:ascii="宋体" w:hAnsi="宋体" w:cs="宋体"/>
          <w:color w:val="auto"/>
          <w:sz w:val="21"/>
          <w:szCs w:val="21"/>
          <w:highlight w:val="none"/>
        </w:rPr>
        <w:t>在招标和合同实施期间，招标人要求投标人和承包人遵守最高的道德标准。</w:t>
      </w:r>
    </w:p>
    <w:p w14:paraId="65B62367">
      <w:pPr>
        <w:pStyle w:val="31"/>
        <w:snapToGrid w:val="0"/>
        <w:spacing w:after="0" w:line="360" w:lineRule="auto"/>
        <w:ind w:firstLineChars="200"/>
        <w:rPr>
          <w:rFonts w:ascii="宋体" w:hAnsi="宋体" w:cs="宋体"/>
          <w:color w:val="auto"/>
          <w:sz w:val="21"/>
          <w:szCs w:val="21"/>
          <w:highlight w:val="none"/>
        </w:rPr>
      </w:pPr>
      <w:r>
        <w:rPr>
          <w:rFonts w:hint="eastAsia" w:ascii="宋体" w:hAnsi="宋体" w:cs="宋体"/>
          <w:color w:val="auto"/>
          <w:sz w:val="21"/>
          <w:szCs w:val="21"/>
          <w:highlight w:val="none"/>
        </w:rPr>
        <w:t>32．1对本条款的规定，特定义如下词汇：</w:t>
      </w:r>
    </w:p>
    <w:p w14:paraId="2B8A5C08">
      <w:pPr>
        <w:pStyle w:val="31"/>
        <w:snapToGrid w:val="0"/>
        <w:spacing w:after="0" w:line="360" w:lineRule="auto"/>
        <w:ind w:firstLineChars="200"/>
        <w:rPr>
          <w:rFonts w:ascii="宋体" w:hAnsi="宋体" w:cs="宋体"/>
          <w:color w:val="auto"/>
          <w:sz w:val="21"/>
          <w:szCs w:val="21"/>
          <w:highlight w:val="none"/>
        </w:rPr>
      </w:pPr>
      <w:r>
        <w:rPr>
          <w:rFonts w:hint="eastAsia" w:ascii="宋体" w:hAnsi="宋体" w:cs="宋体"/>
          <w:color w:val="auto"/>
          <w:sz w:val="21"/>
          <w:szCs w:val="21"/>
          <w:highlight w:val="none"/>
        </w:rPr>
        <w:t>1）、“腐败行为”是指在招标或合同执行期间，通过提供、给予、接受或索要任何有价值的东西，从而影响招标人有关人员工作的行为；</w:t>
      </w:r>
    </w:p>
    <w:p w14:paraId="0B610996">
      <w:pPr>
        <w:pStyle w:val="31"/>
        <w:snapToGrid w:val="0"/>
        <w:spacing w:after="0" w:line="360" w:lineRule="auto"/>
        <w:ind w:firstLineChars="200"/>
        <w:rPr>
          <w:rFonts w:ascii="宋体" w:hAnsi="宋体" w:cs="宋体"/>
          <w:color w:val="auto"/>
          <w:sz w:val="21"/>
          <w:szCs w:val="21"/>
          <w:highlight w:val="none"/>
        </w:rPr>
      </w:pPr>
      <w:r>
        <w:rPr>
          <w:rFonts w:hint="eastAsia" w:ascii="宋体" w:hAnsi="宋体" w:cs="宋体"/>
          <w:color w:val="auto"/>
          <w:sz w:val="21"/>
          <w:szCs w:val="21"/>
          <w:highlight w:val="none"/>
        </w:rPr>
        <w:t>2）、“欺诈行为”是指通过提供伪证影响招标或合同执行，从而损害招标人利益的行为；也包括投标人之间串通（在提交投标文件之前或之后），人为地使招标过程失去竞争性，从而使招标人无法从公开的自由竞争中获得利益的行为。</w:t>
      </w:r>
    </w:p>
    <w:p w14:paraId="0A352F81">
      <w:pPr>
        <w:pStyle w:val="31"/>
        <w:snapToGrid w:val="0"/>
        <w:spacing w:after="0" w:line="360" w:lineRule="auto"/>
        <w:ind w:firstLineChars="200"/>
        <w:rPr>
          <w:rFonts w:ascii="宋体" w:hAnsi="宋体" w:cs="宋体"/>
          <w:color w:val="auto"/>
          <w:sz w:val="21"/>
          <w:szCs w:val="21"/>
          <w:highlight w:val="none"/>
        </w:rPr>
      </w:pPr>
      <w:r>
        <w:rPr>
          <w:rFonts w:hint="eastAsia" w:ascii="宋体" w:hAnsi="宋体" w:cs="宋体"/>
          <w:color w:val="auto"/>
          <w:sz w:val="21"/>
          <w:szCs w:val="21"/>
          <w:highlight w:val="none"/>
        </w:rPr>
        <w:t>32．2如果投标人被认定在本招标的竞争中有腐败或欺诈行为，则会被取消投标资格。</w:t>
      </w:r>
    </w:p>
    <w:p w14:paraId="51837C08">
      <w:pPr>
        <w:pStyle w:val="31"/>
        <w:snapToGrid w:val="0"/>
        <w:spacing w:after="0" w:line="360" w:lineRule="auto"/>
        <w:ind w:firstLineChars="200"/>
        <w:rPr>
          <w:rFonts w:ascii="宋体" w:hAnsi="宋体" w:cs="宋体"/>
          <w:color w:val="auto"/>
          <w:sz w:val="21"/>
          <w:szCs w:val="21"/>
          <w:highlight w:val="none"/>
        </w:rPr>
      </w:pPr>
      <w:r>
        <w:rPr>
          <w:rFonts w:hint="eastAsia" w:ascii="宋体" w:hAnsi="宋体" w:cs="宋体"/>
          <w:color w:val="auto"/>
          <w:sz w:val="21"/>
          <w:szCs w:val="21"/>
          <w:highlight w:val="none"/>
        </w:rPr>
        <w:t>32.3投标人如在本项目中存在串通投标、弄虚作假骗取中标、行贿情形的，中标无效，行政监督部门将对其违法行为进行政处罚。该投标人将被招标人列入黑名单并限制其参与招标人后续项目的投标。</w:t>
      </w:r>
    </w:p>
    <w:p w14:paraId="5CC7F445">
      <w:pPr>
        <w:rPr>
          <w:color w:val="auto"/>
          <w:highlight w:val="none"/>
        </w:rPr>
      </w:pPr>
    </w:p>
    <w:p w14:paraId="7DFC2D93">
      <w:pPr>
        <w:pStyle w:val="3"/>
        <w:snapToGrid w:val="0"/>
        <w:spacing w:after="0"/>
        <w:jc w:val="center"/>
        <w:rPr>
          <w:rFonts w:ascii="宋体" w:hAnsi="宋体" w:cs="宋体"/>
          <w:b/>
          <w:color w:val="auto"/>
          <w:sz w:val="32"/>
          <w:szCs w:val="32"/>
          <w:highlight w:val="none"/>
        </w:rPr>
      </w:pPr>
      <w:r>
        <w:rPr>
          <w:rFonts w:hint="eastAsia" w:ascii="宋体" w:hAnsi="宋体" w:cs="宋体"/>
          <w:color w:val="auto"/>
          <w:sz w:val="24"/>
          <w:szCs w:val="24"/>
          <w:highlight w:val="none"/>
        </w:rPr>
        <w:br w:type="page"/>
      </w:r>
      <w:bookmarkStart w:id="16" w:name="_Toc12835"/>
      <w:r>
        <w:rPr>
          <w:rFonts w:hint="eastAsia" w:ascii="宋体" w:hAnsi="宋体" w:cs="宋体"/>
          <w:b/>
          <w:color w:val="auto"/>
          <w:sz w:val="32"/>
          <w:szCs w:val="32"/>
          <w:highlight w:val="none"/>
        </w:rPr>
        <w:t>第二章  开标、评标及定标办法</w:t>
      </w:r>
      <w:bookmarkEnd w:id="16"/>
    </w:p>
    <w:p w14:paraId="4DC0AA0A">
      <w:pPr>
        <w:pStyle w:val="4"/>
        <w:snapToGrid w:val="0"/>
        <w:spacing w:before="0" w:after="0" w:line="360" w:lineRule="auto"/>
        <w:ind w:left="0"/>
        <w:rPr>
          <w:rFonts w:ascii="宋体" w:hAnsi="宋体" w:cs="宋体"/>
          <w:color w:val="auto"/>
          <w:sz w:val="32"/>
          <w:szCs w:val="32"/>
          <w:highlight w:val="none"/>
        </w:rPr>
      </w:pPr>
      <w:bookmarkStart w:id="17" w:name="_Toc20882"/>
      <w:r>
        <w:rPr>
          <w:rFonts w:hint="eastAsia" w:ascii="宋体" w:hAnsi="宋体" w:cs="宋体"/>
          <w:color w:val="auto"/>
          <w:sz w:val="32"/>
          <w:szCs w:val="32"/>
          <w:highlight w:val="none"/>
        </w:rPr>
        <w:t>一、开标、评标及定标办法修改表</w:t>
      </w:r>
      <w:bookmarkEnd w:id="17"/>
    </w:p>
    <w:p w14:paraId="3CEA9EDF">
      <w:pPr>
        <w:pStyle w:val="31"/>
        <w:snapToGrid w:val="0"/>
        <w:spacing w:after="0" w:line="360" w:lineRule="auto"/>
        <w:rPr>
          <w:rFonts w:ascii="宋体" w:hAnsi="宋体" w:cs="宋体"/>
          <w:b/>
          <w:color w:val="auto"/>
          <w:sz w:val="21"/>
          <w:szCs w:val="21"/>
          <w:highlight w:val="none"/>
        </w:rPr>
      </w:pPr>
      <w:r>
        <w:rPr>
          <w:rFonts w:hint="eastAsia" w:ascii="宋体" w:hAnsi="宋体" w:cs="宋体"/>
          <w:b/>
          <w:color w:val="auto"/>
          <w:sz w:val="21"/>
          <w:szCs w:val="21"/>
          <w:highlight w:val="none"/>
        </w:rPr>
        <w:t>声明：本开标、评标及定标办法使用GZZB2018-3招标文件范本的开标、评标及定标办法通用条款，与该通用条款不同之处，均在本表中列明，并以现文为准，原文不再有效。本招标文件中不再转录开标、评标及定标办法通用条款，请投标人自行到广州市住房和城乡建设局网站（网址：</w:t>
      </w:r>
      <w:r>
        <w:rPr>
          <w:color w:val="auto"/>
          <w:highlight w:val="none"/>
        </w:rPr>
        <w:fldChar w:fldCharType="begin"/>
      </w:r>
      <w:r>
        <w:rPr>
          <w:color w:val="auto"/>
          <w:highlight w:val="none"/>
        </w:rPr>
        <w:instrText xml:space="preserve"> HYPERLINK "http://www.gzcc.gov.cn/）下载GZZB2018-3" </w:instrText>
      </w:r>
      <w:r>
        <w:rPr>
          <w:color w:val="auto"/>
          <w:highlight w:val="none"/>
        </w:rPr>
        <w:fldChar w:fldCharType="separate"/>
      </w:r>
      <w:r>
        <w:rPr>
          <w:rFonts w:hint="eastAsia" w:ascii="宋体" w:hAnsi="宋体" w:cs="宋体"/>
          <w:b/>
          <w:color w:val="auto"/>
          <w:sz w:val="21"/>
          <w:szCs w:val="21"/>
          <w:highlight w:val="none"/>
        </w:rPr>
        <w:t>http://zfcj.gz.gov.cn/</w:t>
      </w:r>
      <w:r>
        <w:rPr>
          <w:rStyle w:val="38"/>
          <w:rFonts w:hint="eastAsia" w:ascii="宋体" w:hAnsi="宋体" w:cs="宋体"/>
          <w:b/>
          <w:color w:val="auto"/>
          <w:sz w:val="21"/>
          <w:szCs w:val="21"/>
          <w:highlight w:val="none"/>
          <w:u w:val="none"/>
        </w:rPr>
        <w:t>）下载GZZB2018-3</w:t>
      </w:r>
      <w:r>
        <w:rPr>
          <w:rStyle w:val="38"/>
          <w:rFonts w:hint="eastAsia" w:ascii="宋体" w:hAnsi="宋体" w:cs="宋体"/>
          <w:b/>
          <w:color w:val="auto"/>
          <w:sz w:val="21"/>
          <w:szCs w:val="21"/>
          <w:highlight w:val="none"/>
          <w:u w:val="none"/>
        </w:rPr>
        <w:fldChar w:fldCharType="end"/>
      </w:r>
      <w:r>
        <w:rPr>
          <w:rFonts w:hint="eastAsia" w:ascii="宋体" w:hAnsi="宋体" w:cs="宋体"/>
          <w:b/>
          <w:color w:val="auto"/>
          <w:sz w:val="21"/>
          <w:szCs w:val="21"/>
          <w:highlight w:val="none"/>
        </w:rPr>
        <w:t>范本查阅。</w:t>
      </w:r>
    </w:p>
    <w:p w14:paraId="3D8808AE">
      <w:pPr>
        <w:keepNext w:val="0"/>
        <w:keepLines w:val="0"/>
        <w:pageBreakBefore w:val="0"/>
        <w:kinsoku/>
        <w:wordWrap/>
        <w:overflowPunct/>
        <w:topLinePunct w:val="0"/>
        <w:autoSpaceDE/>
        <w:autoSpaceDN/>
        <w:bidi w:val="0"/>
        <w:spacing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条款号： </w:t>
      </w:r>
      <w:r>
        <w:rPr>
          <w:rFonts w:hint="eastAsia" w:ascii="宋体" w:hAnsi="宋体" w:eastAsia="宋体" w:cs="宋体"/>
          <w:b/>
          <w:color w:val="auto"/>
          <w:sz w:val="21"/>
          <w:szCs w:val="21"/>
          <w:highlight w:val="none"/>
          <w:lang w:val="en-US" w:eastAsia="zh-CN"/>
        </w:rPr>
        <w:t>35.11</w:t>
      </w:r>
      <w:r>
        <w:rPr>
          <w:rFonts w:hint="eastAsia" w:ascii="宋体" w:hAnsi="宋体" w:eastAsia="宋体" w:cs="宋体"/>
          <w:b/>
          <w:color w:val="auto"/>
          <w:sz w:val="21"/>
          <w:szCs w:val="21"/>
          <w:highlight w:val="none"/>
        </w:rPr>
        <w:t xml:space="preserve">            修改类型：增加</w:t>
      </w:r>
    </w:p>
    <w:p w14:paraId="2FE2C529">
      <w:pPr>
        <w:pStyle w:val="31"/>
        <w:keepNext w:val="0"/>
        <w:keepLines w:val="0"/>
        <w:pageBreakBefore w:val="0"/>
        <w:widowControl w:val="0"/>
        <w:kinsoku/>
        <w:wordWrap/>
        <w:overflowPunct/>
        <w:topLinePunct w:val="0"/>
        <w:autoSpaceDE/>
        <w:autoSpaceDN/>
        <w:bidi w:val="0"/>
        <w:adjustRightInd/>
        <w:snapToGrid/>
        <w:spacing w:after="0" w:line="360" w:lineRule="auto"/>
        <w:ind w:firstLine="422" w:firstLineChars="200"/>
        <w:textAlignment w:val="auto"/>
        <w:rPr>
          <w:rFonts w:hint="eastAsia" w:ascii="宋体" w:hAnsi="宋体" w:eastAsia="宋体" w:cs="宋体"/>
          <w:b/>
          <w:bCs/>
          <w:color w:val="auto"/>
          <w:sz w:val="21"/>
          <w:szCs w:val="21"/>
          <w:highlight w:val="none"/>
          <w:u w:val="single"/>
        </w:rPr>
      </w:pPr>
      <w:r>
        <w:rPr>
          <w:rFonts w:hint="eastAsia" w:ascii="宋体" w:hAnsi="宋体" w:eastAsia="宋体" w:cs="宋体"/>
          <w:b/>
          <w:color w:val="auto"/>
          <w:sz w:val="21"/>
          <w:szCs w:val="21"/>
          <w:highlight w:val="none"/>
        </w:rPr>
        <w:t>现文：</w:t>
      </w:r>
      <w:r>
        <w:rPr>
          <w:rFonts w:hint="eastAsia" w:ascii="宋体" w:hAnsi="宋体" w:eastAsia="宋体" w:cs="宋体"/>
          <w:b/>
          <w:bCs/>
          <w:color w:val="auto"/>
          <w:sz w:val="21"/>
          <w:szCs w:val="21"/>
          <w:highlight w:val="none"/>
          <w:u w:val="single"/>
        </w:rPr>
        <w:t>35.1</w:t>
      </w:r>
      <w:r>
        <w:rPr>
          <w:rFonts w:hint="eastAsia" w:ascii="宋体" w:hAnsi="宋体" w:eastAsia="宋体" w:cs="宋体"/>
          <w:b/>
          <w:bCs/>
          <w:color w:val="auto"/>
          <w:sz w:val="21"/>
          <w:szCs w:val="21"/>
          <w:highlight w:val="none"/>
          <w:u w:val="single"/>
          <w:lang w:val="en-US" w:eastAsia="zh-CN"/>
        </w:rPr>
        <w:t>1</w:t>
      </w:r>
      <w:r>
        <w:rPr>
          <w:rFonts w:hint="eastAsia" w:ascii="宋体" w:hAnsi="宋体" w:eastAsia="宋体" w:cs="宋体"/>
          <w:b/>
          <w:bCs/>
          <w:color w:val="auto"/>
          <w:sz w:val="21"/>
          <w:szCs w:val="21"/>
          <w:highlight w:val="none"/>
          <w:u w:val="single"/>
        </w:rPr>
        <w:t>采用评定分离定标办法</w:t>
      </w:r>
    </w:p>
    <w:p w14:paraId="73E26553">
      <w:pPr>
        <w:pStyle w:val="31"/>
        <w:keepNext w:val="0"/>
        <w:keepLines w:val="0"/>
        <w:pageBreakBefore w:val="0"/>
        <w:widowControl w:val="0"/>
        <w:kinsoku/>
        <w:wordWrap/>
        <w:overflowPunct/>
        <w:topLinePunct w:val="0"/>
        <w:autoSpaceDE/>
        <w:autoSpaceDN/>
        <w:bidi w:val="0"/>
        <w:adjustRightInd/>
        <w:snapToGrid/>
        <w:spacing w:after="0" w:line="360" w:lineRule="auto"/>
        <w:ind w:firstLine="422" w:firstLineChars="200"/>
        <w:textAlignment w:val="auto"/>
        <w:rPr>
          <w:rFonts w:hint="eastAsia" w:ascii="宋体" w:hAnsi="宋体" w:eastAsia="宋体" w:cs="宋体"/>
          <w:b/>
          <w:bCs/>
          <w:color w:val="auto"/>
          <w:sz w:val="21"/>
          <w:szCs w:val="21"/>
          <w:highlight w:val="none"/>
          <w:u w:val="single"/>
        </w:rPr>
      </w:pPr>
      <w:r>
        <w:rPr>
          <w:rFonts w:hint="eastAsia" w:ascii="宋体" w:hAnsi="宋体" w:eastAsia="宋体" w:cs="宋体"/>
          <w:b/>
          <w:bCs/>
          <w:color w:val="auto"/>
          <w:sz w:val="21"/>
          <w:szCs w:val="21"/>
          <w:highlight w:val="none"/>
          <w:u w:val="single"/>
        </w:rPr>
        <w:t>35.1</w:t>
      </w:r>
      <w:r>
        <w:rPr>
          <w:rFonts w:hint="eastAsia" w:ascii="宋体" w:hAnsi="宋体" w:eastAsia="宋体" w:cs="宋体"/>
          <w:b/>
          <w:bCs/>
          <w:color w:val="auto"/>
          <w:sz w:val="21"/>
          <w:szCs w:val="21"/>
          <w:highlight w:val="none"/>
          <w:u w:val="single"/>
          <w:lang w:val="en-US" w:eastAsia="zh-CN"/>
        </w:rPr>
        <w:t xml:space="preserve">1.1 </w:t>
      </w:r>
      <w:r>
        <w:rPr>
          <w:rFonts w:hint="eastAsia" w:ascii="宋体" w:hAnsi="宋体" w:eastAsia="宋体" w:cs="宋体"/>
          <w:b/>
          <w:bCs/>
          <w:color w:val="auto"/>
          <w:sz w:val="21"/>
          <w:szCs w:val="21"/>
          <w:highlight w:val="none"/>
          <w:u w:val="single"/>
        </w:rPr>
        <w:t>评标采用“有限数量制”推荐合格中标候选人。推荐3-</w:t>
      </w:r>
      <w:r>
        <w:rPr>
          <w:rFonts w:hint="eastAsia" w:ascii="宋体" w:hAnsi="宋体" w:cs="宋体"/>
          <w:b/>
          <w:bCs/>
          <w:color w:val="auto"/>
          <w:sz w:val="21"/>
          <w:szCs w:val="21"/>
          <w:highlight w:val="none"/>
          <w:u w:val="single"/>
          <w:lang w:val="en-US" w:eastAsia="zh-CN"/>
        </w:rPr>
        <w:t>8</w:t>
      </w:r>
      <w:r>
        <w:rPr>
          <w:rFonts w:hint="eastAsia" w:ascii="宋体" w:hAnsi="宋体" w:eastAsia="宋体" w:cs="宋体"/>
          <w:b/>
          <w:bCs/>
          <w:color w:val="auto"/>
          <w:sz w:val="21"/>
          <w:szCs w:val="21"/>
          <w:highlight w:val="none"/>
          <w:u w:val="single"/>
        </w:rPr>
        <w:t>名合格中标候选人，推荐方式如下：</w:t>
      </w:r>
    </w:p>
    <w:p w14:paraId="0415838B">
      <w:pPr>
        <w:pStyle w:val="31"/>
        <w:keepNext w:val="0"/>
        <w:keepLines w:val="0"/>
        <w:pageBreakBefore w:val="0"/>
        <w:widowControl w:val="0"/>
        <w:kinsoku/>
        <w:wordWrap/>
        <w:overflowPunct/>
        <w:topLinePunct w:val="0"/>
        <w:autoSpaceDE/>
        <w:autoSpaceDN/>
        <w:bidi w:val="0"/>
        <w:adjustRightInd/>
        <w:snapToGrid/>
        <w:spacing w:after="0" w:line="360" w:lineRule="auto"/>
        <w:ind w:firstLine="422" w:firstLineChars="200"/>
        <w:textAlignment w:val="auto"/>
        <w:rPr>
          <w:rFonts w:hint="eastAsia" w:ascii="宋体" w:hAnsi="宋体" w:eastAsia="宋体" w:cs="宋体"/>
          <w:b/>
          <w:bCs/>
          <w:color w:val="auto"/>
          <w:sz w:val="21"/>
          <w:szCs w:val="21"/>
          <w:highlight w:val="none"/>
          <w:u w:val="single"/>
        </w:rPr>
      </w:pPr>
      <w:r>
        <w:rPr>
          <w:rFonts w:hint="eastAsia" w:ascii="宋体" w:hAnsi="宋体" w:eastAsia="宋体" w:cs="宋体"/>
          <w:b/>
          <w:bCs/>
          <w:color w:val="auto"/>
          <w:sz w:val="21"/>
          <w:szCs w:val="21"/>
          <w:highlight w:val="none"/>
          <w:u w:val="single"/>
          <w:lang w:eastAsia="zh-CN"/>
        </w:rPr>
        <w:t>（</w:t>
      </w:r>
      <w:r>
        <w:rPr>
          <w:rFonts w:hint="eastAsia" w:ascii="宋体" w:hAnsi="宋体" w:eastAsia="宋体" w:cs="宋体"/>
          <w:b/>
          <w:bCs/>
          <w:color w:val="auto"/>
          <w:sz w:val="21"/>
          <w:szCs w:val="21"/>
          <w:highlight w:val="none"/>
          <w:u w:val="single"/>
          <w:lang w:val="en-US" w:eastAsia="zh-CN"/>
        </w:rPr>
        <w:t>1</w:t>
      </w:r>
      <w:r>
        <w:rPr>
          <w:rFonts w:hint="eastAsia" w:ascii="宋体" w:hAnsi="宋体" w:eastAsia="宋体" w:cs="宋体"/>
          <w:b/>
          <w:bCs/>
          <w:color w:val="auto"/>
          <w:sz w:val="21"/>
          <w:szCs w:val="21"/>
          <w:highlight w:val="none"/>
          <w:u w:val="single"/>
          <w:lang w:eastAsia="zh-CN"/>
        </w:rPr>
        <w:t>）对于</w:t>
      </w:r>
      <w:r>
        <w:rPr>
          <w:rFonts w:hint="eastAsia" w:ascii="宋体" w:hAnsi="宋体" w:eastAsia="宋体" w:cs="宋体"/>
          <w:b/>
          <w:bCs/>
          <w:color w:val="auto"/>
          <w:sz w:val="21"/>
          <w:szCs w:val="21"/>
          <w:highlight w:val="none"/>
          <w:u w:val="single"/>
        </w:rPr>
        <w:t>投标报价低于成本警示价的投标人：</w:t>
      </w:r>
    </w:p>
    <w:p w14:paraId="2C1487C0">
      <w:pPr>
        <w:pStyle w:val="31"/>
        <w:keepNext w:val="0"/>
        <w:keepLines w:val="0"/>
        <w:pageBreakBefore w:val="0"/>
        <w:widowControl w:val="0"/>
        <w:kinsoku/>
        <w:wordWrap/>
        <w:overflowPunct/>
        <w:topLinePunct w:val="0"/>
        <w:autoSpaceDE/>
        <w:autoSpaceDN/>
        <w:bidi w:val="0"/>
        <w:adjustRightInd/>
        <w:snapToGrid/>
        <w:spacing w:after="0" w:line="360" w:lineRule="auto"/>
        <w:ind w:firstLine="422" w:firstLineChars="200"/>
        <w:textAlignment w:val="auto"/>
        <w:rPr>
          <w:rFonts w:hint="eastAsia" w:ascii="宋体" w:hAnsi="宋体" w:eastAsia="宋体" w:cs="宋体"/>
          <w:b/>
          <w:bCs/>
          <w:color w:val="auto"/>
          <w:sz w:val="21"/>
          <w:szCs w:val="21"/>
          <w:highlight w:val="none"/>
          <w:u w:val="single"/>
        </w:rPr>
      </w:pPr>
      <w:r>
        <w:rPr>
          <w:rFonts w:hint="eastAsia" w:ascii="宋体" w:hAnsi="宋体" w:eastAsia="宋体" w:cs="宋体"/>
          <w:b/>
          <w:bCs/>
          <w:color w:val="auto"/>
          <w:sz w:val="21"/>
          <w:szCs w:val="21"/>
          <w:highlight w:val="none"/>
          <w:u w:val="single"/>
          <w:lang w:val="en-US" w:eastAsia="zh-CN"/>
        </w:rPr>
        <w:t>不参加经济标评审，但需参加技术标详细评审及</w:t>
      </w:r>
      <w:r>
        <w:rPr>
          <w:rFonts w:hint="eastAsia" w:ascii="宋体" w:hAnsi="宋体" w:eastAsia="宋体" w:cs="宋体"/>
          <w:b/>
          <w:bCs/>
          <w:color w:val="auto"/>
          <w:sz w:val="21"/>
          <w:szCs w:val="21"/>
          <w:highlight w:val="none"/>
          <w:u w:val="single"/>
        </w:rPr>
        <w:t>经济标有效性审查</w:t>
      </w:r>
      <w:r>
        <w:rPr>
          <w:rFonts w:hint="eastAsia" w:ascii="宋体" w:hAnsi="宋体" w:eastAsia="宋体" w:cs="宋体"/>
          <w:b/>
          <w:bCs/>
          <w:color w:val="auto"/>
          <w:sz w:val="21"/>
          <w:szCs w:val="21"/>
          <w:highlight w:val="none"/>
          <w:u w:val="single"/>
          <w:lang w:eastAsia="zh-CN"/>
        </w:rPr>
        <w:t>。评标委员会根据技术分（100分）=企业资信（30分）＋项目组织管理机构能力（</w:t>
      </w:r>
      <w:r>
        <w:rPr>
          <w:rFonts w:hint="eastAsia" w:ascii="宋体" w:hAnsi="宋体" w:cs="宋体"/>
          <w:b/>
          <w:bCs/>
          <w:color w:val="auto"/>
          <w:sz w:val="21"/>
          <w:szCs w:val="21"/>
          <w:highlight w:val="none"/>
          <w:u w:val="single"/>
          <w:lang w:val="en-US" w:eastAsia="zh-CN"/>
        </w:rPr>
        <w:t>2</w:t>
      </w:r>
      <w:r>
        <w:rPr>
          <w:rFonts w:hint="eastAsia" w:ascii="宋体" w:hAnsi="宋体" w:eastAsia="宋体" w:cs="宋体"/>
          <w:b/>
          <w:bCs/>
          <w:color w:val="auto"/>
          <w:sz w:val="21"/>
          <w:szCs w:val="21"/>
          <w:highlight w:val="none"/>
          <w:u w:val="single"/>
          <w:lang w:eastAsia="zh-CN"/>
        </w:rPr>
        <w:t>0分）＋施工组织设计（</w:t>
      </w:r>
      <w:r>
        <w:rPr>
          <w:rFonts w:hint="eastAsia" w:ascii="宋体" w:hAnsi="宋体" w:cs="宋体"/>
          <w:b/>
          <w:bCs/>
          <w:color w:val="auto"/>
          <w:sz w:val="21"/>
          <w:szCs w:val="21"/>
          <w:highlight w:val="none"/>
          <w:u w:val="single"/>
          <w:lang w:val="en-US" w:eastAsia="zh-CN"/>
        </w:rPr>
        <w:t>5</w:t>
      </w:r>
      <w:r>
        <w:rPr>
          <w:rFonts w:hint="eastAsia" w:ascii="宋体" w:hAnsi="宋体" w:eastAsia="宋体" w:cs="宋体"/>
          <w:b/>
          <w:bCs/>
          <w:color w:val="auto"/>
          <w:sz w:val="21"/>
          <w:szCs w:val="21"/>
          <w:highlight w:val="none"/>
          <w:u w:val="single"/>
          <w:lang w:eastAsia="zh-CN"/>
        </w:rPr>
        <w:t>0分）</w:t>
      </w:r>
      <w:r>
        <w:rPr>
          <w:rFonts w:hint="eastAsia" w:ascii="宋体" w:hAnsi="宋体" w:eastAsia="宋体" w:cs="宋体"/>
          <w:b/>
          <w:bCs/>
          <w:color w:val="auto"/>
          <w:sz w:val="21"/>
          <w:szCs w:val="21"/>
          <w:highlight w:val="none"/>
          <w:u w:val="single"/>
          <w:lang w:val="en-US" w:eastAsia="zh-CN"/>
        </w:rPr>
        <w:t>排序，推荐</w:t>
      </w:r>
      <w:r>
        <w:rPr>
          <w:rFonts w:hint="eastAsia" w:ascii="宋体" w:hAnsi="宋体" w:eastAsia="宋体" w:cs="宋体"/>
          <w:b/>
          <w:bCs/>
          <w:color w:val="auto"/>
          <w:sz w:val="21"/>
          <w:szCs w:val="21"/>
          <w:highlight w:val="none"/>
          <w:u w:val="single"/>
        </w:rPr>
        <w:t>通过经济标有效性审查</w:t>
      </w:r>
      <w:r>
        <w:rPr>
          <w:rFonts w:hint="eastAsia" w:ascii="宋体" w:hAnsi="宋体" w:eastAsia="宋体" w:cs="宋体"/>
          <w:b/>
          <w:bCs/>
          <w:color w:val="auto"/>
          <w:sz w:val="21"/>
          <w:szCs w:val="21"/>
          <w:highlight w:val="none"/>
          <w:u w:val="single"/>
          <w:lang w:eastAsia="zh-CN"/>
        </w:rPr>
        <w:t>的前</w:t>
      </w:r>
      <w:r>
        <w:rPr>
          <w:rFonts w:hint="eastAsia" w:ascii="宋体" w:hAnsi="宋体" w:cs="宋体"/>
          <w:b/>
          <w:bCs/>
          <w:color w:val="auto"/>
          <w:sz w:val="21"/>
          <w:szCs w:val="21"/>
          <w:highlight w:val="none"/>
          <w:u w:val="single"/>
          <w:lang w:val="en-US" w:eastAsia="zh-CN"/>
        </w:rPr>
        <w:t>1</w:t>
      </w:r>
      <w:r>
        <w:rPr>
          <w:rFonts w:hint="eastAsia" w:ascii="宋体" w:hAnsi="宋体" w:eastAsia="宋体" w:cs="宋体"/>
          <w:b/>
          <w:bCs/>
          <w:color w:val="auto"/>
          <w:sz w:val="21"/>
          <w:szCs w:val="21"/>
          <w:highlight w:val="none"/>
          <w:u w:val="single"/>
          <w:lang w:val="en-US" w:eastAsia="zh-CN"/>
        </w:rPr>
        <w:t>名</w:t>
      </w:r>
      <w:r>
        <w:rPr>
          <w:rFonts w:hint="eastAsia" w:ascii="宋体" w:hAnsi="宋体" w:eastAsia="宋体" w:cs="宋体"/>
          <w:b/>
          <w:bCs/>
          <w:color w:val="auto"/>
          <w:sz w:val="21"/>
          <w:szCs w:val="21"/>
          <w:highlight w:val="none"/>
          <w:u w:val="single"/>
        </w:rPr>
        <w:t>投标人为合格中标候选人进入定标阶段</w:t>
      </w:r>
      <w:r>
        <w:rPr>
          <w:rFonts w:hint="eastAsia" w:ascii="宋体" w:hAnsi="宋体" w:eastAsia="宋体" w:cs="宋体"/>
          <w:b/>
          <w:bCs/>
          <w:color w:val="auto"/>
          <w:sz w:val="21"/>
          <w:szCs w:val="21"/>
          <w:highlight w:val="none"/>
          <w:u w:val="single"/>
          <w:lang w:eastAsia="zh-CN"/>
        </w:rPr>
        <w:t>。</w:t>
      </w:r>
    </w:p>
    <w:p w14:paraId="177B1D78">
      <w:pPr>
        <w:pStyle w:val="31"/>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22" w:firstLineChars="200"/>
        <w:textAlignment w:val="auto"/>
        <w:rPr>
          <w:rFonts w:hint="eastAsia" w:ascii="宋体" w:hAnsi="宋体" w:eastAsia="宋体" w:cs="宋体"/>
          <w:b/>
          <w:bCs/>
          <w:color w:val="auto"/>
          <w:sz w:val="21"/>
          <w:szCs w:val="21"/>
          <w:highlight w:val="none"/>
          <w:u w:val="single"/>
        </w:rPr>
      </w:pPr>
      <w:r>
        <w:rPr>
          <w:rFonts w:hint="eastAsia" w:ascii="宋体" w:hAnsi="宋体" w:eastAsia="宋体" w:cs="宋体"/>
          <w:b/>
          <w:bCs/>
          <w:color w:val="auto"/>
          <w:sz w:val="21"/>
          <w:szCs w:val="21"/>
          <w:highlight w:val="none"/>
          <w:u w:val="single"/>
          <w:lang w:eastAsia="zh-CN"/>
        </w:rPr>
        <w:t>（</w:t>
      </w:r>
      <w:r>
        <w:rPr>
          <w:rFonts w:hint="eastAsia" w:ascii="宋体" w:hAnsi="宋体" w:eastAsia="宋体" w:cs="宋体"/>
          <w:b/>
          <w:bCs/>
          <w:color w:val="auto"/>
          <w:sz w:val="21"/>
          <w:szCs w:val="21"/>
          <w:highlight w:val="none"/>
          <w:u w:val="single"/>
          <w:lang w:val="en-US" w:eastAsia="zh-CN"/>
        </w:rPr>
        <w:t>2</w:t>
      </w:r>
      <w:r>
        <w:rPr>
          <w:rFonts w:hint="eastAsia" w:ascii="宋体" w:hAnsi="宋体" w:eastAsia="宋体" w:cs="宋体"/>
          <w:b/>
          <w:bCs/>
          <w:color w:val="auto"/>
          <w:sz w:val="21"/>
          <w:szCs w:val="21"/>
          <w:highlight w:val="none"/>
          <w:u w:val="single"/>
          <w:lang w:eastAsia="zh-CN"/>
        </w:rPr>
        <w:t>）对于</w:t>
      </w:r>
      <w:r>
        <w:rPr>
          <w:rFonts w:hint="eastAsia" w:ascii="宋体" w:hAnsi="宋体" w:eastAsia="宋体" w:cs="宋体"/>
          <w:b/>
          <w:bCs/>
          <w:color w:val="auto"/>
          <w:sz w:val="21"/>
          <w:szCs w:val="21"/>
          <w:highlight w:val="none"/>
          <w:u w:val="single"/>
        </w:rPr>
        <w:t>投标报价不低于成本警示价的投标人推荐方式：</w:t>
      </w:r>
    </w:p>
    <w:p w14:paraId="133A5CDE">
      <w:pPr>
        <w:pStyle w:val="31"/>
        <w:keepNext w:val="0"/>
        <w:keepLines w:val="0"/>
        <w:pageBreakBefore w:val="0"/>
        <w:widowControl w:val="0"/>
        <w:kinsoku/>
        <w:wordWrap/>
        <w:overflowPunct/>
        <w:topLinePunct w:val="0"/>
        <w:autoSpaceDE/>
        <w:autoSpaceDN/>
        <w:bidi w:val="0"/>
        <w:adjustRightInd/>
        <w:snapToGrid/>
        <w:spacing w:after="0" w:line="360" w:lineRule="auto"/>
        <w:ind w:firstLine="422" w:firstLineChars="200"/>
        <w:textAlignment w:val="auto"/>
        <w:rPr>
          <w:rFonts w:hint="eastAsia" w:ascii="宋体" w:hAnsi="宋体" w:eastAsia="宋体" w:cs="宋体"/>
          <w:b/>
          <w:bCs/>
          <w:color w:val="auto"/>
          <w:sz w:val="21"/>
          <w:szCs w:val="21"/>
          <w:highlight w:val="none"/>
          <w:u w:val="single"/>
          <w:lang w:val="en-US" w:eastAsia="zh-CN"/>
        </w:rPr>
      </w:pPr>
      <w:r>
        <w:rPr>
          <w:rFonts w:hint="eastAsia" w:ascii="宋体" w:hAnsi="宋体" w:eastAsia="宋体" w:cs="宋体"/>
          <w:b/>
          <w:bCs/>
          <w:color w:val="auto"/>
          <w:sz w:val="21"/>
          <w:szCs w:val="21"/>
          <w:highlight w:val="none"/>
          <w:u w:val="single"/>
          <w:lang w:val="en-US" w:eastAsia="zh-CN"/>
        </w:rPr>
        <w:t>需参加技术标、经济标详细评审。评标委员会根据总得分=技术分</w:t>
      </w:r>
      <w:r>
        <w:rPr>
          <w:rFonts w:hint="eastAsia" w:ascii="宋体" w:hAnsi="宋体" w:cs="宋体"/>
          <w:b/>
          <w:bCs/>
          <w:color w:val="auto"/>
          <w:sz w:val="21"/>
          <w:szCs w:val="21"/>
          <w:highlight w:val="none"/>
          <w:u w:val="single"/>
          <w:lang w:val="en-US" w:eastAsia="zh-CN"/>
        </w:rPr>
        <w:t>[企业资信（30分）＋项目组织管理机构能力（20分）＋施工组织设计（50分）</w:t>
      </w:r>
      <w:r>
        <w:rPr>
          <w:rFonts w:hint="eastAsia" w:ascii="宋体" w:hAnsi="宋体" w:eastAsia="宋体" w:cs="宋体"/>
          <w:b/>
          <w:bCs/>
          <w:color w:val="auto"/>
          <w:sz w:val="21"/>
          <w:szCs w:val="21"/>
          <w:highlight w:val="none"/>
          <w:u w:val="single"/>
          <w:lang w:val="en-US" w:eastAsia="zh-CN"/>
        </w:rPr>
        <w:t>]×技术分权重（40%）+经济分×经济分权重（60%）排序，推荐前</w:t>
      </w:r>
      <w:r>
        <w:rPr>
          <w:rFonts w:hint="eastAsia" w:ascii="宋体" w:hAnsi="宋体" w:cs="宋体"/>
          <w:b/>
          <w:bCs/>
          <w:color w:val="auto"/>
          <w:sz w:val="21"/>
          <w:szCs w:val="21"/>
          <w:highlight w:val="none"/>
          <w:u w:val="single"/>
          <w:lang w:val="en-US" w:eastAsia="zh-CN"/>
        </w:rPr>
        <w:t>7</w:t>
      </w:r>
      <w:r>
        <w:rPr>
          <w:rFonts w:hint="eastAsia" w:ascii="宋体" w:hAnsi="宋体" w:eastAsia="宋体" w:cs="宋体"/>
          <w:b/>
          <w:bCs/>
          <w:color w:val="auto"/>
          <w:sz w:val="21"/>
          <w:szCs w:val="21"/>
          <w:highlight w:val="none"/>
          <w:u w:val="single"/>
          <w:lang w:val="en-US" w:eastAsia="zh-CN"/>
        </w:rPr>
        <w:t>名投标人为合格中标候选人进入定标阶段。（若通过详细评审的投标人不足</w:t>
      </w:r>
      <w:r>
        <w:rPr>
          <w:rFonts w:hint="eastAsia" w:ascii="宋体" w:hAnsi="宋体" w:cs="宋体"/>
          <w:b/>
          <w:bCs/>
          <w:color w:val="auto"/>
          <w:sz w:val="21"/>
          <w:szCs w:val="21"/>
          <w:highlight w:val="none"/>
          <w:u w:val="single"/>
          <w:lang w:val="en-US" w:eastAsia="zh-CN"/>
        </w:rPr>
        <w:t>7</w:t>
      </w:r>
      <w:r>
        <w:rPr>
          <w:rFonts w:hint="eastAsia" w:ascii="宋体" w:hAnsi="宋体" w:eastAsia="宋体" w:cs="宋体"/>
          <w:b/>
          <w:bCs/>
          <w:color w:val="auto"/>
          <w:sz w:val="21"/>
          <w:szCs w:val="21"/>
          <w:highlight w:val="none"/>
          <w:u w:val="single"/>
          <w:lang w:val="en-US" w:eastAsia="zh-CN"/>
        </w:rPr>
        <w:t>名，则通过详细评审的投标人投标人直接推荐为中标候选人）。</w:t>
      </w:r>
    </w:p>
    <w:p w14:paraId="440D9D1A">
      <w:pPr>
        <w:pStyle w:val="31"/>
        <w:keepNext w:val="0"/>
        <w:keepLines w:val="0"/>
        <w:pageBreakBefore w:val="0"/>
        <w:widowControl w:val="0"/>
        <w:kinsoku/>
        <w:wordWrap/>
        <w:overflowPunct/>
        <w:topLinePunct w:val="0"/>
        <w:autoSpaceDE/>
        <w:autoSpaceDN/>
        <w:bidi w:val="0"/>
        <w:adjustRightInd/>
        <w:snapToGrid/>
        <w:spacing w:after="0" w:line="360" w:lineRule="auto"/>
        <w:ind w:firstLine="422" w:firstLineChars="200"/>
        <w:textAlignment w:val="auto"/>
        <w:rPr>
          <w:rFonts w:hint="default" w:ascii="宋体" w:hAnsi="宋体" w:eastAsia="宋体" w:cs="宋体"/>
          <w:b/>
          <w:bCs/>
          <w:color w:val="auto"/>
          <w:sz w:val="21"/>
          <w:szCs w:val="21"/>
          <w:highlight w:val="none"/>
          <w:u w:val="single"/>
          <w:lang w:val="en-US" w:eastAsia="zh-CN"/>
        </w:rPr>
      </w:pPr>
      <w:r>
        <w:rPr>
          <w:rFonts w:hint="eastAsia" w:ascii="宋体" w:hAnsi="宋体" w:eastAsia="宋体" w:cs="宋体"/>
          <w:b/>
          <w:bCs/>
          <w:color w:val="auto"/>
          <w:sz w:val="21"/>
          <w:szCs w:val="21"/>
          <w:highlight w:val="none"/>
          <w:u w:val="single"/>
        </w:rPr>
        <w:t>35.1</w:t>
      </w:r>
      <w:r>
        <w:rPr>
          <w:rFonts w:hint="eastAsia" w:ascii="宋体" w:hAnsi="宋体" w:eastAsia="宋体" w:cs="宋体"/>
          <w:b/>
          <w:bCs/>
          <w:color w:val="auto"/>
          <w:sz w:val="21"/>
          <w:szCs w:val="21"/>
          <w:highlight w:val="none"/>
          <w:u w:val="single"/>
          <w:lang w:val="en-US" w:eastAsia="zh-CN"/>
        </w:rPr>
        <w:t>1.2当合格中标候选人小于3名时，招标人应重新招标。</w:t>
      </w:r>
    </w:p>
    <w:p w14:paraId="60633779">
      <w:pPr>
        <w:pStyle w:val="31"/>
        <w:keepNext w:val="0"/>
        <w:keepLines w:val="0"/>
        <w:pageBreakBefore w:val="0"/>
        <w:widowControl w:val="0"/>
        <w:kinsoku/>
        <w:wordWrap/>
        <w:overflowPunct/>
        <w:topLinePunct w:val="0"/>
        <w:autoSpaceDE/>
        <w:autoSpaceDN/>
        <w:bidi w:val="0"/>
        <w:adjustRightInd/>
        <w:snapToGrid/>
        <w:spacing w:after="0" w:line="360" w:lineRule="auto"/>
        <w:ind w:firstLine="422" w:firstLineChars="200"/>
        <w:textAlignment w:val="auto"/>
        <w:rPr>
          <w:rFonts w:hint="eastAsia" w:ascii="宋体" w:hAnsi="宋体" w:eastAsia="宋体" w:cs="宋体"/>
          <w:b/>
          <w:bCs/>
          <w:color w:val="auto"/>
          <w:sz w:val="21"/>
          <w:szCs w:val="21"/>
          <w:highlight w:val="none"/>
          <w:u w:val="single"/>
          <w:lang w:val="en-US" w:eastAsia="zh-CN"/>
        </w:rPr>
      </w:pPr>
      <w:r>
        <w:rPr>
          <w:rFonts w:hint="eastAsia" w:ascii="宋体" w:hAnsi="宋体" w:eastAsia="宋体" w:cs="宋体"/>
          <w:b/>
          <w:bCs/>
          <w:color w:val="auto"/>
          <w:sz w:val="21"/>
          <w:szCs w:val="21"/>
          <w:highlight w:val="none"/>
          <w:u w:val="single"/>
        </w:rPr>
        <w:t>【合格中标候选人不排序，按统一社会信用代码后4位（除校验码外）大小排位，如统一社会信用代码后4位出现字母情况的，字母以“0”进行代替大小排位；如出现后4位（除校验码外）大小一致的，则随机排位</w:t>
      </w:r>
      <w:r>
        <w:rPr>
          <w:rFonts w:hint="eastAsia" w:ascii="宋体" w:hAnsi="宋体" w:eastAsia="宋体" w:cs="宋体"/>
          <w:b/>
          <w:bCs/>
          <w:color w:val="auto"/>
          <w:sz w:val="21"/>
          <w:szCs w:val="21"/>
          <w:highlight w:val="none"/>
          <w:u w:val="single"/>
          <w:lang w:val="en-US" w:eastAsia="zh-CN"/>
        </w:rPr>
        <w:t>。若为联合体投标，按联合体主办方的统一社会信用代码排序</w:t>
      </w:r>
      <w:r>
        <w:rPr>
          <w:rFonts w:hint="eastAsia" w:ascii="宋体" w:hAnsi="宋体" w:eastAsia="宋体" w:cs="宋体"/>
          <w:b/>
          <w:bCs/>
          <w:color w:val="auto"/>
          <w:sz w:val="21"/>
          <w:szCs w:val="21"/>
          <w:highlight w:val="none"/>
          <w:u w:val="single"/>
        </w:rPr>
        <w:t>】）</w:t>
      </w:r>
      <w:r>
        <w:rPr>
          <w:rFonts w:hint="eastAsia" w:ascii="宋体" w:hAnsi="宋体" w:eastAsia="宋体" w:cs="宋体"/>
          <w:b/>
          <w:bCs/>
          <w:color w:val="auto"/>
          <w:sz w:val="21"/>
          <w:szCs w:val="21"/>
          <w:highlight w:val="none"/>
          <w:u w:val="single"/>
          <w:lang w:eastAsia="zh-CN"/>
        </w:rPr>
        <w:t>。</w:t>
      </w:r>
    </w:p>
    <w:p w14:paraId="6141B41F">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textAlignment w:val="auto"/>
        <w:rPr>
          <w:rFonts w:hint="default" w:ascii="宋体" w:hAnsi="宋体" w:eastAsia="宋体" w:cs="宋体"/>
          <w:b/>
          <w:bCs/>
          <w:color w:val="auto"/>
          <w:sz w:val="21"/>
          <w:szCs w:val="21"/>
          <w:highlight w:val="none"/>
          <w:u w:val="single"/>
          <w:lang w:val="en-US" w:eastAsia="zh-CN"/>
        </w:rPr>
      </w:pPr>
      <w:r>
        <w:rPr>
          <w:rFonts w:hint="eastAsia" w:ascii="宋体" w:hAnsi="宋体" w:eastAsia="宋体" w:cs="宋体"/>
          <w:b/>
          <w:bCs/>
          <w:color w:val="auto"/>
          <w:sz w:val="21"/>
          <w:szCs w:val="21"/>
          <w:highlight w:val="none"/>
          <w:u w:val="single"/>
        </w:rPr>
        <w:t>35.1</w:t>
      </w:r>
      <w:r>
        <w:rPr>
          <w:rFonts w:hint="eastAsia" w:ascii="宋体" w:hAnsi="宋体" w:eastAsia="宋体" w:cs="宋体"/>
          <w:b/>
          <w:bCs/>
          <w:color w:val="auto"/>
          <w:sz w:val="21"/>
          <w:szCs w:val="21"/>
          <w:highlight w:val="none"/>
          <w:u w:val="single"/>
          <w:lang w:val="en-US" w:eastAsia="zh-CN"/>
        </w:rPr>
        <w:t>1.3</w:t>
      </w:r>
      <w:r>
        <w:rPr>
          <w:rFonts w:hint="eastAsia" w:ascii="宋体" w:hAnsi="宋体" w:eastAsia="宋体" w:cs="宋体"/>
          <w:b/>
          <w:bCs/>
          <w:color w:val="auto"/>
          <w:sz w:val="21"/>
          <w:szCs w:val="21"/>
          <w:highlight w:val="none"/>
          <w:u w:val="single"/>
        </w:rPr>
        <w:t>定标采用</w:t>
      </w:r>
      <w:r>
        <w:rPr>
          <w:rFonts w:hint="eastAsia" w:ascii="宋体" w:hAnsi="宋体" w:cs="宋体"/>
          <w:b/>
          <w:bCs/>
          <w:color w:val="auto"/>
          <w:sz w:val="21"/>
          <w:szCs w:val="21"/>
          <w:highlight w:val="none"/>
          <w:u w:val="single"/>
          <w:lang w:eastAsia="zh-CN"/>
        </w:rPr>
        <w:t>“</w:t>
      </w:r>
      <w:r>
        <w:rPr>
          <w:rFonts w:hint="eastAsia" w:ascii="宋体" w:hAnsi="宋体" w:cs="宋体"/>
          <w:b/>
          <w:bCs/>
          <w:color w:val="auto"/>
          <w:sz w:val="21"/>
          <w:szCs w:val="21"/>
          <w:highlight w:val="none"/>
          <w:u w:val="single"/>
          <w:lang w:val="en-US" w:eastAsia="zh-CN"/>
        </w:rPr>
        <w:t>评分法</w:t>
      </w:r>
      <w:r>
        <w:rPr>
          <w:rFonts w:hint="eastAsia" w:ascii="宋体" w:hAnsi="宋体" w:cs="宋体"/>
          <w:b/>
          <w:bCs/>
          <w:color w:val="auto"/>
          <w:sz w:val="21"/>
          <w:szCs w:val="21"/>
          <w:highlight w:val="none"/>
          <w:u w:val="single"/>
          <w:lang w:eastAsia="zh-CN"/>
        </w:rPr>
        <w:t>”</w:t>
      </w:r>
      <w:r>
        <w:rPr>
          <w:rFonts w:hint="eastAsia" w:ascii="宋体" w:hAnsi="宋体" w:eastAsia="宋体" w:cs="宋体"/>
          <w:b/>
          <w:bCs/>
          <w:color w:val="auto"/>
          <w:sz w:val="21"/>
          <w:szCs w:val="21"/>
          <w:highlight w:val="none"/>
          <w:u w:val="single"/>
        </w:rPr>
        <w:t>，定标委员会从评标委员会推荐的合格中标候选人中，依据</w:t>
      </w:r>
      <w:r>
        <w:rPr>
          <w:rFonts w:hint="eastAsia" w:ascii="宋体" w:hAnsi="宋体" w:cs="宋体"/>
          <w:b/>
          <w:bCs/>
          <w:color w:val="auto"/>
          <w:sz w:val="21"/>
          <w:szCs w:val="21"/>
          <w:highlight w:val="none"/>
          <w:u w:val="single"/>
          <w:lang w:val="en-US" w:eastAsia="zh-CN"/>
        </w:rPr>
        <w:t>评分法</w:t>
      </w:r>
      <w:r>
        <w:rPr>
          <w:rFonts w:hint="eastAsia" w:ascii="宋体" w:hAnsi="宋体" w:eastAsia="宋体" w:cs="宋体"/>
          <w:b/>
          <w:bCs/>
          <w:color w:val="auto"/>
          <w:sz w:val="21"/>
          <w:szCs w:val="21"/>
          <w:highlight w:val="none"/>
          <w:u w:val="single"/>
        </w:rPr>
        <w:t>选出</w:t>
      </w:r>
      <w:r>
        <w:rPr>
          <w:rFonts w:hint="eastAsia" w:ascii="宋体" w:hAnsi="宋体" w:cs="宋体"/>
          <w:b/>
          <w:bCs/>
          <w:color w:val="auto"/>
          <w:sz w:val="21"/>
          <w:szCs w:val="21"/>
          <w:highlight w:val="none"/>
          <w:u w:val="single"/>
          <w:lang w:val="en-US" w:eastAsia="zh-CN"/>
        </w:rPr>
        <w:t>的评分最高的</w:t>
      </w:r>
      <w:r>
        <w:rPr>
          <w:rFonts w:hint="eastAsia" w:ascii="宋体" w:hAnsi="宋体" w:eastAsia="宋体" w:cs="宋体"/>
          <w:b/>
          <w:bCs/>
          <w:color w:val="auto"/>
          <w:sz w:val="21"/>
          <w:szCs w:val="21"/>
          <w:highlight w:val="none"/>
          <w:u w:val="single"/>
        </w:rPr>
        <w:t>候选人，确定为中标人。定标采用“（1）方案因素</w:t>
      </w:r>
      <w:r>
        <w:rPr>
          <w:rFonts w:hint="eastAsia" w:ascii="宋体" w:hAnsi="宋体" w:cs="宋体"/>
          <w:b/>
          <w:bCs/>
          <w:color w:val="auto"/>
          <w:sz w:val="21"/>
          <w:szCs w:val="21"/>
          <w:highlight w:val="none"/>
          <w:u w:val="single"/>
          <w:lang w:val="en-US" w:eastAsia="zh-CN"/>
        </w:rPr>
        <w:t>+</w:t>
      </w:r>
      <w:r>
        <w:rPr>
          <w:rFonts w:hint="eastAsia" w:ascii="宋体" w:hAnsi="宋体" w:eastAsia="宋体" w:cs="宋体"/>
          <w:b/>
          <w:bCs/>
          <w:color w:val="auto"/>
          <w:sz w:val="21"/>
          <w:szCs w:val="21"/>
          <w:highlight w:val="none"/>
          <w:u w:val="single"/>
        </w:rPr>
        <w:t>（2）答辩因素”评定法，</w:t>
      </w:r>
      <w:r>
        <w:rPr>
          <w:rFonts w:hint="eastAsia" w:ascii="宋体" w:hAnsi="宋体" w:cs="宋体"/>
          <w:b/>
          <w:bCs/>
          <w:color w:val="auto"/>
          <w:sz w:val="21"/>
          <w:szCs w:val="21"/>
          <w:highlight w:val="none"/>
          <w:u w:val="single"/>
          <w:lang w:val="en-US" w:eastAsia="zh-CN"/>
        </w:rPr>
        <w:t>具体详见</w:t>
      </w:r>
      <w:r>
        <w:rPr>
          <w:rFonts w:hint="eastAsia" w:ascii="宋体" w:hAnsi="宋体" w:eastAsia="宋体" w:cs="宋体"/>
          <w:b/>
          <w:bCs/>
          <w:color w:val="auto"/>
          <w:sz w:val="21"/>
          <w:szCs w:val="21"/>
          <w:highlight w:val="none"/>
          <w:u w:val="single"/>
          <w:lang w:val="en-US" w:eastAsia="zh-CN"/>
        </w:rPr>
        <w:t>定标因素表。</w:t>
      </w:r>
    </w:p>
    <w:p w14:paraId="65BE255E">
      <w:pPr>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条款号：36.1            修改类型：修改</w:t>
      </w:r>
    </w:p>
    <w:p w14:paraId="3765C947">
      <w:pPr>
        <w:snapToGrid w:val="0"/>
        <w:spacing w:line="360" w:lineRule="auto"/>
        <w:ind w:firstLine="495" w:firstLineChars="235"/>
        <w:rPr>
          <w:rFonts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36.1招标人按投标须知前附表第18项所规定的时间和地点公开开标，并邀请所有投标人参加。截标后，开标开始时间因故推迟的，相关评标信息仍以原定的开标开始时间的信息为准。</w:t>
      </w:r>
    </w:p>
    <w:p w14:paraId="19DF8C64">
      <w:pPr>
        <w:pBdr>
          <w:bottom w:val="single" w:color="auto" w:sz="6" w:space="1"/>
        </w:pBdr>
        <w:snapToGrid w:val="0"/>
        <w:spacing w:line="360" w:lineRule="auto"/>
        <w:ind w:firstLine="424" w:firstLineChars="201"/>
        <w:rPr>
          <w:rFonts w:ascii="宋体" w:hAnsi="宋体" w:cs="宋体"/>
          <w:b/>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36.1招标人按投标须知前附表第18项所规定的时间和地点公开开标，并邀请所有投标人参加。截标后，开标开始时间因故推迟的，相关评标信息仍以原定的开标开始时间的信息为准。</w:t>
      </w:r>
      <w:r>
        <w:rPr>
          <w:rFonts w:hint="eastAsia" w:ascii="宋体" w:hAnsi="宋体" w:cs="宋体"/>
          <w:b/>
          <w:bCs/>
          <w:color w:val="auto"/>
          <w:szCs w:val="21"/>
          <w:highlight w:val="none"/>
          <w:u w:val="single"/>
        </w:rPr>
        <w:t>若投标人不参加开标会的，其投标文件在开标现场的投标人或招标人代表、招标代理机构代表及交易中心代表见证下公开开启、解密、公布，并视同该投标人认可开标结果</w:t>
      </w:r>
      <w:r>
        <w:rPr>
          <w:rFonts w:hint="eastAsia" w:ascii="宋体" w:hAnsi="宋体" w:cs="宋体"/>
          <w:b/>
          <w:bCs/>
          <w:color w:val="auto"/>
          <w:szCs w:val="21"/>
          <w:highlight w:val="none"/>
        </w:rPr>
        <w:t>。</w:t>
      </w:r>
    </w:p>
    <w:p w14:paraId="25F3574F">
      <w:pPr>
        <w:snapToGrid w:val="0"/>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条款号：36.3                              修改类型：删除</w:t>
      </w:r>
    </w:p>
    <w:p w14:paraId="4857AF82">
      <w:pPr>
        <w:pBdr>
          <w:bottom w:val="single" w:color="auto" w:sz="6" w:space="1"/>
        </w:pBdr>
        <w:snapToGrid w:val="0"/>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strike/>
          <w:dstrike w:val="0"/>
          <w:color w:val="auto"/>
          <w:szCs w:val="21"/>
          <w:highlight w:val="none"/>
        </w:rPr>
        <w:t>根据投标须知前附表第19项，如需抽取某一种评标办法供评标时使用的，应在开标前抽取。首先对招标文件中约定的若干种评标方法进行编号，再随机抽取某一编号，该编号所对应的评标办法供评标时使用。</w:t>
      </w:r>
    </w:p>
    <w:p w14:paraId="05A95DC6">
      <w:pPr>
        <w:pStyle w:val="2"/>
        <w:snapToGrid w:val="0"/>
        <w:spacing w:line="360" w:lineRule="auto"/>
        <w:rPr>
          <w:rFonts w:ascii="宋体" w:hAnsi="宋体" w:cs="宋体"/>
          <w:b/>
          <w:color w:val="auto"/>
          <w:szCs w:val="21"/>
          <w:highlight w:val="none"/>
        </w:rPr>
      </w:pPr>
      <w:r>
        <w:rPr>
          <w:rFonts w:hint="eastAsia" w:ascii="宋体" w:hAnsi="宋体" w:cs="宋体"/>
          <w:b/>
          <w:color w:val="auto"/>
          <w:szCs w:val="21"/>
          <w:highlight w:val="none"/>
        </w:rPr>
        <w:t>条款号：36.4                              修改类型：修改</w:t>
      </w:r>
    </w:p>
    <w:p w14:paraId="428025A3">
      <w:pPr>
        <w:snapToGrid w:val="0"/>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36.4若递交投标文件的投标人不足3家，则重新组织招标。（当N个标段同时招标且不允许兼中时，若有效投标人不足N+2家，则重新组织招标）</w:t>
      </w:r>
    </w:p>
    <w:p w14:paraId="544BB510">
      <w:pPr>
        <w:pBdr>
          <w:bottom w:val="single" w:color="auto" w:sz="6" w:space="1"/>
        </w:pBdr>
        <w:snapToGrid w:val="0"/>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b/>
          <w:bCs/>
          <w:color w:val="auto"/>
          <w:szCs w:val="21"/>
          <w:highlight w:val="none"/>
        </w:rPr>
        <w:t>36.4若递交投标文件的投标人不足3家，则重新组织招标。</w:t>
      </w:r>
    </w:p>
    <w:p w14:paraId="678A87A2">
      <w:pPr>
        <w:snapToGrid w:val="0"/>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条款号：36.5.1                           修改类型：修改</w:t>
      </w:r>
    </w:p>
    <w:p w14:paraId="2D9FD115">
      <w:pPr>
        <w:snapToGrid w:val="0"/>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36.5.1在投标截止时间后一个小时内，投标人通过</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交易平台对已递交的电子投标文件进行解密。投标人完成解密后，再由招标人进行解密。解密完成后，公布招标项目名称、投标人名称、投标保证金的递交情况、投标报价、工期及其他内容；</w:t>
      </w:r>
    </w:p>
    <w:p w14:paraId="36F4F591">
      <w:pPr>
        <w:pBdr>
          <w:bottom w:val="single" w:color="auto" w:sz="6" w:space="1"/>
        </w:pBdr>
        <w:snapToGrid w:val="0"/>
        <w:spacing w:line="360" w:lineRule="auto"/>
        <w:ind w:firstLine="527" w:firstLineChars="250"/>
        <w:rPr>
          <w:rFonts w:ascii="宋体" w:hAnsi="宋体" w:cs="宋体"/>
          <w:b/>
          <w:bCs/>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36.5.1在投标截止时间后一个小时内，投标人通过</w:t>
      </w:r>
      <w:r>
        <w:rPr>
          <w:rFonts w:hint="eastAsia" w:ascii="宋体" w:hAnsi="宋体" w:cs="宋体"/>
          <w:b/>
          <w:bCs/>
          <w:color w:val="auto"/>
          <w:szCs w:val="21"/>
          <w:highlight w:val="none"/>
          <w:u w:val="single"/>
        </w:rPr>
        <w:t>广州交易集团有限公司（广州公共资源交易中心）</w:t>
      </w:r>
      <w:r>
        <w:rPr>
          <w:rFonts w:hint="eastAsia" w:ascii="宋体" w:hAnsi="宋体" w:cs="宋体"/>
          <w:color w:val="auto"/>
          <w:szCs w:val="21"/>
          <w:highlight w:val="none"/>
        </w:rPr>
        <w:t>交易平台对已递交的电子投标文件进行解密。投标人完成解密后，再由招标人</w:t>
      </w:r>
      <w:r>
        <w:rPr>
          <w:rFonts w:hint="eastAsia" w:ascii="宋体" w:hAnsi="宋体" w:cs="宋体"/>
          <w:b/>
          <w:bCs/>
          <w:color w:val="auto"/>
          <w:szCs w:val="21"/>
          <w:highlight w:val="none"/>
          <w:u w:val="single"/>
        </w:rPr>
        <w:t>或招标代理</w:t>
      </w:r>
      <w:r>
        <w:rPr>
          <w:rFonts w:hint="eastAsia" w:ascii="宋体" w:hAnsi="宋体" w:cs="宋体"/>
          <w:color w:val="auto"/>
          <w:szCs w:val="21"/>
          <w:highlight w:val="none"/>
        </w:rPr>
        <w:t>进行解密。解密完成后，</w:t>
      </w:r>
      <w:r>
        <w:rPr>
          <w:rFonts w:hint="eastAsia" w:ascii="宋体" w:hAnsi="宋体" w:cs="宋体"/>
          <w:b/>
          <w:bCs/>
          <w:color w:val="auto"/>
          <w:szCs w:val="21"/>
          <w:highlight w:val="none"/>
          <w:u w:val="single"/>
        </w:rPr>
        <w:t>公布招标项目名称、投标人名称、投标报价、工期及其他内容</w:t>
      </w:r>
      <w:r>
        <w:rPr>
          <w:rFonts w:hint="eastAsia" w:ascii="宋体" w:hAnsi="宋体" w:cs="宋体"/>
          <w:b/>
          <w:bCs/>
          <w:color w:val="auto"/>
          <w:szCs w:val="21"/>
          <w:highlight w:val="none"/>
        </w:rPr>
        <w:t>；</w:t>
      </w:r>
    </w:p>
    <w:p w14:paraId="63CFEF64">
      <w:pPr>
        <w:snapToGrid w:val="0"/>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条款号：36.5.3                          修改类型：修改</w:t>
      </w:r>
    </w:p>
    <w:p w14:paraId="3092AA78">
      <w:pPr>
        <w:snapToGrid w:val="0"/>
        <w:spacing w:line="360" w:lineRule="auto"/>
        <w:ind w:firstLine="472" w:firstLineChars="224"/>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36.5.3投标人代表、招标人代表、监标人、记录人等有关人员在开标记录上签字确认；若有关人员不签字的，不影响开标程序；</w:t>
      </w:r>
    </w:p>
    <w:p w14:paraId="4F0BF30C">
      <w:pPr>
        <w:pBdr>
          <w:bottom w:val="single" w:color="auto" w:sz="6" w:space="1"/>
        </w:pBdr>
        <w:snapToGrid w:val="0"/>
        <w:spacing w:line="360" w:lineRule="auto"/>
        <w:ind w:firstLine="424" w:firstLineChars="201"/>
        <w:rPr>
          <w:rFonts w:ascii="宋体" w:hAnsi="宋体" w:cs="宋体"/>
          <w:b/>
          <w:bCs/>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36.5.3投标人代表、招标人代表、监标人、记录人等有关人员在开标记录上签字确认；若有关人员不签字的，不影响开标程序；</w:t>
      </w:r>
      <w:r>
        <w:rPr>
          <w:rFonts w:hint="eastAsia" w:ascii="宋体" w:hAnsi="宋体" w:cs="宋体"/>
          <w:b/>
          <w:bCs/>
          <w:color w:val="auto"/>
          <w:szCs w:val="21"/>
          <w:highlight w:val="none"/>
          <w:u w:val="single"/>
        </w:rPr>
        <w:t>若投标人不参加开标会的，或不签字确认的，视同该投标人认可开标结果；</w:t>
      </w:r>
    </w:p>
    <w:p w14:paraId="2555ADBD">
      <w:pPr>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条款号：</w:t>
      </w:r>
      <w:r>
        <w:rPr>
          <w:rFonts w:hint="eastAsia" w:ascii="宋体" w:hAnsi="宋体" w:cs="宋体"/>
          <w:b/>
          <w:bCs/>
          <w:color w:val="auto"/>
          <w:szCs w:val="21"/>
          <w:highlight w:val="none"/>
        </w:rPr>
        <w:t>37.2</w:t>
      </w:r>
      <w:r>
        <w:rPr>
          <w:rFonts w:hint="eastAsia" w:ascii="宋体" w:hAnsi="宋体" w:cs="宋体"/>
          <w:b/>
          <w:color w:val="auto"/>
          <w:szCs w:val="21"/>
          <w:highlight w:val="none"/>
        </w:rPr>
        <w:t xml:space="preserve">                </w:t>
      </w:r>
      <w:r>
        <w:rPr>
          <w:rFonts w:hint="eastAsia" w:ascii="宋体" w:hAnsi="宋体" w:cs="宋体"/>
          <w:b/>
          <w:color w:val="auto"/>
          <w:szCs w:val="21"/>
          <w:highlight w:val="none"/>
          <w:lang w:val="en-US" w:eastAsia="zh-CN"/>
        </w:rPr>
        <w:t xml:space="preserve">     </w:t>
      </w:r>
      <w:r>
        <w:rPr>
          <w:rFonts w:hint="eastAsia" w:ascii="宋体" w:hAnsi="宋体" w:cs="宋体"/>
          <w:b/>
          <w:color w:val="auto"/>
          <w:szCs w:val="21"/>
          <w:highlight w:val="none"/>
        </w:rPr>
        <w:t xml:space="preserve">       修改类型：修改</w:t>
      </w:r>
    </w:p>
    <w:p w14:paraId="2281AFA6">
      <w:pPr>
        <w:pBdr>
          <w:bottom w:val="single" w:color="auto" w:sz="6" w:space="1"/>
        </w:pBdr>
        <w:snapToGrid w:val="0"/>
        <w:spacing w:line="360" w:lineRule="auto"/>
        <w:ind w:firstLine="472" w:firstLineChars="224"/>
        <w:rPr>
          <w:rFonts w:hint="eastAsia"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37.2评标委员会在开始评标前，应了解评标专家的职责及守则，认真阅读附表七《评标委员会成员声明》的内容并签名，签字后方可进行评标；</w:t>
      </w:r>
    </w:p>
    <w:p w14:paraId="653DD03E">
      <w:pPr>
        <w:pBdr>
          <w:bottom w:val="single" w:color="auto" w:sz="6" w:space="1"/>
        </w:pBdr>
        <w:snapToGrid w:val="0"/>
        <w:spacing w:line="360" w:lineRule="auto"/>
        <w:ind w:firstLine="472" w:firstLineChars="224"/>
        <w:rPr>
          <w:rFonts w:hint="eastAsia" w:ascii="宋体" w:hAnsi="宋体" w:cs="宋体"/>
          <w:b/>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37.2</w:t>
      </w:r>
      <w:r>
        <w:rPr>
          <w:rFonts w:hint="eastAsia" w:ascii="宋体" w:hAnsi="宋体" w:eastAsia="宋体" w:cs="宋体"/>
          <w:b/>
          <w:bCs/>
          <w:color w:val="auto"/>
          <w:szCs w:val="21"/>
          <w:highlight w:val="none"/>
        </w:rPr>
        <w:t>评标委员会在开始评标前，应了解评标专家的职责及守则，认真阅读《评标委员会成员声明》的内容并签名，签字后方可进行评标；</w:t>
      </w:r>
    </w:p>
    <w:p w14:paraId="2D5166CF">
      <w:pPr>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条款号：37.3.2                            修改类型：修改</w:t>
      </w:r>
    </w:p>
    <w:p w14:paraId="1D42F570">
      <w:pPr>
        <w:pBdr>
          <w:bottom w:val="single" w:color="auto" w:sz="6" w:space="1"/>
        </w:pBdr>
        <w:snapToGrid w:val="0"/>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37.3.2向招标人报告评审意见，推荐合格的中标候选人。</w:t>
      </w:r>
    </w:p>
    <w:p w14:paraId="7983DA7B">
      <w:pPr>
        <w:pBdr>
          <w:bottom w:val="single" w:color="auto" w:sz="6" w:space="1"/>
        </w:pBdr>
        <w:snapToGrid w:val="0"/>
        <w:spacing w:line="360" w:lineRule="auto"/>
        <w:ind w:firstLine="472" w:firstLineChars="224"/>
        <w:rPr>
          <w:rFonts w:ascii="宋体" w:hAnsi="宋体" w:cs="宋体"/>
          <w:b/>
          <w:bCs w:val="0"/>
          <w:color w:val="auto"/>
          <w:szCs w:val="21"/>
          <w:highlight w:val="none"/>
        </w:rPr>
      </w:pPr>
      <w:r>
        <w:rPr>
          <w:rFonts w:hint="eastAsia" w:ascii="宋体" w:hAnsi="宋体" w:cs="宋体"/>
          <w:b/>
          <w:color w:val="auto"/>
          <w:szCs w:val="21"/>
          <w:highlight w:val="none"/>
        </w:rPr>
        <w:t>现文：</w:t>
      </w:r>
      <w:r>
        <w:rPr>
          <w:rFonts w:hint="eastAsia" w:ascii="宋体" w:hAnsi="宋体" w:cs="宋体"/>
          <w:bCs/>
          <w:color w:val="auto"/>
          <w:szCs w:val="21"/>
          <w:highlight w:val="none"/>
        </w:rPr>
        <w:t>37.</w:t>
      </w:r>
      <w:r>
        <w:rPr>
          <w:rFonts w:hint="eastAsia" w:ascii="宋体" w:hAnsi="宋体" w:cs="宋体"/>
          <w:color w:val="auto"/>
          <w:szCs w:val="21"/>
          <w:highlight w:val="none"/>
        </w:rPr>
        <w:t>3.</w:t>
      </w:r>
      <w:r>
        <w:rPr>
          <w:rFonts w:hint="eastAsia" w:ascii="宋体" w:hAnsi="宋体" w:cs="宋体"/>
          <w:bCs/>
          <w:color w:val="auto"/>
          <w:szCs w:val="21"/>
          <w:highlight w:val="none"/>
        </w:rPr>
        <w:t>2</w:t>
      </w:r>
      <w:r>
        <w:rPr>
          <w:rFonts w:hint="eastAsia" w:ascii="宋体" w:hAnsi="宋体" w:cs="宋体"/>
          <w:b/>
          <w:bCs w:val="0"/>
          <w:color w:val="auto"/>
          <w:szCs w:val="21"/>
          <w:highlight w:val="none"/>
          <w:u w:val="single"/>
        </w:rPr>
        <w:t>向招标人报告评审意见，按投标须知前附表第19项规定推荐合格中标候选人。</w:t>
      </w:r>
    </w:p>
    <w:p w14:paraId="2594E68D">
      <w:pPr>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条款号：37.5                              修改类型：修改</w:t>
      </w:r>
    </w:p>
    <w:p w14:paraId="55C999DA">
      <w:pPr>
        <w:pBdr>
          <w:bottom w:val="single" w:color="auto" w:sz="6" w:space="1"/>
        </w:pBdr>
        <w:snapToGrid w:val="0"/>
        <w:spacing w:line="360" w:lineRule="auto"/>
        <w:ind w:firstLine="472" w:firstLineChars="224"/>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bCs/>
          <w:color w:val="auto"/>
          <w:szCs w:val="21"/>
          <w:highlight w:val="none"/>
        </w:rPr>
        <w:t>37.5评标结束后，评标委员会递交评标报告并依法推荐中标候选人</w:t>
      </w:r>
      <w:r>
        <w:rPr>
          <w:rFonts w:hint="eastAsia" w:ascii="宋体" w:hAnsi="宋体" w:cs="宋体"/>
          <w:color w:val="auto"/>
          <w:szCs w:val="21"/>
          <w:highlight w:val="none"/>
        </w:rPr>
        <w:t>。</w:t>
      </w:r>
    </w:p>
    <w:p w14:paraId="4638CB60">
      <w:pPr>
        <w:pBdr>
          <w:bottom w:val="single" w:color="auto" w:sz="6" w:space="1"/>
        </w:pBdr>
        <w:snapToGrid w:val="0"/>
        <w:spacing w:line="360" w:lineRule="auto"/>
        <w:ind w:firstLine="472" w:firstLineChars="224"/>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37.5评标结束后，评标委员会递交</w:t>
      </w:r>
      <w:r>
        <w:rPr>
          <w:rFonts w:hint="eastAsia" w:ascii="宋体" w:hAnsi="宋体" w:cs="宋体"/>
          <w:b/>
          <w:bCs/>
          <w:color w:val="auto"/>
          <w:szCs w:val="21"/>
          <w:highlight w:val="none"/>
          <w:u w:val="single"/>
        </w:rPr>
        <w:t>资格审查报告和</w:t>
      </w:r>
      <w:r>
        <w:rPr>
          <w:rFonts w:hint="eastAsia" w:ascii="宋体" w:hAnsi="宋体" w:cs="宋体"/>
          <w:color w:val="auto"/>
          <w:szCs w:val="21"/>
          <w:highlight w:val="none"/>
        </w:rPr>
        <w:t>评标报告并依法推荐</w:t>
      </w:r>
      <w:r>
        <w:rPr>
          <w:rFonts w:hint="eastAsia" w:ascii="宋体" w:hAnsi="宋体" w:cs="宋体"/>
          <w:b/>
          <w:bCs/>
          <w:color w:val="auto"/>
          <w:szCs w:val="21"/>
          <w:highlight w:val="none"/>
          <w:u w:val="single"/>
        </w:rPr>
        <w:t>合格的</w:t>
      </w:r>
      <w:r>
        <w:rPr>
          <w:rFonts w:hint="eastAsia" w:ascii="宋体" w:hAnsi="宋体" w:cs="宋体"/>
          <w:color w:val="auto"/>
          <w:szCs w:val="21"/>
          <w:highlight w:val="none"/>
        </w:rPr>
        <w:t>中标候选人</w:t>
      </w:r>
      <w:r>
        <w:rPr>
          <w:rFonts w:hint="eastAsia" w:ascii="宋体" w:hAnsi="宋体" w:cs="宋体"/>
          <w:b/>
          <w:bCs/>
          <w:color w:val="auto"/>
          <w:szCs w:val="21"/>
          <w:highlight w:val="none"/>
          <w:u w:val="single"/>
        </w:rPr>
        <w:t>进入定标阶段</w:t>
      </w:r>
      <w:r>
        <w:rPr>
          <w:rFonts w:hint="eastAsia" w:ascii="宋体" w:hAnsi="宋体" w:cs="宋体"/>
          <w:color w:val="auto"/>
          <w:szCs w:val="21"/>
          <w:highlight w:val="none"/>
        </w:rPr>
        <w:t>。</w:t>
      </w:r>
    </w:p>
    <w:p w14:paraId="53E55126">
      <w:pPr>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条款号：38.1                              修改类型：修改</w:t>
      </w:r>
    </w:p>
    <w:p w14:paraId="3F7E0507">
      <w:pPr>
        <w:pBdr>
          <w:bottom w:val="single" w:color="auto" w:sz="6" w:space="1"/>
        </w:pBdr>
        <w:snapToGrid w:val="0"/>
        <w:spacing w:line="360" w:lineRule="auto"/>
        <w:ind w:firstLine="472" w:firstLineChars="224"/>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38.1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的内容作出澄清。</w:t>
      </w:r>
    </w:p>
    <w:p w14:paraId="269F1A92">
      <w:pPr>
        <w:pBdr>
          <w:bottom w:val="single" w:color="auto" w:sz="6" w:space="1"/>
        </w:pBdr>
        <w:snapToGrid w:val="0"/>
        <w:spacing w:line="360" w:lineRule="auto"/>
        <w:ind w:firstLine="472" w:firstLineChars="224"/>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38.1为有助于投标文件的审查、评价和比较，评标期间，经评标委员会或评标委员会专业评审组中两人以上（含两人）</w:t>
      </w:r>
      <w:r>
        <w:rPr>
          <w:rFonts w:hint="eastAsia" w:ascii="宋体" w:hAnsi="宋体" w:cs="宋体"/>
          <w:b/>
          <w:bCs/>
          <w:color w:val="auto"/>
          <w:szCs w:val="21"/>
          <w:highlight w:val="none"/>
          <w:u w:val="single"/>
        </w:rPr>
        <w:t>的成员</w:t>
      </w:r>
      <w:r>
        <w:rPr>
          <w:rFonts w:hint="eastAsia" w:ascii="宋体" w:hAnsi="宋体" w:cs="宋体"/>
          <w:color w:val="auto"/>
          <w:szCs w:val="21"/>
          <w:highlight w:val="none"/>
        </w:rPr>
        <w:t>以书面形式提出动议，评标委员会或评标委员会专业评审组应当书面发出澄清通知，要求投标人对投标文件含义不明确</w:t>
      </w:r>
      <w:r>
        <w:rPr>
          <w:rFonts w:hint="eastAsia" w:ascii="宋体" w:hAnsi="宋体" w:cs="宋体"/>
          <w:color w:val="auto"/>
          <w:szCs w:val="21"/>
          <w:highlight w:val="none"/>
          <w:u w:val="single"/>
        </w:rPr>
        <w:t>、</w:t>
      </w:r>
      <w:r>
        <w:rPr>
          <w:rFonts w:hint="eastAsia" w:ascii="宋体" w:hAnsi="宋体" w:cs="宋体"/>
          <w:b/>
          <w:bCs/>
          <w:color w:val="auto"/>
          <w:szCs w:val="21"/>
          <w:highlight w:val="none"/>
          <w:u w:val="single"/>
        </w:rPr>
        <w:t>对同类问题表述不一致、有明显文字和计算错误的内容以及细微偏差</w:t>
      </w:r>
      <w:r>
        <w:rPr>
          <w:rFonts w:hint="eastAsia" w:ascii="宋体" w:hAnsi="宋体" w:cs="宋体"/>
          <w:color w:val="auto"/>
          <w:szCs w:val="21"/>
          <w:highlight w:val="none"/>
        </w:rPr>
        <w:t>的内容作出澄清。</w:t>
      </w:r>
    </w:p>
    <w:p w14:paraId="107205DE">
      <w:pPr>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条款号：38.5                              修改类型：修改</w:t>
      </w:r>
    </w:p>
    <w:p w14:paraId="0AF8B665">
      <w:pPr>
        <w:pBdr>
          <w:bottom w:val="single" w:color="auto" w:sz="6" w:space="1"/>
        </w:pBdr>
        <w:snapToGrid w:val="0"/>
        <w:spacing w:line="360" w:lineRule="auto"/>
        <w:ind w:firstLine="472" w:firstLineChars="224"/>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38.5投标人如在本项目中存在串通投标、弄虚作假、行贿情形且在评标过程中未被发现的，该投标不改变本项目评标结果排序，其中标无效。招标人按照《中华人民共和国招标投标法实施条例》第五十五条的规定依次确定中标人或重新招标。</w:t>
      </w:r>
    </w:p>
    <w:p w14:paraId="102F833A">
      <w:pPr>
        <w:pBdr>
          <w:bottom w:val="single" w:color="auto" w:sz="6" w:space="1"/>
        </w:pBdr>
        <w:snapToGrid w:val="0"/>
        <w:spacing w:line="360" w:lineRule="auto"/>
        <w:ind w:firstLine="472" w:firstLineChars="224"/>
        <w:rPr>
          <w:rFonts w:ascii="宋体" w:hAnsi="宋体" w:cs="宋体"/>
          <w:b/>
          <w:bCs/>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38.5投标人如在本项目中存在串通投标、弄虚作假、行贿情形且在评标</w:t>
      </w:r>
      <w:r>
        <w:rPr>
          <w:rFonts w:hint="eastAsia" w:ascii="宋体" w:hAnsi="宋体" w:cs="宋体"/>
          <w:b/>
          <w:bCs/>
          <w:color w:val="auto"/>
          <w:szCs w:val="21"/>
          <w:highlight w:val="none"/>
          <w:u w:val="single"/>
        </w:rPr>
        <w:t>或定标</w:t>
      </w:r>
      <w:r>
        <w:rPr>
          <w:rFonts w:hint="eastAsia" w:ascii="宋体" w:hAnsi="宋体" w:cs="宋体"/>
          <w:color w:val="auto"/>
          <w:szCs w:val="21"/>
          <w:highlight w:val="none"/>
        </w:rPr>
        <w:t>过程中未被发现的，该投标不改变本项目评标结果排序，</w:t>
      </w:r>
      <w:r>
        <w:rPr>
          <w:rFonts w:hint="eastAsia" w:ascii="宋体" w:hAnsi="宋体" w:cs="宋体"/>
          <w:b/>
          <w:bCs/>
          <w:color w:val="auto"/>
          <w:szCs w:val="21"/>
          <w:highlight w:val="none"/>
          <w:u w:val="single"/>
        </w:rPr>
        <w:t>若在定标过程中被确定为中标人，其中标无效，招标人可从其他合格的中标候选人中采用原定标办法，由原定标委员会重新确定中标人，也可以重新招标。</w:t>
      </w:r>
    </w:p>
    <w:p w14:paraId="54677630">
      <w:pPr>
        <w:snapToGrid w:val="0"/>
        <w:spacing w:line="360" w:lineRule="auto"/>
        <w:ind w:firstLine="472" w:firstLineChars="224"/>
        <w:rPr>
          <w:rFonts w:ascii="宋体" w:hAnsi="宋体" w:cs="宋体"/>
          <w:color w:val="auto"/>
          <w:sz w:val="24"/>
          <w:szCs w:val="24"/>
          <w:highlight w:val="none"/>
        </w:rPr>
      </w:pPr>
      <w:r>
        <w:rPr>
          <w:rFonts w:hint="eastAsia" w:ascii="宋体" w:hAnsi="宋体" w:cs="宋体"/>
          <w:b/>
          <w:color w:val="auto"/>
          <w:szCs w:val="21"/>
          <w:highlight w:val="none"/>
        </w:rPr>
        <w:t>条款号：39                               修改类型：修改</w:t>
      </w:r>
    </w:p>
    <w:p w14:paraId="44C0E58D">
      <w:pPr>
        <w:snapToGrid w:val="0"/>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原文：</w:t>
      </w:r>
      <w:r>
        <w:rPr>
          <w:rFonts w:hint="eastAsia" w:ascii="宋体" w:hAnsi="宋体" w:cs="宋体"/>
          <w:color w:val="auto"/>
          <w:szCs w:val="21"/>
          <w:highlight w:val="none"/>
        </w:rPr>
        <w:t>39．定标</w:t>
      </w:r>
    </w:p>
    <w:p w14:paraId="4C32589C">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39.1 招标人根据评标委员会递交的评标报告，最终审定中标人。</w:t>
      </w:r>
    </w:p>
    <w:p w14:paraId="74F00E37">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39.2 依法必须进行公开招标的项目，招标人应当确定排名第一的中标候选人为中标人。</w:t>
      </w:r>
    </w:p>
    <w:p w14:paraId="29A1560F">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39.3排名第一的中标候选人放弃中标、或因不可抗力提出不能履行合同，或者招标文件规定应当提交履约担保而在规定的期限内未能提交的，招标人可以确定排名第二的中标候选人为中标人。</w:t>
      </w:r>
    </w:p>
    <w:p w14:paraId="08B6E85B">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39.4排名第二的中标候选人出现前款所列的情形的，招标人可以确定排名第三的中标候选人为中标人。以此类推，如所有中标候选人均出现前款所列的情形，为招标失败，招标人依法重新招标。</w:t>
      </w:r>
    </w:p>
    <w:p w14:paraId="39F959A6">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39.5 重新评标的，评标信息（含业绩、奖项等）仍以投标截止时投标人的信息为准。因特殊原因需要延长投标有效期，投标人拒绝延长投标有效期的，仍参与评标，但不被推荐为中标候选人。</w:t>
      </w:r>
    </w:p>
    <w:p w14:paraId="088F0325">
      <w:pPr>
        <w:pBdr>
          <w:bottom w:val="single" w:color="auto" w:sz="6" w:space="1"/>
        </w:pBdr>
        <w:snapToGrid w:val="0"/>
        <w:spacing w:line="360" w:lineRule="auto"/>
        <w:ind w:firstLine="472" w:firstLineChars="224"/>
        <w:rPr>
          <w:rFonts w:ascii="宋体" w:hAnsi="宋体" w:cs="宋体"/>
          <w:b/>
          <w:bCs/>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39.</w:t>
      </w:r>
      <w:r>
        <w:rPr>
          <w:rFonts w:hint="eastAsia" w:ascii="宋体" w:hAnsi="宋体" w:cs="宋体"/>
          <w:b/>
          <w:bCs/>
          <w:color w:val="auto"/>
          <w:szCs w:val="21"/>
          <w:highlight w:val="none"/>
          <w:u w:val="single"/>
        </w:rPr>
        <w:t>定标详细规定条款详见本章43.定标</w:t>
      </w:r>
      <w:r>
        <w:rPr>
          <w:rFonts w:hint="eastAsia" w:ascii="宋体" w:hAnsi="宋体" w:cs="宋体"/>
          <w:b/>
          <w:bCs/>
          <w:color w:val="auto"/>
          <w:szCs w:val="21"/>
          <w:highlight w:val="none"/>
        </w:rPr>
        <w:t>。</w:t>
      </w:r>
    </w:p>
    <w:p w14:paraId="3ED3ECDA">
      <w:pPr>
        <w:snapToGrid w:val="0"/>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条款号：</w:t>
      </w:r>
      <w:r>
        <w:rPr>
          <w:rFonts w:hint="eastAsia" w:ascii="宋体" w:hAnsi="宋体" w:cs="宋体"/>
          <w:b/>
          <w:bCs/>
          <w:color w:val="auto"/>
          <w:szCs w:val="21"/>
          <w:highlight w:val="none"/>
        </w:rPr>
        <w:t>（二）开标评标办法程序和细则         注：</w:t>
      </w:r>
      <w:r>
        <w:rPr>
          <w:rFonts w:hint="eastAsia" w:ascii="宋体" w:hAnsi="宋体" w:cs="宋体"/>
          <w:b/>
          <w:color w:val="auto"/>
          <w:szCs w:val="21"/>
          <w:highlight w:val="none"/>
        </w:rPr>
        <w:t>修改类型：修改</w:t>
      </w:r>
    </w:p>
    <w:p w14:paraId="62B03C5F">
      <w:pPr>
        <w:snapToGrid w:val="0"/>
        <w:spacing w:line="360" w:lineRule="auto"/>
        <w:ind w:firstLine="422" w:firstLineChars="200"/>
        <w:rPr>
          <w:rFonts w:ascii="宋体" w:hAnsi="宋体" w:cs="宋体"/>
          <w:color w:val="auto"/>
          <w:szCs w:val="21"/>
          <w:highlight w:val="none"/>
        </w:rPr>
      </w:pPr>
      <w:r>
        <w:rPr>
          <w:rFonts w:hint="eastAsia" w:ascii="宋体" w:hAnsi="宋体" w:cs="宋体"/>
          <w:b/>
          <w:bCs/>
          <w:color w:val="auto"/>
          <w:szCs w:val="21"/>
          <w:highlight w:val="none"/>
        </w:rPr>
        <w:t>原文：</w:t>
      </w:r>
      <w:r>
        <w:rPr>
          <w:rFonts w:hint="eastAsia" w:ascii="宋体" w:hAnsi="宋体" w:cs="宋体"/>
          <w:color w:val="auto"/>
          <w:szCs w:val="21"/>
          <w:highlight w:val="none"/>
        </w:rPr>
        <w:t>（二）开标评标办法程序和细则</w:t>
      </w:r>
    </w:p>
    <w:p w14:paraId="391B7590">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注：以下八种评标办法所述企业综合诚信评价分数即投标截止当日广州市工程招标代理行业协会网站上公布的企业综合诚信评价60日诚信分。</w:t>
      </w:r>
    </w:p>
    <w:p w14:paraId="5785D73E">
      <w:pPr>
        <w:pBdr>
          <w:bottom w:val="single" w:color="auto" w:sz="6" w:space="1"/>
        </w:pBdr>
        <w:snapToGrid w:val="0"/>
        <w:spacing w:line="360" w:lineRule="auto"/>
        <w:ind w:firstLine="472" w:firstLineChars="224"/>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（二）开标评标办法程序和细则</w:t>
      </w:r>
    </w:p>
    <w:p w14:paraId="4CF2B26F">
      <w:pPr>
        <w:pBdr>
          <w:bottom w:val="single" w:color="auto" w:sz="6" w:space="1"/>
        </w:pBdr>
        <w:snapToGrid w:val="0"/>
        <w:spacing w:line="360" w:lineRule="auto"/>
        <w:ind w:firstLine="470" w:firstLineChars="224"/>
        <w:rPr>
          <w:rFonts w:ascii="宋体" w:hAnsi="宋体" w:cs="宋体"/>
          <w:color w:val="auto"/>
          <w:szCs w:val="21"/>
          <w:highlight w:val="none"/>
        </w:rPr>
      </w:pPr>
      <w:r>
        <w:rPr>
          <w:rFonts w:hint="eastAsia" w:ascii="宋体" w:hAnsi="宋体" w:cs="宋体"/>
          <w:strike/>
          <w:color w:val="auto"/>
          <w:szCs w:val="21"/>
          <w:highlight w:val="none"/>
        </w:rPr>
        <w:t>注：以下八种评标办法所述企业综合诚信评价分数即投标截止当日广州市工程招标代理行业协会网站上公布的企业综合诚信评价60日诚信分。</w:t>
      </w:r>
    </w:p>
    <w:p w14:paraId="025C6F36">
      <w:pPr>
        <w:snapToGrid w:val="0"/>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w:t>
      </w:r>
      <w:r>
        <w:rPr>
          <w:rFonts w:hint="eastAsia" w:ascii="宋体" w:hAnsi="宋体" w:cs="宋体"/>
          <w:color w:val="auto"/>
          <w:szCs w:val="21"/>
          <w:highlight w:val="none"/>
        </w:rPr>
        <w:t>可选办法一（适合综合评分法一，技术标与经济标先后分别开启）</w:t>
      </w:r>
      <w:r>
        <w:rPr>
          <w:rFonts w:hint="eastAsia" w:ascii="宋体" w:hAnsi="宋体" w:cs="宋体"/>
          <w:b/>
          <w:color w:val="auto"/>
          <w:szCs w:val="21"/>
          <w:highlight w:val="none"/>
        </w:rPr>
        <w:t>修改类型：删除</w:t>
      </w:r>
    </w:p>
    <w:p w14:paraId="387219B8">
      <w:pPr>
        <w:pBdr>
          <w:bottom w:val="single" w:color="auto" w:sz="6" w:space="1"/>
        </w:pBdr>
        <w:snapToGrid w:val="0"/>
        <w:spacing w:line="360" w:lineRule="auto"/>
        <w:ind w:firstLine="472" w:firstLineChars="224"/>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详见</w:t>
      </w:r>
      <w:r>
        <w:rPr>
          <w:rFonts w:hint="eastAsia" w:ascii="宋体" w:hAnsi="宋体" w:cs="宋体"/>
          <w:bCs/>
          <w:color w:val="auto"/>
          <w:szCs w:val="21"/>
          <w:highlight w:val="none"/>
        </w:rPr>
        <w:t>最新版广州市建设工程施工公开招标项目招标文件范本（适用于资格后审综合评分法、经评审的最低投标价法的施工电子招标项目）GZZB2018-3</w:t>
      </w:r>
      <w:r>
        <w:rPr>
          <w:rFonts w:hint="eastAsia" w:ascii="宋体" w:hAnsi="宋体" w:cs="宋体"/>
          <w:color w:val="auto"/>
          <w:szCs w:val="21"/>
          <w:highlight w:val="none"/>
        </w:rPr>
        <w:t>。</w:t>
      </w:r>
    </w:p>
    <w:p w14:paraId="69BA4570">
      <w:pPr>
        <w:snapToGrid w:val="0"/>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w:t>
      </w:r>
      <w:r>
        <w:rPr>
          <w:rFonts w:hint="eastAsia" w:ascii="宋体" w:hAnsi="宋体" w:cs="宋体"/>
          <w:color w:val="auto"/>
          <w:szCs w:val="21"/>
          <w:highlight w:val="none"/>
        </w:rPr>
        <w:t>可选办法二（适合综合评分法一，技术标与经济标同时开启）</w:t>
      </w:r>
      <w:r>
        <w:rPr>
          <w:rFonts w:hint="eastAsia" w:ascii="宋体" w:hAnsi="宋体" w:cs="宋体"/>
          <w:b/>
          <w:color w:val="auto"/>
          <w:szCs w:val="21"/>
          <w:highlight w:val="none"/>
        </w:rPr>
        <w:t>修改类型：删除</w:t>
      </w:r>
    </w:p>
    <w:p w14:paraId="1968D3AB">
      <w:pPr>
        <w:pBdr>
          <w:bottom w:val="single" w:color="auto" w:sz="6" w:space="1"/>
        </w:pBdr>
        <w:snapToGrid w:val="0"/>
        <w:spacing w:line="360" w:lineRule="auto"/>
        <w:ind w:firstLine="472" w:firstLineChars="224"/>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详见</w:t>
      </w:r>
      <w:r>
        <w:rPr>
          <w:rFonts w:hint="eastAsia" w:ascii="宋体" w:hAnsi="宋体" w:cs="宋体"/>
          <w:bCs/>
          <w:color w:val="auto"/>
          <w:szCs w:val="21"/>
          <w:highlight w:val="none"/>
        </w:rPr>
        <w:t>最新版广州市建设工程施工公开招标项目招标文件范本（适用于资格后审综合评分法、经评审的最低投标价法的施工电子招标项目）GZZB2018-3</w:t>
      </w:r>
      <w:r>
        <w:rPr>
          <w:rFonts w:hint="eastAsia" w:ascii="宋体" w:hAnsi="宋体" w:cs="宋体"/>
          <w:color w:val="auto"/>
          <w:szCs w:val="21"/>
          <w:highlight w:val="none"/>
        </w:rPr>
        <w:t>。</w:t>
      </w:r>
    </w:p>
    <w:p w14:paraId="56665565">
      <w:pPr>
        <w:snapToGrid w:val="0"/>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w:t>
      </w:r>
      <w:r>
        <w:rPr>
          <w:rFonts w:hint="eastAsia" w:ascii="宋体" w:hAnsi="宋体" w:cs="宋体"/>
          <w:color w:val="auto"/>
          <w:szCs w:val="21"/>
          <w:highlight w:val="none"/>
        </w:rPr>
        <w:t>可选办法三（适合综合评分法二，技术标与经济标先后分别开启）</w:t>
      </w:r>
      <w:r>
        <w:rPr>
          <w:rFonts w:hint="eastAsia" w:ascii="宋体" w:hAnsi="宋体" w:cs="宋体"/>
          <w:b/>
          <w:color w:val="auto"/>
          <w:szCs w:val="21"/>
          <w:highlight w:val="none"/>
        </w:rPr>
        <w:t>修改类型：删除</w:t>
      </w:r>
    </w:p>
    <w:p w14:paraId="3917D0CA">
      <w:pPr>
        <w:pBdr>
          <w:bottom w:val="single" w:color="auto" w:sz="6" w:space="1"/>
        </w:pBdr>
        <w:snapToGrid w:val="0"/>
        <w:spacing w:line="360" w:lineRule="auto"/>
        <w:ind w:firstLine="472" w:firstLineChars="224"/>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详见</w:t>
      </w:r>
      <w:r>
        <w:rPr>
          <w:rFonts w:hint="eastAsia" w:ascii="宋体" w:hAnsi="宋体" w:cs="宋体"/>
          <w:bCs/>
          <w:color w:val="auto"/>
          <w:szCs w:val="21"/>
          <w:highlight w:val="none"/>
        </w:rPr>
        <w:t>最新版广州市建设工程施工公开招标项目招标文件范本（适用于资格后审综合评分法、经评审的最低投标价法的施工电子招标项目）GZZB2018-3</w:t>
      </w:r>
      <w:r>
        <w:rPr>
          <w:rFonts w:hint="eastAsia" w:ascii="宋体" w:hAnsi="宋体" w:cs="宋体"/>
          <w:color w:val="auto"/>
          <w:szCs w:val="21"/>
          <w:highlight w:val="none"/>
        </w:rPr>
        <w:t>。</w:t>
      </w:r>
    </w:p>
    <w:p w14:paraId="52F63D7C">
      <w:pPr>
        <w:snapToGrid w:val="0"/>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w:t>
      </w:r>
      <w:r>
        <w:rPr>
          <w:rFonts w:hint="eastAsia" w:ascii="宋体" w:hAnsi="宋体" w:cs="宋体"/>
          <w:color w:val="auto"/>
          <w:szCs w:val="21"/>
          <w:highlight w:val="none"/>
        </w:rPr>
        <w:t>可选办法四（适合综合评分法二，技术标与经济标同时开启）</w:t>
      </w:r>
      <w:r>
        <w:rPr>
          <w:rFonts w:hint="eastAsia" w:ascii="宋体" w:hAnsi="宋体" w:cs="宋体"/>
          <w:b/>
          <w:color w:val="auto"/>
          <w:szCs w:val="21"/>
          <w:highlight w:val="none"/>
        </w:rPr>
        <w:t>修改类型：删除</w:t>
      </w:r>
    </w:p>
    <w:p w14:paraId="725B25C2">
      <w:pPr>
        <w:pBdr>
          <w:bottom w:val="single" w:color="auto" w:sz="6" w:space="1"/>
        </w:pBdr>
        <w:snapToGrid w:val="0"/>
        <w:spacing w:line="360" w:lineRule="auto"/>
        <w:ind w:firstLine="472" w:firstLineChars="224"/>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详见</w:t>
      </w:r>
      <w:r>
        <w:rPr>
          <w:rFonts w:hint="eastAsia" w:ascii="宋体" w:hAnsi="宋体" w:cs="宋体"/>
          <w:bCs/>
          <w:color w:val="auto"/>
          <w:szCs w:val="21"/>
          <w:highlight w:val="none"/>
        </w:rPr>
        <w:t>最新版广州市建设工程施工公开招标项目招标文件范本（适用于资格后审综合评分法、经评审的最低投标价法的施工电子招标项目）GZZB2018-3</w:t>
      </w:r>
      <w:r>
        <w:rPr>
          <w:rFonts w:hint="eastAsia" w:ascii="宋体" w:hAnsi="宋体" w:cs="宋体"/>
          <w:color w:val="auto"/>
          <w:szCs w:val="21"/>
          <w:highlight w:val="none"/>
        </w:rPr>
        <w:t>。</w:t>
      </w:r>
    </w:p>
    <w:p w14:paraId="0788877D">
      <w:pPr>
        <w:snapToGrid w:val="0"/>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w:t>
      </w:r>
      <w:r>
        <w:rPr>
          <w:rFonts w:hint="eastAsia" w:ascii="宋体" w:hAnsi="宋体" w:cs="宋体"/>
          <w:color w:val="auto"/>
          <w:szCs w:val="21"/>
          <w:highlight w:val="none"/>
        </w:rPr>
        <w:t>可选办法五（适合综合评分法三，技术标与经济标先后分别开启）</w:t>
      </w:r>
      <w:r>
        <w:rPr>
          <w:rFonts w:hint="eastAsia" w:ascii="宋体" w:hAnsi="宋体" w:cs="宋体"/>
          <w:b/>
          <w:color w:val="auto"/>
          <w:szCs w:val="21"/>
          <w:highlight w:val="none"/>
        </w:rPr>
        <w:t>修改类型：删除</w:t>
      </w:r>
    </w:p>
    <w:p w14:paraId="67FE66D7">
      <w:pPr>
        <w:pBdr>
          <w:bottom w:val="single" w:color="auto" w:sz="6" w:space="1"/>
        </w:pBdr>
        <w:snapToGrid w:val="0"/>
        <w:spacing w:line="360" w:lineRule="auto"/>
        <w:ind w:firstLine="472" w:firstLineChars="224"/>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详见</w:t>
      </w:r>
      <w:r>
        <w:rPr>
          <w:rFonts w:hint="eastAsia" w:ascii="宋体" w:hAnsi="宋体" w:cs="宋体"/>
          <w:bCs/>
          <w:color w:val="auto"/>
          <w:szCs w:val="21"/>
          <w:highlight w:val="none"/>
        </w:rPr>
        <w:t>最新版广州市建设工程施工公开招标项目招标文件范本（适用于资格后审综合评分法、经评审的最低投标价法的施工电子招标项目）GZZB2018-3</w:t>
      </w:r>
      <w:r>
        <w:rPr>
          <w:rFonts w:hint="eastAsia" w:ascii="宋体" w:hAnsi="宋体" w:cs="宋体"/>
          <w:color w:val="auto"/>
          <w:szCs w:val="21"/>
          <w:highlight w:val="none"/>
        </w:rPr>
        <w:t>。</w:t>
      </w:r>
    </w:p>
    <w:p w14:paraId="58EF40BA">
      <w:pPr>
        <w:snapToGrid w:val="0"/>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w:t>
      </w:r>
      <w:r>
        <w:rPr>
          <w:rFonts w:hint="eastAsia" w:ascii="宋体" w:hAnsi="宋体" w:cs="宋体"/>
          <w:color w:val="auto"/>
          <w:szCs w:val="21"/>
          <w:highlight w:val="none"/>
        </w:rPr>
        <w:t>可选办法六（适合综合评分法三，技术标与经济标同时开启）</w:t>
      </w:r>
      <w:r>
        <w:rPr>
          <w:rFonts w:hint="eastAsia" w:ascii="宋体" w:hAnsi="宋体" w:cs="宋体"/>
          <w:b/>
          <w:color w:val="auto"/>
          <w:szCs w:val="21"/>
          <w:highlight w:val="none"/>
        </w:rPr>
        <w:t>修改类型：删除</w:t>
      </w:r>
    </w:p>
    <w:p w14:paraId="208EDAE4">
      <w:pPr>
        <w:pBdr>
          <w:bottom w:val="single" w:color="auto" w:sz="6" w:space="1"/>
        </w:pBdr>
        <w:snapToGrid w:val="0"/>
        <w:spacing w:line="360" w:lineRule="auto"/>
        <w:ind w:firstLine="472" w:firstLineChars="224"/>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详见</w:t>
      </w:r>
      <w:r>
        <w:rPr>
          <w:rFonts w:hint="eastAsia" w:ascii="宋体" w:hAnsi="宋体" w:cs="宋体"/>
          <w:bCs/>
          <w:color w:val="auto"/>
          <w:szCs w:val="21"/>
          <w:highlight w:val="none"/>
        </w:rPr>
        <w:t>最新版广州市建设工程施工公开招标项目招标文件范本（适用于资格后审综合评分法、经评审的最低投标价法的施工电子招标项目）GZZB2018-3</w:t>
      </w:r>
      <w:r>
        <w:rPr>
          <w:rFonts w:hint="eastAsia" w:ascii="宋体" w:hAnsi="宋体" w:cs="宋体"/>
          <w:color w:val="auto"/>
          <w:szCs w:val="21"/>
          <w:highlight w:val="none"/>
        </w:rPr>
        <w:t>。</w:t>
      </w:r>
    </w:p>
    <w:p w14:paraId="481ABCEF">
      <w:pPr>
        <w:snapToGrid w:val="0"/>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w:t>
      </w:r>
      <w:r>
        <w:rPr>
          <w:rFonts w:hint="eastAsia" w:ascii="宋体" w:hAnsi="宋体" w:cs="宋体"/>
          <w:color w:val="auto"/>
          <w:szCs w:val="21"/>
          <w:highlight w:val="none"/>
        </w:rPr>
        <w:t>可选办法七（适合综合评分法四，技术标与经济标同时开启）</w:t>
      </w:r>
      <w:r>
        <w:rPr>
          <w:rFonts w:hint="eastAsia" w:ascii="宋体" w:hAnsi="宋体" w:cs="宋体"/>
          <w:b/>
          <w:color w:val="auto"/>
          <w:szCs w:val="21"/>
          <w:highlight w:val="none"/>
        </w:rPr>
        <w:t>修改类型：修改</w:t>
      </w:r>
    </w:p>
    <w:p w14:paraId="3BB1F82C">
      <w:pPr>
        <w:pBdr>
          <w:bottom w:val="single" w:color="auto" w:sz="6" w:space="1"/>
        </w:pBdr>
        <w:snapToGrid w:val="0"/>
        <w:spacing w:line="360" w:lineRule="auto"/>
        <w:ind w:firstLine="472" w:firstLineChars="224"/>
        <w:rPr>
          <w:rFonts w:ascii="宋体" w:hAnsi="宋体" w:cs="宋体"/>
          <w:bCs/>
          <w:color w:val="auto"/>
          <w:szCs w:val="21"/>
          <w:highlight w:val="none"/>
          <w:u w:val="single"/>
        </w:rPr>
      </w:pPr>
      <w:r>
        <w:rPr>
          <w:rFonts w:hint="eastAsia" w:ascii="宋体" w:hAnsi="宋体" w:cs="宋体"/>
          <w:b/>
          <w:color w:val="auto"/>
          <w:szCs w:val="21"/>
          <w:highlight w:val="none"/>
        </w:rPr>
        <w:t>原文：</w:t>
      </w:r>
      <w:r>
        <w:rPr>
          <w:rFonts w:hint="eastAsia" w:ascii="宋体" w:hAnsi="宋体" w:cs="宋体"/>
          <w:color w:val="auto"/>
          <w:szCs w:val="21"/>
          <w:highlight w:val="none"/>
        </w:rPr>
        <w:t>详见</w:t>
      </w:r>
      <w:r>
        <w:rPr>
          <w:rFonts w:hint="eastAsia" w:ascii="宋体" w:hAnsi="宋体" w:cs="宋体"/>
          <w:bCs/>
          <w:color w:val="auto"/>
          <w:szCs w:val="21"/>
          <w:highlight w:val="none"/>
        </w:rPr>
        <w:t>最新版广州市建设工程施工公开招标项目招标文件范本（适用于资格后审综合评分法、经评审的最低投标价法的施工电子招标项目）GZZB2018-3</w:t>
      </w:r>
    </w:p>
    <w:p w14:paraId="0D922C5B">
      <w:pPr>
        <w:snapToGrid w:val="0"/>
        <w:spacing w:line="360" w:lineRule="auto"/>
        <w:ind w:firstLine="211" w:firstLineChars="100"/>
        <w:rPr>
          <w:rFonts w:ascii="宋体" w:hAnsi="宋体" w:cs="宋体"/>
          <w:b/>
          <w:color w:val="auto"/>
          <w:szCs w:val="21"/>
          <w:highlight w:val="none"/>
        </w:rPr>
      </w:pPr>
      <w:r>
        <w:rPr>
          <w:rFonts w:hint="eastAsia" w:ascii="宋体" w:hAnsi="宋体" w:cs="宋体"/>
          <w:b/>
          <w:color w:val="auto"/>
          <w:szCs w:val="21"/>
          <w:highlight w:val="none"/>
        </w:rPr>
        <w:t>条款号：</w:t>
      </w:r>
      <w:r>
        <w:rPr>
          <w:rFonts w:hint="eastAsia" w:ascii="宋体" w:hAnsi="宋体" w:cs="宋体"/>
          <w:color w:val="auto"/>
          <w:szCs w:val="21"/>
          <w:highlight w:val="none"/>
        </w:rPr>
        <w:t>可选办法八（适合经评审的最低投标价法，技术标与经济标同时开启）</w:t>
      </w:r>
      <w:r>
        <w:rPr>
          <w:rFonts w:hint="eastAsia" w:ascii="宋体" w:hAnsi="宋体" w:cs="宋体"/>
          <w:b/>
          <w:color w:val="auto"/>
          <w:szCs w:val="21"/>
          <w:highlight w:val="none"/>
        </w:rPr>
        <w:t>修改类型：删除</w:t>
      </w:r>
    </w:p>
    <w:p w14:paraId="65165BF7">
      <w:pPr>
        <w:pBdr>
          <w:bottom w:val="single" w:color="auto" w:sz="6" w:space="1"/>
        </w:pBdr>
        <w:snapToGrid w:val="0"/>
        <w:spacing w:line="360" w:lineRule="auto"/>
        <w:ind w:firstLine="472" w:firstLineChars="224"/>
        <w:rPr>
          <w:rFonts w:ascii="宋体" w:hAnsi="宋体" w:cs="宋体"/>
          <w:bCs/>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详见</w:t>
      </w:r>
      <w:r>
        <w:rPr>
          <w:rFonts w:hint="eastAsia" w:ascii="宋体" w:hAnsi="宋体" w:cs="宋体"/>
          <w:bCs/>
          <w:color w:val="auto"/>
          <w:szCs w:val="21"/>
          <w:highlight w:val="none"/>
        </w:rPr>
        <w:t>最新版广州市建设工程施工公开招标项目招标文件范本（适用于资格后审综合评分法、经评审的最低投标价法的施工电子招标项目）GZZB2018-3</w:t>
      </w:r>
    </w:p>
    <w:p w14:paraId="45A6043D">
      <w:pPr>
        <w:pBdr>
          <w:bottom w:val="single" w:color="auto" w:sz="6" w:space="1"/>
        </w:pBdr>
        <w:snapToGrid w:val="0"/>
        <w:spacing w:line="360" w:lineRule="auto"/>
        <w:ind w:firstLine="472" w:firstLineChars="224"/>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bCs/>
          <w:color w:val="auto"/>
          <w:szCs w:val="21"/>
          <w:highlight w:val="none"/>
          <w:u w:val="single"/>
        </w:rPr>
        <w:t>评定分离评标定标办法</w:t>
      </w:r>
      <w:r>
        <w:rPr>
          <w:rFonts w:hint="eastAsia" w:ascii="宋体" w:hAnsi="宋体" w:cs="宋体"/>
          <w:color w:val="auto"/>
          <w:szCs w:val="21"/>
          <w:highlight w:val="none"/>
        </w:rPr>
        <w:t>。</w:t>
      </w:r>
    </w:p>
    <w:p w14:paraId="045D300C">
      <w:pPr>
        <w:snapToGrid w:val="0"/>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条款号：40                               修改类型：修改</w:t>
      </w:r>
    </w:p>
    <w:p w14:paraId="7390CDF5">
      <w:pPr>
        <w:pBdr>
          <w:bottom w:val="single" w:color="auto" w:sz="6" w:space="1"/>
        </w:pBdr>
        <w:snapToGrid w:val="0"/>
        <w:spacing w:line="360" w:lineRule="auto"/>
        <w:ind w:firstLine="472" w:firstLineChars="224"/>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40.开标和评标程序：</w:t>
      </w:r>
    </w:p>
    <w:p w14:paraId="7B03560F">
      <w:pPr>
        <w:pBdr>
          <w:bottom w:val="single" w:color="auto" w:sz="6" w:space="1"/>
        </w:pBdr>
        <w:snapToGrid w:val="0"/>
        <w:spacing w:line="360" w:lineRule="auto"/>
        <w:ind w:firstLine="470" w:firstLineChars="224"/>
        <w:rPr>
          <w:rFonts w:hint="eastAsia" w:ascii="宋体" w:hAnsi="宋体" w:cs="宋体"/>
          <w:b w:val="0"/>
          <w:bCs/>
          <w:color w:val="auto"/>
          <w:szCs w:val="21"/>
          <w:highlight w:val="none"/>
        </w:rPr>
      </w:pPr>
      <w:r>
        <w:rPr>
          <w:rFonts w:hint="eastAsia" w:ascii="宋体" w:hAnsi="宋体" w:cs="宋体"/>
          <w:b w:val="0"/>
          <w:bCs/>
          <w:color w:val="auto"/>
          <w:szCs w:val="21"/>
          <w:highlight w:val="none"/>
        </w:rPr>
        <w:t>40.1技术标（含资格审查文件）与经济标投标文件同时公开开标；</w:t>
      </w:r>
    </w:p>
    <w:p w14:paraId="730CC790">
      <w:pPr>
        <w:pBdr>
          <w:bottom w:val="single" w:color="auto" w:sz="6" w:space="1"/>
        </w:pBdr>
        <w:snapToGrid w:val="0"/>
        <w:spacing w:line="360" w:lineRule="auto"/>
        <w:ind w:firstLine="470" w:firstLineChars="224"/>
        <w:rPr>
          <w:rFonts w:hint="eastAsia" w:ascii="宋体" w:hAnsi="宋体" w:cs="宋体"/>
          <w:b w:val="0"/>
          <w:bCs/>
          <w:color w:val="auto"/>
          <w:szCs w:val="21"/>
          <w:highlight w:val="none"/>
        </w:rPr>
      </w:pPr>
      <w:r>
        <w:rPr>
          <w:rFonts w:hint="eastAsia" w:ascii="宋体" w:hAnsi="宋体" w:cs="宋体"/>
          <w:b w:val="0"/>
          <w:bCs/>
          <w:color w:val="auto"/>
          <w:szCs w:val="21"/>
          <w:highlight w:val="none"/>
        </w:rPr>
        <w:t>40.2由评标委员会对所有已公开开标的投标人进行资格审查；</w:t>
      </w:r>
    </w:p>
    <w:p w14:paraId="6E72D3EC">
      <w:pPr>
        <w:pBdr>
          <w:bottom w:val="single" w:color="auto" w:sz="6" w:space="1"/>
        </w:pBdr>
        <w:snapToGrid w:val="0"/>
        <w:spacing w:line="360" w:lineRule="auto"/>
        <w:ind w:firstLine="470" w:firstLineChars="224"/>
        <w:rPr>
          <w:rFonts w:hint="eastAsia" w:ascii="宋体" w:hAnsi="宋体" w:cs="宋体"/>
          <w:b w:val="0"/>
          <w:bCs/>
          <w:color w:val="auto"/>
          <w:szCs w:val="21"/>
          <w:highlight w:val="none"/>
        </w:rPr>
      </w:pPr>
      <w:r>
        <w:rPr>
          <w:rFonts w:hint="eastAsia" w:ascii="宋体" w:hAnsi="宋体" w:cs="宋体"/>
          <w:b w:val="0"/>
          <w:bCs/>
          <w:color w:val="auto"/>
          <w:szCs w:val="21"/>
          <w:highlight w:val="none"/>
        </w:rPr>
        <w:t>40.3技术标投标文件有效性审查；</w:t>
      </w:r>
    </w:p>
    <w:p w14:paraId="7A61C153">
      <w:pPr>
        <w:pBdr>
          <w:bottom w:val="single" w:color="auto" w:sz="6" w:space="1"/>
        </w:pBdr>
        <w:snapToGrid w:val="0"/>
        <w:spacing w:line="360" w:lineRule="auto"/>
        <w:ind w:firstLine="470" w:firstLineChars="224"/>
        <w:rPr>
          <w:rFonts w:hint="eastAsia" w:ascii="宋体" w:hAnsi="宋体" w:cs="宋体"/>
          <w:b w:val="0"/>
          <w:bCs/>
          <w:color w:val="auto"/>
          <w:szCs w:val="21"/>
          <w:highlight w:val="none"/>
        </w:rPr>
      </w:pPr>
      <w:r>
        <w:rPr>
          <w:rFonts w:hint="eastAsia" w:ascii="宋体" w:hAnsi="宋体" w:cs="宋体"/>
          <w:b w:val="0"/>
          <w:bCs/>
          <w:color w:val="auto"/>
          <w:szCs w:val="21"/>
          <w:highlight w:val="none"/>
        </w:rPr>
        <w:t>40.4技术标详细审查评分；</w:t>
      </w:r>
    </w:p>
    <w:p w14:paraId="1DFA94EA">
      <w:pPr>
        <w:pBdr>
          <w:bottom w:val="single" w:color="auto" w:sz="6" w:space="1"/>
        </w:pBdr>
        <w:snapToGrid w:val="0"/>
        <w:spacing w:line="360" w:lineRule="auto"/>
        <w:ind w:firstLine="470" w:firstLineChars="224"/>
        <w:rPr>
          <w:rFonts w:hint="eastAsia" w:ascii="宋体" w:hAnsi="宋体" w:cs="宋体"/>
          <w:b w:val="0"/>
          <w:bCs/>
          <w:color w:val="auto"/>
          <w:szCs w:val="21"/>
          <w:highlight w:val="none"/>
        </w:rPr>
      </w:pPr>
      <w:r>
        <w:rPr>
          <w:rFonts w:hint="eastAsia" w:ascii="宋体" w:hAnsi="宋体" w:cs="宋体"/>
          <w:b w:val="0"/>
          <w:bCs/>
          <w:color w:val="auto"/>
          <w:szCs w:val="21"/>
          <w:highlight w:val="none"/>
        </w:rPr>
        <w:t xml:space="preserve">40.5经济标详细审查评分； </w:t>
      </w:r>
    </w:p>
    <w:p w14:paraId="5F350FEA">
      <w:pPr>
        <w:pBdr>
          <w:bottom w:val="single" w:color="auto" w:sz="6" w:space="1"/>
        </w:pBdr>
        <w:snapToGrid w:val="0"/>
        <w:spacing w:line="360" w:lineRule="auto"/>
        <w:ind w:firstLine="470" w:firstLineChars="224"/>
        <w:rPr>
          <w:rFonts w:hint="eastAsia" w:ascii="宋体" w:hAnsi="宋体" w:cs="宋体"/>
          <w:b w:val="0"/>
          <w:bCs/>
          <w:color w:val="auto"/>
          <w:szCs w:val="21"/>
          <w:highlight w:val="none"/>
        </w:rPr>
      </w:pPr>
      <w:r>
        <w:rPr>
          <w:rFonts w:hint="eastAsia" w:ascii="宋体" w:hAnsi="宋体" w:cs="宋体"/>
          <w:b w:val="0"/>
          <w:bCs/>
          <w:color w:val="auto"/>
          <w:szCs w:val="21"/>
          <w:highlight w:val="none"/>
        </w:rPr>
        <w:t>40.6评标委员会按照投标人总得分由高至低排序；</w:t>
      </w:r>
    </w:p>
    <w:p w14:paraId="2DD4CF01">
      <w:pPr>
        <w:pBdr>
          <w:bottom w:val="single" w:color="auto" w:sz="6" w:space="1"/>
        </w:pBdr>
        <w:snapToGrid w:val="0"/>
        <w:spacing w:line="360" w:lineRule="auto"/>
        <w:ind w:firstLine="470" w:firstLineChars="224"/>
        <w:rPr>
          <w:rFonts w:hint="eastAsia" w:ascii="宋体" w:hAnsi="宋体" w:cs="宋体"/>
          <w:b w:val="0"/>
          <w:bCs/>
          <w:color w:val="auto"/>
          <w:szCs w:val="21"/>
          <w:highlight w:val="none"/>
        </w:rPr>
      </w:pPr>
      <w:r>
        <w:rPr>
          <w:rFonts w:hint="eastAsia" w:ascii="宋体" w:hAnsi="宋体" w:cs="宋体"/>
          <w:b w:val="0"/>
          <w:bCs/>
          <w:color w:val="auto"/>
          <w:szCs w:val="21"/>
          <w:highlight w:val="none"/>
        </w:rPr>
        <w:t>40.7经济标投标文件有效性审查；</w:t>
      </w:r>
    </w:p>
    <w:p w14:paraId="0CCA475D">
      <w:pPr>
        <w:pBdr>
          <w:bottom w:val="single" w:color="auto" w:sz="6" w:space="1"/>
        </w:pBdr>
        <w:snapToGrid w:val="0"/>
        <w:spacing w:line="360" w:lineRule="auto"/>
        <w:ind w:firstLine="470" w:firstLineChars="224"/>
        <w:rPr>
          <w:rFonts w:hint="eastAsia" w:ascii="宋体" w:hAnsi="宋体" w:cs="宋体"/>
          <w:b w:val="0"/>
          <w:bCs/>
          <w:color w:val="auto"/>
          <w:szCs w:val="21"/>
          <w:highlight w:val="none"/>
        </w:rPr>
      </w:pPr>
      <w:r>
        <w:rPr>
          <w:rFonts w:hint="eastAsia" w:ascii="宋体" w:hAnsi="宋体" w:cs="宋体"/>
          <w:b w:val="0"/>
          <w:bCs/>
          <w:color w:val="auto"/>
          <w:szCs w:val="21"/>
          <w:highlight w:val="none"/>
        </w:rPr>
        <w:t>40.8评标委员会按排序向招标人推荐中标候选人名单，并递交资格审查报告及评标报告。</w:t>
      </w:r>
    </w:p>
    <w:p w14:paraId="435231F9">
      <w:pPr>
        <w:pBdr>
          <w:bottom w:val="single" w:color="auto" w:sz="6" w:space="1"/>
        </w:pBdr>
        <w:snapToGrid w:val="0"/>
        <w:spacing w:line="360" w:lineRule="auto"/>
        <w:ind w:firstLine="472" w:firstLineChars="224"/>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40.开标和评标程序：</w:t>
      </w:r>
    </w:p>
    <w:p w14:paraId="38BF6FDB">
      <w:pPr>
        <w:pBdr>
          <w:bottom w:val="single" w:color="auto" w:sz="6" w:space="1"/>
        </w:pBdr>
        <w:snapToGrid w:val="0"/>
        <w:spacing w:line="360" w:lineRule="auto"/>
        <w:ind w:firstLine="472" w:firstLineChars="224"/>
        <w:rPr>
          <w:rFonts w:hint="eastAsia" w:ascii="宋体" w:hAnsi="宋体"/>
          <w:b/>
          <w:bCs w:val="0"/>
          <w:color w:val="000000"/>
          <w:szCs w:val="21"/>
          <w:highlight w:val="none"/>
          <w:u w:val="single"/>
          <w:lang w:eastAsia="zh-CN"/>
        </w:rPr>
      </w:pPr>
      <w:r>
        <w:rPr>
          <w:rFonts w:hint="eastAsia" w:ascii="宋体" w:hAnsi="宋体" w:cs="宋体"/>
          <w:b/>
          <w:bCs w:val="0"/>
          <w:color w:val="auto"/>
          <w:szCs w:val="21"/>
          <w:highlight w:val="none"/>
          <w:u w:val="single"/>
        </w:rPr>
        <w:t>40.1</w:t>
      </w:r>
      <w:r>
        <w:rPr>
          <w:rFonts w:hint="eastAsia" w:ascii="宋体" w:hAnsi="宋体"/>
          <w:b/>
          <w:bCs w:val="0"/>
          <w:color w:val="000000"/>
          <w:szCs w:val="21"/>
          <w:highlight w:val="none"/>
          <w:u w:val="single"/>
        </w:rPr>
        <w:t>投标人递交技术标（含资格审查文件）、经济标投标文件和定标文件</w:t>
      </w:r>
      <w:r>
        <w:rPr>
          <w:rFonts w:hint="eastAsia" w:ascii="宋体" w:hAnsi="宋体"/>
          <w:b/>
          <w:bCs w:val="0"/>
          <w:color w:val="000000"/>
          <w:szCs w:val="21"/>
          <w:highlight w:val="none"/>
          <w:u w:val="single"/>
          <w:lang w:eastAsia="zh-CN"/>
        </w:rPr>
        <w:t>；</w:t>
      </w:r>
    </w:p>
    <w:p w14:paraId="6AC3B040">
      <w:pPr>
        <w:pBdr>
          <w:bottom w:val="single" w:color="auto" w:sz="6" w:space="1"/>
        </w:pBdr>
        <w:snapToGrid w:val="0"/>
        <w:spacing w:line="360" w:lineRule="auto"/>
        <w:ind w:firstLine="470" w:firstLineChars="224"/>
        <w:rPr>
          <w:rFonts w:hint="eastAsia" w:ascii="宋体" w:hAnsi="宋体" w:cs="宋体"/>
          <w:b w:val="0"/>
          <w:bCs/>
          <w:color w:val="auto"/>
          <w:szCs w:val="21"/>
          <w:highlight w:val="none"/>
        </w:rPr>
      </w:pPr>
      <w:r>
        <w:rPr>
          <w:rFonts w:hint="eastAsia" w:ascii="宋体" w:hAnsi="宋体"/>
          <w:color w:val="000000"/>
          <w:szCs w:val="21"/>
          <w:highlight w:val="none"/>
        </w:rPr>
        <w:t>40.2</w:t>
      </w:r>
      <w:r>
        <w:rPr>
          <w:rFonts w:hint="eastAsia" w:ascii="宋体" w:hAnsi="宋体" w:cs="宋体"/>
          <w:b w:val="0"/>
          <w:bCs/>
          <w:color w:val="auto"/>
          <w:szCs w:val="21"/>
          <w:highlight w:val="none"/>
        </w:rPr>
        <w:t>技术标（含资格审查文件）与经济标投标文件同时公开开标；</w:t>
      </w:r>
    </w:p>
    <w:p w14:paraId="5ED83E00">
      <w:pPr>
        <w:pBdr>
          <w:bottom w:val="single" w:color="auto" w:sz="6" w:space="1"/>
        </w:pBdr>
        <w:snapToGrid w:val="0"/>
        <w:spacing w:line="360" w:lineRule="auto"/>
        <w:ind w:firstLine="470" w:firstLineChars="224"/>
        <w:rPr>
          <w:rFonts w:hint="eastAsia" w:ascii="宋体" w:hAnsi="宋体" w:cs="宋体"/>
          <w:b w:val="0"/>
          <w:bCs/>
          <w:color w:val="auto"/>
          <w:szCs w:val="21"/>
          <w:highlight w:val="none"/>
        </w:rPr>
      </w:pPr>
      <w:r>
        <w:rPr>
          <w:rFonts w:hint="eastAsia" w:ascii="宋体" w:hAnsi="宋体" w:cs="宋体"/>
          <w:b w:val="0"/>
          <w:bCs/>
          <w:color w:val="auto"/>
          <w:szCs w:val="21"/>
          <w:highlight w:val="none"/>
        </w:rPr>
        <w:t>40.</w:t>
      </w:r>
      <w:r>
        <w:rPr>
          <w:rFonts w:hint="eastAsia" w:ascii="宋体" w:hAnsi="宋体" w:cs="宋体"/>
          <w:b w:val="0"/>
          <w:bCs/>
          <w:color w:val="auto"/>
          <w:szCs w:val="21"/>
          <w:highlight w:val="none"/>
          <w:lang w:val="en-US" w:eastAsia="zh-CN"/>
        </w:rPr>
        <w:t>3</w:t>
      </w:r>
      <w:r>
        <w:rPr>
          <w:rFonts w:hint="eastAsia" w:ascii="宋体" w:hAnsi="宋体" w:cs="宋体"/>
          <w:b w:val="0"/>
          <w:bCs/>
          <w:color w:val="auto"/>
          <w:szCs w:val="21"/>
          <w:highlight w:val="none"/>
        </w:rPr>
        <w:t>由评标委员会对所有已公开开标的投标人进行资格审查</w:t>
      </w:r>
      <w:r>
        <w:rPr>
          <w:rFonts w:hint="eastAsia" w:ascii="宋体" w:hAnsi="宋体" w:cs="宋体"/>
          <w:bCs/>
          <w:color w:val="auto"/>
          <w:szCs w:val="21"/>
          <w:highlight w:val="none"/>
          <w:u w:val="single"/>
        </w:rPr>
        <w:t>，</w:t>
      </w:r>
      <w:r>
        <w:rPr>
          <w:rFonts w:hint="eastAsia" w:ascii="宋体" w:hAnsi="宋体" w:cs="宋体"/>
          <w:b/>
          <w:bCs w:val="0"/>
          <w:color w:val="auto"/>
          <w:szCs w:val="21"/>
          <w:highlight w:val="none"/>
          <w:u w:val="single"/>
        </w:rPr>
        <w:t>并编写资格审查报告</w:t>
      </w:r>
      <w:r>
        <w:rPr>
          <w:rFonts w:hint="eastAsia" w:ascii="宋体" w:hAnsi="宋体" w:cs="宋体"/>
          <w:bCs/>
          <w:color w:val="auto"/>
          <w:szCs w:val="21"/>
          <w:highlight w:val="none"/>
        </w:rPr>
        <w:t>；</w:t>
      </w:r>
    </w:p>
    <w:p w14:paraId="323641BB">
      <w:pPr>
        <w:pBdr>
          <w:bottom w:val="single" w:color="auto" w:sz="6" w:space="1"/>
        </w:pBdr>
        <w:snapToGrid w:val="0"/>
        <w:spacing w:line="360" w:lineRule="auto"/>
        <w:ind w:firstLine="470" w:firstLineChars="224"/>
        <w:rPr>
          <w:rFonts w:hint="eastAsia" w:ascii="宋体" w:hAnsi="宋体" w:cs="宋体"/>
          <w:b w:val="0"/>
          <w:bCs/>
          <w:color w:val="auto"/>
          <w:szCs w:val="21"/>
          <w:highlight w:val="none"/>
        </w:rPr>
      </w:pPr>
      <w:r>
        <w:rPr>
          <w:rFonts w:hint="eastAsia" w:ascii="宋体" w:hAnsi="宋体" w:cs="宋体"/>
          <w:b w:val="0"/>
          <w:bCs/>
          <w:color w:val="auto"/>
          <w:szCs w:val="21"/>
          <w:highlight w:val="none"/>
        </w:rPr>
        <w:t>40.</w:t>
      </w:r>
      <w:r>
        <w:rPr>
          <w:rFonts w:hint="eastAsia" w:ascii="宋体" w:hAnsi="宋体" w:cs="宋体"/>
          <w:b w:val="0"/>
          <w:bCs/>
          <w:color w:val="auto"/>
          <w:szCs w:val="21"/>
          <w:highlight w:val="none"/>
          <w:lang w:val="en-US" w:eastAsia="zh-CN"/>
        </w:rPr>
        <w:t>4</w:t>
      </w:r>
      <w:r>
        <w:rPr>
          <w:rFonts w:hint="eastAsia" w:ascii="宋体" w:hAnsi="宋体" w:cs="宋体"/>
          <w:b w:val="0"/>
          <w:bCs/>
          <w:color w:val="auto"/>
          <w:szCs w:val="21"/>
          <w:highlight w:val="none"/>
        </w:rPr>
        <w:t>技术标投标文件有效性审查；</w:t>
      </w:r>
    </w:p>
    <w:p w14:paraId="6AA262EE">
      <w:pPr>
        <w:pBdr>
          <w:bottom w:val="single" w:color="auto" w:sz="6" w:space="1"/>
        </w:pBdr>
        <w:snapToGrid w:val="0"/>
        <w:spacing w:line="360" w:lineRule="auto"/>
        <w:ind w:firstLine="470" w:firstLineChars="224"/>
        <w:rPr>
          <w:rFonts w:hint="eastAsia" w:ascii="宋体" w:hAnsi="宋体" w:cs="宋体"/>
          <w:b w:val="0"/>
          <w:bCs/>
          <w:color w:val="auto"/>
          <w:szCs w:val="21"/>
          <w:highlight w:val="none"/>
        </w:rPr>
      </w:pPr>
      <w:r>
        <w:rPr>
          <w:rFonts w:hint="eastAsia" w:ascii="宋体" w:hAnsi="宋体" w:cs="宋体"/>
          <w:b w:val="0"/>
          <w:bCs/>
          <w:color w:val="auto"/>
          <w:szCs w:val="21"/>
          <w:highlight w:val="none"/>
        </w:rPr>
        <w:t>40.</w:t>
      </w:r>
      <w:r>
        <w:rPr>
          <w:rFonts w:hint="eastAsia" w:ascii="宋体" w:hAnsi="宋体" w:cs="宋体"/>
          <w:b w:val="0"/>
          <w:bCs/>
          <w:color w:val="auto"/>
          <w:szCs w:val="21"/>
          <w:highlight w:val="none"/>
          <w:lang w:val="en-US" w:eastAsia="zh-CN"/>
        </w:rPr>
        <w:t>5</w:t>
      </w:r>
      <w:r>
        <w:rPr>
          <w:rFonts w:hint="eastAsia" w:ascii="宋体" w:hAnsi="宋体" w:cs="宋体"/>
          <w:b w:val="0"/>
          <w:bCs/>
          <w:color w:val="auto"/>
          <w:szCs w:val="21"/>
          <w:highlight w:val="none"/>
        </w:rPr>
        <w:t>技术标详细审查评分；</w:t>
      </w:r>
    </w:p>
    <w:p w14:paraId="725B0010">
      <w:pPr>
        <w:pBdr>
          <w:bottom w:val="single" w:color="auto" w:sz="6" w:space="1"/>
        </w:pBdr>
        <w:snapToGrid w:val="0"/>
        <w:spacing w:line="360" w:lineRule="auto"/>
        <w:ind w:firstLine="470" w:firstLineChars="224"/>
        <w:rPr>
          <w:rFonts w:hint="eastAsia" w:ascii="宋体" w:hAnsi="宋体" w:cs="宋体"/>
          <w:b w:val="0"/>
          <w:bCs/>
          <w:color w:val="auto"/>
          <w:szCs w:val="21"/>
          <w:highlight w:val="none"/>
        </w:rPr>
      </w:pPr>
      <w:r>
        <w:rPr>
          <w:rFonts w:hint="eastAsia" w:ascii="宋体" w:hAnsi="宋体" w:cs="宋体"/>
          <w:b w:val="0"/>
          <w:bCs/>
          <w:color w:val="auto"/>
          <w:szCs w:val="21"/>
          <w:highlight w:val="none"/>
        </w:rPr>
        <w:t>40.</w:t>
      </w:r>
      <w:r>
        <w:rPr>
          <w:rFonts w:hint="eastAsia" w:ascii="宋体" w:hAnsi="宋体" w:cs="宋体"/>
          <w:b w:val="0"/>
          <w:bCs/>
          <w:color w:val="auto"/>
          <w:szCs w:val="21"/>
          <w:highlight w:val="none"/>
          <w:lang w:val="en-US" w:eastAsia="zh-CN"/>
        </w:rPr>
        <w:t>6</w:t>
      </w:r>
      <w:r>
        <w:rPr>
          <w:rFonts w:hint="eastAsia" w:ascii="宋体" w:hAnsi="宋体" w:cs="宋体"/>
          <w:b w:val="0"/>
          <w:bCs/>
          <w:color w:val="auto"/>
          <w:szCs w:val="21"/>
          <w:highlight w:val="none"/>
        </w:rPr>
        <w:t xml:space="preserve">经济标详细审查评分； </w:t>
      </w:r>
    </w:p>
    <w:p w14:paraId="7E39892F">
      <w:pPr>
        <w:pBdr>
          <w:bottom w:val="single" w:color="auto" w:sz="6" w:space="1"/>
        </w:pBdr>
        <w:snapToGrid w:val="0"/>
        <w:spacing w:line="360" w:lineRule="auto"/>
        <w:ind w:firstLine="470" w:firstLineChars="224"/>
        <w:rPr>
          <w:rFonts w:hint="eastAsia" w:ascii="宋体" w:hAnsi="宋体" w:cs="宋体"/>
          <w:b w:val="0"/>
          <w:bCs/>
          <w:color w:val="auto"/>
          <w:szCs w:val="21"/>
          <w:highlight w:val="none"/>
        </w:rPr>
      </w:pPr>
      <w:r>
        <w:rPr>
          <w:rFonts w:hint="eastAsia" w:ascii="宋体" w:hAnsi="宋体" w:cs="宋体"/>
          <w:b w:val="0"/>
          <w:bCs/>
          <w:color w:val="auto"/>
          <w:szCs w:val="21"/>
          <w:highlight w:val="none"/>
        </w:rPr>
        <w:t>40.</w:t>
      </w:r>
      <w:r>
        <w:rPr>
          <w:rFonts w:hint="eastAsia" w:ascii="宋体" w:hAnsi="宋体" w:cs="宋体"/>
          <w:b w:val="0"/>
          <w:bCs/>
          <w:color w:val="auto"/>
          <w:szCs w:val="21"/>
          <w:highlight w:val="none"/>
          <w:lang w:val="en-US" w:eastAsia="zh-CN"/>
        </w:rPr>
        <w:t>7</w:t>
      </w:r>
      <w:r>
        <w:rPr>
          <w:rFonts w:hint="eastAsia" w:ascii="宋体" w:hAnsi="宋体" w:cs="宋体"/>
          <w:b/>
          <w:bCs w:val="0"/>
          <w:color w:val="auto"/>
          <w:szCs w:val="21"/>
          <w:highlight w:val="none"/>
          <w:u w:val="single"/>
        </w:rPr>
        <w:t>评标委员会汇总投标人得分，</w:t>
      </w:r>
      <w:r>
        <w:rPr>
          <w:rFonts w:hint="eastAsia" w:ascii="宋体" w:hAnsi="宋体" w:cs="宋体"/>
          <w:b w:val="0"/>
          <w:bCs/>
          <w:color w:val="auto"/>
          <w:szCs w:val="21"/>
          <w:highlight w:val="none"/>
        </w:rPr>
        <w:t>评标委员会按照投标人总得分由高至低排序；</w:t>
      </w:r>
    </w:p>
    <w:p w14:paraId="037A7870">
      <w:pPr>
        <w:pBdr>
          <w:bottom w:val="single" w:color="auto" w:sz="6" w:space="1"/>
        </w:pBdr>
        <w:snapToGrid w:val="0"/>
        <w:spacing w:line="360" w:lineRule="auto"/>
        <w:ind w:firstLine="470" w:firstLineChars="224"/>
        <w:rPr>
          <w:rFonts w:hint="eastAsia" w:ascii="宋体" w:hAnsi="宋体" w:cs="宋体"/>
          <w:b w:val="0"/>
          <w:bCs/>
          <w:color w:val="auto"/>
          <w:szCs w:val="21"/>
          <w:highlight w:val="none"/>
        </w:rPr>
      </w:pPr>
      <w:r>
        <w:rPr>
          <w:rFonts w:hint="eastAsia" w:ascii="宋体" w:hAnsi="宋体" w:cs="宋体"/>
          <w:b w:val="0"/>
          <w:bCs/>
          <w:color w:val="auto"/>
          <w:szCs w:val="21"/>
          <w:highlight w:val="none"/>
        </w:rPr>
        <w:t>40.</w:t>
      </w:r>
      <w:r>
        <w:rPr>
          <w:rFonts w:hint="eastAsia" w:ascii="宋体" w:hAnsi="宋体" w:cs="宋体"/>
          <w:b w:val="0"/>
          <w:bCs/>
          <w:color w:val="auto"/>
          <w:szCs w:val="21"/>
          <w:highlight w:val="none"/>
          <w:lang w:val="en-US" w:eastAsia="zh-CN"/>
        </w:rPr>
        <w:t>8</w:t>
      </w:r>
      <w:r>
        <w:rPr>
          <w:rFonts w:hint="eastAsia" w:ascii="宋体" w:hAnsi="宋体" w:cs="宋体"/>
          <w:bCs/>
          <w:color w:val="auto"/>
          <w:szCs w:val="21"/>
          <w:highlight w:val="none"/>
        </w:rPr>
        <w:t>按排序对经济标投标文件进行有效性审查，</w:t>
      </w:r>
      <w:r>
        <w:rPr>
          <w:rFonts w:hint="eastAsia" w:ascii="宋体" w:hAnsi="宋体" w:cs="宋体"/>
          <w:b/>
          <w:bCs/>
          <w:color w:val="auto"/>
          <w:szCs w:val="21"/>
          <w:highlight w:val="none"/>
          <w:u w:val="single"/>
        </w:rPr>
        <w:t>按投标须知前附表第19项规定推荐合格中标候选人</w:t>
      </w:r>
      <w:r>
        <w:rPr>
          <w:rFonts w:hint="eastAsia" w:ascii="宋体" w:hAnsi="宋体" w:cs="宋体"/>
          <w:b/>
          <w:bCs/>
          <w:color w:val="auto"/>
          <w:szCs w:val="21"/>
          <w:highlight w:val="none"/>
        </w:rPr>
        <w:t>；</w:t>
      </w:r>
    </w:p>
    <w:p w14:paraId="18719786">
      <w:pPr>
        <w:pBdr>
          <w:bottom w:val="single" w:color="auto" w:sz="6" w:space="1"/>
        </w:pBdr>
        <w:snapToGrid w:val="0"/>
        <w:spacing w:line="360" w:lineRule="auto"/>
        <w:ind w:firstLine="472" w:firstLineChars="224"/>
        <w:rPr>
          <w:rFonts w:hint="eastAsia" w:ascii="宋体" w:hAnsi="宋体" w:cs="宋体"/>
          <w:b/>
          <w:bCs w:val="0"/>
          <w:color w:val="auto"/>
          <w:szCs w:val="21"/>
          <w:highlight w:val="none"/>
          <w:u w:val="single"/>
        </w:rPr>
      </w:pPr>
      <w:r>
        <w:rPr>
          <w:rFonts w:hint="eastAsia" w:ascii="宋体" w:hAnsi="宋体" w:cs="宋体"/>
          <w:b/>
          <w:bCs w:val="0"/>
          <w:color w:val="auto"/>
          <w:szCs w:val="21"/>
          <w:highlight w:val="none"/>
        </w:rPr>
        <w:t>40.</w:t>
      </w:r>
      <w:r>
        <w:rPr>
          <w:rFonts w:hint="eastAsia" w:ascii="宋体" w:hAnsi="宋体" w:cs="宋体"/>
          <w:b/>
          <w:bCs w:val="0"/>
          <w:color w:val="auto"/>
          <w:szCs w:val="21"/>
          <w:highlight w:val="none"/>
          <w:lang w:val="en-US" w:eastAsia="zh-CN"/>
        </w:rPr>
        <w:t>9</w:t>
      </w:r>
      <w:r>
        <w:rPr>
          <w:rFonts w:hint="eastAsia" w:ascii="宋体" w:hAnsi="宋体" w:cs="宋体"/>
          <w:b/>
          <w:bCs w:val="0"/>
          <w:color w:val="auto"/>
          <w:szCs w:val="21"/>
          <w:highlight w:val="none"/>
          <w:u w:val="single"/>
        </w:rPr>
        <w:t>评标委员会递交资格审查报告和评标报告并依法推荐通过经济标投标文件有效性审查</w:t>
      </w:r>
      <w:r>
        <w:rPr>
          <w:rFonts w:hint="eastAsia" w:ascii="宋体" w:hAnsi="宋体" w:cs="宋体"/>
          <w:b/>
          <w:bCs w:val="0"/>
          <w:color w:val="auto"/>
          <w:szCs w:val="21"/>
          <w:highlight w:val="none"/>
          <w:u w:val="single"/>
          <w:lang w:eastAsia="zh-CN"/>
        </w:rPr>
        <w:t>的</w:t>
      </w:r>
      <w:r>
        <w:rPr>
          <w:rFonts w:hint="eastAsia" w:ascii="宋体" w:hAnsi="宋体" w:cs="宋体"/>
          <w:b/>
          <w:bCs w:val="0"/>
          <w:color w:val="auto"/>
          <w:szCs w:val="21"/>
          <w:highlight w:val="none"/>
          <w:u w:val="single"/>
        </w:rPr>
        <w:t>合格的中标候选人进入定标阶段。</w:t>
      </w:r>
    </w:p>
    <w:p w14:paraId="599D225C">
      <w:pPr>
        <w:snapToGrid w:val="0"/>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条款号：41.1                             修改类型：修改</w:t>
      </w:r>
    </w:p>
    <w:p w14:paraId="56F77B1B">
      <w:pPr>
        <w:pBdr>
          <w:bottom w:val="single" w:color="auto" w:sz="6" w:space="1"/>
        </w:pBdr>
        <w:snapToGrid w:val="0"/>
        <w:spacing w:line="360" w:lineRule="auto"/>
        <w:ind w:firstLine="472" w:firstLineChars="224"/>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41.1开标由招标人主持；</w:t>
      </w:r>
    </w:p>
    <w:p w14:paraId="10B92733">
      <w:pPr>
        <w:pBdr>
          <w:bottom w:val="single" w:color="auto" w:sz="6" w:space="1"/>
        </w:pBdr>
        <w:snapToGrid w:val="0"/>
        <w:spacing w:line="360" w:lineRule="auto"/>
        <w:ind w:firstLine="472" w:firstLineChars="224"/>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41.1开标由招标人</w:t>
      </w:r>
      <w:r>
        <w:rPr>
          <w:rFonts w:hint="eastAsia" w:ascii="宋体" w:hAnsi="宋体" w:cs="宋体"/>
          <w:b/>
          <w:bCs/>
          <w:color w:val="auto"/>
          <w:szCs w:val="21"/>
          <w:highlight w:val="none"/>
          <w:u w:val="single"/>
        </w:rPr>
        <w:t>或招标代理</w:t>
      </w:r>
      <w:r>
        <w:rPr>
          <w:rFonts w:hint="eastAsia" w:ascii="宋体" w:hAnsi="宋体" w:cs="宋体"/>
          <w:color w:val="auto"/>
          <w:szCs w:val="21"/>
          <w:highlight w:val="none"/>
        </w:rPr>
        <w:t>主持；</w:t>
      </w:r>
    </w:p>
    <w:p w14:paraId="65EA3D03">
      <w:pPr>
        <w:snapToGrid w:val="0"/>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条款号：41.2.1                           修改类型：修改</w:t>
      </w:r>
    </w:p>
    <w:p w14:paraId="299A3FBF">
      <w:pPr>
        <w:snapToGrid w:val="0"/>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41.2.1投标截止期前，各投标人递交投标文件（包括技术标投标文件、经济标投标文件）至</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交易平台。有关投标文件提交的事项详见第一章投标须知。</w:t>
      </w:r>
    </w:p>
    <w:p w14:paraId="55219059">
      <w:pPr>
        <w:pBdr>
          <w:bottom w:val="single" w:color="auto" w:sz="6" w:space="1"/>
        </w:pBdr>
        <w:snapToGrid w:val="0"/>
        <w:spacing w:line="360" w:lineRule="auto"/>
        <w:ind w:firstLine="413" w:firstLineChars="196"/>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41.2.1投标截止期前，各投标人递交投标文件</w:t>
      </w:r>
      <w:r>
        <w:rPr>
          <w:rFonts w:hint="eastAsia" w:ascii="宋体" w:hAnsi="宋体" w:cs="宋体"/>
          <w:b/>
          <w:bCs/>
          <w:color w:val="auto"/>
          <w:szCs w:val="21"/>
          <w:highlight w:val="none"/>
          <w:u w:val="single"/>
        </w:rPr>
        <w:t>[包括技术标投标文件（含资格审查文件）、经济标投标文件</w:t>
      </w:r>
      <w:r>
        <w:rPr>
          <w:rFonts w:hint="eastAsia" w:ascii="宋体" w:hAnsi="宋体" w:cs="宋体"/>
          <w:b/>
          <w:bCs/>
          <w:color w:val="auto"/>
          <w:szCs w:val="21"/>
          <w:highlight w:val="none"/>
          <w:u w:val="single"/>
          <w:lang w:eastAsia="zh-CN"/>
        </w:rPr>
        <w:t>、</w:t>
      </w:r>
      <w:r>
        <w:rPr>
          <w:rFonts w:hint="eastAsia" w:ascii="宋体" w:hAnsi="宋体" w:cs="宋体"/>
          <w:b/>
          <w:bCs/>
          <w:color w:val="auto"/>
          <w:szCs w:val="21"/>
          <w:highlight w:val="none"/>
          <w:u w:val="single"/>
          <w:lang w:val="en-US" w:eastAsia="zh-CN"/>
        </w:rPr>
        <w:t>定标文件</w:t>
      </w:r>
      <w:r>
        <w:rPr>
          <w:rFonts w:hint="eastAsia" w:ascii="宋体" w:hAnsi="宋体" w:cs="宋体"/>
          <w:b/>
          <w:bCs/>
          <w:color w:val="auto"/>
          <w:szCs w:val="21"/>
          <w:highlight w:val="none"/>
          <w:u w:val="single"/>
        </w:rPr>
        <w:t>]</w:t>
      </w:r>
      <w:r>
        <w:rPr>
          <w:rFonts w:hint="eastAsia" w:ascii="宋体" w:hAnsi="宋体" w:cs="宋体"/>
          <w:b/>
          <w:bCs/>
          <w:color w:val="auto"/>
          <w:szCs w:val="21"/>
          <w:highlight w:val="none"/>
        </w:rPr>
        <w:t>至</w:t>
      </w:r>
      <w:r>
        <w:rPr>
          <w:rFonts w:hint="eastAsia" w:ascii="宋体" w:hAnsi="宋体" w:cs="宋体"/>
          <w:b/>
          <w:bCs/>
          <w:color w:val="auto"/>
          <w:szCs w:val="21"/>
          <w:highlight w:val="none"/>
          <w:u w:val="single"/>
        </w:rPr>
        <w:t>广州交易集团有限公司（广州公共资源交易中心）</w:t>
      </w:r>
      <w:r>
        <w:rPr>
          <w:rFonts w:hint="eastAsia" w:ascii="宋体" w:hAnsi="宋体" w:cs="宋体"/>
          <w:color w:val="auto"/>
          <w:szCs w:val="21"/>
          <w:highlight w:val="none"/>
        </w:rPr>
        <w:t>交易平台。有关投标文件提交的事项详见第一章投标须知。</w:t>
      </w:r>
    </w:p>
    <w:p w14:paraId="16C00174">
      <w:pPr>
        <w:snapToGrid w:val="0"/>
        <w:spacing w:line="360" w:lineRule="auto"/>
        <w:ind w:firstLine="472" w:firstLineChars="224"/>
        <w:rPr>
          <w:rFonts w:hint="eastAsia" w:ascii="宋体" w:hAnsi="宋体" w:eastAsia="宋体" w:cs="宋体"/>
          <w:b/>
          <w:color w:val="000000" w:themeColor="text1"/>
          <w:szCs w:val="21"/>
          <w:highlight w:val="none"/>
          <w:lang w:eastAsia="zh-CN"/>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条款号：41.2.2                      修改类型：</w:t>
      </w:r>
      <w:r>
        <w:rPr>
          <w:rFonts w:hint="eastAsia" w:ascii="宋体" w:hAnsi="宋体" w:cs="宋体"/>
          <w:b/>
          <w:color w:val="000000" w:themeColor="text1"/>
          <w:szCs w:val="21"/>
          <w:highlight w:val="none"/>
          <w:lang w:val="en-US" w:eastAsia="zh-CN"/>
          <w14:textFill>
            <w14:solidFill>
              <w14:schemeClr w14:val="tx1"/>
            </w14:solidFill>
          </w14:textFill>
        </w:rPr>
        <w:t>删除</w:t>
      </w:r>
    </w:p>
    <w:p w14:paraId="28D567F7">
      <w:pPr>
        <w:pBdr>
          <w:bottom w:val="single" w:color="auto" w:sz="6" w:space="1"/>
        </w:pBdr>
        <w:snapToGrid w:val="0"/>
        <w:spacing w:line="360" w:lineRule="auto"/>
        <w:ind w:firstLine="472" w:firstLineChars="224"/>
        <w:rPr>
          <w:rFonts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原文：</w:t>
      </w:r>
      <w:r>
        <w:rPr>
          <w:rFonts w:hint="eastAsia" w:ascii="宋体" w:hAnsi="宋体" w:cs="宋体"/>
          <w:color w:val="000000" w:themeColor="text1"/>
          <w:szCs w:val="21"/>
          <w:highlight w:val="none"/>
          <w14:textFill>
            <w14:solidFill>
              <w14:schemeClr w14:val="tx1"/>
            </w14:solidFill>
          </w14:textFill>
        </w:rPr>
        <w:t>41.2.2开标前，首先由招标人随机抽取确定该工程计算评标参考价的等分点值X。</w:t>
      </w:r>
    </w:p>
    <w:p w14:paraId="084FD791">
      <w:pPr>
        <w:snapToGrid w:val="0"/>
        <w:spacing w:line="360" w:lineRule="auto"/>
        <w:ind w:firstLine="472" w:firstLineChars="224"/>
        <w:rPr>
          <w:rFonts w:ascii="宋体" w:hAnsi="宋体" w:cs="宋体"/>
          <w:b/>
          <w:strike w:val="0"/>
          <w:dstrike w:val="0"/>
          <w:color w:val="auto"/>
          <w:szCs w:val="21"/>
          <w:highlight w:val="none"/>
        </w:rPr>
      </w:pPr>
      <w:r>
        <w:rPr>
          <w:rFonts w:hint="eastAsia" w:ascii="宋体" w:hAnsi="宋体" w:cs="宋体"/>
          <w:b/>
          <w:strike w:val="0"/>
          <w:dstrike w:val="0"/>
          <w:color w:val="auto"/>
          <w:szCs w:val="21"/>
          <w:highlight w:val="none"/>
        </w:rPr>
        <w:t>条款号：41.</w:t>
      </w:r>
      <w:r>
        <w:rPr>
          <w:rFonts w:hint="eastAsia" w:ascii="宋体" w:hAnsi="宋体" w:cs="宋体"/>
          <w:b/>
          <w:strike w:val="0"/>
          <w:dstrike w:val="0"/>
          <w:color w:val="auto"/>
          <w:szCs w:val="21"/>
          <w:highlight w:val="none"/>
          <w:lang w:val="en-US" w:eastAsia="zh-CN"/>
        </w:rPr>
        <w:t>3</w:t>
      </w:r>
      <w:r>
        <w:rPr>
          <w:rFonts w:hint="eastAsia" w:ascii="宋体" w:hAnsi="宋体" w:cs="宋体"/>
          <w:b/>
          <w:strike w:val="0"/>
          <w:dstrike w:val="0"/>
          <w:color w:val="auto"/>
          <w:szCs w:val="21"/>
          <w:highlight w:val="none"/>
        </w:rPr>
        <w:t xml:space="preserve">                             修改类型：修改</w:t>
      </w:r>
    </w:p>
    <w:p w14:paraId="73DF53D4">
      <w:pPr>
        <w:snapToGrid w:val="0"/>
        <w:spacing w:line="360" w:lineRule="auto"/>
        <w:ind w:firstLine="422" w:firstLineChars="200"/>
        <w:rPr>
          <w:rFonts w:ascii="宋体" w:hAnsi="宋体" w:cs="宋体"/>
          <w:strike w:val="0"/>
          <w:dstrike w:val="0"/>
          <w:color w:val="auto"/>
          <w:szCs w:val="21"/>
          <w:highlight w:val="none"/>
        </w:rPr>
      </w:pPr>
      <w:r>
        <w:rPr>
          <w:rFonts w:hint="eastAsia" w:ascii="宋体" w:hAnsi="宋体" w:cs="宋体"/>
          <w:b/>
          <w:strike w:val="0"/>
          <w:dstrike w:val="0"/>
          <w:color w:val="auto"/>
          <w:szCs w:val="21"/>
          <w:highlight w:val="none"/>
        </w:rPr>
        <w:t>原文：</w:t>
      </w:r>
      <w:r>
        <w:rPr>
          <w:rFonts w:hint="eastAsia" w:ascii="宋体" w:hAnsi="宋体" w:cs="宋体"/>
          <w:strike w:val="0"/>
          <w:dstrike w:val="0"/>
          <w:color w:val="auto"/>
          <w:szCs w:val="21"/>
          <w:highlight w:val="none"/>
        </w:rPr>
        <w:t>41.4招标人对开标过程进行记录，并存档备查，投标人在开标记录上签字。</w:t>
      </w:r>
    </w:p>
    <w:p w14:paraId="47167CB6">
      <w:pPr>
        <w:pBdr>
          <w:bottom w:val="single" w:color="auto" w:sz="6" w:space="1"/>
        </w:pBdr>
        <w:snapToGrid w:val="0"/>
        <w:spacing w:line="360" w:lineRule="auto"/>
        <w:ind w:firstLine="422" w:firstLineChars="200"/>
        <w:rPr>
          <w:rFonts w:ascii="宋体" w:hAnsi="宋体" w:cs="宋体"/>
          <w:strike w:val="0"/>
          <w:dstrike w:val="0"/>
          <w:color w:val="auto"/>
          <w:szCs w:val="21"/>
          <w:highlight w:val="none"/>
        </w:rPr>
      </w:pPr>
      <w:r>
        <w:rPr>
          <w:rFonts w:hint="eastAsia" w:ascii="宋体" w:hAnsi="宋体" w:cs="宋体"/>
          <w:b/>
          <w:strike w:val="0"/>
          <w:dstrike w:val="0"/>
          <w:color w:val="auto"/>
          <w:szCs w:val="21"/>
          <w:highlight w:val="none"/>
        </w:rPr>
        <w:t>现文：</w:t>
      </w:r>
      <w:r>
        <w:rPr>
          <w:rFonts w:hint="eastAsia" w:ascii="宋体" w:hAnsi="宋体" w:cs="宋体"/>
          <w:strike w:val="0"/>
          <w:dstrike w:val="0"/>
          <w:color w:val="auto"/>
          <w:szCs w:val="21"/>
          <w:highlight w:val="none"/>
        </w:rPr>
        <w:t>41.</w:t>
      </w:r>
      <w:r>
        <w:rPr>
          <w:rFonts w:ascii="宋体" w:hAnsi="宋体" w:cs="宋体"/>
          <w:strike w:val="0"/>
          <w:dstrike w:val="0"/>
          <w:color w:val="auto"/>
          <w:szCs w:val="21"/>
          <w:highlight w:val="none"/>
        </w:rPr>
        <w:t>4</w:t>
      </w:r>
      <w:r>
        <w:rPr>
          <w:rFonts w:hint="eastAsia" w:ascii="宋体" w:hAnsi="宋体" w:cs="宋体"/>
          <w:strike w:val="0"/>
          <w:dstrike w:val="0"/>
          <w:color w:val="auto"/>
          <w:szCs w:val="21"/>
          <w:highlight w:val="none"/>
        </w:rPr>
        <w:t>招标人</w:t>
      </w:r>
      <w:r>
        <w:rPr>
          <w:rFonts w:hint="eastAsia" w:ascii="宋体" w:hAnsi="宋体" w:cs="宋体"/>
          <w:b/>
          <w:bCs/>
          <w:strike w:val="0"/>
          <w:dstrike w:val="0"/>
          <w:color w:val="auto"/>
          <w:szCs w:val="21"/>
          <w:highlight w:val="none"/>
          <w:u w:val="single"/>
        </w:rPr>
        <w:t>或招标代理机构</w:t>
      </w:r>
      <w:r>
        <w:rPr>
          <w:rFonts w:hint="eastAsia" w:ascii="宋体" w:hAnsi="宋体" w:cs="宋体"/>
          <w:strike w:val="0"/>
          <w:dstrike w:val="0"/>
          <w:color w:val="auto"/>
          <w:szCs w:val="21"/>
          <w:highlight w:val="none"/>
        </w:rPr>
        <w:t>对开标过程进行记录，并存档备查，</w:t>
      </w:r>
      <w:r>
        <w:rPr>
          <w:rFonts w:hint="eastAsia" w:ascii="宋体" w:hAnsi="宋体" w:cs="宋体"/>
          <w:b/>
          <w:bCs/>
          <w:strike w:val="0"/>
          <w:dstrike w:val="0"/>
          <w:color w:val="auto"/>
          <w:szCs w:val="21"/>
          <w:highlight w:val="none"/>
          <w:u w:val="single"/>
        </w:rPr>
        <w:t>参加现场开标会的投标人在</w:t>
      </w:r>
      <w:r>
        <w:rPr>
          <w:rFonts w:hint="eastAsia" w:ascii="宋体" w:hAnsi="宋体" w:cs="宋体"/>
          <w:strike w:val="0"/>
          <w:dstrike w:val="0"/>
          <w:color w:val="auto"/>
          <w:szCs w:val="21"/>
          <w:highlight w:val="none"/>
        </w:rPr>
        <w:t>开标记录上签字。</w:t>
      </w:r>
    </w:p>
    <w:p w14:paraId="53990E15">
      <w:pPr>
        <w:snapToGrid w:val="0"/>
        <w:spacing w:line="360" w:lineRule="auto"/>
        <w:ind w:firstLine="472" w:firstLineChars="224"/>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条款号：42.2                        修改类型：修改</w:t>
      </w:r>
    </w:p>
    <w:p w14:paraId="122234DB">
      <w:pPr>
        <w:snapToGrid w:val="0"/>
        <w:spacing w:line="360" w:lineRule="auto"/>
        <w:ind w:firstLine="422"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原文：</w:t>
      </w:r>
      <w:r>
        <w:rPr>
          <w:rFonts w:hint="eastAsia" w:ascii="宋体" w:hAnsi="宋体" w:cs="宋体"/>
          <w:color w:val="000000" w:themeColor="text1"/>
          <w:szCs w:val="21"/>
          <w:highlight w:val="none"/>
          <w14:textFill>
            <w14:solidFill>
              <w14:schemeClr w14:val="tx1"/>
            </w14:solidFill>
          </w14:textFill>
        </w:rPr>
        <w:t>42.2评标委员会的组成：方式</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w:t>
      </w:r>
    </w:p>
    <w:p w14:paraId="40AE7ED0">
      <w:pPr>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方式一：评标委员会为综合评标委员会，负责资格审查及评标工作。</w:t>
      </w:r>
    </w:p>
    <w:p w14:paraId="53F1D03C">
      <w:pPr>
        <w:pBdr>
          <w:bottom w:val="single" w:color="auto" w:sz="6" w:space="1"/>
        </w:pBdr>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方式二：评标委员会由技术评审组和经济评审组组成。其中：资格审查及技术评审由技术评标组负责，经济评审由经济评审组负责。</w:t>
      </w:r>
    </w:p>
    <w:p w14:paraId="7126677B">
      <w:pPr>
        <w:pBdr>
          <w:bottom w:val="single" w:color="auto" w:sz="6" w:space="1"/>
        </w:pBdr>
        <w:snapToGrid w:val="0"/>
        <w:spacing w:line="360" w:lineRule="auto"/>
        <w:ind w:firstLine="422" w:firstLineChars="200"/>
        <w:rPr>
          <w:rFonts w:ascii="宋体" w:hAnsi="宋体" w:cs="宋体"/>
          <w:b w:val="0"/>
          <w:bCs w:val="0"/>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现文：</w:t>
      </w:r>
      <w:r>
        <w:rPr>
          <w:rFonts w:hint="eastAsia" w:ascii="宋体" w:hAnsi="宋体" w:cs="宋体"/>
          <w:color w:val="000000" w:themeColor="text1"/>
          <w:szCs w:val="21"/>
          <w:highlight w:val="none"/>
          <w14:textFill>
            <w14:solidFill>
              <w14:schemeClr w14:val="tx1"/>
            </w14:solidFill>
          </w14:textFill>
        </w:rPr>
        <w:t>42.2评标委员会的组成：方式</w:t>
      </w:r>
      <w:r>
        <w:rPr>
          <w:rFonts w:hint="eastAsia" w:ascii="宋体" w:hAnsi="宋体" w:cs="宋体"/>
          <w:b/>
          <w:bCs/>
          <w:color w:val="000000" w:themeColor="text1"/>
          <w:szCs w:val="21"/>
          <w:highlight w:val="none"/>
          <w:u w:val="single"/>
          <w14:textFill>
            <w14:solidFill>
              <w14:schemeClr w14:val="tx1"/>
            </w14:solidFill>
          </w14:textFill>
        </w:rPr>
        <w:t>一：评标委员会为综合评标委员会，负责资格审查及评标工作。</w:t>
      </w:r>
      <w:r>
        <w:rPr>
          <w:rFonts w:hint="eastAsia" w:ascii="宋体" w:hAnsi="宋体" w:cs="宋体"/>
          <w:b/>
          <w:bCs/>
          <w:color w:val="auto"/>
          <w:szCs w:val="21"/>
          <w:highlight w:val="none"/>
          <w:u w:val="single"/>
        </w:rPr>
        <w:t>评标委员会由</w:t>
      </w:r>
      <w:r>
        <w:rPr>
          <w:rFonts w:hint="eastAsia" w:ascii="宋体" w:hAnsi="宋体" w:cs="宋体"/>
          <w:b/>
          <w:bCs/>
          <w:color w:val="auto"/>
          <w:szCs w:val="21"/>
          <w:highlight w:val="none"/>
          <w:u w:val="single"/>
          <w:lang w:val="en-US" w:eastAsia="zh-CN"/>
        </w:rPr>
        <w:t>招标人依法组建</w:t>
      </w:r>
      <w:r>
        <w:rPr>
          <w:rFonts w:hint="eastAsia" w:ascii="宋体" w:hAnsi="宋体" w:cs="宋体"/>
          <w:b/>
          <w:bCs/>
          <w:color w:val="auto"/>
          <w:szCs w:val="21"/>
          <w:highlight w:val="none"/>
          <w:u w:val="single"/>
        </w:rPr>
        <w:t>，评标委员会人数为五人以上单数，其中技术方面的专家不得少于成员总数的三分之二。</w:t>
      </w:r>
    </w:p>
    <w:p w14:paraId="5DA8D9A9">
      <w:pPr>
        <w:snapToGrid w:val="0"/>
        <w:spacing w:line="360" w:lineRule="auto"/>
        <w:ind w:firstLine="472" w:firstLineChars="224"/>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条款号：43.6                        修改类型：修改</w:t>
      </w:r>
    </w:p>
    <w:p w14:paraId="55AD7454">
      <w:pPr>
        <w:widowControl/>
        <w:snapToGrid w:val="0"/>
        <w:spacing w:line="360" w:lineRule="auto"/>
        <w:ind w:firstLine="422"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原文：</w:t>
      </w:r>
      <w:r>
        <w:rPr>
          <w:rFonts w:hint="eastAsia" w:ascii="宋体" w:hAnsi="宋体" w:cs="宋体"/>
          <w:color w:val="000000" w:themeColor="text1"/>
          <w:szCs w:val="21"/>
          <w:highlight w:val="none"/>
          <w14:textFill>
            <w14:solidFill>
              <w14:schemeClr w14:val="tx1"/>
            </w14:solidFill>
          </w14:textFill>
        </w:rPr>
        <w:t>43.6资格审查合格的投标人少于3名的（当N个标段同时招标且不允许兼中时，资格审查合格的投标人少于N+2名），则本项目招标失败。</w:t>
      </w:r>
    </w:p>
    <w:p w14:paraId="1A10EBEE">
      <w:pPr>
        <w:pBdr>
          <w:bottom w:val="single" w:color="auto" w:sz="6" w:space="1"/>
        </w:pBdr>
        <w:snapToGrid w:val="0"/>
        <w:spacing w:line="360" w:lineRule="auto"/>
        <w:ind w:firstLine="472" w:firstLineChars="224"/>
        <w:rPr>
          <w:rFonts w:ascii="宋体" w:hAnsi="宋体" w:cs="宋体"/>
          <w:color w:val="000000" w:themeColor="text1"/>
          <w:szCs w:val="21"/>
          <w:highlight w:val="none"/>
          <w:u w:val="singl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现文：</w:t>
      </w:r>
      <w:r>
        <w:rPr>
          <w:rFonts w:hint="eastAsia" w:ascii="宋体" w:hAnsi="宋体" w:cs="宋体"/>
          <w:color w:val="000000" w:themeColor="text1"/>
          <w:szCs w:val="21"/>
          <w:highlight w:val="none"/>
          <w14:textFill>
            <w14:solidFill>
              <w14:schemeClr w14:val="tx1"/>
            </w14:solidFill>
          </w14:textFill>
        </w:rPr>
        <w:t>43.6</w:t>
      </w:r>
      <w:r>
        <w:rPr>
          <w:rFonts w:hint="eastAsia" w:ascii="宋体" w:hAnsi="宋体" w:cs="宋体"/>
          <w:b/>
          <w:bCs/>
          <w:color w:val="000000" w:themeColor="text1"/>
          <w:szCs w:val="21"/>
          <w:highlight w:val="none"/>
          <w:u w:val="single"/>
          <w14:textFill>
            <w14:solidFill>
              <w14:schemeClr w14:val="tx1"/>
            </w14:solidFill>
          </w14:textFill>
        </w:rPr>
        <w:t>若满足资格审查合格条件(投标人合格条件)的投标申请人不足3名，则重新招标。</w:t>
      </w:r>
    </w:p>
    <w:p w14:paraId="0E7F06B5">
      <w:pPr>
        <w:snapToGrid w:val="0"/>
        <w:spacing w:line="360" w:lineRule="auto"/>
        <w:ind w:firstLine="472" w:firstLineChars="224"/>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条款号：44.1                       修改类型：修改</w:t>
      </w:r>
    </w:p>
    <w:p w14:paraId="5FF97781">
      <w:pPr>
        <w:snapToGrid w:val="0"/>
        <w:spacing w:line="360" w:lineRule="auto"/>
        <w:ind w:firstLine="422"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原文：</w:t>
      </w:r>
      <w:r>
        <w:rPr>
          <w:rFonts w:hint="eastAsia" w:ascii="宋体" w:hAnsi="宋体" w:cs="宋体"/>
          <w:color w:val="000000" w:themeColor="text1"/>
          <w:szCs w:val="21"/>
          <w:highlight w:val="none"/>
          <w14:textFill>
            <w14:solidFill>
              <w14:schemeClr w14:val="tx1"/>
            </w14:solidFill>
          </w14:textFill>
        </w:rPr>
        <w:t>44.1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则重新招标。（当N个标段同时招标且不允许兼中时，若通过技术标有效性审查投标人不足N+2家，则重新招标）。评委发现投标文件中含义不明确、对同类问题表述不一致、有明显文字和计算错误的，应当要求投标人作必要的澄清、说明后再判定投标人是否通过有效性审查，不得直接否决投标。</w:t>
      </w:r>
    </w:p>
    <w:p w14:paraId="0A416C25">
      <w:pPr>
        <w:pBdr>
          <w:bottom w:val="single" w:color="auto" w:sz="6" w:space="1"/>
        </w:pBdr>
        <w:snapToGrid w:val="0"/>
        <w:spacing w:line="360" w:lineRule="auto"/>
        <w:ind w:firstLine="413" w:firstLineChars="196"/>
        <w:rPr>
          <w:rFonts w:ascii="宋体" w:hAnsi="宋体" w:cs="宋体"/>
          <w:color w:val="000000" w:themeColor="text1"/>
          <w:szCs w:val="21"/>
          <w:highlight w:val="none"/>
          <w:u w:val="singl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现文：</w:t>
      </w:r>
      <w:r>
        <w:rPr>
          <w:rFonts w:hint="eastAsia" w:ascii="宋体" w:hAnsi="宋体" w:cs="宋体"/>
          <w:color w:val="000000" w:themeColor="text1"/>
          <w:szCs w:val="21"/>
          <w:highlight w:val="none"/>
          <w14:textFill>
            <w14:solidFill>
              <w14:schemeClr w14:val="tx1"/>
            </w14:solidFill>
          </w14:textFill>
        </w:rPr>
        <w:t>44.1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w:t>
      </w:r>
      <w:r>
        <w:rPr>
          <w:rFonts w:hint="eastAsia" w:ascii="宋体" w:hAnsi="宋体" w:cs="宋体"/>
          <w:b/>
          <w:bCs/>
          <w:color w:val="000000" w:themeColor="text1"/>
          <w:szCs w:val="21"/>
          <w:highlight w:val="none"/>
          <w:u w:val="single"/>
          <w14:textFill>
            <w14:solidFill>
              <w14:schemeClr w14:val="tx1"/>
            </w14:solidFill>
          </w14:textFill>
        </w:rPr>
        <w:t>若通过技术标有效性审查的投标人不足三家，则重新招标。</w:t>
      </w:r>
      <w:r>
        <w:rPr>
          <w:rFonts w:hint="eastAsia" w:ascii="宋体" w:hAnsi="宋体" w:cs="宋体"/>
          <w:color w:val="000000" w:themeColor="text1"/>
          <w:szCs w:val="21"/>
          <w:highlight w:val="none"/>
          <w14:textFill>
            <w14:solidFill>
              <w14:schemeClr w14:val="tx1"/>
            </w14:solidFill>
          </w14:textFill>
        </w:rPr>
        <w:t>评委发现投标文件中含义不明确、对同类问题表述不一致、有明显文字和计算错误的，应当要求投标人作必要的澄清、说明后再判定投标人是否通过有效性审查，不得直接否决投标。</w:t>
      </w:r>
    </w:p>
    <w:p w14:paraId="71AEB219">
      <w:pPr>
        <w:snapToGrid w:val="0"/>
        <w:spacing w:line="360" w:lineRule="auto"/>
        <w:ind w:firstLine="422" w:firstLineChars="200"/>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条款号：45                         修改类型：修改</w:t>
      </w:r>
    </w:p>
    <w:p w14:paraId="057203D8">
      <w:pPr>
        <w:pStyle w:val="31"/>
        <w:tabs>
          <w:tab w:val="left" w:pos="7380"/>
        </w:tabs>
        <w:snapToGrid w:val="0"/>
        <w:spacing w:after="0" w:line="360" w:lineRule="auto"/>
        <w:ind w:firstLine="422" w:firstLineChars="20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b/>
          <w:color w:val="000000" w:themeColor="text1"/>
          <w:sz w:val="21"/>
          <w:szCs w:val="21"/>
          <w:highlight w:val="none"/>
          <w14:textFill>
            <w14:solidFill>
              <w14:schemeClr w14:val="tx1"/>
            </w14:solidFill>
          </w14:textFill>
        </w:rPr>
        <w:t>原文：</w:t>
      </w:r>
      <w:r>
        <w:rPr>
          <w:rFonts w:hint="eastAsia" w:ascii="宋体" w:hAnsi="宋体" w:cs="宋体"/>
          <w:color w:val="000000" w:themeColor="text1"/>
          <w:sz w:val="21"/>
          <w:szCs w:val="21"/>
          <w:highlight w:val="none"/>
          <w14:textFill>
            <w14:solidFill>
              <w14:schemeClr w14:val="tx1"/>
            </w14:solidFill>
          </w14:textFill>
        </w:rPr>
        <w:t>45．经济标评审和得分汇总</w:t>
      </w:r>
    </w:p>
    <w:p w14:paraId="3A7BCFD7">
      <w:pPr>
        <w:pStyle w:val="31"/>
        <w:tabs>
          <w:tab w:val="left" w:pos="7380"/>
        </w:tabs>
        <w:snapToGrid w:val="0"/>
        <w:spacing w:after="0" w:line="360" w:lineRule="auto"/>
        <w:ind w:firstLineChars="20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45.1若通过技术标有效性审查的投标人中所有投标报价均大于等于最高投标限价，则本项目招标失败，由招标人依法重新招标。</w:t>
      </w:r>
    </w:p>
    <w:p w14:paraId="683C8C46">
      <w:pPr>
        <w:widowControl/>
        <w:snapToGrid w:val="0"/>
        <w:spacing w:line="360" w:lineRule="auto"/>
        <w:ind w:firstLine="420" w:firstLineChars="200"/>
        <w:rPr>
          <w:rFonts w:ascii="宋体" w:hAnsi="宋体" w:cs="宋体"/>
          <w:b/>
          <w:bCs/>
          <w:color w:val="000000" w:themeColor="text1"/>
          <w:kern w:val="0"/>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45.2</w:t>
      </w:r>
      <w:r>
        <w:rPr>
          <w:rFonts w:hint="eastAsia" w:ascii="宋体" w:hAnsi="宋体" w:cs="宋体"/>
          <w:b/>
          <w:bCs/>
          <w:color w:val="000000" w:themeColor="text1"/>
          <w:kern w:val="0"/>
          <w:szCs w:val="21"/>
          <w:highlight w:val="none"/>
          <w14:textFill>
            <w14:solidFill>
              <w14:schemeClr w14:val="tx1"/>
            </w14:solidFill>
          </w14:textFill>
        </w:rPr>
        <w:t>区间抽取法</w:t>
      </w:r>
    </w:p>
    <w:p w14:paraId="2513DC2B">
      <w:pPr>
        <w:widowControl/>
        <w:snapToGrid w:val="0"/>
        <w:spacing w:line="360" w:lineRule="auto"/>
        <w:ind w:firstLine="420" w:firstLineChars="200"/>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设立入围合格分数线（技术标或技术标加诚信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14:paraId="29A90720">
      <w:pPr>
        <w:widowControl/>
        <w:snapToGrid w:val="0"/>
        <w:spacing w:line="360" w:lineRule="auto"/>
        <w:ind w:firstLine="420" w:firstLineChars="200"/>
        <w:rPr>
          <w:rFonts w:ascii="宋体" w:hAnsi="宋体" w:cs="宋体"/>
          <w:color w:val="000000" w:themeColor="text1"/>
          <w:kern w:val="0"/>
          <w:szCs w:val="21"/>
          <w:highlight w:val="none"/>
          <w:vertAlign w:val="subscript"/>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评标参考价=（Q</w:t>
      </w:r>
      <w:r>
        <w:rPr>
          <w:rFonts w:hint="eastAsia" w:ascii="宋体" w:hAnsi="宋体" w:cs="宋体"/>
          <w:color w:val="000000" w:themeColor="text1"/>
          <w:kern w:val="0"/>
          <w:szCs w:val="21"/>
          <w:highlight w:val="none"/>
          <w:vertAlign w:val="subscript"/>
          <w14:textFill>
            <w14:solidFill>
              <w14:schemeClr w14:val="tx1"/>
            </w14:solidFill>
          </w14:textFill>
        </w:rPr>
        <w:t>高</w:t>
      </w:r>
      <w:r>
        <w:rPr>
          <w:rFonts w:hint="eastAsia" w:ascii="宋体" w:hAnsi="宋体" w:cs="宋体"/>
          <w:color w:val="000000" w:themeColor="text1"/>
          <w:kern w:val="0"/>
          <w:szCs w:val="21"/>
          <w:highlight w:val="none"/>
          <w14:textFill>
            <w14:solidFill>
              <w14:schemeClr w14:val="tx1"/>
            </w14:solidFill>
          </w14:textFill>
        </w:rPr>
        <w:t>-Q</w:t>
      </w:r>
      <w:r>
        <w:rPr>
          <w:rFonts w:hint="eastAsia" w:ascii="宋体" w:hAnsi="宋体" w:cs="宋体"/>
          <w:color w:val="000000" w:themeColor="text1"/>
          <w:kern w:val="0"/>
          <w:szCs w:val="21"/>
          <w:highlight w:val="none"/>
          <w:vertAlign w:val="subscript"/>
          <w14:textFill>
            <w14:solidFill>
              <w14:schemeClr w14:val="tx1"/>
            </w14:solidFill>
          </w14:textFill>
        </w:rPr>
        <w:t>低</w:t>
      </w:r>
      <w:r>
        <w:rPr>
          <w:rFonts w:hint="eastAsia" w:ascii="宋体" w:hAnsi="宋体" w:cs="宋体"/>
          <w:color w:val="000000" w:themeColor="text1"/>
          <w:kern w:val="0"/>
          <w:szCs w:val="21"/>
          <w:highlight w:val="none"/>
          <w14:textFill>
            <w14:solidFill>
              <w14:schemeClr w14:val="tx1"/>
            </w14:solidFill>
          </w14:textFill>
        </w:rPr>
        <w:t>）/100*Ｘ+Q</w:t>
      </w:r>
      <w:r>
        <w:rPr>
          <w:rFonts w:hint="eastAsia" w:ascii="宋体" w:hAnsi="宋体" w:cs="宋体"/>
          <w:color w:val="000000" w:themeColor="text1"/>
          <w:kern w:val="0"/>
          <w:szCs w:val="21"/>
          <w:highlight w:val="none"/>
          <w:vertAlign w:val="subscript"/>
          <w14:textFill>
            <w14:solidFill>
              <w14:schemeClr w14:val="tx1"/>
            </w14:solidFill>
          </w14:textFill>
        </w:rPr>
        <w:t>低</w:t>
      </w:r>
    </w:p>
    <w:p w14:paraId="49FA6431">
      <w:pPr>
        <w:widowControl/>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Q</w:t>
      </w:r>
      <w:r>
        <w:rPr>
          <w:rFonts w:hint="eastAsia" w:ascii="宋体" w:hAnsi="宋体" w:cs="宋体"/>
          <w:color w:val="000000" w:themeColor="text1"/>
          <w:szCs w:val="21"/>
          <w:highlight w:val="none"/>
          <w:vertAlign w:val="subscript"/>
          <w14:textFill>
            <w14:solidFill>
              <w14:schemeClr w14:val="tx1"/>
            </w14:solidFill>
          </w14:textFill>
        </w:rPr>
        <w:t>低</w:t>
      </w:r>
      <w:r>
        <w:rPr>
          <w:rFonts w:hint="eastAsia" w:ascii="宋体" w:hAnsi="宋体" w:cs="宋体"/>
          <w:color w:val="000000" w:themeColor="text1"/>
          <w:szCs w:val="21"/>
          <w:highlight w:val="none"/>
          <w14:textFill>
            <w14:solidFill>
              <w14:schemeClr w14:val="tx1"/>
            </w14:solidFill>
          </w14:textFill>
        </w:rPr>
        <w:t>：为达到或超过技术标及格分数线的投标人最低报价与工程成本警示价两者中的较高值；</w:t>
      </w:r>
    </w:p>
    <w:p w14:paraId="5FF2C0A7">
      <w:pPr>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Q</w:t>
      </w:r>
      <w:r>
        <w:rPr>
          <w:rFonts w:hint="eastAsia" w:ascii="宋体" w:hAnsi="宋体" w:cs="宋体"/>
          <w:color w:val="000000" w:themeColor="text1"/>
          <w:kern w:val="0"/>
          <w:szCs w:val="21"/>
          <w:highlight w:val="none"/>
          <w:vertAlign w:val="subscript"/>
          <w14:textFill>
            <w14:solidFill>
              <w14:schemeClr w14:val="tx1"/>
            </w14:solidFill>
          </w14:textFill>
        </w:rPr>
        <w:t>高</w:t>
      </w:r>
      <w:r>
        <w:rPr>
          <w:rFonts w:hint="eastAsia" w:ascii="宋体" w:hAnsi="宋体" w:cs="宋体"/>
          <w:color w:val="000000" w:themeColor="text1"/>
          <w:szCs w:val="21"/>
          <w:highlight w:val="none"/>
          <w14:textFill>
            <w14:solidFill>
              <w14:schemeClr w14:val="tx1"/>
            </w14:solidFill>
          </w14:textFill>
        </w:rPr>
        <w:t>：为最高投标限价</w:t>
      </w:r>
    </w:p>
    <w:p w14:paraId="37EFC05C">
      <w:pPr>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X:为等分点值，在开标前从[0,100]整数中随机抽取</w:t>
      </w:r>
    </w:p>
    <w:p w14:paraId="260CDFE1">
      <w:pPr>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45.3</w:t>
      </w:r>
      <w:r>
        <w:rPr>
          <w:rFonts w:hint="eastAsia" w:ascii="宋体" w:hAnsi="宋体" w:cs="宋体"/>
          <w:color w:val="000000" w:themeColor="text1"/>
          <w:szCs w:val="21"/>
          <w:highlight w:val="none"/>
          <w14:textFill>
            <w14:solidFill>
              <w14:schemeClr w14:val="tx1"/>
            </w14:solidFill>
          </w14:textFill>
        </w:rPr>
        <w:t>当标价等于评标参考价时得100分，标价每高于评标参考价1%，扣1.5分，每低于评标参考价1%，扣1分，扣至0分为止，得出经济分，精确到小数点后两位。</w:t>
      </w:r>
    </w:p>
    <w:p w14:paraId="3CFEA0CE">
      <w:pPr>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45.4计算通过技术标有效性审查的投标人总得分。投标人总得分=（技术得分×技术得分权重＋经济得分×经济得分权重）×（1-综合诚信评价分数权重）＋综合诚信评价排名得分×综合诚信评价分数权重）。技术、经济得分权重及综合诚信评价分数权重按投标须知前附表的规定执行。总得分四舍五入保留两位小数。</w:t>
      </w:r>
    </w:p>
    <w:p w14:paraId="18175FA8">
      <w:pPr>
        <w:pBdr>
          <w:bottom w:val="single" w:color="auto" w:sz="6" w:space="1"/>
        </w:pBdr>
        <w:snapToGrid w:val="0"/>
        <w:spacing w:line="360" w:lineRule="auto"/>
        <w:ind w:firstLine="472" w:firstLineChars="224"/>
        <w:rPr>
          <w:rFonts w:hint="eastAsia" w:ascii="宋体" w:hAnsi="宋体" w:eastAsia="宋体" w:cs="宋体"/>
          <w:b/>
          <w:bCs/>
          <w:color w:val="000000" w:themeColor="text1"/>
          <w:szCs w:val="21"/>
          <w:highlight w:val="none"/>
          <w:u w:val="single"/>
          <w14:textFill>
            <w14:solidFill>
              <w14:schemeClr w14:val="tx1"/>
            </w14:solidFill>
          </w14:textFill>
        </w:rPr>
      </w:pPr>
      <w:r>
        <w:rPr>
          <w:rFonts w:hint="eastAsia" w:ascii="宋体" w:hAnsi="宋体" w:cs="宋体"/>
          <w:b/>
          <w:bCs/>
          <w:color w:val="000000" w:themeColor="text1"/>
          <w:sz w:val="21"/>
          <w:szCs w:val="21"/>
          <w:highlight w:val="none"/>
          <w14:textFill>
            <w14:solidFill>
              <w14:schemeClr w14:val="tx1"/>
            </w14:solidFill>
          </w14:textFill>
        </w:rPr>
        <w:t>现文</w:t>
      </w:r>
      <w:r>
        <w:rPr>
          <w:rFonts w:hint="eastAsia" w:ascii="宋体" w:hAnsi="宋体" w:cs="宋体"/>
          <w:color w:val="000000" w:themeColor="text1"/>
          <w:sz w:val="21"/>
          <w:szCs w:val="21"/>
          <w:highlight w:val="none"/>
          <w14:textFill>
            <w14:solidFill>
              <w14:schemeClr w14:val="tx1"/>
            </w14:solidFill>
          </w14:textFill>
        </w:rPr>
        <w:t>：</w:t>
      </w:r>
      <w:r>
        <w:rPr>
          <w:rFonts w:hint="eastAsia" w:ascii="宋体" w:hAnsi="宋体" w:eastAsia="宋体" w:cs="宋体"/>
          <w:b/>
          <w:bCs/>
          <w:color w:val="000000" w:themeColor="text1"/>
          <w:szCs w:val="21"/>
          <w:highlight w:val="none"/>
          <w:u w:val="single"/>
          <w14:textFill>
            <w14:solidFill>
              <w14:schemeClr w14:val="tx1"/>
            </w14:solidFill>
          </w14:textFill>
        </w:rPr>
        <w:t>45．经济标评审和得分汇总</w:t>
      </w:r>
    </w:p>
    <w:p w14:paraId="510871EB">
      <w:pPr>
        <w:pBdr>
          <w:bottom w:val="single" w:color="auto" w:sz="6" w:space="1"/>
        </w:pBdr>
        <w:snapToGrid w:val="0"/>
        <w:spacing w:line="360" w:lineRule="auto"/>
        <w:ind w:firstLine="472" w:firstLineChars="224"/>
        <w:rPr>
          <w:rFonts w:hint="eastAsia" w:ascii="宋体" w:hAnsi="宋体" w:eastAsia="宋体" w:cs="宋体"/>
          <w:b/>
          <w:bCs/>
          <w:color w:val="000000" w:themeColor="text1"/>
          <w:szCs w:val="21"/>
          <w:highlight w:val="none"/>
          <w:u w:val="single"/>
          <w14:textFill>
            <w14:solidFill>
              <w14:schemeClr w14:val="tx1"/>
            </w14:solidFill>
          </w14:textFill>
        </w:rPr>
      </w:pPr>
      <w:r>
        <w:rPr>
          <w:rFonts w:hint="eastAsia" w:ascii="宋体" w:hAnsi="宋体" w:eastAsia="宋体" w:cs="宋体"/>
          <w:b/>
          <w:bCs/>
          <w:color w:val="000000" w:themeColor="text1"/>
          <w:szCs w:val="21"/>
          <w:highlight w:val="none"/>
          <w:u w:val="single"/>
          <w14:textFill>
            <w14:solidFill>
              <w14:schemeClr w14:val="tx1"/>
            </w14:solidFill>
          </w14:textFill>
        </w:rPr>
        <w:t>45.1若通过技术标有效性审查的投标人中所有投标报价均大于等于最高投标限价，则本项目招标失败，由招标人依法重新招标。</w:t>
      </w:r>
    </w:p>
    <w:p w14:paraId="41E80D9D">
      <w:pPr>
        <w:pBdr>
          <w:bottom w:val="single" w:color="auto" w:sz="6" w:space="1"/>
        </w:pBdr>
        <w:snapToGrid w:val="0"/>
        <w:spacing w:line="360" w:lineRule="auto"/>
        <w:ind w:firstLine="472" w:firstLineChars="224"/>
        <w:rPr>
          <w:rFonts w:hint="eastAsia" w:ascii="宋体" w:hAnsi="宋体" w:eastAsia="宋体" w:cs="宋体"/>
          <w:b/>
          <w:bCs/>
          <w:color w:val="000000" w:themeColor="text1"/>
          <w:szCs w:val="21"/>
          <w:highlight w:val="none"/>
          <w:u w:val="single"/>
          <w:lang w:eastAsia="zh-CN"/>
          <w14:textFill>
            <w14:solidFill>
              <w14:schemeClr w14:val="tx1"/>
            </w14:solidFill>
          </w14:textFill>
        </w:rPr>
      </w:pPr>
      <w:r>
        <w:rPr>
          <w:rFonts w:hint="eastAsia" w:ascii="宋体" w:hAnsi="宋体" w:eastAsia="宋体" w:cs="宋体"/>
          <w:b/>
          <w:bCs/>
          <w:color w:val="000000" w:themeColor="text1"/>
          <w:szCs w:val="21"/>
          <w:highlight w:val="none"/>
          <w:u w:val="single"/>
          <w14:textFill>
            <w14:solidFill>
              <w14:schemeClr w14:val="tx1"/>
            </w14:solidFill>
          </w14:textFill>
        </w:rPr>
        <w:t>4</w:t>
      </w:r>
      <w:r>
        <w:rPr>
          <w:rFonts w:hint="eastAsia" w:ascii="宋体" w:hAnsi="宋体" w:eastAsia="宋体" w:cs="宋体"/>
          <w:b/>
          <w:bCs/>
          <w:color w:val="000000" w:themeColor="text1"/>
          <w:szCs w:val="21"/>
          <w:highlight w:val="none"/>
          <w:u w:val="single"/>
          <w:lang w:val="en-US" w:eastAsia="zh-CN"/>
          <w14:textFill>
            <w14:solidFill>
              <w14:schemeClr w14:val="tx1"/>
            </w14:solidFill>
          </w14:textFill>
        </w:rPr>
        <w:t>5</w:t>
      </w:r>
      <w:r>
        <w:rPr>
          <w:rFonts w:hint="eastAsia" w:ascii="宋体" w:hAnsi="宋体" w:eastAsia="宋体" w:cs="宋体"/>
          <w:b/>
          <w:bCs/>
          <w:color w:val="000000" w:themeColor="text1"/>
          <w:szCs w:val="21"/>
          <w:highlight w:val="none"/>
          <w:u w:val="single"/>
          <w:lang w:eastAsia="zh-CN"/>
          <w14:textFill>
            <w14:solidFill>
              <w14:schemeClr w14:val="tx1"/>
            </w14:solidFill>
          </w14:textFill>
        </w:rPr>
        <w:t>.</w:t>
      </w:r>
      <w:r>
        <w:rPr>
          <w:rFonts w:hint="eastAsia" w:ascii="宋体" w:hAnsi="宋体" w:eastAsia="宋体" w:cs="宋体"/>
          <w:b/>
          <w:bCs/>
          <w:color w:val="000000" w:themeColor="text1"/>
          <w:szCs w:val="21"/>
          <w:highlight w:val="none"/>
          <w:u w:val="single"/>
          <w:lang w:val="en-US" w:eastAsia="zh-CN"/>
          <w14:textFill>
            <w14:solidFill>
              <w14:schemeClr w14:val="tx1"/>
            </w14:solidFill>
          </w14:textFill>
        </w:rPr>
        <w:t>2</w:t>
      </w:r>
      <w:r>
        <w:rPr>
          <w:rFonts w:hint="eastAsia" w:ascii="宋体" w:hAnsi="宋体" w:eastAsia="宋体" w:cs="宋体"/>
          <w:b/>
          <w:bCs/>
          <w:color w:val="000000" w:themeColor="text1"/>
          <w:szCs w:val="21"/>
          <w:highlight w:val="none"/>
          <w:u w:val="single"/>
          <w14:textFill>
            <w14:solidFill>
              <w14:schemeClr w14:val="tx1"/>
            </w14:solidFill>
          </w14:textFill>
        </w:rPr>
        <w:t>投标文件经济标的评分（投标报价低于成本警示价的投标人不参加经济标的评分）</w:t>
      </w:r>
      <w:r>
        <w:rPr>
          <w:rFonts w:hint="eastAsia" w:ascii="宋体" w:hAnsi="宋体" w:eastAsia="宋体" w:cs="宋体"/>
          <w:b/>
          <w:bCs/>
          <w:color w:val="000000" w:themeColor="text1"/>
          <w:szCs w:val="21"/>
          <w:highlight w:val="none"/>
          <w:u w:val="single"/>
          <w:lang w:eastAsia="zh-CN"/>
          <w14:textFill>
            <w14:solidFill>
              <w14:schemeClr w14:val="tx1"/>
            </w14:solidFill>
          </w14:textFill>
        </w:rPr>
        <w:t>。</w:t>
      </w:r>
    </w:p>
    <w:p w14:paraId="36EE52BF">
      <w:pPr>
        <w:pBdr>
          <w:bottom w:val="single" w:color="auto" w:sz="6" w:space="1"/>
        </w:pBdr>
        <w:snapToGrid w:val="0"/>
        <w:spacing w:line="360" w:lineRule="auto"/>
        <w:ind w:firstLine="472" w:firstLineChars="224"/>
        <w:rPr>
          <w:rFonts w:hint="eastAsia" w:ascii="宋体" w:hAnsi="宋体" w:eastAsia="宋体" w:cs="宋体"/>
          <w:b/>
          <w:bCs/>
          <w:color w:val="000000" w:themeColor="text1"/>
          <w:szCs w:val="21"/>
          <w:highlight w:val="none"/>
          <w:u w:val="single"/>
          <w14:textFill>
            <w14:solidFill>
              <w14:schemeClr w14:val="tx1"/>
            </w14:solidFill>
          </w14:textFill>
        </w:rPr>
      </w:pPr>
      <w:r>
        <w:rPr>
          <w:rFonts w:hint="eastAsia" w:ascii="宋体" w:hAnsi="宋体" w:eastAsia="宋体" w:cs="宋体"/>
          <w:b/>
          <w:bCs/>
          <w:color w:val="000000" w:themeColor="text1"/>
          <w:szCs w:val="21"/>
          <w:highlight w:val="none"/>
          <w:u w:val="single"/>
          <w14:textFill>
            <w14:solidFill>
              <w14:schemeClr w14:val="tx1"/>
            </w14:solidFill>
          </w14:textFill>
        </w:rPr>
        <w:t>4</w:t>
      </w:r>
      <w:r>
        <w:rPr>
          <w:rFonts w:hint="eastAsia" w:ascii="宋体" w:hAnsi="宋体" w:eastAsia="宋体" w:cs="宋体"/>
          <w:b/>
          <w:bCs/>
          <w:color w:val="000000" w:themeColor="text1"/>
          <w:szCs w:val="21"/>
          <w:highlight w:val="none"/>
          <w:u w:val="single"/>
          <w:lang w:val="en-US" w:eastAsia="zh-CN"/>
          <w14:textFill>
            <w14:solidFill>
              <w14:schemeClr w14:val="tx1"/>
            </w14:solidFill>
          </w14:textFill>
        </w:rPr>
        <w:t>5</w:t>
      </w:r>
      <w:r>
        <w:rPr>
          <w:rFonts w:hint="eastAsia" w:ascii="宋体" w:hAnsi="宋体" w:eastAsia="宋体" w:cs="宋体"/>
          <w:b/>
          <w:bCs/>
          <w:color w:val="000000" w:themeColor="text1"/>
          <w:szCs w:val="21"/>
          <w:highlight w:val="none"/>
          <w:u w:val="single"/>
          <w:lang w:eastAsia="zh-CN"/>
          <w14:textFill>
            <w14:solidFill>
              <w14:schemeClr w14:val="tx1"/>
            </w14:solidFill>
          </w14:textFill>
        </w:rPr>
        <w:t>.</w:t>
      </w:r>
      <w:r>
        <w:rPr>
          <w:rFonts w:hint="eastAsia" w:ascii="宋体" w:hAnsi="宋体" w:eastAsia="宋体" w:cs="宋体"/>
          <w:b/>
          <w:bCs/>
          <w:color w:val="000000" w:themeColor="text1"/>
          <w:szCs w:val="21"/>
          <w:highlight w:val="none"/>
          <w:u w:val="single"/>
          <w:lang w:val="en-US" w:eastAsia="zh-CN"/>
          <w14:textFill>
            <w14:solidFill>
              <w14:schemeClr w14:val="tx1"/>
            </w14:solidFill>
          </w14:textFill>
        </w:rPr>
        <w:t>2.1</w:t>
      </w:r>
      <w:r>
        <w:rPr>
          <w:rFonts w:hint="eastAsia" w:ascii="宋体" w:hAnsi="宋体" w:eastAsia="宋体" w:cs="宋体"/>
          <w:b/>
          <w:bCs/>
          <w:color w:val="000000" w:themeColor="text1"/>
          <w:szCs w:val="21"/>
          <w:highlight w:val="none"/>
          <w:u w:val="single"/>
          <w14:textFill>
            <w14:solidFill>
              <w14:schemeClr w14:val="tx1"/>
            </w14:solidFill>
          </w14:textFill>
        </w:rPr>
        <w:t>按以下方法计算评标参考价：设在[成本警示价，最高投标限价×95%]区间的投标报价数量为G，上述G个投标人的技术标得分由高至低排序，将技术标得分前H名的投标报价的算术平均值作为评标参考价（如G≥10，则H=10；如1≤G&lt;10，则H=G）；若G=0的，则采用成本警示价与“最高投标限价×95%”的算术平均值为评标参考价。</w:t>
      </w:r>
    </w:p>
    <w:p w14:paraId="43CDB697">
      <w:pPr>
        <w:pBdr>
          <w:bottom w:val="single" w:color="auto" w:sz="6" w:space="1"/>
        </w:pBdr>
        <w:snapToGrid w:val="0"/>
        <w:spacing w:line="360" w:lineRule="auto"/>
        <w:ind w:firstLine="472" w:firstLineChars="224"/>
        <w:rPr>
          <w:rFonts w:hint="eastAsia" w:ascii="宋体" w:hAnsi="宋体" w:eastAsia="宋体" w:cs="宋体"/>
          <w:b/>
          <w:bCs/>
          <w:color w:val="000000" w:themeColor="text1"/>
          <w:szCs w:val="21"/>
          <w:highlight w:val="none"/>
          <w:u w:val="single"/>
          <w14:textFill>
            <w14:solidFill>
              <w14:schemeClr w14:val="tx1"/>
            </w14:solidFill>
          </w14:textFill>
        </w:rPr>
      </w:pPr>
      <w:r>
        <w:rPr>
          <w:rFonts w:hint="eastAsia" w:ascii="宋体" w:hAnsi="宋体" w:eastAsia="宋体" w:cs="宋体"/>
          <w:b/>
          <w:bCs/>
          <w:color w:val="000000" w:themeColor="text1"/>
          <w:szCs w:val="21"/>
          <w:highlight w:val="none"/>
          <w:u w:val="single"/>
          <w14:textFill>
            <w14:solidFill>
              <w14:schemeClr w14:val="tx1"/>
            </w14:solidFill>
          </w14:textFill>
        </w:rPr>
        <w:t>4</w:t>
      </w:r>
      <w:r>
        <w:rPr>
          <w:rFonts w:hint="eastAsia" w:ascii="宋体" w:hAnsi="宋体" w:eastAsia="宋体" w:cs="宋体"/>
          <w:b/>
          <w:bCs/>
          <w:color w:val="000000" w:themeColor="text1"/>
          <w:szCs w:val="21"/>
          <w:highlight w:val="none"/>
          <w:u w:val="single"/>
          <w:lang w:val="en-US" w:eastAsia="zh-CN"/>
          <w14:textFill>
            <w14:solidFill>
              <w14:schemeClr w14:val="tx1"/>
            </w14:solidFill>
          </w14:textFill>
        </w:rPr>
        <w:t>5</w:t>
      </w:r>
      <w:r>
        <w:rPr>
          <w:rFonts w:hint="eastAsia" w:ascii="宋体" w:hAnsi="宋体" w:eastAsia="宋体" w:cs="宋体"/>
          <w:b/>
          <w:bCs/>
          <w:color w:val="000000" w:themeColor="text1"/>
          <w:szCs w:val="21"/>
          <w:highlight w:val="none"/>
          <w:u w:val="single"/>
          <w:lang w:eastAsia="zh-CN"/>
          <w14:textFill>
            <w14:solidFill>
              <w14:schemeClr w14:val="tx1"/>
            </w14:solidFill>
          </w14:textFill>
        </w:rPr>
        <w:t>.</w:t>
      </w:r>
      <w:r>
        <w:rPr>
          <w:rFonts w:hint="eastAsia" w:ascii="宋体" w:hAnsi="宋体" w:eastAsia="宋体" w:cs="宋体"/>
          <w:b/>
          <w:bCs/>
          <w:color w:val="000000" w:themeColor="text1"/>
          <w:szCs w:val="21"/>
          <w:highlight w:val="none"/>
          <w:u w:val="single"/>
          <w:lang w:val="en-US" w:eastAsia="zh-CN"/>
          <w14:textFill>
            <w14:solidFill>
              <w14:schemeClr w14:val="tx1"/>
            </w14:solidFill>
          </w14:textFill>
        </w:rPr>
        <w:t>3</w:t>
      </w:r>
      <w:r>
        <w:rPr>
          <w:rFonts w:hint="eastAsia" w:ascii="宋体" w:hAnsi="宋体" w:eastAsia="宋体" w:cs="宋体"/>
          <w:b/>
          <w:bCs/>
          <w:color w:val="000000" w:themeColor="text1"/>
          <w:szCs w:val="21"/>
          <w:highlight w:val="none"/>
          <w:u w:val="single"/>
          <w14:textFill>
            <w14:solidFill>
              <w14:schemeClr w14:val="tx1"/>
            </w14:solidFill>
          </w14:textFill>
        </w:rPr>
        <w:t>当标价等于评标参考价时得100分，标价每高于评标参考价1%，扣1.5分，每低于评标参考价1%，扣1分，扣至0分为止；得出经济分，精确到小数点后两位。</w:t>
      </w:r>
    </w:p>
    <w:p w14:paraId="27D131C9">
      <w:pPr>
        <w:pBdr>
          <w:bottom w:val="single" w:color="auto" w:sz="6" w:space="1"/>
        </w:pBdr>
        <w:snapToGrid w:val="0"/>
        <w:spacing w:line="360" w:lineRule="auto"/>
        <w:ind w:firstLine="472" w:firstLineChars="224"/>
        <w:rPr>
          <w:rFonts w:hint="eastAsia" w:ascii="宋体" w:hAnsi="宋体" w:eastAsia="宋体" w:cs="宋体"/>
          <w:b/>
          <w:bCs/>
          <w:color w:val="000000" w:themeColor="text1"/>
          <w:szCs w:val="21"/>
          <w:highlight w:val="none"/>
          <w:u w:val="single"/>
          <w:lang w:val="en-US" w:eastAsia="zh-CN"/>
          <w14:textFill>
            <w14:solidFill>
              <w14:schemeClr w14:val="tx1"/>
            </w14:solidFill>
          </w14:textFill>
        </w:rPr>
      </w:pPr>
      <w:r>
        <w:rPr>
          <w:rFonts w:hint="eastAsia" w:ascii="宋体" w:hAnsi="宋体" w:eastAsia="宋体" w:cs="宋体"/>
          <w:b/>
          <w:bCs/>
          <w:color w:val="000000" w:themeColor="text1"/>
          <w:szCs w:val="21"/>
          <w:highlight w:val="none"/>
          <w:u w:val="single"/>
          <w14:textFill>
            <w14:solidFill>
              <w14:schemeClr w14:val="tx1"/>
            </w14:solidFill>
          </w14:textFill>
        </w:rPr>
        <w:t>4</w:t>
      </w:r>
      <w:r>
        <w:rPr>
          <w:rFonts w:hint="eastAsia" w:ascii="宋体" w:hAnsi="宋体" w:eastAsia="宋体" w:cs="宋体"/>
          <w:b/>
          <w:bCs/>
          <w:color w:val="000000" w:themeColor="text1"/>
          <w:szCs w:val="21"/>
          <w:highlight w:val="none"/>
          <w:u w:val="single"/>
          <w:lang w:val="en-US" w:eastAsia="zh-CN"/>
          <w14:textFill>
            <w14:solidFill>
              <w14:schemeClr w14:val="tx1"/>
            </w14:solidFill>
          </w14:textFill>
        </w:rPr>
        <w:t>5</w:t>
      </w:r>
      <w:r>
        <w:rPr>
          <w:rFonts w:hint="eastAsia" w:ascii="宋体" w:hAnsi="宋体" w:eastAsia="宋体" w:cs="宋体"/>
          <w:b/>
          <w:bCs/>
          <w:color w:val="000000" w:themeColor="text1"/>
          <w:szCs w:val="21"/>
          <w:highlight w:val="none"/>
          <w:u w:val="single"/>
          <w:lang w:eastAsia="zh-CN"/>
          <w14:textFill>
            <w14:solidFill>
              <w14:schemeClr w14:val="tx1"/>
            </w14:solidFill>
          </w14:textFill>
        </w:rPr>
        <w:t>.</w:t>
      </w:r>
      <w:r>
        <w:rPr>
          <w:rFonts w:hint="eastAsia" w:ascii="宋体" w:hAnsi="宋体" w:eastAsia="宋体" w:cs="宋体"/>
          <w:b/>
          <w:bCs/>
          <w:color w:val="000000" w:themeColor="text1"/>
          <w:szCs w:val="21"/>
          <w:highlight w:val="none"/>
          <w:u w:val="single"/>
          <w:lang w:val="en-US" w:eastAsia="zh-CN"/>
          <w14:textFill>
            <w14:solidFill>
              <w14:schemeClr w14:val="tx1"/>
            </w14:solidFill>
          </w14:textFill>
        </w:rPr>
        <w:t>4推荐中标候选人：推荐3-8名合格的中标候选人。</w:t>
      </w:r>
    </w:p>
    <w:p w14:paraId="46DC065A">
      <w:pPr>
        <w:pBdr>
          <w:bottom w:val="single" w:color="auto" w:sz="6" w:space="1"/>
        </w:pBdr>
        <w:snapToGrid w:val="0"/>
        <w:spacing w:line="360" w:lineRule="auto"/>
        <w:ind w:firstLine="472" w:firstLineChars="224"/>
        <w:rPr>
          <w:rFonts w:hint="eastAsia" w:ascii="宋体" w:hAnsi="宋体" w:cs="宋体"/>
          <w:b/>
          <w:bCs/>
          <w:color w:val="000000" w:themeColor="text1"/>
          <w:szCs w:val="21"/>
          <w:highlight w:val="none"/>
          <w:u w:val="single"/>
          <w14:textFill>
            <w14:solidFill>
              <w14:schemeClr w14:val="tx1"/>
            </w14:solidFill>
          </w14:textFill>
        </w:rPr>
      </w:pPr>
      <w:r>
        <w:rPr>
          <w:rFonts w:hint="eastAsia" w:ascii="宋体" w:hAnsi="宋体" w:cs="宋体"/>
          <w:b/>
          <w:bCs/>
          <w:color w:val="000000" w:themeColor="text1"/>
          <w:szCs w:val="21"/>
          <w:highlight w:val="none"/>
          <w:u w:val="single"/>
          <w14:textFill>
            <w14:solidFill>
              <w14:schemeClr w14:val="tx1"/>
            </w14:solidFill>
          </w14:textFill>
        </w:rPr>
        <w:t>（1）对于投标报价低于成本警示价的投标人：</w:t>
      </w:r>
    </w:p>
    <w:p w14:paraId="70020936">
      <w:pPr>
        <w:pBdr>
          <w:bottom w:val="single" w:color="auto" w:sz="6" w:space="1"/>
        </w:pBdr>
        <w:snapToGrid w:val="0"/>
        <w:spacing w:line="360" w:lineRule="auto"/>
        <w:ind w:firstLine="472" w:firstLineChars="224"/>
        <w:rPr>
          <w:rFonts w:hint="eastAsia" w:ascii="宋体" w:hAnsi="宋体" w:cs="宋体"/>
          <w:b/>
          <w:bCs/>
          <w:color w:val="000000" w:themeColor="text1"/>
          <w:szCs w:val="21"/>
          <w:highlight w:val="none"/>
          <w:u w:val="single"/>
          <w14:textFill>
            <w14:solidFill>
              <w14:schemeClr w14:val="tx1"/>
            </w14:solidFill>
          </w14:textFill>
        </w:rPr>
      </w:pPr>
      <w:r>
        <w:rPr>
          <w:rFonts w:hint="eastAsia" w:ascii="宋体" w:hAnsi="宋体" w:cs="宋体"/>
          <w:b/>
          <w:bCs/>
          <w:color w:val="000000" w:themeColor="text1"/>
          <w:szCs w:val="21"/>
          <w:highlight w:val="none"/>
          <w:u w:val="single"/>
          <w14:textFill>
            <w14:solidFill>
              <w14:schemeClr w14:val="tx1"/>
            </w14:solidFill>
          </w14:textFill>
        </w:rPr>
        <w:t>不参加经济标评审，但需参加技术标详细评审及经济标有效性审查。评标委员会根据技术分（100分）=企业资信（30分）＋项目组织管理机构能力（</w:t>
      </w:r>
      <w:r>
        <w:rPr>
          <w:rFonts w:hint="eastAsia" w:ascii="宋体" w:hAnsi="宋体" w:cs="宋体"/>
          <w:b/>
          <w:bCs/>
          <w:color w:val="000000" w:themeColor="text1"/>
          <w:szCs w:val="21"/>
          <w:highlight w:val="none"/>
          <w:u w:val="single"/>
          <w:lang w:val="en-US" w:eastAsia="zh-CN"/>
          <w14:textFill>
            <w14:solidFill>
              <w14:schemeClr w14:val="tx1"/>
            </w14:solidFill>
          </w14:textFill>
        </w:rPr>
        <w:t>2</w:t>
      </w:r>
      <w:r>
        <w:rPr>
          <w:rFonts w:hint="eastAsia" w:ascii="宋体" w:hAnsi="宋体" w:cs="宋体"/>
          <w:b/>
          <w:bCs/>
          <w:color w:val="000000" w:themeColor="text1"/>
          <w:szCs w:val="21"/>
          <w:highlight w:val="none"/>
          <w:u w:val="single"/>
          <w14:textFill>
            <w14:solidFill>
              <w14:schemeClr w14:val="tx1"/>
            </w14:solidFill>
          </w14:textFill>
        </w:rPr>
        <w:t>0分）＋施工组织设计（</w:t>
      </w:r>
      <w:r>
        <w:rPr>
          <w:rFonts w:hint="eastAsia" w:ascii="宋体" w:hAnsi="宋体" w:cs="宋体"/>
          <w:b/>
          <w:bCs/>
          <w:color w:val="000000" w:themeColor="text1"/>
          <w:szCs w:val="21"/>
          <w:highlight w:val="none"/>
          <w:u w:val="single"/>
          <w:lang w:val="en-US" w:eastAsia="zh-CN"/>
          <w14:textFill>
            <w14:solidFill>
              <w14:schemeClr w14:val="tx1"/>
            </w14:solidFill>
          </w14:textFill>
        </w:rPr>
        <w:t>5</w:t>
      </w:r>
      <w:r>
        <w:rPr>
          <w:rFonts w:hint="eastAsia" w:ascii="宋体" w:hAnsi="宋体" w:cs="宋体"/>
          <w:b/>
          <w:bCs/>
          <w:color w:val="000000" w:themeColor="text1"/>
          <w:szCs w:val="21"/>
          <w:highlight w:val="none"/>
          <w:u w:val="single"/>
          <w14:textFill>
            <w14:solidFill>
              <w14:schemeClr w14:val="tx1"/>
            </w14:solidFill>
          </w14:textFill>
        </w:rPr>
        <w:t>0分）排序，推荐通过经济标有效性审查的前1名投标人为合格中标候选人进入定标阶段。</w:t>
      </w:r>
    </w:p>
    <w:p w14:paraId="0521D1E5">
      <w:pPr>
        <w:pBdr>
          <w:bottom w:val="single" w:color="auto" w:sz="6" w:space="1"/>
        </w:pBdr>
        <w:snapToGrid w:val="0"/>
        <w:spacing w:line="360" w:lineRule="auto"/>
        <w:ind w:firstLine="472" w:firstLineChars="224"/>
        <w:rPr>
          <w:rFonts w:hint="eastAsia" w:ascii="宋体" w:hAnsi="宋体" w:cs="宋体"/>
          <w:b/>
          <w:bCs/>
          <w:color w:val="000000" w:themeColor="text1"/>
          <w:szCs w:val="21"/>
          <w:highlight w:val="none"/>
          <w:u w:val="single"/>
          <w14:textFill>
            <w14:solidFill>
              <w14:schemeClr w14:val="tx1"/>
            </w14:solidFill>
          </w14:textFill>
        </w:rPr>
      </w:pPr>
      <w:r>
        <w:rPr>
          <w:rFonts w:hint="eastAsia" w:ascii="宋体" w:hAnsi="宋体" w:cs="宋体"/>
          <w:b/>
          <w:bCs/>
          <w:color w:val="000000" w:themeColor="text1"/>
          <w:szCs w:val="21"/>
          <w:highlight w:val="none"/>
          <w:u w:val="single"/>
          <w14:textFill>
            <w14:solidFill>
              <w14:schemeClr w14:val="tx1"/>
            </w14:solidFill>
          </w14:textFill>
        </w:rPr>
        <w:t>若技术分相同的投标文件，以投标总报价较低的排前；如仍存在相同情况，则对具有相同情况的投标人，由评标委员会采用记名投票方式，确定投标人的排序。</w:t>
      </w:r>
    </w:p>
    <w:p w14:paraId="39E77EEB">
      <w:pPr>
        <w:pBdr>
          <w:bottom w:val="single" w:color="auto" w:sz="6" w:space="1"/>
        </w:pBdr>
        <w:snapToGrid w:val="0"/>
        <w:spacing w:line="360" w:lineRule="auto"/>
        <w:ind w:firstLine="472" w:firstLineChars="224"/>
        <w:rPr>
          <w:rFonts w:hint="eastAsia" w:ascii="宋体" w:hAnsi="宋体" w:cs="宋体"/>
          <w:b/>
          <w:bCs/>
          <w:color w:val="000000" w:themeColor="text1"/>
          <w:szCs w:val="21"/>
          <w:highlight w:val="none"/>
          <w:u w:val="single"/>
          <w14:textFill>
            <w14:solidFill>
              <w14:schemeClr w14:val="tx1"/>
            </w14:solidFill>
          </w14:textFill>
        </w:rPr>
      </w:pPr>
      <w:r>
        <w:rPr>
          <w:rFonts w:hint="eastAsia" w:ascii="宋体" w:hAnsi="宋体" w:cs="宋体"/>
          <w:b/>
          <w:bCs/>
          <w:color w:val="000000" w:themeColor="text1"/>
          <w:szCs w:val="21"/>
          <w:highlight w:val="none"/>
          <w:u w:val="single"/>
          <w14:textFill>
            <w14:solidFill>
              <w14:schemeClr w14:val="tx1"/>
            </w14:solidFill>
          </w14:textFill>
        </w:rPr>
        <w:t>（2）对于投标报价不低于成本警示价的投标人推荐方式：</w:t>
      </w:r>
    </w:p>
    <w:p w14:paraId="1AD7801D">
      <w:pPr>
        <w:pBdr>
          <w:bottom w:val="single" w:color="auto" w:sz="6" w:space="1"/>
        </w:pBdr>
        <w:snapToGrid w:val="0"/>
        <w:spacing w:line="360" w:lineRule="auto"/>
        <w:ind w:firstLine="472" w:firstLineChars="224"/>
        <w:rPr>
          <w:rFonts w:hint="eastAsia" w:ascii="宋体" w:hAnsi="宋体" w:cs="宋体"/>
          <w:b/>
          <w:bCs/>
          <w:color w:val="000000" w:themeColor="text1"/>
          <w:szCs w:val="21"/>
          <w:highlight w:val="none"/>
          <w:u w:val="single"/>
          <w14:textFill>
            <w14:solidFill>
              <w14:schemeClr w14:val="tx1"/>
            </w14:solidFill>
          </w14:textFill>
        </w:rPr>
      </w:pPr>
      <w:r>
        <w:rPr>
          <w:rFonts w:hint="eastAsia" w:ascii="宋体" w:hAnsi="宋体" w:cs="宋体"/>
          <w:b/>
          <w:bCs/>
          <w:color w:val="000000" w:themeColor="text1"/>
          <w:szCs w:val="21"/>
          <w:highlight w:val="none"/>
          <w:u w:val="single"/>
          <w14:textFill>
            <w14:solidFill>
              <w14:schemeClr w14:val="tx1"/>
            </w14:solidFill>
          </w14:textFill>
        </w:rPr>
        <w:t>需参加技术标详细评审、经济标详细评审。评标委员会根据总得分=技术分</w:t>
      </w:r>
      <w:r>
        <w:rPr>
          <w:rFonts w:hint="eastAsia" w:ascii="宋体" w:hAnsi="宋体" w:cs="宋体"/>
          <w:b/>
          <w:bCs/>
          <w:color w:val="000000" w:themeColor="text1"/>
          <w:szCs w:val="21"/>
          <w:highlight w:val="none"/>
          <w:u w:val="single"/>
          <w:lang w:val="en-US" w:eastAsia="zh-CN"/>
          <w14:textFill>
            <w14:solidFill>
              <w14:schemeClr w14:val="tx1"/>
            </w14:solidFill>
          </w14:textFill>
        </w:rPr>
        <w:t>[企业资信（30分）＋项目组织管理机构能力（20分）＋施工组织设计（50分）]</w:t>
      </w:r>
      <w:r>
        <w:rPr>
          <w:rFonts w:hint="eastAsia" w:ascii="宋体" w:hAnsi="宋体" w:cs="宋体"/>
          <w:b/>
          <w:bCs/>
          <w:color w:val="000000" w:themeColor="text1"/>
          <w:szCs w:val="21"/>
          <w:highlight w:val="none"/>
          <w:u w:val="single"/>
          <w14:textFill>
            <w14:solidFill>
              <w14:schemeClr w14:val="tx1"/>
            </w14:solidFill>
          </w14:textFill>
        </w:rPr>
        <w:t>×技术分权重（40%）+经济分×经济分权重（60%）排序，推荐前7名投标人为合格中标候选人进入定标阶段。（若通过详细评审的投标人不足7名，则通过详细评审的投标人投标人直接推荐为中标候选人）。</w:t>
      </w:r>
    </w:p>
    <w:p w14:paraId="60BF45F9">
      <w:pPr>
        <w:pBdr>
          <w:bottom w:val="single" w:color="auto" w:sz="6" w:space="1"/>
        </w:pBdr>
        <w:snapToGrid w:val="0"/>
        <w:spacing w:line="360" w:lineRule="auto"/>
        <w:ind w:firstLine="472" w:firstLineChars="224"/>
        <w:rPr>
          <w:rFonts w:ascii="宋体" w:hAnsi="宋体" w:cs="宋体"/>
          <w:b/>
          <w:bCs/>
          <w:color w:val="000000" w:themeColor="text1"/>
          <w:szCs w:val="21"/>
          <w:highlight w:val="none"/>
          <w:u w:val="single"/>
          <w14:textFill>
            <w14:solidFill>
              <w14:schemeClr w14:val="tx1"/>
            </w14:solidFill>
          </w14:textFill>
        </w:rPr>
      </w:pPr>
      <w:r>
        <w:rPr>
          <w:rFonts w:hint="eastAsia" w:ascii="宋体" w:hAnsi="宋体" w:cs="宋体"/>
          <w:b/>
          <w:bCs/>
          <w:color w:val="000000" w:themeColor="text1"/>
          <w:szCs w:val="21"/>
          <w:highlight w:val="none"/>
          <w:u w:val="single"/>
          <w14:textFill>
            <w14:solidFill>
              <w14:schemeClr w14:val="tx1"/>
            </w14:solidFill>
          </w14:textFill>
        </w:rPr>
        <w:t>若总得分相同的投标文件，以经济分较高的排前；总得分与经济分均相同的投标文件，以技术分较高的排前；总得分、经济分、技术分均相同的投标文件，以投标总报价较低的排前；如仍存在相同情况，则对具有相同情况的投标人，由评标委员会采用记名投票方式，确定投标人的排序。</w:t>
      </w:r>
    </w:p>
    <w:p w14:paraId="70273AEF">
      <w:pPr>
        <w:pBdr>
          <w:bottom w:val="single" w:color="auto" w:sz="6" w:space="1"/>
        </w:pBdr>
        <w:snapToGrid w:val="0"/>
        <w:spacing w:line="360" w:lineRule="auto"/>
        <w:ind w:firstLine="422" w:firstLineChars="200"/>
        <w:rPr>
          <w:rFonts w:ascii="宋体" w:hAnsi="宋体" w:cs="宋体"/>
          <w:strike/>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u w:val="single"/>
          <w14:textFill>
            <w14:solidFill>
              <w14:schemeClr w14:val="tx1"/>
            </w14:solidFill>
          </w14:textFill>
        </w:rPr>
        <w:t>注：记名投票方式确定排序的具体操作步骤为：由评标委员会对出现该情况的投标人采取记名投票的方式确定，按得票数从高到低排列先后次序，以得票数高的排前，根据得票数高低确定排序。</w:t>
      </w:r>
    </w:p>
    <w:p w14:paraId="0A8CC71F">
      <w:pPr>
        <w:snapToGrid w:val="0"/>
        <w:spacing w:line="360" w:lineRule="auto"/>
        <w:ind w:firstLine="472" w:firstLineChars="224"/>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条款号：48                          修改类型：修改</w:t>
      </w:r>
    </w:p>
    <w:p w14:paraId="1BE8E8F1">
      <w:pPr>
        <w:widowControl/>
        <w:snapToGrid w:val="0"/>
        <w:spacing w:line="360" w:lineRule="auto"/>
        <w:ind w:firstLine="422"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原文：</w:t>
      </w:r>
      <w:r>
        <w:rPr>
          <w:rFonts w:hint="eastAsia" w:ascii="宋体" w:hAnsi="宋体" w:cs="宋体"/>
          <w:color w:val="000000" w:themeColor="text1"/>
          <w:szCs w:val="21"/>
          <w:highlight w:val="none"/>
          <w14:textFill>
            <w14:solidFill>
              <w14:schemeClr w14:val="tx1"/>
            </w14:solidFill>
          </w14:textFill>
        </w:rPr>
        <w:t>48.评标委员会应在通过投标文件经济标有效性审查的投标人中，按步骤45.4确定的投标人第二阶段排序，推荐前3名依次为第一中标候选人至第三中标候选人，并编制评标报告。</w:t>
      </w:r>
    </w:p>
    <w:p w14:paraId="4E277653">
      <w:pPr>
        <w:keepNext w:val="0"/>
        <w:keepLines w:val="0"/>
        <w:pageBreakBefore w:val="0"/>
        <w:pBdr>
          <w:bottom w:val="single" w:color="auto" w:sz="6" w:space="1"/>
        </w:pBdr>
        <w:shd w:val="clear" w:color="auto" w:fill="auto"/>
        <w:kinsoku/>
        <w:wordWrap/>
        <w:overflowPunct/>
        <w:topLinePunct w:val="0"/>
        <w:autoSpaceDE/>
        <w:autoSpaceDN/>
        <w:bidi w:val="0"/>
        <w:adjustRightInd/>
        <w:spacing w:line="360" w:lineRule="auto"/>
        <w:ind w:firstLine="422" w:firstLineChars="200"/>
        <w:textAlignment w:val="auto"/>
        <w:rPr>
          <w:rFonts w:ascii="宋体" w:hAnsi="宋体" w:cs="宋体"/>
          <w:color w:val="000000" w:themeColor="text1"/>
          <w:szCs w:val="21"/>
          <w:highlight w:val="none"/>
          <w:u w:val="singl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现文：</w:t>
      </w:r>
      <w:r>
        <w:rPr>
          <w:rFonts w:hint="eastAsia" w:ascii="宋体" w:hAnsi="宋体" w:cs="宋体"/>
          <w:color w:val="000000" w:themeColor="text1"/>
          <w:szCs w:val="21"/>
          <w:highlight w:val="none"/>
          <w14:textFill>
            <w14:solidFill>
              <w14:schemeClr w14:val="tx1"/>
            </w14:solidFill>
          </w14:textFill>
        </w:rPr>
        <w:t>48.评标委员会应在通过投标文件经济标有效性审查的投标人中，按步骤45.4确定的投标人</w:t>
      </w:r>
      <w:r>
        <w:rPr>
          <w:rFonts w:hint="eastAsia" w:ascii="宋体" w:hAnsi="宋体" w:cs="宋体"/>
          <w:b/>
          <w:bCs/>
          <w:color w:val="000000" w:themeColor="text1"/>
          <w:szCs w:val="21"/>
          <w:highlight w:val="none"/>
          <w:u w:val="single"/>
          <w14:textFill>
            <w14:solidFill>
              <w14:schemeClr w14:val="tx1"/>
            </w14:solidFill>
          </w14:textFill>
        </w:rPr>
        <w:t>总得分</w:t>
      </w:r>
      <w:r>
        <w:rPr>
          <w:rFonts w:hint="eastAsia" w:ascii="宋体" w:hAnsi="宋体" w:cs="宋体"/>
          <w:color w:val="000000" w:themeColor="text1"/>
          <w:szCs w:val="21"/>
          <w:highlight w:val="none"/>
          <w14:textFill>
            <w14:solidFill>
              <w14:schemeClr w14:val="tx1"/>
            </w14:solidFill>
          </w14:textFill>
        </w:rPr>
        <w:t>排序，</w:t>
      </w:r>
      <w:r>
        <w:rPr>
          <w:rFonts w:hint="eastAsia" w:ascii="宋体" w:hAnsi="宋体" w:eastAsia="宋体" w:cs="宋体"/>
          <w:b/>
          <w:bCs/>
          <w:color w:val="auto"/>
          <w:sz w:val="21"/>
          <w:szCs w:val="21"/>
          <w:highlight w:val="none"/>
          <w:u w:val="single"/>
        </w:rPr>
        <w:t>按投标须知前附表第2</w:t>
      </w:r>
      <w:r>
        <w:rPr>
          <w:rFonts w:hint="eastAsia" w:ascii="宋体" w:hAnsi="宋体" w:eastAsia="宋体" w:cs="宋体"/>
          <w:b/>
          <w:bCs/>
          <w:color w:val="auto"/>
          <w:sz w:val="21"/>
          <w:szCs w:val="21"/>
          <w:highlight w:val="none"/>
          <w:u w:val="single"/>
          <w:lang w:eastAsia="zh-CN"/>
        </w:rPr>
        <w:t>0</w:t>
      </w:r>
      <w:r>
        <w:rPr>
          <w:rFonts w:hint="eastAsia" w:ascii="宋体" w:hAnsi="宋体" w:eastAsia="宋体" w:cs="宋体"/>
          <w:b/>
          <w:bCs/>
          <w:color w:val="auto"/>
          <w:sz w:val="21"/>
          <w:szCs w:val="21"/>
          <w:highlight w:val="none"/>
          <w:u w:val="single"/>
        </w:rPr>
        <w:t>项规定</w:t>
      </w:r>
      <w:r>
        <w:rPr>
          <w:rFonts w:hint="eastAsia" w:ascii="宋体" w:hAnsi="宋体" w:eastAsia="宋体" w:cs="宋体"/>
          <w:b/>
          <w:bCs/>
          <w:color w:val="auto"/>
          <w:sz w:val="21"/>
          <w:szCs w:val="21"/>
          <w:highlight w:val="none"/>
          <w:u w:val="single"/>
          <w:lang w:val="en-US" w:eastAsia="zh-CN"/>
        </w:rPr>
        <w:t>推荐</w:t>
      </w:r>
      <w:r>
        <w:rPr>
          <w:rFonts w:hint="eastAsia" w:ascii="宋体" w:hAnsi="宋体" w:eastAsia="宋体" w:cs="宋体"/>
          <w:b/>
          <w:bCs/>
          <w:color w:val="auto"/>
          <w:sz w:val="21"/>
          <w:szCs w:val="21"/>
          <w:highlight w:val="none"/>
          <w:u w:val="single"/>
        </w:rPr>
        <w:t>合格中标候选人，进入定标阶段</w:t>
      </w:r>
      <w:r>
        <w:rPr>
          <w:rFonts w:hint="eastAsia" w:ascii="宋体" w:hAnsi="宋体" w:eastAsia="宋体" w:cs="宋体"/>
          <w:b/>
          <w:bCs/>
          <w:color w:val="auto"/>
          <w:sz w:val="21"/>
          <w:szCs w:val="21"/>
          <w:highlight w:val="none"/>
          <w:u w:val="single"/>
          <w:lang w:eastAsia="zh-CN"/>
        </w:rPr>
        <w:t>，</w:t>
      </w:r>
      <w:r>
        <w:rPr>
          <w:rFonts w:hint="eastAsia" w:ascii="宋体" w:hAnsi="宋体" w:eastAsia="宋体" w:cs="宋体"/>
          <w:b/>
          <w:bCs/>
          <w:color w:val="auto"/>
          <w:sz w:val="21"/>
          <w:szCs w:val="21"/>
          <w:highlight w:val="none"/>
          <w:u w:val="single"/>
          <w:lang w:val="en-US" w:eastAsia="zh-CN"/>
        </w:rPr>
        <w:t>并编制评标报告。</w:t>
      </w:r>
    </w:p>
    <w:p w14:paraId="7C31EAB1">
      <w:pPr>
        <w:snapToGrid w:val="0"/>
        <w:spacing w:line="360" w:lineRule="auto"/>
        <w:ind w:firstLine="422" w:firstLineChars="200"/>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条款号：</w:t>
      </w:r>
      <w:r>
        <w:rPr>
          <w:rFonts w:hint="eastAsia" w:ascii="宋体" w:hAnsi="宋体" w:cs="宋体"/>
          <w:b/>
          <w:color w:val="000000" w:themeColor="text1"/>
          <w:kern w:val="0"/>
          <w:szCs w:val="21"/>
          <w:highlight w:val="none"/>
          <w14:textFill>
            <w14:solidFill>
              <w14:schemeClr w14:val="tx1"/>
            </w14:solidFill>
          </w14:textFill>
        </w:rPr>
        <w:t>49</w:t>
      </w:r>
      <w:r>
        <w:rPr>
          <w:rFonts w:hint="eastAsia" w:ascii="宋体" w:hAnsi="宋体" w:cs="宋体"/>
          <w:b/>
          <w:color w:val="000000" w:themeColor="text1"/>
          <w:szCs w:val="21"/>
          <w:highlight w:val="none"/>
          <w14:textFill>
            <w14:solidFill>
              <w14:schemeClr w14:val="tx1"/>
            </w14:solidFill>
          </w14:textFill>
        </w:rPr>
        <w:t xml:space="preserve">                          修改类型：修改</w:t>
      </w:r>
    </w:p>
    <w:p w14:paraId="642EDDBD">
      <w:pPr>
        <w:snapToGrid w:val="0"/>
        <w:spacing w:line="360" w:lineRule="auto"/>
        <w:ind w:firstLine="422"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原文：</w:t>
      </w:r>
      <w:r>
        <w:rPr>
          <w:rFonts w:hint="eastAsia" w:ascii="宋体" w:hAnsi="宋体" w:cs="宋体"/>
          <w:color w:val="000000" w:themeColor="text1"/>
          <w:szCs w:val="21"/>
          <w:highlight w:val="none"/>
          <w14:textFill>
            <w14:solidFill>
              <w14:schemeClr w14:val="tx1"/>
            </w14:solidFill>
          </w14:textFill>
        </w:rPr>
        <w:t>49若通过经济标有效性审查的投标人不足三家，应当依法重新招标。（当N个标段同时招标且不允许兼中时，若有效投标人不足N+2家，应当依法重新招标）</w:t>
      </w:r>
    </w:p>
    <w:p w14:paraId="45DBE002">
      <w:pPr>
        <w:pBdr>
          <w:bottom w:val="single" w:color="auto" w:sz="6" w:space="1"/>
        </w:pBdr>
        <w:snapToGrid w:val="0"/>
        <w:spacing w:line="360" w:lineRule="auto"/>
        <w:ind w:firstLine="420" w:firstLineChars="199"/>
        <w:rPr>
          <w:rFonts w:ascii="宋体" w:hAnsi="宋体" w:cs="宋体"/>
          <w:b/>
          <w:bCs/>
          <w:strike/>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现文</w:t>
      </w:r>
      <w:r>
        <w:rPr>
          <w:rFonts w:hint="eastAsia" w:ascii="宋体" w:hAnsi="宋体" w:cs="宋体"/>
          <w:color w:val="000000" w:themeColor="text1"/>
          <w:szCs w:val="21"/>
          <w:highlight w:val="none"/>
          <w14:textFill>
            <w14:solidFill>
              <w14:schemeClr w14:val="tx1"/>
            </w14:solidFill>
          </w14:textFill>
        </w:rPr>
        <w:t>：49</w:t>
      </w:r>
      <w:r>
        <w:rPr>
          <w:rFonts w:hint="eastAsia" w:ascii="宋体" w:hAnsi="宋体" w:cs="宋体"/>
          <w:b/>
          <w:bCs/>
          <w:color w:val="000000" w:themeColor="text1"/>
          <w:szCs w:val="21"/>
          <w:highlight w:val="none"/>
          <w:u w:val="single"/>
          <w14:textFill>
            <w14:solidFill>
              <w14:schemeClr w14:val="tx1"/>
            </w14:solidFill>
          </w14:textFill>
        </w:rPr>
        <w:t>若通过经济标有效性审查的投标人不足三家，应当依法重新招标。</w:t>
      </w:r>
    </w:p>
    <w:p w14:paraId="72925581">
      <w:pPr>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条款号：</w:t>
      </w:r>
      <w:r>
        <w:rPr>
          <w:rFonts w:hint="eastAsia" w:ascii="宋体" w:hAnsi="宋体" w:cs="宋体"/>
          <w:b/>
          <w:color w:val="auto"/>
          <w:kern w:val="0"/>
          <w:szCs w:val="21"/>
          <w:highlight w:val="none"/>
          <w:lang w:val="en-US" w:eastAsia="zh-CN"/>
        </w:rPr>
        <w:t>50</w:t>
      </w:r>
      <w:r>
        <w:rPr>
          <w:rFonts w:hint="eastAsia" w:ascii="宋体" w:hAnsi="宋体" w:cs="宋体"/>
          <w:b/>
          <w:color w:val="auto"/>
          <w:szCs w:val="21"/>
          <w:highlight w:val="none"/>
        </w:rPr>
        <w:t xml:space="preserve">                                修改类型：增加</w:t>
      </w:r>
    </w:p>
    <w:p w14:paraId="613ECC49">
      <w:pPr>
        <w:snapToGrid w:val="0"/>
        <w:spacing w:line="360" w:lineRule="auto"/>
        <w:ind w:firstLine="422" w:firstLineChars="200"/>
        <w:rPr>
          <w:rFonts w:ascii="宋体" w:hAnsi="宋体" w:cs="宋体"/>
          <w:bCs/>
          <w:color w:val="auto"/>
          <w:szCs w:val="21"/>
          <w:highlight w:val="none"/>
          <w:u w:val="single"/>
        </w:rPr>
      </w:pPr>
      <w:r>
        <w:rPr>
          <w:rFonts w:hint="eastAsia" w:ascii="宋体" w:hAnsi="宋体" w:cs="宋体"/>
          <w:b/>
          <w:color w:val="auto"/>
          <w:szCs w:val="21"/>
          <w:highlight w:val="none"/>
        </w:rPr>
        <w:t>现文：</w:t>
      </w:r>
      <w:r>
        <w:rPr>
          <w:rFonts w:hint="eastAsia" w:ascii="宋体" w:hAnsi="宋体" w:cs="宋体"/>
          <w:b/>
          <w:color w:val="auto"/>
          <w:szCs w:val="21"/>
          <w:highlight w:val="none"/>
          <w:u w:val="single"/>
          <w:lang w:val="en-US" w:eastAsia="zh-CN"/>
        </w:rPr>
        <w:t>50</w:t>
      </w:r>
      <w:r>
        <w:rPr>
          <w:rFonts w:hint="eastAsia" w:ascii="宋体" w:hAnsi="宋体" w:cs="宋体"/>
          <w:b/>
          <w:color w:val="auto"/>
          <w:szCs w:val="21"/>
          <w:highlight w:val="none"/>
          <w:u w:val="single"/>
        </w:rPr>
        <w:t>.定标</w:t>
      </w:r>
    </w:p>
    <w:p w14:paraId="5590BDA0">
      <w:pPr>
        <w:keepNext w:val="0"/>
        <w:keepLines w:val="0"/>
        <w:pageBreakBefore w:val="0"/>
        <w:shd w:val="clear" w:color="auto" w:fill="auto"/>
        <w:kinsoku/>
        <w:wordWrap/>
        <w:overflowPunct/>
        <w:topLinePunct w:val="0"/>
        <w:autoSpaceDE/>
        <w:autoSpaceDN/>
        <w:bidi w:val="0"/>
        <w:adjustRightInd/>
        <w:spacing w:line="360" w:lineRule="auto"/>
        <w:ind w:firstLine="422" w:firstLineChars="200"/>
        <w:textAlignment w:val="auto"/>
        <w:rPr>
          <w:rFonts w:hint="eastAsia" w:ascii="宋体" w:hAnsi="宋体" w:eastAsia="宋体" w:cs="宋体"/>
          <w:b/>
          <w:bCs/>
          <w:color w:val="auto"/>
          <w:szCs w:val="21"/>
          <w:highlight w:val="none"/>
          <w:u w:val="single"/>
        </w:rPr>
      </w:pPr>
      <w:r>
        <w:rPr>
          <w:rFonts w:hint="eastAsia" w:ascii="宋体" w:hAnsi="宋体" w:eastAsia="宋体" w:cs="宋体"/>
          <w:b/>
          <w:bCs/>
          <w:color w:val="auto"/>
          <w:szCs w:val="21"/>
          <w:highlight w:val="none"/>
          <w:u w:val="single"/>
        </w:rPr>
        <w:t>如评标委员会推荐的合格中标候选人不足三家，招标人应当依法重新招标，不再进行定标工作。</w:t>
      </w:r>
    </w:p>
    <w:p w14:paraId="5E0F5FCA">
      <w:pPr>
        <w:keepNext w:val="0"/>
        <w:keepLines w:val="0"/>
        <w:pageBreakBefore w:val="0"/>
        <w:shd w:val="clear" w:color="auto" w:fill="auto"/>
        <w:kinsoku/>
        <w:wordWrap/>
        <w:overflowPunct/>
        <w:topLinePunct w:val="0"/>
        <w:autoSpaceDE/>
        <w:autoSpaceDN/>
        <w:bidi w:val="0"/>
        <w:adjustRightInd/>
        <w:spacing w:line="360" w:lineRule="auto"/>
        <w:ind w:firstLine="422" w:firstLineChars="200"/>
        <w:textAlignment w:val="auto"/>
        <w:rPr>
          <w:rFonts w:hint="eastAsia" w:ascii="宋体" w:hAnsi="宋体" w:eastAsia="宋体" w:cs="宋体"/>
          <w:b/>
          <w:bCs/>
          <w:color w:val="auto"/>
          <w:szCs w:val="21"/>
          <w:highlight w:val="none"/>
          <w:u w:val="single"/>
        </w:rPr>
      </w:pPr>
      <w:r>
        <w:rPr>
          <w:rFonts w:hint="eastAsia" w:ascii="宋体" w:hAnsi="宋体" w:cs="宋体"/>
          <w:b/>
          <w:bCs/>
          <w:color w:val="auto"/>
          <w:szCs w:val="21"/>
          <w:highlight w:val="none"/>
          <w:u w:val="single"/>
          <w:lang w:val="en-US" w:eastAsia="zh-CN"/>
        </w:rPr>
        <w:t>50</w:t>
      </w:r>
      <w:r>
        <w:rPr>
          <w:rFonts w:hint="eastAsia" w:ascii="宋体" w:hAnsi="宋体" w:eastAsia="宋体" w:cs="宋体"/>
          <w:b/>
          <w:bCs/>
          <w:color w:val="auto"/>
          <w:szCs w:val="21"/>
          <w:highlight w:val="none"/>
          <w:u w:val="single"/>
        </w:rPr>
        <w:t>.1定标时间和地点</w:t>
      </w:r>
    </w:p>
    <w:p w14:paraId="7A029198">
      <w:pPr>
        <w:keepNext w:val="0"/>
        <w:keepLines w:val="0"/>
        <w:pageBreakBefore w:val="0"/>
        <w:shd w:val="clear" w:color="auto" w:fill="auto"/>
        <w:kinsoku/>
        <w:wordWrap/>
        <w:overflowPunct/>
        <w:topLinePunct w:val="0"/>
        <w:autoSpaceDE/>
        <w:autoSpaceDN/>
        <w:bidi w:val="0"/>
        <w:adjustRightInd/>
        <w:spacing w:line="360" w:lineRule="auto"/>
        <w:ind w:firstLine="422" w:firstLineChars="200"/>
        <w:textAlignment w:val="auto"/>
        <w:rPr>
          <w:rFonts w:hint="eastAsia" w:ascii="宋体" w:hAnsi="宋体" w:eastAsia="宋体" w:cs="宋体"/>
          <w:b/>
          <w:bCs/>
          <w:color w:val="auto"/>
          <w:szCs w:val="21"/>
          <w:highlight w:val="none"/>
          <w:u w:val="single"/>
        </w:rPr>
      </w:pPr>
      <w:r>
        <w:rPr>
          <w:rFonts w:hint="eastAsia" w:ascii="宋体" w:hAnsi="宋体" w:eastAsia="宋体" w:cs="宋体"/>
          <w:b/>
          <w:bCs/>
          <w:color w:val="auto"/>
          <w:szCs w:val="21"/>
          <w:highlight w:val="none"/>
          <w:u w:val="single"/>
        </w:rPr>
        <w:t>招标人在合格中标候选人公示结束后</w:t>
      </w:r>
      <w:r>
        <w:rPr>
          <w:rFonts w:hint="eastAsia" w:ascii="宋体" w:hAnsi="宋体" w:eastAsia="宋体" w:cs="宋体"/>
          <w:b/>
          <w:bCs/>
          <w:color w:val="auto"/>
          <w:szCs w:val="21"/>
          <w:highlight w:val="none"/>
          <w:u w:val="single"/>
          <w:lang w:val="en-US" w:eastAsia="zh-CN"/>
        </w:rPr>
        <w:t>5</w:t>
      </w:r>
      <w:r>
        <w:rPr>
          <w:rFonts w:hint="eastAsia" w:ascii="宋体" w:hAnsi="宋体" w:eastAsia="宋体" w:cs="宋体"/>
          <w:b/>
          <w:bCs/>
          <w:color w:val="auto"/>
          <w:szCs w:val="21"/>
          <w:highlight w:val="none"/>
          <w:u w:val="single"/>
        </w:rPr>
        <w:t>个工作日内在广州交易集团有限公司（广州公共资源交易中心）开展定标工作，招标人按规定程序在投标人须知的时间和地点完成定标工作。</w:t>
      </w:r>
    </w:p>
    <w:p w14:paraId="0C0FA52E">
      <w:pPr>
        <w:keepNext w:val="0"/>
        <w:keepLines w:val="0"/>
        <w:pageBreakBefore w:val="0"/>
        <w:shd w:val="clear" w:color="auto" w:fill="auto"/>
        <w:kinsoku/>
        <w:wordWrap/>
        <w:overflowPunct/>
        <w:topLinePunct w:val="0"/>
        <w:autoSpaceDE/>
        <w:autoSpaceDN/>
        <w:bidi w:val="0"/>
        <w:adjustRightInd/>
        <w:spacing w:line="360" w:lineRule="auto"/>
        <w:ind w:firstLine="422" w:firstLineChars="200"/>
        <w:textAlignment w:val="auto"/>
        <w:rPr>
          <w:rFonts w:hint="eastAsia" w:ascii="宋体" w:hAnsi="宋体" w:eastAsia="宋体" w:cs="宋体"/>
          <w:b/>
          <w:bCs/>
          <w:color w:val="auto"/>
          <w:szCs w:val="21"/>
          <w:highlight w:val="none"/>
          <w:u w:val="single"/>
        </w:rPr>
      </w:pPr>
      <w:r>
        <w:rPr>
          <w:rFonts w:hint="eastAsia" w:ascii="宋体" w:hAnsi="宋体" w:cs="宋体"/>
          <w:b/>
          <w:bCs/>
          <w:color w:val="auto"/>
          <w:szCs w:val="21"/>
          <w:highlight w:val="none"/>
          <w:u w:val="single"/>
          <w:lang w:val="en-US" w:eastAsia="zh-CN"/>
        </w:rPr>
        <w:t>50</w:t>
      </w:r>
      <w:r>
        <w:rPr>
          <w:rFonts w:hint="eastAsia" w:ascii="宋体" w:hAnsi="宋体" w:eastAsia="宋体" w:cs="宋体"/>
          <w:b/>
          <w:bCs/>
          <w:color w:val="auto"/>
          <w:szCs w:val="21"/>
          <w:highlight w:val="none"/>
          <w:u w:val="single"/>
        </w:rPr>
        <w:t>.2定标委员会：由招标人组建。</w:t>
      </w:r>
    </w:p>
    <w:p w14:paraId="5695016B">
      <w:pPr>
        <w:keepNext w:val="0"/>
        <w:keepLines w:val="0"/>
        <w:pageBreakBefore w:val="0"/>
        <w:shd w:val="clear" w:color="auto" w:fill="auto"/>
        <w:kinsoku/>
        <w:wordWrap/>
        <w:overflowPunct/>
        <w:topLinePunct w:val="0"/>
        <w:autoSpaceDE/>
        <w:autoSpaceDN/>
        <w:bidi w:val="0"/>
        <w:adjustRightInd/>
        <w:spacing w:line="360" w:lineRule="auto"/>
        <w:ind w:firstLine="422" w:firstLineChars="200"/>
        <w:textAlignment w:val="auto"/>
        <w:rPr>
          <w:rFonts w:hint="eastAsia" w:ascii="宋体" w:hAnsi="宋体" w:eastAsia="宋体" w:cs="宋体"/>
          <w:b/>
          <w:bCs/>
          <w:color w:val="auto"/>
          <w:szCs w:val="21"/>
          <w:highlight w:val="none"/>
          <w:u w:val="single"/>
        </w:rPr>
      </w:pPr>
      <w:r>
        <w:rPr>
          <w:rFonts w:hint="eastAsia" w:ascii="宋体" w:hAnsi="宋体" w:cs="宋体"/>
          <w:b/>
          <w:bCs/>
          <w:color w:val="auto"/>
          <w:szCs w:val="21"/>
          <w:highlight w:val="none"/>
          <w:u w:val="single"/>
          <w:lang w:val="en-US" w:eastAsia="zh-CN"/>
        </w:rPr>
        <w:t>50</w:t>
      </w:r>
      <w:r>
        <w:rPr>
          <w:rFonts w:hint="eastAsia" w:ascii="宋体" w:hAnsi="宋体" w:eastAsia="宋体" w:cs="宋体"/>
          <w:b/>
          <w:bCs/>
          <w:color w:val="auto"/>
          <w:szCs w:val="21"/>
          <w:highlight w:val="none"/>
          <w:u w:val="single"/>
        </w:rPr>
        <w:t>.3监督小组：由招标人组建。</w:t>
      </w:r>
    </w:p>
    <w:p w14:paraId="0368302A">
      <w:pPr>
        <w:keepNext w:val="0"/>
        <w:keepLines w:val="0"/>
        <w:pageBreakBefore w:val="0"/>
        <w:shd w:val="clear" w:color="auto" w:fill="auto"/>
        <w:kinsoku/>
        <w:wordWrap/>
        <w:overflowPunct/>
        <w:topLinePunct w:val="0"/>
        <w:autoSpaceDE/>
        <w:autoSpaceDN/>
        <w:bidi w:val="0"/>
        <w:adjustRightInd/>
        <w:spacing w:line="360" w:lineRule="auto"/>
        <w:ind w:firstLine="422" w:firstLineChars="200"/>
        <w:textAlignment w:val="auto"/>
        <w:rPr>
          <w:rFonts w:hint="eastAsia" w:ascii="宋体" w:hAnsi="宋体" w:eastAsia="宋体" w:cs="宋体"/>
          <w:b/>
          <w:bCs/>
          <w:color w:val="auto"/>
          <w:szCs w:val="21"/>
          <w:highlight w:val="none"/>
          <w:u w:val="single"/>
        </w:rPr>
      </w:pPr>
      <w:r>
        <w:rPr>
          <w:rFonts w:hint="eastAsia" w:ascii="宋体" w:hAnsi="宋体" w:cs="宋体"/>
          <w:b/>
          <w:bCs/>
          <w:color w:val="auto"/>
          <w:szCs w:val="21"/>
          <w:highlight w:val="none"/>
          <w:u w:val="single"/>
          <w:lang w:val="en-US" w:eastAsia="zh-CN"/>
        </w:rPr>
        <w:t>50</w:t>
      </w:r>
      <w:r>
        <w:rPr>
          <w:rFonts w:hint="eastAsia" w:ascii="宋体" w:hAnsi="宋体" w:eastAsia="宋体" w:cs="宋体"/>
          <w:b/>
          <w:bCs/>
          <w:color w:val="auto"/>
          <w:szCs w:val="21"/>
          <w:highlight w:val="none"/>
          <w:u w:val="single"/>
        </w:rPr>
        <w:t>.4定标办法：采用直接票决定标法（记名投票+撰写评语），定标委员会从进入定标阶段的所有合格中标候选人当中以“记名投票+撰写评语”方式产生中标人。</w:t>
      </w:r>
    </w:p>
    <w:p w14:paraId="573C3796">
      <w:pPr>
        <w:keepNext w:val="0"/>
        <w:keepLines w:val="0"/>
        <w:pageBreakBefore w:val="0"/>
        <w:shd w:val="clear" w:color="auto" w:fill="auto"/>
        <w:kinsoku/>
        <w:wordWrap/>
        <w:overflowPunct/>
        <w:topLinePunct w:val="0"/>
        <w:autoSpaceDE/>
        <w:autoSpaceDN/>
        <w:bidi w:val="0"/>
        <w:adjustRightInd/>
        <w:spacing w:line="360" w:lineRule="auto"/>
        <w:ind w:firstLine="422" w:firstLineChars="200"/>
        <w:textAlignment w:val="auto"/>
        <w:rPr>
          <w:rFonts w:hint="eastAsia" w:ascii="宋体" w:hAnsi="宋体" w:eastAsia="宋体" w:cs="宋体"/>
          <w:b/>
          <w:bCs/>
          <w:color w:val="auto"/>
          <w:szCs w:val="21"/>
          <w:highlight w:val="none"/>
          <w:u w:val="single"/>
          <w:lang w:eastAsia="zh-CN"/>
        </w:rPr>
      </w:pPr>
      <w:r>
        <w:rPr>
          <w:rFonts w:hint="eastAsia" w:ascii="宋体" w:hAnsi="宋体" w:cs="宋体"/>
          <w:b/>
          <w:bCs/>
          <w:color w:val="auto"/>
          <w:highlight w:val="none"/>
          <w:u w:val="single"/>
          <w:lang w:val="en-US" w:eastAsia="zh-CN"/>
        </w:rPr>
        <w:t>50</w:t>
      </w:r>
      <w:r>
        <w:rPr>
          <w:rFonts w:hint="eastAsia" w:ascii="宋体" w:hAnsi="宋体" w:eastAsia="宋体" w:cs="宋体"/>
          <w:b/>
          <w:bCs/>
          <w:color w:val="auto"/>
          <w:highlight w:val="none"/>
          <w:u w:val="single"/>
        </w:rPr>
        <w:t>.5定标因素：</w:t>
      </w:r>
      <w:r>
        <w:rPr>
          <w:rFonts w:hint="eastAsia" w:ascii="宋体" w:hAnsi="宋体" w:eastAsia="宋体" w:cs="宋体"/>
          <w:b/>
          <w:bCs/>
          <w:color w:val="auto"/>
          <w:szCs w:val="21"/>
          <w:highlight w:val="none"/>
          <w:u w:val="single"/>
        </w:rPr>
        <w:t>（1）方案因素：定标委员会对合格中标候选人的投标文件方案部分进行评审，包括：施工组织方案、科技创新及保证措施、质量控制措施、BIM信息化技术应用方案等，鼓励将建筑业科技创新应用在项目中。（2）答辩因素：答辩人员对本项目履约能力和履约水平进行介绍并接受定标委员会提问</w:t>
      </w:r>
      <w:r>
        <w:rPr>
          <w:rFonts w:hint="eastAsia" w:ascii="宋体" w:hAnsi="宋体" w:cs="宋体"/>
          <w:b/>
          <w:bCs/>
          <w:color w:val="auto"/>
          <w:szCs w:val="21"/>
          <w:highlight w:val="none"/>
          <w:u w:val="single"/>
          <w:lang w:eastAsia="zh-CN"/>
        </w:rPr>
        <w:t>。</w:t>
      </w:r>
    </w:p>
    <w:p w14:paraId="4FF05AD9">
      <w:pPr>
        <w:keepNext w:val="0"/>
        <w:keepLines w:val="0"/>
        <w:pageBreakBefore w:val="0"/>
        <w:shd w:val="clear" w:color="auto" w:fill="auto"/>
        <w:kinsoku/>
        <w:wordWrap/>
        <w:overflowPunct/>
        <w:topLinePunct w:val="0"/>
        <w:autoSpaceDE/>
        <w:autoSpaceDN/>
        <w:bidi w:val="0"/>
        <w:adjustRightInd/>
        <w:spacing w:line="360" w:lineRule="auto"/>
        <w:ind w:firstLine="422" w:firstLineChars="200"/>
        <w:textAlignment w:val="auto"/>
        <w:rPr>
          <w:rFonts w:hint="eastAsia" w:ascii="宋体" w:hAnsi="宋体" w:eastAsia="宋体" w:cs="宋体"/>
          <w:b/>
          <w:bCs/>
          <w:color w:val="auto"/>
          <w:szCs w:val="21"/>
          <w:highlight w:val="none"/>
          <w:u w:val="single"/>
        </w:rPr>
      </w:pPr>
      <w:r>
        <w:rPr>
          <w:rFonts w:hint="eastAsia" w:ascii="宋体" w:hAnsi="宋体" w:cs="宋体"/>
          <w:b/>
          <w:bCs/>
          <w:color w:val="auto"/>
          <w:szCs w:val="21"/>
          <w:highlight w:val="none"/>
          <w:u w:val="single"/>
          <w:lang w:val="en-US" w:eastAsia="zh-CN"/>
        </w:rPr>
        <w:t>50</w:t>
      </w:r>
      <w:r>
        <w:rPr>
          <w:rFonts w:hint="eastAsia" w:ascii="宋体" w:hAnsi="宋体" w:eastAsia="宋体" w:cs="宋体"/>
          <w:b/>
          <w:bCs/>
          <w:color w:val="auto"/>
          <w:szCs w:val="21"/>
          <w:highlight w:val="none"/>
          <w:u w:val="single"/>
        </w:rPr>
        <w:t>.6定标程序</w:t>
      </w:r>
    </w:p>
    <w:p w14:paraId="1B6A190E">
      <w:pPr>
        <w:keepNext w:val="0"/>
        <w:keepLines w:val="0"/>
        <w:pageBreakBefore w:val="0"/>
        <w:shd w:val="clear" w:color="auto" w:fill="auto"/>
        <w:kinsoku/>
        <w:wordWrap/>
        <w:overflowPunct/>
        <w:topLinePunct w:val="0"/>
        <w:autoSpaceDE/>
        <w:autoSpaceDN/>
        <w:bidi w:val="0"/>
        <w:adjustRightInd/>
        <w:spacing w:line="360" w:lineRule="auto"/>
        <w:ind w:firstLine="422" w:firstLineChars="200"/>
        <w:textAlignment w:val="auto"/>
        <w:rPr>
          <w:rFonts w:hint="eastAsia" w:ascii="宋体" w:hAnsi="宋体" w:eastAsia="宋体" w:cs="宋体"/>
          <w:b/>
          <w:bCs/>
          <w:color w:val="auto"/>
          <w:szCs w:val="21"/>
          <w:highlight w:val="none"/>
          <w:u w:val="single"/>
        </w:rPr>
      </w:pPr>
      <w:r>
        <w:rPr>
          <w:rFonts w:hint="eastAsia" w:ascii="宋体" w:hAnsi="宋体" w:cs="宋体"/>
          <w:b/>
          <w:bCs/>
          <w:color w:val="auto"/>
          <w:szCs w:val="21"/>
          <w:highlight w:val="none"/>
          <w:u w:val="single"/>
          <w:lang w:val="en-US" w:eastAsia="zh-CN"/>
        </w:rPr>
        <w:t>50</w:t>
      </w:r>
      <w:r>
        <w:rPr>
          <w:rFonts w:hint="eastAsia" w:ascii="宋体" w:hAnsi="宋体" w:eastAsia="宋体" w:cs="宋体"/>
          <w:b/>
          <w:bCs/>
          <w:color w:val="auto"/>
          <w:szCs w:val="21"/>
          <w:highlight w:val="none"/>
          <w:u w:val="single"/>
        </w:rPr>
        <w:t>.6.1招标人或其委托的招标代理机构应安排熟悉情况的工作人员在定标会场担任招标项目负责人，按程序组织定标工作：</w:t>
      </w:r>
    </w:p>
    <w:p w14:paraId="091E061F">
      <w:pPr>
        <w:keepNext w:val="0"/>
        <w:keepLines w:val="0"/>
        <w:pageBreakBefore w:val="0"/>
        <w:shd w:val="clear" w:color="auto" w:fill="auto"/>
        <w:kinsoku/>
        <w:wordWrap/>
        <w:overflowPunct/>
        <w:topLinePunct w:val="0"/>
        <w:autoSpaceDE/>
        <w:autoSpaceDN/>
        <w:bidi w:val="0"/>
        <w:adjustRightInd/>
        <w:spacing w:line="360" w:lineRule="auto"/>
        <w:ind w:firstLine="422" w:firstLineChars="200"/>
        <w:textAlignment w:val="auto"/>
        <w:rPr>
          <w:rFonts w:hint="eastAsia" w:ascii="宋体" w:hAnsi="宋体" w:eastAsia="宋体" w:cs="宋体"/>
          <w:b/>
          <w:bCs/>
          <w:color w:val="auto"/>
          <w:szCs w:val="21"/>
          <w:highlight w:val="none"/>
          <w:u w:val="single"/>
        </w:rPr>
      </w:pPr>
      <w:r>
        <w:rPr>
          <w:rFonts w:hint="eastAsia" w:ascii="宋体" w:hAnsi="宋体" w:cs="宋体"/>
          <w:b/>
          <w:bCs/>
          <w:color w:val="auto"/>
          <w:szCs w:val="21"/>
          <w:highlight w:val="none"/>
          <w:u w:val="single"/>
          <w:lang w:val="en-US" w:eastAsia="zh-CN"/>
        </w:rPr>
        <w:t>50</w:t>
      </w:r>
      <w:r>
        <w:rPr>
          <w:rFonts w:hint="eastAsia" w:ascii="宋体" w:hAnsi="宋体" w:eastAsia="宋体" w:cs="宋体"/>
          <w:b/>
          <w:bCs/>
          <w:color w:val="auto"/>
          <w:szCs w:val="21"/>
          <w:highlight w:val="none"/>
          <w:u w:val="single"/>
        </w:rPr>
        <w:t>.6.</w:t>
      </w:r>
      <w:r>
        <w:rPr>
          <w:rFonts w:hint="eastAsia" w:ascii="宋体" w:hAnsi="宋体" w:cs="宋体"/>
          <w:b/>
          <w:bCs/>
          <w:color w:val="auto"/>
          <w:szCs w:val="21"/>
          <w:highlight w:val="none"/>
          <w:u w:val="single"/>
          <w:lang w:val="en-US" w:eastAsia="zh-CN"/>
        </w:rPr>
        <w:t>2</w:t>
      </w:r>
      <w:r>
        <w:rPr>
          <w:rFonts w:hint="eastAsia" w:ascii="宋体" w:hAnsi="宋体" w:eastAsia="宋体" w:cs="宋体"/>
          <w:b/>
          <w:bCs/>
          <w:color w:val="auto"/>
          <w:szCs w:val="21"/>
          <w:highlight w:val="none"/>
          <w:u w:val="single"/>
        </w:rPr>
        <w:t>发放定标辅助资料：招标文件、评标阶段的评标报告、合格中标候选人提交的投标文件。</w:t>
      </w:r>
    </w:p>
    <w:p w14:paraId="419CE079">
      <w:pPr>
        <w:keepNext w:val="0"/>
        <w:keepLines w:val="0"/>
        <w:pageBreakBefore w:val="0"/>
        <w:shd w:val="clear" w:color="auto" w:fill="auto"/>
        <w:kinsoku/>
        <w:wordWrap/>
        <w:overflowPunct/>
        <w:topLinePunct w:val="0"/>
        <w:autoSpaceDE/>
        <w:autoSpaceDN/>
        <w:bidi w:val="0"/>
        <w:adjustRightInd/>
        <w:spacing w:line="360" w:lineRule="auto"/>
        <w:ind w:firstLine="422" w:firstLineChars="200"/>
        <w:textAlignment w:val="auto"/>
        <w:rPr>
          <w:rFonts w:hint="eastAsia" w:ascii="宋体" w:hAnsi="宋体" w:eastAsia="宋体" w:cs="宋体"/>
          <w:b/>
          <w:bCs/>
          <w:color w:val="auto"/>
          <w:szCs w:val="21"/>
          <w:highlight w:val="none"/>
          <w:u w:val="single"/>
        </w:rPr>
      </w:pPr>
      <w:r>
        <w:rPr>
          <w:rFonts w:hint="eastAsia" w:ascii="宋体" w:hAnsi="宋体" w:cs="宋体"/>
          <w:b/>
          <w:bCs/>
          <w:color w:val="auto"/>
          <w:szCs w:val="21"/>
          <w:highlight w:val="none"/>
          <w:u w:val="single"/>
          <w:lang w:val="en-US" w:eastAsia="zh-CN"/>
        </w:rPr>
        <w:t>50.</w:t>
      </w:r>
      <w:r>
        <w:rPr>
          <w:rFonts w:hint="eastAsia" w:ascii="宋体" w:hAnsi="宋体" w:eastAsia="宋体" w:cs="宋体"/>
          <w:b/>
          <w:bCs/>
          <w:color w:val="auto"/>
          <w:szCs w:val="21"/>
          <w:highlight w:val="none"/>
          <w:u w:val="single"/>
        </w:rPr>
        <w:t>6.</w:t>
      </w:r>
      <w:r>
        <w:rPr>
          <w:rFonts w:hint="eastAsia" w:ascii="宋体" w:hAnsi="宋体" w:cs="宋体"/>
          <w:b/>
          <w:bCs/>
          <w:color w:val="auto"/>
          <w:szCs w:val="21"/>
          <w:highlight w:val="none"/>
          <w:u w:val="single"/>
          <w:lang w:val="en-US" w:eastAsia="zh-CN"/>
        </w:rPr>
        <w:t>3</w:t>
      </w:r>
      <w:r>
        <w:rPr>
          <w:rFonts w:hint="eastAsia" w:ascii="宋体" w:hAnsi="宋体" w:eastAsia="宋体" w:cs="宋体"/>
          <w:b/>
          <w:bCs/>
          <w:color w:val="auto"/>
          <w:szCs w:val="21"/>
          <w:highlight w:val="none"/>
          <w:u w:val="single"/>
        </w:rPr>
        <w:t>招标项目负责人宣读定标委员会组建情况及成员名单，宣读定标纪律，签订廉政责任书。</w:t>
      </w:r>
    </w:p>
    <w:p w14:paraId="56DA0D92">
      <w:pPr>
        <w:keepNext w:val="0"/>
        <w:keepLines w:val="0"/>
        <w:pageBreakBefore w:val="0"/>
        <w:shd w:val="clear" w:color="auto" w:fill="auto"/>
        <w:kinsoku/>
        <w:wordWrap/>
        <w:overflowPunct/>
        <w:topLinePunct w:val="0"/>
        <w:autoSpaceDE/>
        <w:autoSpaceDN/>
        <w:bidi w:val="0"/>
        <w:adjustRightInd/>
        <w:spacing w:line="360" w:lineRule="auto"/>
        <w:ind w:firstLine="422" w:firstLineChars="200"/>
        <w:textAlignment w:val="auto"/>
        <w:rPr>
          <w:rFonts w:hint="eastAsia" w:ascii="宋体" w:hAnsi="宋体" w:eastAsia="宋体" w:cs="宋体"/>
          <w:b/>
          <w:bCs/>
          <w:color w:val="auto"/>
          <w:szCs w:val="21"/>
          <w:highlight w:val="none"/>
          <w:u w:val="single"/>
        </w:rPr>
      </w:pPr>
      <w:r>
        <w:rPr>
          <w:rFonts w:hint="eastAsia" w:ascii="宋体" w:hAnsi="宋体" w:cs="宋体"/>
          <w:b/>
          <w:bCs/>
          <w:color w:val="auto"/>
          <w:szCs w:val="21"/>
          <w:highlight w:val="none"/>
          <w:u w:val="single"/>
          <w:lang w:val="en-US" w:eastAsia="zh-CN"/>
        </w:rPr>
        <w:t>50</w:t>
      </w:r>
      <w:r>
        <w:rPr>
          <w:rFonts w:hint="eastAsia" w:ascii="宋体" w:hAnsi="宋体" w:eastAsia="宋体" w:cs="宋体"/>
          <w:b/>
          <w:bCs/>
          <w:color w:val="auto"/>
          <w:szCs w:val="21"/>
          <w:highlight w:val="none"/>
          <w:u w:val="single"/>
        </w:rPr>
        <w:t>.6.</w:t>
      </w:r>
      <w:r>
        <w:rPr>
          <w:rFonts w:hint="eastAsia" w:ascii="宋体" w:hAnsi="宋体" w:cs="宋体"/>
          <w:b/>
          <w:bCs/>
          <w:color w:val="auto"/>
          <w:szCs w:val="21"/>
          <w:highlight w:val="none"/>
          <w:u w:val="single"/>
          <w:lang w:val="en-US" w:eastAsia="zh-CN"/>
        </w:rPr>
        <w:t>4</w:t>
      </w:r>
      <w:r>
        <w:rPr>
          <w:rFonts w:hint="eastAsia" w:ascii="宋体" w:hAnsi="宋体" w:eastAsia="宋体" w:cs="宋体"/>
          <w:b/>
          <w:bCs/>
          <w:color w:val="auto"/>
          <w:szCs w:val="21"/>
          <w:highlight w:val="none"/>
          <w:u w:val="single"/>
        </w:rPr>
        <w:t>定标工作开始后，定标委员会应推荐一人为定标委员会组长。</w:t>
      </w:r>
    </w:p>
    <w:p w14:paraId="4D385286">
      <w:pPr>
        <w:keepNext w:val="0"/>
        <w:keepLines w:val="0"/>
        <w:pageBreakBefore w:val="0"/>
        <w:shd w:val="clear" w:color="auto" w:fill="auto"/>
        <w:kinsoku/>
        <w:wordWrap/>
        <w:overflowPunct/>
        <w:topLinePunct w:val="0"/>
        <w:autoSpaceDE/>
        <w:autoSpaceDN/>
        <w:bidi w:val="0"/>
        <w:adjustRightInd/>
        <w:spacing w:line="360" w:lineRule="auto"/>
        <w:ind w:firstLine="422" w:firstLineChars="200"/>
        <w:textAlignment w:val="auto"/>
        <w:rPr>
          <w:rFonts w:hint="eastAsia" w:ascii="宋体" w:hAnsi="宋体" w:eastAsia="宋体" w:cs="宋体"/>
          <w:b/>
          <w:bCs/>
          <w:color w:val="auto"/>
          <w:szCs w:val="21"/>
          <w:highlight w:val="none"/>
          <w:u w:val="single"/>
        </w:rPr>
      </w:pPr>
      <w:r>
        <w:rPr>
          <w:rFonts w:hint="eastAsia" w:ascii="宋体" w:hAnsi="宋体" w:cs="宋体"/>
          <w:b/>
          <w:bCs/>
          <w:color w:val="auto"/>
          <w:szCs w:val="21"/>
          <w:highlight w:val="none"/>
          <w:u w:val="single"/>
          <w:lang w:val="en-US" w:eastAsia="zh-CN"/>
        </w:rPr>
        <w:t>50.</w:t>
      </w:r>
      <w:r>
        <w:rPr>
          <w:rFonts w:hint="eastAsia" w:ascii="宋体" w:hAnsi="宋体" w:eastAsia="宋体" w:cs="宋体"/>
          <w:b/>
          <w:bCs/>
          <w:color w:val="auto"/>
          <w:szCs w:val="21"/>
          <w:highlight w:val="none"/>
          <w:u w:val="single"/>
        </w:rPr>
        <w:t>6.</w:t>
      </w:r>
      <w:r>
        <w:rPr>
          <w:rFonts w:hint="eastAsia" w:ascii="宋体" w:hAnsi="宋体" w:cs="宋体"/>
          <w:b/>
          <w:bCs/>
          <w:color w:val="auto"/>
          <w:szCs w:val="21"/>
          <w:highlight w:val="none"/>
          <w:u w:val="single"/>
          <w:lang w:val="en-US" w:eastAsia="zh-CN"/>
        </w:rPr>
        <w:t>5</w:t>
      </w:r>
      <w:r>
        <w:rPr>
          <w:rFonts w:hint="eastAsia" w:ascii="宋体" w:hAnsi="宋体" w:eastAsia="宋体" w:cs="宋体"/>
          <w:b/>
          <w:bCs/>
          <w:color w:val="auto"/>
          <w:szCs w:val="21"/>
          <w:highlight w:val="none"/>
          <w:u w:val="single"/>
        </w:rPr>
        <w:t>定标委员会根据定标辅助资料，在同等条件下，根据定标因素的相对标准按以下方面进行评审</w:t>
      </w:r>
      <w:r>
        <w:rPr>
          <w:rFonts w:hint="eastAsia" w:ascii="宋体" w:hAnsi="宋体" w:cs="宋体"/>
          <w:b/>
          <w:bCs/>
          <w:color w:val="auto"/>
          <w:szCs w:val="21"/>
          <w:highlight w:val="none"/>
          <w:u w:val="single"/>
          <w:lang w:eastAsia="zh-CN"/>
        </w:rPr>
        <w:t>。</w:t>
      </w:r>
      <w:r>
        <w:rPr>
          <w:rFonts w:hint="eastAsia" w:ascii="宋体" w:hAnsi="宋体" w:eastAsia="宋体" w:cs="宋体"/>
          <w:b/>
          <w:bCs/>
          <w:color w:val="auto"/>
          <w:szCs w:val="21"/>
          <w:highlight w:val="none"/>
          <w:u w:val="single"/>
        </w:rPr>
        <w:t>详见</w:t>
      </w:r>
      <w:r>
        <w:rPr>
          <w:rFonts w:hint="eastAsia" w:ascii="宋体" w:hAnsi="宋体" w:eastAsia="宋体" w:cs="宋体"/>
          <w:b/>
          <w:bCs/>
          <w:color w:val="auto"/>
          <w:szCs w:val="21"/>
          <w:highlight w:val="none"/>
          <w:u w:val="single"/>
          <w:lang w:val="en-US" w:eastAsia="zh-CN"/>
        </w:rPr>
        <w:t>附表八</w:t>
      </w:r>
      <w:r>
        <w:rPr>
          <w:rFonts w:hint="eastAsia" w:ascii="宋体" w:hAnsi="宋体" w:eastAsia="宋体" w:cs="宋体"/>
          <w:b/>
          <w:bCs/>
          <w:color w:val="auto"/>
          <w:szCs w:val="21"/>
          <w:highlight w:val="none"/>
          <w:u w:val="single"/>
        </w:rPr>
        <w:t>《定标因素表》</w:t>
      </w:r>
    </w:p>
    <w:p w14:paraId="28E2E750">
      <w:pPr>
        <w:keepNext w:val="0"/>
        <w:keepLines w:val="0"/>
        <w:pageBreakBefore w:val="0"/>
        <w:shd w:val="clear" w:color="auto" w:fill="auto"/>
        <w:kinsoku/>
        <w:wordWrap/>
        <w:overflowPunct/>
        <w:topLinePunct w:val="0"/>
        <w:autoSpaceDE/>
        <w:autoSpaceDN/>
        <w:bidi w:val="0"/>
        <w:adjustRightInd/>
        <w:spacing w:line="360" w:lineRule="auto"/>
        <w:ind w:firstLine="422" w:firstLineChars="200"/>
        <w:textAlignment w:val="auto"/>
        <w:rPr>
          <w:rFonts w:hint="eastAsia" w:ascii="宋体" w:hAnsi="宋体" w:eastAsia="宋体" w:cs="宋体"/>
          <w:b/>
          <w:bCs/>
          <w:color w:val="auto"/>
          <w:szCs w:val="21"/>
          <w:highlight w:val="none"/>
          <w:u w:val="single"/>
          <w:lang w:val="en-US" w:eastAsia="zh-CN"/>
        </w:rPr>
      </w:pPr>
      <w:r>
        <w:rPr>
          <w:rFonts w:hint="eastAsia" w:ascii="宋体" w:hAnsi="宋体" w:cs="宋体"/>
          <w:b/>
          <w:bCs/>
          <w:color w:val="auto"/>
          <w:szCs w:val="21"/>
          <w:highlight w:val="none"/>
          <w:u w:val="single"/>
          <w:lang w:val="en-US" w:eastAsia="zh-CN"/>
        </w:rPr>
        <w:t>50</w:t>
      </w:r>
      <w:r>
        <w:rPr>
          <w:rFonts w:hint="eastAsia" w:ascii="宋体" w:hAnsi="宋体" w:eastAsia="宋体" w:cs="宋体"/>
          <w:b/>
          <w:bCs/>
          <w:color w:val="auto"/>
          <w:szCs w:val="21"/>
          <w:highlight w:val="none"/>
          <w:u w:val="single"/>
        </w:rPr>
        <w:t>.</w:t>
      </w:r>
      <w:r>
        <w:rPr>
          <w:rFonts w:hint="eastAsia" w:ascii="宋体" w:hAnsi="宋体" w:eastAsia="宋体" w:cs="宋体"/>
          <w:b/>
          <w:bCs/>
          <w:color w:val="auto"/>
          <w:szCs w:val="21"/>
          <w:highlight w:val="none"/>
          <w:u w:val="single"/>
          <w:lang w:val="en-US" w:eastAsia="zh-CN"/>
        </w:rPr>
        <w:t>6</w:t>
      </w:r>
      <w:r>
        <w:rPr>
          <w:rFonts w:hint="eastAsia" w:ascii="宋体" w:hAnsi="宋体" w:eastAsia="宋体" w:cs="宋体"/>
          <w:b/>
          <w:bCs/>
          <w:color w:val="auto"/>
          <w:szCs w:val="21"/>
          <w:highlight w:val="none"/>
          <w:u w:val="single"/>
        </w:rPr>
        <w:t>.</w:t>
      </w:r>
      <w:r>
        <w:rPr>
          <w:rFonts w:hint="eastAsia" w:ascii="宋体" w:hAnsi="宋体" w:cs="宋体"/>
          <w:b/>
          <w:bCs/>
          <w:color w:val="auto"/>
          <w:szCs w:val="21"/>
          <w:highlight w:val="none"/>
          <w:u w:val="single"/>
          <w:lang w:val="en-US" w:eastAsia="zh-CN"/>
        </w:rPr>
        <w:t>6</w:t>
      </w:r>
      <w:r>
        <w:rPr>
          <w:rFonts w:hint="eastAsia" w:ascii="宋体" w:hAnsi="宋体" w:eastAsia="宋体" w:cs="宋体"/>
          <w:b/>
          <w:bCs/>
          <w:color w:val="auto"/>
          <w:szCs w:val="21"/>
          <w:highlight w:val="none"/>
          <w:u w:val="single"/>
          <w:lang w:val="en-US" w:eastAsia="zh-CN"/>
        </w:rPr>
        <w:t>定标委员会在评标委员会评审的基础上，根据评标阶段的评标报告、合格中标候选人提交的投标文件、定标因素对进入定标阶段合格中标候选人的投标文件方案部分内容及答辩情况进行横向对比、投票。</w:t>
      </w:r>
    </w:p>
    <w:p w14:paraId="05922562">
      <w:pPr>
        <w:pStyle w:val="2"/>
        <w:spacing w:line="360" w:lineRule="auto"/>
        <w:rPr>
          <w:rFonts w:hint="eastAsia" w:ascii="宋体" w:hAnsi="宋体" w:eastAsia="宋体" w:cs="宋体"/>
          <w:b/>
          <w:bCs/>
          <w:color w:val="auto"/>
          <w:kern w:val="2"/>
          <w:sz w:val="21"/>
          <w:szCs w:val="21"/>
          <w:highlight w:val="none"/>
          <w:u w:val="single"/>
          <w:lang w:val="en-US" w:eastAsia="zh-CN" w:bidi="ar-SA"/>
        </w:rPr>
      </w:pPr>
      <w:r>
        <w:rPr>
          <w:rFonts w:hint="eastAsia" w:ascii="宋体" w:hAnsi="宋体" w:eastAsia="宋体" w:cs="宋体"/>
          <w:b/>
          <w:bCs/>
          <w:color w:val="auto"/>
          <w:kern w:val="2"/>
          <w:sz w:val="21"/>
          <w:szCs w:val="21"/>
          <w:highlight w:val="none"/>
          <w:u w:val="single"/>
          <w:lang w:val="en-US" w:eastAsia="zh-CN" w:bidi="ar-SA"/>
        </w:rPr>
        <w:t>50.6.7发放选票，由定标委员会根据定标因素进行记名投票并撰写评语。</w:t>
      </w:r>
    </w:p>
    <w:p w14:paraId="116A1099">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kern w:val="2"/>
          <w:sz w:val="21"/>
          <w:szCs w:val="21"/>
          <w:highlight w:val="none"/>
          <w:u w:val="single"/>
          <w:lang w:val="en-US" w:eastAsia="zh-CN" w:bidi="ar-SA"/>
        </w:rPr>
      </w:pPr>
      <w:r>
        <w:rPr>
          <w:rFonts w:hint="eastAsia" w:ascii="宋体" w:hAnsi="宋体" w:eastAsia="宋体" w:cs="宋体"/>
          <w:b/>
          <w:bCs/>
          <w:color w:val="auto"/>
          <w:kern w:val="2"/>
          <w:sz w:val="21"/>
          <w:szCs w:val="21"/>
          <w:highlight w:val="none"/>
          <w:u w:val="single"/>
          <w:lang w:val="en-US" w:eastAsia="zh-CN" w:bidi="ar-SA"/>
        </w:rPr>
        <w:t>50.6.8投票规则：定标委员会根据定标因素对各合格中标候选人进行综合评审并对所支持的合格中标候选人撰写评语后，进行一轮一次性票决，每位定标委员会成员只有1票表决权（即只能对其中1家中标候选人投票），得票数最多的合格中标候选人确定为中标人，若出现票数相同且无法决出中标人时，对票数相同的中标候选人再进行一次性票决，直至决出中标人。</w:t>
      </w:r>
    </w:p>
    <w:p w14:paraId="288D03D4">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kern w:val="2"/>
          <w:sz w:val="21"/>
          <w:szCs w:val="21"/>
          <w:highlight w:val="none"/>
          <w:u w:val="single"/>
          <w:lang w:val="en-US" w:eastAsia="zh-CN" w:bidi="ar-SA"/>
        </w:rPr>
      </w:pPr>
      <w:r>
        <w:rPr>
          <w:rFonts w:hint="eastAsia" w:ascii="宋体" w:hAnsi="宋体" w:eastAsia="宋体" w:cs="宋体"/>
          <w:b/>
          <w:bCs/>
          <w:color w:val="auto"/>
          <w:kern w:val="2"/>
          <w:sz w:val="21"/>
          <w:szCs w:val="21"/>
          <w:highlight w:val="none"/>
          <w:u w:val="single"/>
          <w:lang w:val="en-US" w:eastAsia="zh-CN" w:bidi="ar-SA"/>
        </w:rPr>
        <w:t>50.6.8定标委员会成员投票时，应按照招标文件规定的投票规则独立行使投票权，不得弃权或产生废票。</w:t>
      </w:r>
    </w:p>
    <w:p w14:paraId="70666DF1">
      <w:pPr>
        <w:keepNext w:val="0"/>
        <w:keepLines w:val="0"/>
        <w:pageBreakBefore w:val="0"/>
        <w:shd w:val="clear" w:color="auto" w:fill="auto"/>
        <w:kinsoku/>
        <w:wordWrap/>
        <w:overflowPunct/>
        <w:topLinePunct w:val="0"/>
        <w:autoSpaceDE/>
        <w:autoSpaceDN/>
        <w:bidi w:val="0"/>
        <w:adjustRightInd/>
        <w:spacing w:line="360" w:lineRule="auto"/>
        <w:ind w:firstLine="422" w:firstLineChars="200"/>
        <w:textAlignment w:val="auto"/>
        <w:rPr>
          <w:rFonts w:hint="eastAsia" w:ascii="宋体" w:hAnsi="宋体" w:eastAsia="宋体" w:cs="宋体"/>
          <w:b/>
          <w:bCs/>
          <w:color w:val="auto"/>
          <w:szCs w:val="21"/>
          <w:highlight w:val="none"/>
          <w:u w:val="single"/>
        </w:rPr>
      </w:pPr>
      <w:r>
        <w:rPr>
          <w:rFonts w:hint="eastAsia" w:ascii="宋体" w:hAnsi="宋体" w:cs="宋体"/>
          <w:b/>
          <w:bCs/>
          <w:color w:val="auto"/>
          <w:szCs w:val="21"/>
          <w:highlight w:val="none"/>
          <w:u w:val="single"/>
          <w:lang w:val="en-US" w:eastAsia="zh-CN"/>
        </w:rPr>
        <w:t>50</w:t>
      </w:r>
      <w:r>
        <w:rPr>
          <w:rFonts w:hint="eastAsia" w:ascii="宋体" w:hAnsi="宋体" w:eastAsia="宋体" w:cs="宋体"/>
          <w:b/>
          <w:bCs/>
          <w:color w:val="auto"/>
          <w:szCs w:val="21"/>
          <w:highlight w:val="none"/>
          <w:u w:val="single"/>
        </w:rPr>
        <w:t>.6.</w:t>
      </w:r>
      <w:r>
        <w:rPr>
          <w:rFonts w:hint="eastAsia" w:ascii="宋体" w:hAnsi="宋体" w:cs="宋体"/>
          <w:b/>
          <w:bCs/>
          <w:color w:val="auto"/>
          <w:szCs w:val="21"/>
          <w:highlight w:val="none"/>
          <w:u w:val="single"/>
          <w:lang w:val="en-US" w:eastAsia="zh-CN"/>
        </w:rPr>
        <w:t>9</w:t>
      </w:r>
      <w:r>
        <w:rPr>
          <w:rFonts w:hint="eastAsia" w:ascii="宋体" w:hAnsi="宋体" w:eastAsia="宋体" w:cs="宋体"/>
          <w:b/>
          <w:bCs/>
          <w:color w:val="auto"/>
          <w:szCs w:val="21"/>
          <w:highlight w:val="none"/>
          <w:u w:val="single"/>
        </w:rPr>
        <w:t>编写定标报告，定标委员会全体确认后签署定标报告。</w:t>
      </w:r>
    </w:p>
    <w:p w14:paraId="6D0CF0E3">
      <w:pPr>
        <w:keepNext w:val="0"/>
        <w:keepLines w:val="0"/>
        <w:pageBreakBefore w:val="0"/>
        <w:shd w:val="clear" w:color="auto" w:fill="auto"/>
        <w:kinsoku/>
        <w:wordWrap/>
        <w:overflowPunct/>
        <w:topLinePunct w:val="0"/>
        <w:autoSpaceDE/>
        <w:autoSpaceDN/>
        <w:bidi w:val="0"/>
        <w:adjustRightInd/>
        <w:spacing w:line="360" w:lineRule="auto"/>
        <w:ind w:firstLine="422" w:firstLineChars="200"/>
        <w:textAlignment w:val="auto"/>
        <w:rPr>
          <w:rFonts w:hint="eastAsia" w:ascii="宋体" w:hAnsi="宋体" w:eastAsia="宋体" w:cs="宋体"/>
          <w:b/>
          <w:bCs/>
          <w:color w:val="auto"/>
          <w:szCs w:val="21"/>
          <w:highlight w:val="none"/>
          <w:u w:val="single"/>
        </w:rPr>
      </w:pPr>
      <w:r>
        <w:rPr>
          <w:rFonts w:hint="eastAsia" w:ascii="宋体" w:hAnsi="宋体" w:eastAsia="宋体" w:cs="宋体"/>
          <w:b/>
          <w:bCs/>
          <w:color w:val="auto"/>
          <w:szCs w:val="21"/>
          <w:highlight w:val="none"/>
          <w:u w:val="single"/>
        </w:rPr>
        <w:t>注：合格中标候选人拟派的项目负责人或技术负责人对拟派管理团队介绍</w:t>
      </w:r>
      <w:r>
        <w:rPr>
          <w:rFonts w:hint="eastAsia" w:ascii="宋体" w:hAnsi="宋体" w:cs="宋体"/>
          <w:b/>
          <w:bCs/>
          <w:color w:val="auto"/>
          <w:szCs w:val="21"/>
          <w:highlight w:val="none"/>
          <w:u w:val="single"/>
          <w:lang w:eastAsia="zh-CN"/>
        </w:rPr>
        <w:t>，</w:t>
      </w:r>
      <w:r>
        <w:rPr>
          <w:rFonts w:hint="eastAsia" w:ascii="宋体" w:hAnsi="宋体" w:eastAsia="宋体" w:cs="宋体"/>
          <w:b/>
          <w:bCs/>
          <w:color w:val="auto"/>
          <w:szCs w:val="21"/>
          <w:highlight w:val="none"/>
          <w:u w:val="single"/>
        </w:rPr>
        <w:t>介绍时间不得超过</w:t>
      </w:r>
      <w:r>
        <w:rPr>
          <w:rFonts w:hint="eastAsia" w:ascii="宋体" w:hAnsi="宋体" w:cs="宋体"/>
          <w:b/>
          <w:bCs/>
          <w:color w:val="auto"/>
          <w:szCs w:val="21"/>
          <w:highlight w:val="none"/>
          <w:u w:val="single"/>
          <w:lang w:val="en-US" w:eastAsia="zh-CN"/>
        </w:rPr>
        <w:t>10</w:t>
      </w:r>
      <w:r>
        <w:rPr>
          <w:rFonts w:hint="eastAsia" w:ascii="宋体" w:hAnsi="宋体" w:eastAsia="宋体" w:cs="宋体"/>
          <w:b/>
          <w:bCs/>
          <w:color w:val="auto"/>
          <w:szCs w:val="21"/>
          <w:highlight w:val="none"/>
          <w:u w:val="single"/>
        </w:rPr>
        <w:t>分钟，问答5分钟，评委针对其陈述内容及措施所提的相关问题。</w:t>
      </w:r>
    </w:p>
    <w:p w14:paraId="4D94EE1C">
      <w:pPr>
        <w:keepNext w:val="0"/>
        <w:keepLines w:val="0"/>
        <w:pageBreakBefore w:val="0"/>
        <w:shd w:val="clear" w:color="auto" w:fill="auto"/>
        <w:kinsoku/>
        <w:wordWrap/>
        <w:overflowPunct/>
        <w:topLinePunct w:val="0"/>
        <w:autoSpaceDE/>
        <w:autoSpaceDN/>
        <w:bidi w:val="0"/>
        <w:adjustRightInd/>
        <w:spacing w:line="360" w:lineRule="auto"/>
        <w:ind w:firstLine="422" w:firstLineChars="200"/>
        <w:textAlignment w:val="auto"/>
        <w:rPr>
          <w:rFonts w:hint="default" w:ascii="宋体" w:hAnsi="宋体" w:eastAsia="宋体" w:cs="宋体"/>
          <w:b/>
          <w:bCs/>
          <w:color w:val="auto"/>
          <w:szCs w:val="21"/>
          <w:highlight w:val="none"/>
          <w:u w:val="single"/>
          <w:lang w:val="en-US" w:eastAsia="zh-CN"/>
        </w:rPr>
      </w:pPr>
      <w:r>
        <w:rPr>
          <w:rFonts w:hint="eastAsia" w:ascii="宋体" w:hAnsi="宋体" w:eastAsia="宋体" w:cs="宋体"/>
          <w:b/>
          <w:bCs/>
          <w:color w:val="auto"/>
          <w:szCs w:val="21"/>
          <w:highlight w:val="none"/>
          <w:u w:val="single"/>
        </w:rPr>
        <w:t>①答辩签到：招标人或招标代理将《定标会议通知》以邮件送达各合格中标候选人，各合格中标候选人收到邮件后需在《定标会议通知》上盖章后回复邮件。各中标候选人拟派的项目负责人或技术负责人携带本单位法定代表人证明书原件、法定代表人授权委托证明书原件，本人身份证原件到达《定标会议通知》通知的开标室进行签到，签到具体时间以《定标会议通知》为准。签到完成后，拟派项目负责人或技术负责人需签署《答辩纪律》、《答辩人员承诺书》等文件(签署的文件以实际下发的为准)。合格中标候选人拟派的项目负责人或技术负责人签到时未能提供本单位法定代表人证明书原件、法定代表人授权委托证明书原件的,或未能在规定的时候内进行签到的，视为放弃答辩。签到时，拟派的项目负责人或技术负责人需将其所有通讯设备调成关机或静音状态交招标代理保管，待其答辩完成后退还。</w:t>
      </w:r>
      <w:r>
        <w:rPr>
          <w:rFonts w:hint="eastAsia" w:ascii="宋体" w:hAnsi="宋体" w:cs="宋体"/>
          <w:b/>
          <w:bCs/>
          <w:color w:val="auto"/>
          <w:szCs w:val="21"/>
          <w:highlight w:val="none"/>
          <w:u w:val="single"/>
          <w:lang w:val="en-US" w:eastAsia="zh-CN"/>
        </w:rPr>
        <w:t>其他详细要求以</w:t>
      </w:r>
      <w:r>
        <w:rPr>
          <w:rFonts w:hint="eastAsia" w:ascii="宋体" w:hAnsi="宋体" w:eastAsia="宋体" w:cs="宋体"/>
          <w:b/>
          <w:bCs/>
          <w:color w:val="auto"/>
          <w:szCs w:val="21"/>
          <w:highlight w:val="none"/>
          <w:u w:val="single"/>
        </w:rPr>
        <w:t>《定标会议通知》</w:t>
      </w:r>
      <w:r>
        <w:rPr>
          <w:rFonts w:hint="eastAsia" w:ascii="宋体" w:hAnsi="宋体" w:cs="宋体"/>
          <w:b/>
          <w:bCs/>
          <w:color w:val="auto"/>
          <w:szCs w:val="21"/>
          <w:highlight w:val="none"/>
          <w:u w:val="single"/>
          <w:lang w:eastAsia="zh-CN"/>
        </w:rPr>
        <w:t>的</w:t>
      </w:r>
      <w:r>
        <w:rPr>
          <w:rFonts w:hint="eastAsia" w:ascii="宋体" w:hAnsi="宋体" w:cs="宋体"/>
          <w:b/>
          <w:bCs/>
          <w:color w:val="auto"/>
          <w:szCs w:val="21"/>
          <w:highlight w:val="none"/>
          <w:u w:val="single"/>
          <w:lang w:val="en-US" w:eastAsia="zh-CN"/>
        </w:rPr>
        <w:t>内容要求为准。</w:t>
      </w:r>
    </w:p>
    <w:p w14:paraId="542AD316">
      <w:pPr>
        <w:keepNext w:val="0"/>
        <w:keepLines w:val="0"/>
        <w:pageBreakBefore w:val="0"/>
        <w:shd w:val="clear" w:color="auto" w:fill="auto"/>
        <w:kinsoku/>
        <w:wordWrap/>
        <w:overflowPunct/>
        <w:topLinePunct w:val="0"/>
        <w:autoSpaceDE/>
        <w:autoSpaceDN/>
        <w:bidi w:val="0"/>
        <w:adjustRightInd/>
        <w:spacing w:line="360" w:lineRule="auto"/>
        <w:ind w:firstLine="422" w:firstLineChars="200"/>
        <w:textAlignment w:val="auto"/>
        <w:rPr>
          <w:rFonts w:hint="eastAsia" w:ascii="宋体" w:hAnsi="宋体" w:eastAsia="宋体" w:cs="宋体"/>
          <w:b/>
          <w:bCs/>
          <w:color w:val="auto"/>
          <w:szCs w:val="21"/>
          <w:highlight w:val="none"/>
          <w:u w:val="single"/>
        </w:rPr>
      </w:pPr>
      <w:r>
        <w:rPr>
          <w:rFonts w:hint="eastAsia" w:ascii="宋体" w:hAnsi="宋体" w:eastAsia="宋体" w:cs="宋体"/>
          <w:b/>
          <w:bCs/>
          <w:color w:val="auto"/>
          <w:szCs w:val="21"/>
          <w:highlight w:val="none"/>
          <w:u w:val="single"/>
        </w:rPr>
        <w:t>②答辩进场顺序：采用现场答辩形式,按项目负责人或技术负责人签到顺序各自抽取答辩顺序号，按答辩顺序号从小到大依次进场答辩。在规定的签到时间内，如所有合格中标候选人均完成签到后，招标代理即可组织抽取答辩顺序号；在规定的签到时间内如存在合格中标候选人未完成签到的，在签到时间截止后，招标代理组织已完成签到的合格中标候选人抽取答辩顺序。</w:t>
      </w:r>
    </w:p>
    <w:p w14:paraId="47CB7D7E">
      <w:pPr>
        <w:keepNext w:val="0"/>
        <w:keepLines w:val="0"/>
        <w:pageBreakBefore w:val="0"/>
        <w:shd w:val="clear" w:color="auto" w:fill="auto"/>
        <w:kinsoku/>
        <w:wordWrap/>
        <w:overflowPunct/>
        <w:topLinePunct w:val="0"/>
        <w:autoSpaceDE/>
        <w:autoSpaceDN/>
        <w:bidi w:val="0"/>
        <w:adjustRightInd/>
        <w:spacing w:line="360" w:lineRule="auto"/>
        <w:ind w:firstLine="422" w:firstLineChars="200"/>
        <w:textAlignment w:val="auto"/>
        <w:rPr>
          <w:rFonts w:hint="eastAsia" w:ascii="宋体" w:hAnsi="宋体" w:eastAsia="宋体" w:cs="宋体"/>
          <w:b/>
          <w:bCs/>
          <w:color w:val="auto"/>
          <w:szCs w:val="21"/>
          <w:highlight w:val="none"/>
          <w:u w:val="single"/>
        </w:rPr>
      </w:pPr>
      <w:r>
        <w:rPr>
          <w:rFonts w:hint="eastAsia" w:ascii="宋体" w:hAnsi="宋体" w:eastAsia="宋体" w:cs="宋体"/>
          <w:b/>
          <w:bCs/>
          <w:color w:val="auto"/>
          <w:szCs w:val="21"/>
          <w:highlight w:val="none"/>
          <w:u w:val="single"/>
        </w:rPr>
        <w:t>③答辩人员的要求：答辩的人员在参加答辩时，应向招标人（招标代理）出示身份证原件，招标人（招标代理）核对确认身份无误后再进行答辩。答辩人员未能出示前述证明文件的不予参加答辩环节。</w:t>
      </w:r>
    </w:p>
    <w:p w14:paraId="23741BEA">
      <w:pPr>
        <w:keepNext w:val="0"/>
        <w:keepLines w:val="0"/>
        <w:pageBreakBefore w:val="0"/>
        <w:shd w:val="clear" w:color="auto" w:fill="auto"/>
        <w:kinsoku/>
        <w:wordWrap/>
        <w:overflowPunct/>
        <w:topLinePunct w:val="0"/>
        <w:autoSpaceDE/>
        <w:autoSpaceDN/>
        <w:bidi w:val="0"/>
        <w:adjustRightInd/>
        <w:spacing w:line="360" w:lineRule="auto"/>
        <w:ind w:firstLine="422" w:firstLineChars="200"/>
        <w:textAlignment w:val="auto"/>
        <w:rPr>
          <w:rFonts w:hint="eastAsia" w:ascii="宋体" w:hAnsi="宋体" w:eastAsia="宋体" w:cs="宋体"/>
          <w:b/>
          <w:bCs/>
          <w:color w:val="auto"/>
          <w:szCs w:val="21"/>
          <w:highlight w:val="none"/>
          <w:u w:val="single"/>
        </w:rPr>
      </w:pPr>
      <w:r>
        <w:rPr>
          <w:rFonts w:hint="eastAsia" w:ascii="宋体" w:hAnsi="宋体" w:eastAsia="宋体" w:cs="宋体"/>
          <w:b/>
          <w:bCs/>
          <w:color w:val="auto"/>
          <w:szCs w:val="21"/>
          <w:highlight w:val="none"/>
          <w:u w:val="single"/>
        </w:rPr>
        <w:t>④答辩的要点与时限：详见《定标因素表》。</w:t>
      </w:r>
    </w:p>
    <w:p w14:paraId="7BD64342">
      <w:pPr>
        <w:keepNext w:val="0"/>
        <w:keepLines w:val="0"/>
        <w:pageBreakBefore w:val="0"/>
        <w:shd w:val="clear" w:color="auto" w:fill="auto"/>
        <w:kinsoku/>
        <w:wordWrap/>
        <w:overflowPunct/>
        <w:topLinePunct w:val="0"/>
        <w:autoSpaceDE/>
        <w:autoSpaceDN/>
        <w:bidi w:val="0"/>
        <w:adjustRightInd/>
        <w:spacing w:line="360" w:lineRule="auto"/>
        <w:ind w:firstLine="422" w:firstLineChars="200"/>
        <w:textAlignment w:val="auto"/>
        <w:rPr>
          <w:rFonts w:hint="eastAsia" w:ascii="宋体" w:hAnsi="宋体" w:eastAsia="宋体" w:cs="宋体"/>
          <w:b/>
          <w:bCs/>
          <w:color w:val="auto"/>
          <w:szCs w:val="21"/>
          <w:highlight w:val="none"/>
          <w:u w:val="single"/>
        </w:rPr>
      </w:pPr>
      <w:r>
        <w:rPr>
          <w:rFonts w:hint="eastAsia" w:ascii="宋体" w:hAnsi="宋体" w:cs="宋体"/>
          <w:b/>
          <w:bCs/>
          <w:color w:val="auto"/>
          <w:szCs w:val="21"/>
          <w:highlight w:val="none"/>
          <w:u w:val="single"/>
          <w:lang w:val="en-US" w:eastAsia="zh-CN"/>
        </w:rPr>
        <w:t>50</w:t>
      </w:r>
      <w:r>
        <w:rPr>
          <w:rFonts w:hint="eastAsia" w:ascii="宋体" w:hAnsi="宋体" w:eastAsia="宋体" w:cs="宋体"/>
          <w:b/>
          <w:bCs/>
          <w:color w:val="auto"/>
          <w:szCs w:val="21"/>
          <w:highlight w:val="none"/>
          <w:u w:val="single"/>
        </w:rPr>
        <w:t>.7招标人应当在定标工作完成后3日内公示中标结果。</w:t>
      </w:r>
    </w:p>
    <w:p w14:paraId="0480A8CA">
      <w:pPr>
        <w:keepNext w:val="0"/>
        <w:keepLines w:val="0"/>
        <w:pageBreakBefore w:val="0"/>
        <w:shd w:val="clear" w:color="auto" w:fill="auto"/>
        <w:kinsoku/>
        <w:wordWrap/>
        <w:overflowPunct/>
        <w:topLinePunct w:val="0"/>
        <w:autoSpaceDE/>
        <w:autoSpaceDN/>
        <w:bidi w:val="0"/>
        <w:adjustRightInd/>
        <w:spacing w:line="360" w:lineRule="auto"/>
        <w:ind w:firstLine="422" w:firstLineChars="200"/>
        <w:textAlignment w:val="auto"/>
        <w:rPr>
          <w:rFonts w:hint="eastAsia" w:ascii="宋体" w:hAnsi="宋体" w:eastAsia="宋体" w:cs="宋体"/>
          <w:b/>
          <w:bCs/>
          <w:color w:val="auto"/>
          <w:szCs w:val="21"/>
          <w:highlight w:val="none"/>
          <w:u w:val="single"/>
        </w:rPr>
      </w:pPr>
      <w:r>
        <w:rPr>
          <w:rFonts w:hint="eastAsia" w:ascii="宋体" w:hAnsi="宋体" w:cs="宋体"/>
          <w:b/>
          <w:bCs/>
          <w:color w:val="auto"/>
          <w:szCs w:val="21"/>
          <w:highlight w:val="none"/>
          <w:u w:val="single"/>
          <w:lang w:val="en-US" w:eastAsia="zh-CN"/>
        </w:rPr>
        <w:t>50</w:t>
      </w:r>
      <w:r>
        <w:rPr>
          <w:rFonts w:hint="eastAsia" w:ascii="宋体" w:hAnsi="宋体" w:eastAsia="宋体" w:cs="宋体"/>
          <w:b/>
          <w:bCs/>
          <w:color w:val="auto"/>
          <w:szCs w:val="21"/>
          <w:highlight w:val="none"/>
          <w:u w:val="single"/>
        </w:rPr>
        <w:t>.8</w:t>
      </w:r>
      <w:r>
        <w:rPr>
          <w:rFonts w:hint="eastAsia" w:ascii="宋体" w:hAnsi="宋体" w:eastAsia="宋体" w:cs="宋体"/>
          <w:b/>
          <w:bCs/>
          <w:color w:val="auto"/>
          <w:szCs w:val="21"/>
          <w:highlight w:val="none"/>
          <w:u w:val="single"/>
          <w:lang w:eastAsia="zh-CN"/>
        </w:rPr>
        <w:t>（</w:t>
      </w:r>
      <w:r>
        <w:rPr>
          <w:rFonts w:hint="eastAsia" w:ascii="宋体" w:hAnsi="宋体" w:eastAsia="宋体" w:cs="宋体"/>
          <w:b/>
          <w:bCs/>
          <w:color w:val="auto"/>
          <w:szCs w:val="21"/>
          <w:highlight w:val="none"/>
          <w:u w:val="single"/>
          <w:lang w:val="en-US" w:eastAsia="zh-CN"/>
        </w:rPr>
        <w:t>1</w:t>
      </w:r>
      <w:r>
        <w:rPr>
          <w:rFonts w:hint="eastAsia" w:ascii="宋体" w:hAnsi="宋体" w:eastAsia="宋体" w:cs="宋体"/>
          <w:b/>
          <w:bCs/>
          <w:color w:val="auto"/>
          <w:szCs w:val="21"/>
          <w:highlight w:val="none"/>
          <w:u w:val="single"/>
          <w:lang w:eastAsia="zh-CN"/>
        </w:rPr>
        <w:t>）</w:t>
      </w:r>
      <w:r>
        <w:rPr>
          <w:rFonts w:hint="eastAsia" w:ascii="宋体" w:hAnsi="宋体" w:eastAsia="宋体" w:cs="宋体"/>
          <w:b/>
          <w:bCs/>
          <w:color w:val="auto"/>
          <w:szCs w:val="21"/>
          <w:highlight w:val="none"/>
          <w:u w:val="single"/>
        </w:rPr>
        <w:t>重新评标或定标的，评标信息（含业绩、奖项等）、定标信息仍以投标截止时投标人的信息为准。因特殊原因需要延长投标有效期，投标人拒绝延长投标有效期的，仍参与评标、定标，但不被推荐为合格中标候选人</w:t>
      </w:r>
      <w:r>
        <w:rPr>
          <w:rFonts w:hint="eastAsia" w:ascii="宋体" w:hAnsi="宋体" w:eastAsia="宋体" w:cs="宋体"/>
          <w:b/>
          <w:bCs/>
          <w:color w:val="auto"/>
          <w:highlight w:val="none"/>
          <w:u w:val="single"/>
        </w:rPr>
        <w:t>。</w:t>
      </w:r>
    </w:p>
    <w:p w14:paraId="0AECD2DB">
      <w:pPr>
        <w:keepNext w:val="0"/>
        <w:keepLines w:val="0"/>
        <w:pageBreakBefore w:val="0"/>
        <w:shd w:val="clear" w:color="auto" w:fill="auto"/>
        <w:kinsoku/>
        <w:wordWrap/>
        <w:overflowPunct/>
        <w:topLinePunct w:val="0"/>
        <w:autoSpaceDE/>
        <w:autoSpaceDN/>
        <w:bidi w:val="0"/>
        <w:adjustRightInd/>
        <w:spacing w:line="360" w:lineRule="auto"/>
        <w:ind w:firstLine="422" w:firstLineChars="200"/>
        <w:textAlignment w:val="auto"/>
        <w:rPr>
          <w:rFonts w:hint="default" w:ascii="宋体" w:hAnsi="宋体" w:eastAsia="宋体" w:cs="宋体"/>
          <w:b/>
          <w:bCs/>
          <w:color w:val="auto"/>
          <w:szCs w:val="21"/>
          <w:highlight w:val="none"/>
          <w:u w:val="single"/>
          <w:lang w:val="en-US" w:eastAsia="zh-CN"/>
        </w:rPr>
      </w:pPr>
      <w:r>
        <w:rPr>
          <w:rFonts w:hint="eastAsia" w:ascii="宋体" w:hAnsi="宋体" w:eastAsia="宋体" w:cs="宋体"/>
          <w:b/>
          <w:bCs/>
          <w:color w:val="auto"/>
          <w:szCs w:val="21"/>
          <w:highlight w:val="none"/>
          <w:u w:val="single"/>
          <w:lang w:eastAsia="zh-CN"/>
        </w:rPr>
        <w:t>（</w:t>
      </w:r>
      <w:r>
        <w:rPr>
          <w:rFonts w:hint="eastAsia" w:ascii="宋体" w:hAnsi="宋体" w:eastAsia="宋体" w:cs="宋体"/>
          <w:b/>
          <w:bCs/>
          <w:color w:val="auto"/>
          <w:szCs w:val="21"/>
          <w:highlight w:val="none"/>
          <w:u w:val="single"/>
          <w:lang w:val="en-US" w:eastAsia="zh-CN"/>
        </w:rPr>
        <w:t>2</w:t>
      </w:r>
      <w:r>
        <w:rPr>
          <w:rFonts w:hint="eastAsia" w:ascii="宋体" w:hAnsi="宋体" w:eastAsia="宋体" w:cs="宋体"/>
          <w:b/>
          <w:bCs/>
          <w:color w:val="auto"/>
          <w:szCs w:val="21"/>
          <w:highlight w:val="none"/>
          <w:u w:val="single"/>
          <w:lang w:eastAsia="zh-CN"/>
        </w:rPr>
        <w:t>）</w:t>
      </w:r>
      <w:r>
        <w:rPr>
          <w:rFonts w:hint="eastAsia" w:ascii="宋体" w:hAnsi="宋体" w:eastAsia="宋体" w:cs="宋体"/>
          <w:b/>
          <w:bCs/>
          <w:color w:val="auto"/>
          <w:szCs w:val="21"/>
          <w:highlight w:val="none"/>
          <w:u w:val="single"/>
          <w:lang w:val="en-US" w:eastAsia="zh-CN"/>
        </w:rPr>
        <w:t>在合格中标候选人公示期间或在定标前，如有合格中标候选人放弃中标候选人资格或者被查实存在影响中标候选人资格的违法行为等情形，且合格</w:t>
      </w:r>
      <w:r>
        <w:rPr>
          <w:rFonts w:hint="eastAsia" w:ascii="宋体" w:hAnsi="宋体" w:eastAsia="宋体" w:cs="宋体"/>
          <w:b/>
          <w:bCs/>
          <w:color w:val="auto"/>
          <w:szCs w:val="21"/>
          <w:highlight w:val="none"/>
          <w:u w:val="single"/>
        </w:rPr>
        <w:t>中标候选人</w:t>
      </w:r>
      <w:r>
        <w:rPr>
          <w:rFonts w:hint="eastAsia" w:ascii="宋体" w:hAnsi="宋体" w:eastAsia="宋体" w:cs="宋体"/>
          <w:b/>
          <w:bCs/>
          <w:color w:val="auto"/>
          <w:szCs w:val="21"/>
          <w:highlight w:val="none"/>
          <w:u w:val="single"/>
          <w:lang w:val="en-US" w:eastAsia="zh-CN"/>
        </w:rPr>
        <w:t>至少有1名的，招标人不再递补其他合格</w:t>
      </w:r>
      <w:r>
        <w:rPr>
          <w:rFonts w:hint="eastAsia" w:ascii="宋体" w:hAnsi="宋体" w:eastAsia="宋体" w:cs="宋体"/>
          <w:b/>
          <w:bCs/>
          <w:color w:val="auto"/>
          <w:szCs w:val="21"/>
          <w:highlight w:val="none"/>
          <w:u w:val="single"/>
        </w:rPr>
        <w:t>中标候选人</w:t>
      </w:r>
      <w:r>
        <w:rPr>
          <w:rFonts w:hint="eastAsia" w:ascii="宋体" w:hAnsi="宋体" w:eastAsia="宋体" w:cs="宋体"/>
          <w:b/>
          <w:bCs/>
          <w:color w:val="auto"/>
          <w:szCs w:val="21"/>
          <w:highlight w:val="none"/>
          <w:u w:val="single"/>
          <w:lang w:eastAsia="zh-CN"/>
        </w:rPr>
        <w:t>，</w:t>
      </w:r>
      <w:r>
        <w:rPr>
          <w:rFonts w:hint="eastAsia" w:ascii="宋体" w:hAnsi="宋体" w:eastAsia="宋体" w:cs="宋体"/>
          <w:b/>
          <w:bCs/>
          <w:color w:val="auto"/>
          <w:szCs w:val="21"/>
          <w:highlight w:val="none"/>
          <w:u w:val="single"/>
          <w:lang w:val="en-US" w:eastAsia="zh-CN"/>
        </w:rPr>
        <w:t>可以继续定标或依法重新招标；如没有合格</w:t>
      </w:r>
      <w:r>
        <w:rPr>
          <w:rFonts w:hint="eastAsia" w:ascii="宋体" w:hAnsi="宋体" w:eastAsia="宋体" w:cs="宋体"/>
          <w:b/>
          <w:bCs/>
          <w:color w:val="auto"/>
          <w:szCs w:val="21"/>
          <w:highlight w:val="none"/>
          <w:u w:val="single"/>
        </w:rPr>
        <w:t>中标候选人</w:t>
      </w:r>
      <w:r>
        <w:rPr>
          <w:rFonts w:hint="eastAsia" w:ascii="宋体" w:hAnsi="宋体" w:eastAsia="宋体" w:cs="宋体"/>
          <w:b/>
          <w:bCs/>
          <w:color w:val="auto"/>
          <w:szCs w:val="21"/>
          <w:highlight w:val="none"/>
          <w:u w:val="single"/>
          <w:lang w:val="en-US" w:eastAsia="zh-CN"/>
        </w:rPr>
        <w:t>的，则依法重新招标。</w:t>
      </w:r>
    </w:p>
    <w:p w14:paraId="2F77EDE3">
      <w:pPr>
        <w:keepNext w:val="0"/>
        <w:keepLines w:val="0"/>
        <w:pageBreakBefore w:val="0"/>
        <w:shd w:val="clear" w:color="auto" w:fill="auto"/>
        <w:kinsoku/>
        <w:wordWrap/>
        <w:overflowPunct/>
        <w:topLinePunct w:val="0"/>
        <w:autoSpaceDE/>
        <w:autoSpaceDN/>
        <w:bidi w:val="0"/>
        <w:adjustRightInd/>
        <w:spacing w:line="360" w:lineRule="auto"/>
        <w:ind w:firstLine="422" w:firstLineChars="200"/>
        <w:textAlignment w:val="auto"/>
        <w:rPr>
          <w:rFonts w:hint="eastAsia" w:ascii="宋体" w:hAnsi="宋体" w:eastAsia="宋体" w:cs="宋体"/>
          <w:b/>
          <w:bCs/>
          <w:color w:val="auto"/>
          <w:szCs w:val="21"/>
          <w:highlight w:val="none"/>
          <w:u w:val="single"/>
        </w:rPr>
      </w:pPr>
      <w:r>
        <w:rPr>
          <w:rFonts w:hint="eastAsia" w:ascii="宋体" w:hAnsi="宋体" w:eastAsia="宋体" w:cs="宋体"/>
          <w:b/>
          <w:bCs/>
          <w:color w:val="auto"/>
          <w:szCs w:val="21"/>
          <w:highlight w:val="none"/>
          <w:u w:val="single"/>
        </w:rPr>
        <w:t>（</w:t>
      </w:r>
      <w:r>
        <w:rPr>
          <w:rFonts w:hint="eastAsia" w:ascii="宋体" w:hAnsi="宋体" w:eastAsia="宋体" w:cs="宋体"/>
          <w:b/>
          <w:bCs/>
          <w:color w:val="auto"/>
          <w:szCs w:val="21"/>
          <w:highlight w:val="none"/>
          <w:u w:val="single"/>
          <w:lang w:val="en-US" w:eastAsia="zh-CN"/>
        </w:rPr>
        <w:t>3</w:t>
      </w:r>
      <w:r>
        <w:rPr>
          <w:rFonts w:hint="eastAsia" w:ascii="宋体" w:hAnsi="宋体" w:eastAsia="宋体" w:cs="宋体"/>
          <w:b/>
          <w:bCs/>
          <w:color w:val="auto"/>
          <w:szCs w:val="21"/>
          <w:highlight w:val="none"/>
          <w:u w:val="single"/>
        </w:rPr>
        <w:t>）如在中标结果公示前出现合格中标候选人放弃其中标候选人资格的情形，招标人可以</w:t>
      </w:r>
      <w:r>
        <w:rPr>
          <w:rFonts w:hint="eastAsia" w:ascii="宋体" w:hAnsi="宋体" w:cs="宋体"/>
          <w:b/>
          <w:bCs/>
          <w:color w:val="auto"/>
          <w:szCs w:val="21"/>
          <w:highlight w:val="none"/>
          <w:u w:val="single"/>
          <w:lang w:val="en-US" w:eastAsia="zh-CN"/>
        </w:rPr>
        <w:t>重新开展定标确定其他</w:t>
      </w:r>
      <w:r>
        <w:rPr>
          <w:rFonts w:hint="eastAsia" w:ascii="宋体" w:hAnsi="宋体" w:eastAsia="宋体" w:cs="宋体"/>
          <w:b/>
          <w:bCs/>
          <w:color w:val="auto"/>
          <w:szCs w:val="21"/>
          <w:highlight w:val="none"/>
          <w:u w:val="single"/>
        </w:rPr>
        <w:t>合格中标候选人为中标人，招标人也可以重新招标。如所有的合格中标候选人均放弃其中标候选人资格的，为招标失败，招标人依法重新招标。</w:t>
      </w:r>
    </w:p>
    <w:p w14:paraId="43060DFE">
      <w:pPr>
        <w:pBdr>
          <w:bottom w:val="single" w:color="auto" w:sz="6" w:space="1"/>
        </w:pBdr>
        <w:snapToGrid w:val="0"/>
        <w:spacing w:line="360" w:lineRule="auto"/>
        <w:ind w:firstLine="422" w:firstLineChars="200"/>
        <w:rPr>
          <w:rFonts w:ascii="宋体" w:hAnsi="宋体" w:cs="宋体"/>
          <w:strike/>
          <w:color w:val="auto"/>
          <w:szCs w:val="21"/>
          <w:highlight w:val="none"/>
        </w:rPr>
      </w:pPr>
      <w:r>
        <w:rPr>
          <w:rFonts w:hint="eastAsia" w:ascii="宋体" w:hAnsi="宋体" w:cs="宋体"/>
          <w:b/>
          <w:bCs/>
          <w:color w:val="auto"/>
          <w:szCs w:val="21"/>
          <w:highlight w:val="none"/>
          <w:u w:val="single"/>
          <w:lang w:val="en-US" w:eastAsia="zh-CN"/>
        </w:rPr>
        <w:t>50</w:t>
      </w:r>
      <w:r>
        <w:rPr>
          <w:rFonts w:hint="eastAsia" w:ascii="宋体" w:hAnsi="宋体" w:eastAsia="宋体" w:cs="宋体"/>
          <w:b/>
          <w:bCs/>
          <w:color w:val="auto"/>
          <w:szCs w:val="21"/>
          <w:highlight w:val="none"/>
          <w:u w:val="single"/>
          <w:lang w:val="en-US" w:eastAsia="zh-CN"/>
        </w:rPr>
        <w:t>.9</w:t>
      </w:r>
      <w:r>
        <w:rPr>
          <w:rFonts w:hint="eastAsia" w:ascii="宋体" w:hAnsi="宋体" w:eastAsia="宋体" w:cs="宋体"/>
          <w:b/>
          <w:bCs/>
          <w:color w:val="auto"/>
          <w:szCs w:val="21"/>
          <w:highlight w:val="none"/>
          <w:u w:val="single"/>
        </w:rPr>
        <w:t>如中标人放弃中标、或因不可抗力提出不能履行合同，或者招标文件规定应当提交履约担保而在规定的期限内未能提交的，或经核查发现委派的项目负责人已在其他在建项目中担任本职务的，招标人有权取消其中标人资格或解除合同，从其他合格中标候选人中采用上述办法，确定中标人，招标人也可以重新招标</w:t>
      </w:r>
      <w:r>
        <w:rPr>
          <w:rFonts w:hint="eastAsia" w:ascii="宋体" w:hAnsi="宋体" w:cs="宋体"/>
          <w:b/>
          <w:bCs/>
          <w:color w:val="auto"/>
          <w:szCs w:val="21"/>
          <w:highlight w:val="none"/>
          <w:u w:val="single"/>
        </w:rPr>
        <w:t>。</w:t>
      </w:r>
    </w:p>
    <w:p w14:paraId="2C653C46">
      <w:pPr>
        <w:snapToGrid w:val="0"/>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条款号：附表一《资格审查表》              修改类型：修改</w:t>
      </w:r>
    </w:p>
    <w:p w14:paraId="1FB5A1F2">
      <w:pPr>
        <w:snapToGrid w:val="0"/>
        <w:spacing w:line="360" w:lineRule="auto"/>
        <w:ind w:firstLine="472" w:firstLineChars="224"/>
        <w:rPr>
          <w:rFonts w:ascii="宋体" w:hAnsi="宋体" w:cs="宋体"/>
          <w:bCs/>
          <w:color w:val="auto"/>
          <w:szCs w:val="21"/>
          <w:highlight w:val="none"/>
        </w:rPr>
      </w:pPr>
      <w:r>
        <w:rPr>
          <w:rFonts w:hint="eastAsia" w:ascii="宋体" w:hAnsi="宋体" w:cs="宋体"/>
          <w:b/>
          <w:color w:val="auto"/>
          <w:szCs w:val="21"/>
          <w:highlight w:val="none"/>
        </w:rPr>
        <w:t>原文：</w:t>
      </w:r>
      <w:r>
        <w:rPr>
          <w:rFonts w:hint="eastAsia" w:ascii="宋体" w:hAnsi="宋体" w:cs="宋体"/>
          <w:bCs/>
          <w:color w:val="auto"/>
          <w:szCs w:val="21"/>
          <w:highlight w:val="none"/>
        </w:rPr>
        <w:t>详见最新版广州市建设工程施工公开招标项目招标文件范本（适用于资格后审综合评分法、经评审的最低投标价法的施工电子招标项目）GZZB2018-3</w:t>
      </w:r>
    </w:p>
    <w:p w14:paraId="55256E1F">
      <w:pPr>
        <w:pBdr>
          <w:bottom w:val="single" w:color="auto" w:sz="6" w:space="1"/>
        </w:pBdr>
        <w:snapToGrid w:val="0"/>
        <w:spacing w:line="360" w:lineRule="auto"/>
        <w:ind w:firstLine="422" w:firstLineChars="200"/>
        <w:rPr>
          <w:rFonts w:ascii="宋体" w:hAnsi="宋体" w:cs="宋体"/>
          <w:color w:val="auto"/>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详见本招标文件第二章附表一《资格审查表》</w:t>
      </w:r>
    </w:p>
    <w:p w14:paraId="33F5D6D1">
      <w:pPr>
        <w:snapToGrid w:val="0"/>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条款号：附表二《技术标有效性审查表》        修改类型：修改</w:t>
      </w:r>
    </w:p>
    <w:p w14:paraId="07784322">
      <w:pPr>
        <w:snapToGrid w:val="0"/>
        <w:spacing w:line="360" w:lineRule="auto"/>
        <w:ind w:firstLine="472" w:firstLineChars="224"/>
        <w:rPr>
          <w:rFonts w:ascii="宋体" w:hAnsi="宋体" w:cs="宋体"/>
          <w:bCs/>
          <w:color w:val="auto"/>
          <w:szCs w:val="21"/>
          <w:highlight w:val="none"/>
        </w:rPr>
      </w:pPr>
      <w:r>
        <w:rPr>
          <w:rFonts w:hint="eastAsia" w:ascii="宋体" w:hAnsi="宋体" w:cs="宋体"/>
          <w:b/>
          <w:color w:val="auto"/>
          <w:szCs w:val="21"/>
          <w:highlight w:val="none"/>
        </w:rPr>
        <w:t>原文：</w:t>
      </w:r>
      <w:r>
        <w:rPr>
          <w:rFonts w:hint="eastAsia" w:ascii="宋体" w:hAnsi="宋体" w:cs="宋体"/>
          <w:bCs/>
          <w:color w:val="auto"/>
          <w:szCs w:val="21"/>
          <w:highlight w:val="none"/>
        </w:rPr>
        <w:t>详见最新版广州市建设工程施工公开招标项目招标文件范本（适用于资格后审综合评分法、经评审的最低投标价法的施工电子招标项目）GZZB2018-3</w:t>
      </w:r>
    </w:p>
    <w:p w14:paraId="0E8357A7">
      <w:pPr>
        <w:pBdr>
          <w:bottom w:val="single" w:color="auto" w:sz="6" w:space="1"/>
        </w:pBdr>
        <w:snapToGrid w:val="0"/>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详见本招标文件第二章附表二《技术标有效性审查表》</w:t>
      </w:r>
    </w:p>
    <w:p w14:paraId="62E1D57F">
      <w:pPr>
        <w:snapToGrid w:val="0"/>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条款号：附表三《经济标有效性审查表》        修改类型：修改</w:t>
      </w:r>
    </w:p>
    <w:p w14:paraId="074ABBC9">
      <w:pPr>
        <w:snapToGrid w:val="0"/>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bCs/>
          <w:color w:val="auto"/>
          <w:szCs w:val="21"/>
          <w:highlight w:val="none"/>
        </w:rPr>
        <w:t>详见最新版广州市建设工程施工公开招标项目招标文件范本（适用于资格后审综合评分法、经评审的最低投标价法的施工电子招标项目）GZZB2018-3</w:t>
      </w:r>
    </w:p>
    <w:p w14:paraId="6C004AE8">
      <w:pPr>
        <w:pBdr>
          <w:bottom w:val="single" w:color="auto" w:sz="6" w:space="1"/>
        </w:pBdr>
        <w:snapToGrid w:val="0"/>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详见本招标文件第二章附表三《经济标有效性审查表》</w:t>
      </w:r>
    </w:p>
    <w:p w14:paraId="01C7158C">
      <w:pPr>
        <w:snapToGrid w:val="0"/>
        <w:spacing w:line="360" w:lineRule="auto"/>
        <w:ind w:firstLine="472" w:firstLineChars="224"/>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auto"/>
          <w:szCs w:val="21"/>
          <w:highlight w:val="none"/>
        </w:rPr>
        <w:t>条款号：附表四《技术标详细审查评分表》      修改类型：</w:t>
      </w:r>
      <w:r>
        <w:rPr>
          <w:rFonts w:hint="eastAsia" w:ascii="宋体" w:hAnsi="宋体" w:cs="宋体"/>
          <w:b/>
          <w:color w:val="000000" w:themeColor="text1"/>
          <w:szCs w:val="21"/>
          <w:highlight w:val="none"/>
          <w14:textFill>
            <w14:solidFill>
              <w14:schemeClr w14:val="tx1"/>
            </w14:solidFill>
          </w14:textFill>
        </w:rPr>
        <w:t>修改</w:t>
      </w:r>
    </w:p>
    <w:p w14:paraId="1686ABE4">
      <w:pPr>
        <w:pBdr>
          <w:bottom w:val="single" w:color="auto" w:sz="6" w:space="1"/>
        </w:pBdr>
        <w:snapToGrid w:val="0"/>
        <w:spacing w:line="360" w:lineRule="auto"/>
        <w:ind w:firstLine="472" w:firstLineChars="224"/>
        <w:rPr>
          <w:rFonts w:hint="eastAsia" w:ascii="宋体" w:hAnsi="宋体" w:cs="宋体"/>
          <w:bCs/>
          <w:color w:val="auto"/>
          <w:szCs w:val="21"/>
          <w:highlight w:val="none"/>
        </w:rPr>
      </w:pPr>
      <w:r>
        <w:rPr>
          <w:rFonts w:hint="eastAsia" w:ascii="宋体" w:hAnsi="宋体" w:cs="宋体"/>
          <w:b/>
          <w:color w:val="auto"/>
          <w:szCs w:val="21"/>
          <w:highlight w:val="none"/>
        </w:rPr>
        <w:t>原文：</w:t>
      </w:r>
      <w:r>
        <w:rPr>
          <w:rFonts w:hint="eastAsia" w:ascii="宋体" w:hAnsi="宋体" w:cs="宋体"/>
          <w:bCs/>
          <w:color w:val="auto"/>
          <w:szCs w:val="21"/>
          <w:highlight w:val="none"/>
        </w:rPr>
        <w:t>详见最新版广州市建设工程施工公开招标项目招标文件范本（适用于资格后审综合评分法、经评审的最低投标价法的施工电子招标项目）GZZB2018-3</w:t>
      </w:r>
    </w:p>
    <w:p w14:paraId="54092808">
      <w:pPr>
        <w:pBdr>
          <w:bottom w:val="single" w:color="auto" w:sz="6" w:space="1"/>
        </w:pBdr>
        <w:snapToGrid w:val="0"/>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详见本招标文件第二章附表</w:t>
      </w:r>
      <w:r>
        <w:rPr>
          <w:rFonts w:hint="eastAsia" w:ascii="宋体" w:hAnsi="宋体" w:cs="宋体"/>
          <w:color w:val="auto"/>
          <w:szCs w:val="21"/>
          <w:highlight w:val="none"/>
          <w:lang w:val="en-US" w:eastAsia="zh-CN"/>
        </w:rPr>
        <w:t>四</w:t>
      </w:r>
      <w:r>
        <w:rPr>
          <w:rFonts w:hint="eastAsia" w:ascii="宋体" w:hAnsi="宋体" w:cs="宋体"/>
          <w:color w:val="auto"/>
          <w:szCs w:val="21"/>
          <w:highlight w:val="none"/>
        </w:rPr>
        <w:t>《技术标详细审查评分表》</w:t>
      </w:r>
    </w:p>
    <w:p w14:paraId="512884EA">
      <w:pPr>
        <w:snapToGrid w:val="0"/>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条款号：附表五至附表十</w:t>
      </w:r>
      <w:r>
        <w:rPr>
          <w:rFonts w:hint="eastAsia" w:ascii="宋体" w:hAnsi="宋体" w:cs="宋体"/>
          <w:b/>
          <w:color w:val="auto"/>
          <w:szCs w:val="21"/>
          <w:highlight w:val="none"/>
          <w:lang w:val="en-US" w:eastAsia="zh-CN"/>
        </w:rPr>
        <w:t>四</w:t>
      </w:r>
      <w:r>
        <w:rPr>
          <w:rFonts w:hint="eastAsia" w:ascii="宋体" w:hAnsi="宋体" w:cs="宋体"/>
          <w:b/>
          <w:color w:val="auto"/>
          <w:szCs w:val="21"/>
          <w:highlight w:val="none"/>
        </w:rPr>
        <w:t xml:space="preserve">                   修改类型：增加</w:t>
      </w:r>
    </w:p>
    <w:p w14:paraId="4D336245">
      <w:pPr>
        <w:pBdr>
          <w:bottom w:val="single" w:color="auto" w:sz="6" w:space="1"/>
        </w:pBdr>
        <w:snapToGrid w:val="0"/>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现文：具体详见招标文件正文附表。</w:t>
      </w:r>
    </w:p>
    <w:p w14:paraId="2E78BC25">
      <w:pPr>
        <w:snapToGrid w:val="0"/>
        <w:spacing w:line="360" w:lineRule="auto"/>
        <w:ind w:firstLine="211" w:firstLineChars="100"/>
        <w:rPr>
          <w:rFonts w:ascii="宋体" w:hAnsi="宋体" w:cs="宋体"/>
          <w:b/>
          <w:strike/>
          <w:color w:val="auto"/>
          <w:szCs w:val="21"/>
          <w:highlight w:val="none"/>
        </w:rPr>
      </w:pPr>
      <w:r>
        <w:rPr>
          <w:rFonts w:hint="eastAsia" w:ascii="宋体" w:hAnsi="宋体" w:cs="宋体"/>
          <w:b/>
          <w:strike/>
          <w:color w:val="auto"/>
          <w:szCs w:val="21"/>
          <w:highlight w:val="none"/>
        </w:rPr>
        <w:t>注：以上修改，仅限于本范本中有可供选择条款的情形。</w:t>
      </w:r>
    </w:p>
    <w:p w14:paraId="5A6A84E9">
      <w:pPr>
        <w:snapToGrid w:val="0"/>
        <w:spacing w:line="360" w:lineRule="auto"/>
        <w:rPr>
          <w:rFonts w:ascii="宋体" w:hAnsi="宋体" w:cs="宋体"/>
          <w:color w:val="auto"/>
          <w:highlight w:val="none"/>
        </w:rPr>
      </w:pPr>
      <w:r>
        <w:rPr>
          <w:rFonts w:hint="eastAsia" w:ascii="宋体" w:hAnsi="宋体" w:cs="宋体"/>
          <w:b/>
          <w:color w:val="auto"/>
          <w:szCs w:val="21"/>
          <w:highlight w:val="none"/>
        </w:rPr>
        <w:t>（以下无正文）</w:t>
      </w:r>
      <w:bookmarkStart w:id="18" w:name="_Toc5678"/>
      <w:bookmarkStart w:id="19" w:name="_Toc2272556"/>
      <w:bookmarkStart w:id="20" w:name="_Toc2272564"/>
      <w:bookmarkStart w:id="21" w:name="_Toc21525500"/>
      <w:r>
        <w:rPr>
          <w:rFonts w:hint="eastAsia" w:ascii="宋体" w:hAnsi="宋体" w:cs="宋体"/>
          <w:color w:val="auto"/>
          <w:highlight w:val="none"/>
        </w:rPr>
        <w:br w:type="page"/>
      </w:r>
    </w:p>
    <w:p w14:paraId="24659CB9">
      <w:pPr>
        <w:pStyle w:val="4"/>
        <w:snapToGrid w:val="0"/>
        <w:spacing w:before="0" w:after="0" w:line="360" w:lineRule="auto"/>
        <w:ind w:firstLine="525"/>
        <w:rPr>
          <w:rFonts w:ascii="宋体" w:hAnsi="宋体" w:cs="宋体"/>
          <w:color w:val="auto"/>
          <w:sz w:val="32"/>
          <w:szCs w:val="32"/>
          <w:highlight w:val="none"/>
        </w:rPr>
      </w:pPr>
      <w:r>
        <w:rPr>
          <w:rFonts w:hint="eastAsia" w:ascii="宋体" w:hAnsi="宋体" w:cs="宋体"/>
          <w:color w:val="auto"/>
          <w:sz w:val="32"/>
          <w:szCs w:val="32"/>
          <w:highlight w:val="none"/>
        </w:rPr>
        <w:t>二、开标、评标及定标办法通用条款</w:t>
      </w:r>
      <w:bookmarkEnd w:id="18"/>
      <w:bookmarkEnd w:id="19"/>
    </w:p>
    <w:p w14:paraId="721A243B">
      <w:pPr>
        <w:pStyle w:val="5"/>
        <w:snapToGrid w:val="0"/>
        <w:spacing w:before="0" w:beforeAutospacing="0" w:after="0" w:afterAutospacing="0" w:line="360" w:lineRule="auto"/>
        <w:ind w:firstLine="542" w:firstLineChars="200"/>
        <w:rPr>
          <w:rFonts w:cs="宋体"/>
          <w:b/>
          <w:bCs/>
          <w:color w:val="auto"/>
          <w:highlight w:val="none"/>
        </w:rPr>
      </w:pPr>
      <w:bookmarkStart w:id="22" w:name="_Toc31373"/>
      <w:bookmarkStart w:id="23" w:name="_Toc2272557"/>
      <w:r>
        <w:rPr>
          <w:rFonts w:hint="eastAsia" w:cs="宋体"/>
          <w:b/>
          <w:bCs/>
          <w:color w:val="auto"/>
          <w:highlight w:val="none"/>
        </w:rPr>
        <w:t>（一）总则</w:t>
      </w:r>
      <w:bookmarkEnd w:id="22"/>
      <w:bookmarkEnd w:id="23"/>
    </w:p>
    <w:p w14:paraId="6CC16BF5">
      <w:pPr>
        <w:snapToGrid w:val="0"/>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35 开标、评标及定标所依据的规则</w:t>
      </w:r>
    </w:p>
    <w:p w14:paraId="2BA17617">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35.1《中华人民共和国招标投标法》；</w:t>
      </w:r>
    </w:p>
    <w:p w14:paraId="3A76599C">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35.2《中华人民共和国招标投标法实施条例》；</w:t>
      </w:r>
    </w:p>
    <w:p w14:paraId="09764676">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35.3《评标委员会和评标方法暂行规定》（七部委第12号令）</w:t>
      </w:r>
    </w:p>
    <w:p w14:paraId="51073501">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35.4《工程建设项目施工招标投标办法》（七部委2003年第30号令）</w:t>
      </w:r>
    </w:p>
    <w:p w14:paraId="0CC0F6F9">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35.5《广东省实施〈中华人民共和国招标投标法〉办法》；</w:t>
      </w:r>
    </w:p>
    <w:p w14:paraId="0CFF0FC5">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35.6《房屋建筑和市政基础设施工程施工招标投标管理办法》（建设部令第89号）</w:t>
      </w:r>
    </w:p>
    <w:p w14:paraId="2201C03A">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35.7《财政部工业和信息化部关于印发〈政府采购促进中小企业发展管理办法〉的通知》（财库〔2020〕46号）；</w:t>
      </w:r>
    </w:p>
    <w:p w14:paraId="266AA51E">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35.8《广东省加强建设工程招标投标监督管理的若干规定》（粤发[2004]4号）；</w:t>
      </w:r>
    </w:p>
    <w:p w14:paraId="3D60016C">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35.9《广东省政府采购促进中小企业发展实施细则（试行）》；</w:t>
      </w:r>
    </w:p>
    <w:p w14:paraId="2BDD50C2">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35.10《广州市工程建设项目招标投标管理办法》（穗建规字〔2023〕12号）；</w:t>
      </w:r>
    </w:p>
    <w:p w14:paraId="77BE500E">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35.11《广州市财政局广州市工业和信息化局转发广东省财政厅广东省发展和改革委员会广东省工业和信息化厅广东省地方金融监督管理局关于印发&lt;广东省政府采购促进中小企业发展实施细则（试行）&gt;的通知》（穗财采〔2023〕8号）；</w:t>
      </w:r>
    </w:p>
    <w:p w14:paraId="529882B8">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35.12本项目招标文件。</w:t>
      </w:r>
    </w:p>
    <w:p w14:paraId="6A848901">
      <w:pPr>
        <w:snapToGrid w:val="0"/>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36．开标</w:t>
      </w:r>
    </w:p>
    <w:p w14:paraId="41F0E048">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36.1 招标人按投标须知前附表第18项所规定的时间和地点公开开标，并邀请所有投标人参加。截标后，开标开始时间因故推迟的，相关评标信息仍以原定的开标开始时间的信息为准。</w:t>
      </w:r>
    </w:p>
    <w:p w14:paraId="70C0D058">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36.2 招标人在招标文件要求提交投标文件的截止时间前收到的投标文件，开标时都当众予以解密、公布。</w:t>
      </w:r>
    </w:p>
    <w:p w14:paraId="19164F9D">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36.3根据投标须知前附表第19项，如需抽取某一种评标办法供评标时使用的，应在开标前抽取。首先对招标文件中约定的若干种评标方法进行编号，再随机抽取某一编号，该编号所对应的评标办法供评标时使用。</w:t>
      </w:r>
    </w:p>
    <w:p w14:paraId="55E47AE8">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36.4若递交投标文件的投标人不足3家，则重新组织招标。（当N个标段同时招标且不允许兼中时，若有效投标人不足N+2家，则重新组织招标）</w:t>
      </w:r>
    </w:p>
    <w:p w14:paraId="7BF86FCD">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36.5按下列程序进行开标：</w:t>
      </w:r>
    </w:p>
    <w:p w14:paraId="25901309">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36.5.1在投标截止时间后一小时内，投标人通过交易平台对已递交的电子投标文件进行解密。投标人完成解密后，再由招标人进行解密。解密完成后，公布招标项目名称、投标人名称、投标保证金的递交情况、投标报价、工期及其他内容；</w:t>
      </w:r>
    </w:p>
    <w:p w14:paraId="6A696503">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36.5.2备用光盘的读取按投标须知前附表第36项的规定执行；</w:t>
      </w:r>
    </w:p>
    <w:p w14:paraId="2A9CD8C8">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36.5.3投标人代表、招标人代表、监标人、记录人等有关人员在开标记录上签字确认；若有关人员不签字的，不影响开标程序；</w:t>
      </w:r>
    </w:p>
    <w:p w14:paraId="73F8F7CF">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36.5.4开标结束。</w:t>
      </w:r>
    </w:p>
    <w:p w14:paraId="17778018">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36.6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14:paraId="3830D231">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36.7开标时，两个（含两个）以上的投标人加密打包投标文件电脑机器特征码一致的，不参与下一程序，并由评标委员会否决其投标。</w:t>
      </w:r>
    </w:p>
    <w:p w14:paraId="37385F03">
      <w:pPr>
        <w:snapToGrid w:val="0"/>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37．评标</w:t>
      </w:r>
    </w:p>
    <w:p w14:paraId="11DAB88A">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37.1评标委员会由招标人依法组建。</w:t>
      </w:r>
    </w:p>
    <w:p w14:paraId="6E5F13C1">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37.2评标委员会在开始评标前，应了解评标专家的职责及守则，认真阅读附表七《评标委员会成员声明》的内容并签名，签字后方可进行评标；</w:t>
      </w:r>
    </w:p>
    <w:p w14:paraId="5EB897E7">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37.3评标委员会的职责及守则：</w:t>
      </w:r>
    </w:p>
    <w:p w14:paraId="64D33F17">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37.3.1根据评标细则，对投标文件进行认真评审，完成评审报告；</w:t>
      </w:r>
    </w:p>
    <w:p w14:paraId="16F3AE2E">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37.3.2向招标人报告评审意见，推荐合格的中标候选人。</w:t>
      </w:r>
    </w:p>
    <w:p w14:paraId="2F9AF655">
      <w:pPr>
        <w:snapToGrid w:val="0"/>
        <w:spacing w:line="360" w:lineRule="auto"/>
        <w:ind w:firstLine="420" w:firstLineChars="200"/>
        <w:rPr>
          <w:rFonts w:ascii="宋体" w:hAnsi="宋体" w:cs="宋体"/>
          <w:color w:val="auto"/>
          <w:szCs w:val="21"/>
          <w:highlight w:val="none"/>
        </w:rPr>
      </w:pPr>
      <w:r>
        <w:rPr>
          <w:rFonts w:hint="eastAsia" w:ascii="宋体" w:hAnsi="宋体" w:cs="宋体"/>
          <w:bCs/>
          <w:color w:val="auto"/>
          <w:szCs w:val="21"/>
          <w:highlight w:val="none"/>
        </w:rPr>
        <w:t>37.3.3</w:t>
      </w:r>
      <w:r>
        <w:rPr>
          <w:rFonts w:hint="eastAsia" w:ascii="宋体" w:hAnsi="宋体" w:cs="宋体"/>
          <w:color w:val="auto"/>
          <w:szCs w:val="21"/>
          <w:highlight w:val="none"/>
        </w:rPr>
        <w:t>所有参加评标人员必须遵守国家、地方政府制定的有关工程招标投标的法则、规定，遵守有关工程招标投标的保密制度；如有违反者，给予行政处分；情节严重，构成犯罪的，由司法机关依法追究其刑事责任。</w:t>
      </w:r>
    </w:p>
    <w:p w14:paraId="41EFC6B5">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37.3.4全体参与评标人员：</w:t>
      </w:r>
    </w:p>
    <w:p w14:paraId="68C3F704">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37.3.4.1 必须遵守评标纪律、不得泄密；</w:t>
      </w:r>
    </w:p>
    <w:p w14:paraId="6A20554A">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37.3.4.2 必须公正、不得循私；</w:t>
      </w:r>
    </w:p>
    <w:p w14:paraId="425AB79A">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37.3.4.3 必须科学、不得草率；</w:t>
      </w:r>
    </w:p>
    <w:p w14:paraId="3DFCC478">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37.3.4.4 必须客观、不得带有成见；</w:t>
      </w:r>
    </w:p>
    <w:p w14:paraId="3A6FB7D8">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37.3.4.5 必须平等、不得强加于人；</w:t>
      </w:r>
    </w:p>
    <w:p w14:paraId="2A740000">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37.3.4.6 必须严谨、不得随意马虎。</w:t>
      </w:r>
    </w:p>
    <w:p w14:paraId="0AA6078B">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37.4评标工作开始前，招标人应当向评标委员会提供评标所需的信息，包括招标项目的范围、性质、特殊性、需求目标和实施要点，以及招标文件规定的评标方法、评标因素及标准等，但不得明示或者暗示其倾向或者排斥特定投标人</w:t>
      </w:r>
    </w:p>
    <w:p w14:paraId="3ADD0026">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37.5评标结束后，评标委员会递交评标报告并依法推荐中标候选人。</w:t>
      </w:r>
    </w:p>
    <w:p w14:paraId="5914D3CD">
      <w:pPr>
        <w:snapToGrid w:val="0"/>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38．投标文件的澄清</w:t>
      </w:r>
    </w:p>
    <w:p w14:paraId="43DBB800">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38.1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的内容作出澄清。</w:t>
      </w:r>
    </w:p>
    <w:p w14:paraId="17D44968">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38.2 投标人应以书面形式进行澄清，澄清中的承诺性意思表示在投标文件有效期内均对投标人有约束力。除评标委员会对评标中发现算术错误进行修正后要求投标人以澄清形式进行的核实和确认外，澄清不得超出投标文件的范围或改变投标文件的实质性内容，超出部分不作为评标委员会评审的依据。</w:t>
      </w:r>
    </w:p>
    <w:p w14:paraId="10EDF7CA">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38.3 评标委员会或评标委员会专业评审组成员均应当阅读投标人的澄清，但应独立参考澄清对投标文件进行评审。</w:t>
      </w:r>
    </w:p>
    <w:p w14:paraId="07FD8982">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38.4如果投标文件实质上不响应招标文件的各项要求，评标委员会将按照符合性审查标准予以拒绝，不接受投标人通过修改或撤销其不符合要求的差异或保留，使之成为具有响应性的投标。</w:t>
      </w:r>
    </w:p>
    <w:p w14:paraId="7AAE196A">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38.5投标人如在本项目中存在串通投标、弄虚作假、行贿情形且在评标过程中未被发现的，该投标不改变本项目评标结果排序，其中标无效。招标人按照《中华人民共和国招标投标法实施条例》第五十五条的规定依次确定中标人或重新招标。</w:t>
      </w:r>
    </w:p>
    <w:p w14:paraId="2D8F8D89">
      <w:pPr>
        <w:snapToGrid w:val="0"/>
        <w:spacing w:line="360" w:lineRule="auto"/>
        <w:ind w:firstLine="422" w:firstLineChars="200"/>
        <w:rPr>
          <w:rFonts w:ascii="宋体" w:hAnsi="宋体" w:cs="宋体"/>
          <w:b/>
          <w:bCs/>
          <w:color w:val="auto"/>
          <w:szCs w:val="21"/>
          <w:highlight w:val="none"/>
        </w:rPr>
      </w:pPr>
      <w:r>
        <w:rPr>
          <w:rFonts w:ascii="宋体" w:hAnsi="宋体" w:cs="宋体"/>
          <w:b/>
          <w:bCs/>
          <w:color w:val="auto"/>
          <w:szCs w:val="21"/>
          <w:highlight w:val="none"/>
        </w:rPr>
        <w:t>39．定标</w:t>
      </w:r>
    </w:p>
    <w:p w14:paraId="4C6D00B1">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39.1 招标人根据评标委员会递交的评标报告，最终审定中标人。</w:t>
      </w:r>
    </w:p>
    <w:p w14:paraId="13972F68">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39.2 依法必须进行公开招标的项目，招标人应当确定排名第一的中标候选人为中标人。</w:t>
      </w:r>
    </w:p>
    <w:p w14:paraId="76F7E968">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39.3排名第一的中标候选人放弃中标、或因不可抗力提出不能履行合同，或者招标文件规定应当提交履约担保而在规定的期限内未能提交的，招标人可以确定排名第二的中标候选人为中标人。</w:t>
      </w:r>
    </w:p>
    <w:p w14:paraId="48BDFE32">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39.4排名第二的中标候选人出现前款所列的情形的，招标人可以确定排名第三的中标候选人为中标人。以此类推，如所有中标候选人均出现前款所列的情形，为招标失败，招标人依法重新招标。</w:t>
      </w:r>
    </w:p>
    <w:p w14:paraId="2023F914">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39.5重新评标的，评标信息（含业绩、奖项等）仍以投标截止时投标人的信息为准。因特殊原因需要延长投标有效期，投标人拒绝延长投标有效期的，仍参与评标，但不被推荐为中标候选人。</w:t>
      </w:r>
    </w:p>
    <w:p w14:paraId="23B134FB">
      <w:pPr>
        <w:pStyle w:val="5"/>
        <w:snapToGrid w:val="0"/>
        <w:spacing w:before="0" w:beforeAutospacing="0" w:after="0" w:afterAutospacing="0" w:line="360" w:lineRule="auto"/>
        <w:ind w:firstLine="542" w:firstLineChars="200"/>
        <w:rPr>
          <w:rFonts w:cs="宋体"/>
          <w:b/>
          <w:bCs/>
          <w:color w:val="auto"/>
          <w:highlight w:val="none"/>
        </w:rPr>
      </w:pPr>
      <w:bookmarkStart w:id="24" w:name="_Toc9740"/>
      <w:bookmarkStart w:id="25" w:name="_Toc2272558"/>
      <w:r>
        <w:rPr>
          <w:rFonts w:hint="eastAsia" w:cs="宋体"/>
          <w:b/>
          <w:bCs/>
          <w:color w:val="auto"/>
          <w:highlight w:val="none"/>
        </w:rPr>
        <w:t>（二）开标评标办法程序和细则</w:t>
      </w:r>
      <w:bookmarkEnd w:id="24"/>
      <w:bookmarkEnd w:id="25"/>
    </w:p>
    <w:p w14:paraId="22A94028">
      <w:pPr>
        <w:snapToGrid w:val="0"/>
        <w:spacing w:line="360" w:lineRule="auto"/>
        <w:ind w:firstLine="420" w:firstLineChars="200"/>
        <w:rPr>
          <w:rFonts w:hint="eastAsia"/>
          <w:highlight w:val="none"/>
        </w:rPr>
      </w:pPr>
      <w:r>
        <w:rPr>
          <w:rFonts w:hint="eastAsia"/>
          <w:highlight w:val="none"/>
        </w:rPr>
        <w:t>可选办法七（适合综合评分法四，技术标与经济标同时开启）</w:t>
      </w:r>
    </w:p>
    <w:bookmarkEnd w:id="20"/>
    <w:bookmarkEnd w:id="21"/>
    <w:p w14:paraId="52B05EEC">
      <w:pPr>
        <w:snapToGrid w:val="0"/>
        <w:spacing w:line="360" w:lineRule="auto"/>
        <w:ind w:firstLine="422"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40．开标和评标程序</w:t>
      </w:r>
    </w:p>
    <w:p w14:paraId="1A2F3D59">
      <w:pPr>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40.1技术标（含资格审查文件）与经济标投标文件同时公开开标；</w:t>
      </w:r>
    </w:p>
    <w:p w14:paraId="125C0562">
      <w:pPr>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40.2由评标委员会对所有已公开开标的投标人进行资格审查；</w:t>
      </w:r>
    </w:p>
    <w:p w14:paraId="020F4DB2">
      <w:pPr>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40.3技术标投标文件有效性审查；</w:t>
      </w:r>
    </w:p>
    <w:p w14:paraId="62613772">
      <w:pPr>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40.4技术标详细审查评分；</w:t>
      </w:r>
    </w:p>
    <w:p w14:paraId="553B06C9">
      <w:pPr>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40.5经济标详细审查评分； </w:t>
      </w:r>
    </w:p>
    <w:p w14:paraId="4CADAD65">
      <w:pPr>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40.6评标委员会按照投标人总得分由高至低排序；</w:t>
      </w:r>
    </w:p>
    <w:p w14:paraId="5ADDF6A6">
      <w:pPr>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40.7经济标投标文件有效性审查；</w:t>
      </w:r>
    </w:p>
    <w:p w14:paraId="3C6D714F">
      <w:pPr>
        <w:snapToGrid w:val="0"/>
        <w:spacing w:line="360" w:lineRule="auto"/>
        <w:ind w:firstLine="420" w:firstLineChars="200"/>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40.8评标委员会按排序向招标人推荐中标候选人名单，并递交资格审查报告及评标报告。</w:t>
      </w:r>
    </w:p>
    <w:p w14:paraId="300B0D53">
      <w:pPr>
        <w:snapToGrid w:val="0"/>
        <w:spacing w:line="360" w:lineRule="auto"/>
        <w:ind w:firstLine="422" w:firstLineChars="200"/>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41．开标细则</w:t>
      </w:r>
    </w:p>
    <w:p w14:paraId="529DD680">
      <w:pPr>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41.1开标由招标人主持；</w:t>
      </w:r>
    </w:p>
    <w:p w14:paraId="74A36051">
      <w:pPr>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41.2 细则</w:t>
      </w:r>
    </w:p>
    <w:p w14:paraId="5984B57A">
      <w:pPr>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41.2.1投标截止期前，各投标人递交投标文件（包括技术标投标文件、经济标投标文件）至</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 xml:space="preserve">交易平台。有关投标文件提交的事项详见第一章投标须知。 </w:t>
      </w:r>
    </w:p>
    <w:p w14:paraId="1B188822">
      <w:pPr>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41.2.2开标前，首先由招标人随机抽取确定该工程计算评标参考价的等分点值X。</w:t>
      </w:r>
    </w:p>
    <w:p w14:paraId="00B76077">
      <w:pPr>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41.2.3开标时，投标人代表有权参加现场开标或在线开标，也可以自主决定不参加开标，若投标人代表对开标过程有异议的，参加现场开标的应当在开标现场提出，同时出示本人身份证原件，招标人应当当场作出答复，并制作记录；参加在线开标的，投标人应通过交易平台在线提出，招标人应通过交易平台答复，答复后方可结束开标。</w:t>
      </w:r>
    </w:p>
    <w:p w14:paraId="1F7488A2">
      <w:pPr>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41.2.4按36.5.1的规定完成解密后，公布下列内容，并予以记录，记录提交评标委员会评审： </w:t>
      </w:r>
    </w:p>
    <w:p w14:paraId="356BCB78">
      <w:pPr>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41.2.4.1开标时，公布：a、投标人名称；b、投标文件密封情况；c、投标报价；d、投标保证金；e、项目经理（负责人）名称；f、法定代表人证明及授权委托等主要内容及开标记录表中的其他必要内容。投标报价以数字和文字两种方式表述的，应公布文字表述的投标报价。</w:t>
      </w:r>
    </w:p>
    <w:p w14:paraId="59BE634C">
      <w:pPr>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41.3招标人对开标过程进行记录，并存档备查，投标人在技术标开标记录上签字。</w:t>
      </w:r>
    </w:p>
    <w:p w14:paraId="606E55B4">
      <w:pPr>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41.4 招标人将上述符合要求的投标文件，送至评标委员会进行评审。</w:t>
      </w:r>
    </w:p>
    <w:p w14:paraId="304D5948">
      <w:pPr>
        <w:pStyle w:val="31"/>
        <w:tabs>
          <w:tab w:val="left" w:pos="7380"/>
        </w:tabs>
        <w:snapToGrid w:val="0"/>
        <w:spacing w:after="0"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p>
    <w:p w14:paraId="0F91EFF4">
      <w:pPr>
        <w:pStyle w:val="31"/>
        <w:tabs>
          <w:tab w:val="left" w:pos="7380"/>
        </w:tabs>
        <w:snapToGrid w:val="0"/>
        <w:spacing w:after="0" w:line="360" w:lineRule="auto"/>
        <w:ind w:firstLine="422" w:firstLineChars="200"/>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42. 资格审查及评标细则</w:t>
      </w:r>
    </w:p>
    <w:p w14:paraId="4C50AA1F">
      <w:pPr>
        <w:pStyle w:val="31"/>
        <w:tabs>
          <w:tab w:val="left" w:pos="7380"/>
        </w:tabs>
        <w:snapToGrid w:val="0"/>
        <w:spacing w:after="0"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42.1资格审查及评标均由招标人依法组建的评标委员会负责。</w:t>
      </w:r>
    </w:p>
    <w:p w14:paraId="33F1822B">
      <w:pPr>
        <w:pStyle w:val="31"/>
        <w:tabs>
          <w:tab w:val="left" w:pos="7380"/>
        </w:tabs>
        <w:snapToGrid w:val="0"/>
        <w:spacing w:after="0"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42.2评标委员会的组成：方式</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w:t>
      </w:r>
    </w:p>
    <w:p w14:paraId="102E30DF">
      <w:pPr>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方式一：评标委员会为综合评标委员会，负责资格审查及评标工作。</w:t>
      </w:r>
    </w:p>
    <w:p w14:paraId="635453CB">
      <w:pPr>
        <w:pStyle w:val="31"/>
        <w:tabs>
          <w:tab w:val="left" w:pos="7380"/>
        </w:tabs>
        <w:snapToGrid w:val="0"/>
        <w:spacing w:after="0"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方式二：评标委员会由技术评审组和经济评审组组成。其中：资格审查及技术评审由技术评标组负责，经济评审由经济评审组负责。</w:t>
      </w:r>
    </w:p>
    <w:p w14:paraId="5B6C5C69">
      <w:pPr>
        <w:pStyle w:val="31"/>
        <w:tabs>
          <w:tab w:val="left" w:pos="7380"/>
        </w:tabs>
        <w:snapToGrid w:val="0"/>
        <w:spacing w:after="0" w:line="360" w:lineRule="auto"/>
        <w:ind w:firstLine="422" w:firstLineChars="200"/>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43．投标人资格审查</w:t>
      </w:r>
    </w:p>
    <w:p w14:paraId="02011CDA">
      <w:pPr>
        <w:pStyle w:val="31"/>
        <w:tabs>
          <w:tab w:val="left" w:pos="7380"/>
        </w:tabs>
        <w:snapToGrid w:val="0"/>
        <w:spacing w:after="0"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43.1资格审查文件中全部符合附表一《资格审查表》中情形的，为资格审查合格；否则为资格审查不合格。如评标委员会成员的评审意见不一致时，以评标委员会过半数成员的意见作为评标委员会对该情形的认定结论。评委发现资格审查文件中含义不明确、对同类问题表述不一致、有明显文字和计算错误的，应当要求投标人作必要的澄清、说明后再判定投标人是否通过资格审查，不得直接认定其不通过资格审查。</w:t>
      </w:r>
    </w:p>
    <w:p w14:paraId="4A0C0BE6">
      <w:pPr>
        <w:pStyle w:val="31"/>
        <w:tabs>
          <w:tab w:val="left" w:pos="7380"/>
        </w:tabs>
        <w:snapToGrid w:val="0"/>
        <w:spacing w:after="0"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43.2汇总资格审查情况，编写资格审查报告。</w:t>
      </w:r>
    </w:p>
    <w:p w14:paraId="6DB5F78D">
      <w:pPr>
        <w:pStyle w:val="31"/>
        <w:tabs>
          <w:tab w:val="left" w:pos="7380"/>
        </w:tabs>
        <w:snapToGrid w:val="0"/>
        <w:spacing w:after="0"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43.3资格审查不合格的投标文件不参加下一阶段的评标，不参与评标参考价的计算。</w:t>
      </w:r>
    </w:p>
    <w:p w14:paraId="0F71BFD7">
      <w:pPr>
        <w:pStyle w:val="31"/>
        <w:tabs>
          <w:tab w:val="left" w:pos="7380"/>
        </w:tabs>
        <w:snapToGrid w:val="0"/>
        <w:spacing w:after="0"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43.4资格审查时，投标企业名称已经工商变更的，但企业及个人的资质证书未完成企业名称变更，仍然承认其有效。资质证书、安全生产许可证之间登记的信息不一致，应当允许投标人澄清，不得直接否决其投标。</w:t>
      </w:r>
    </w:p>
    <w:p w14:paraId="7DBD4DC3">
      <w:pPr>
        <w:pStyle w:val="31"/>
        <w:tabs>
          <w:tab w:val="left" w:pos="7380"/>
        </w:tabs>
        <w:snapToGrid w:val="0"/>
        <w:spacing w:after="0"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43.5资审合格后，投标人的资格发生变化而不满足投标人合格条件，在发出中标通知书前，资格问题仍未解决的，招标人将取消其中标资格。</w:t>
      </w:r>
    </w:p>
    <w:p w14:paraId="3558435C">
      <w:pPr>
        <w:pStyle w:val="31"/>
        <w:tabs>
          <w:tab w:val="left" w:pos="7380"/>
        </w:tabs>
        <w:snapToGrid w:val="0"/>
        <w:spacing w:after="0"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43.6资格审查合格的投标人少于3名的（当N个标段同时招标且不允许兼中时，资格审查合格的投标人少于N+2名），则本项目招标失败。</w:t>
      </w:r>
    </w:p>
    <w:p w14:paraId="16344486">
      <w:pPr>
        <w:pStyle w:val="31"/>
        <w:tabs>
          <w:tab w:val="left" w:pos="7380"/>
        </w:tabs>
        <w:snapToGrid w:val="0"/>
        <w:spacing w:after="0" w:line="360" w:lineRule="auto"/>
        <w:ind w:firstLine="422" w:firstLineChars="200"/>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44．技术标评审</w:t>
      </w:r>
    </w:p>
    <w:p w14:paraId="3C73E51C">
      <w:pPr>
        <w:pStyle w:val="31"/>
        <w:tabs>
          <w:tab w:val="left" w:pos="7380"/>
        </w:tabs>
        <w:snapToGrid w:val="0"/>
        <w:spacing w:after="0"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44.1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则重新招标。（当N个标段同时招标且不允许兼中时，若通过技术标有效性审查投标人不足N+2家，则重新招标）。评委发现投标文件中含义不明确、对同类问题表述不一致、有明显文字和计算错误的，应当要求投标人作必要的澄清、说明后再判定投标人是否通过有效性审查，不得直接否决投标。</w:t>
      </w:r>
    </w:p>
    <w:p w14:paraId="39F0D1C0">
      <w:pPr>
        <w:pStyle w:val="31"/>
        <w:tabs>
          <w:tab w:val="left" w:pos="7380"/>
        </w:tabs>
        <w:snapToGrid w:val="0"/>
        <w:spacing w:after="0"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44.2技术标详细审查评分：评标委员会按照附表四《技术标详细审查评分表》的标准，对通过技术标有效性审查的投标文件技术标进行详细审查，评出技术分，得分四舍五入精确到小数点后两位。</w:t>
      </w:r>
    </w:p>
    <w:p w14:paraId="714C0F95">
      <w:pPr>
        <w:pStyle w:val="31"/>
        <w:tabs>
          <w:tab w:val="left" w:pos="7380"/>
        </w:tabs>
        <w:snapToGrid w:val="0"/>
        <w:spacing w:after="0" w:line="360" w:lineRule="auto"/>
        <w:ind w:firstLine="422"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45．经济标评审和得分汇总</w:t>
      </w:r>
    </w:p>
    <w:p w14:paraId="00DD990D">
      <w:pPr>
        <w:pStyle w:val="31"/>
        <w:tabs>
          <w:tab w:val="left" w:pos="7380"/>
        </w:tabs>
        <w:snapToGrid w:val="0"/>
        <w:spacing w:after="0"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45.1若通过技术标有效性审查的投标人中所有投标报价均大于等于最高投标限价，则本项目招标失败，由招标人依法重新招标。</w:t>
      </w:r>
    </w:p>
    <w:p w14:paraId="6C1B9828">
      <w:pPr>
        <w:widowControl/>
        <w:snapToGrid w:val="0"/>
        <w:spacing w:line="360" w:lineRule="auto"/>
        <w:ind w:firstLine="420" w:firstLineChars="200"/>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45.2</w:t>
      </w:r>
      <w:r>
        <w:rPr>
          <w:rFonts w:hint="eastAsia" w:ascii="宋体" w:hAnsi="宋体" w:eastAsia="宋体" w:cs="宋体"/>
          <w:b/>
          <w:bCs/>
          <w:color w:val="000000" w:themeColor="text1"/>
          <w:kern w:val="0"/>
          <w:sz w:val="21"/>
          <w:szCs w:val="21"/>
          <w:highlight w:val="none"/>
          <w14:textFill>
            <w14:solidFill>
              <w14:schemeClr w14:val="tx1"/>
            </w14:solidFill>
          </w14:textFill>
        </w:rPr>
        <w:t>区间抽取法</w:t>
      </w:r>
    </w:p>
    <w:p w14:paraId="5120EFEA">
      <w:pPr>
        <w:widowControl/>
        <w:snapToGrid w:val="0"/>
        <w:spacing w:line="360" w:lineRule="auto"/>
        <w:ind w:firstLine="420" w:firstLineChars="200"/>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设立入围合格分数线（技术标或技术标加诚信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14:paraId="676CFF21">
      <w:pPr>
        <w:widowControl/>
        <w:snapToGrid w:val="0"/>
        <w:spacing w:line="360" w:lineRule="auto"/>
        <w:ind w:firstLine="420" w:firstLineChars="200"/>
        <w:rPr>
          <w:rFonts w:hint="eastAsia" w:ascii="宋体" w:hAnsi="宋体" w:eastAsia="宋体" w:cs="宋体"/>
          <w:color w:val="000000" w:themeColor="text1"/>
          <w:kern w:val="0"/>
          <w:sz w:val="21"/>
          <w:szCs w:val="21"/>
          <w:highlight w:val="none"/>
          <w:vertAlign w:val="subscript"/>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评标参考价=（Q</w:t>
      </w:r>
      <w:r>
        <w:rPr>
          <w:rFonts w:hint="eastAsia" w:ascii="宋体" w:hAnsi="宋体" w:eastAsia="宋体" w:cs="宋体"/>
          <w:color w:val="000000" w:themeColor="text1"/>
          <w:kern w:val="0"/>
          <w:sz w:val="21"/>
          <w:szCs w:val="21"/>
          <w:highlight w:val="none"/>
          <w:vertAlign w:val="subscript"/>
          <w14:textFill>
            <w14:solidFill>
              <w14:schemeClr w14:val="tx1"/>
            </w14:solidFill>
          </w14:textFill>
        </w:rPr>
        <w:t>高</w:t>
      </w:r>
      <w:r>
        <w:rPr>
          <w:rFonts w:hint="eastAsia" w:ascii="宋体" w:hAnsi="宋体" w:eastAsia="宋体" w:cs="宋体"/>
          <w:color w:val="000000" w:themeColor="text1"/>
          <w:kern w:val="0"/>
          <w:sz w:val="21"/>
          <w:szCs w:val="21"/>
          <w:highlight w:val="none"/>
          <w14:textFill>
            <w14:solidFill>
              <w14:schemeClr w14:val="tx1"/>
            </w14:solidFill>
          </w14:textFill>
        </w:rPr>
        <w:t>-Q</w:t>
      </w:r>
      <w:r>
        <w:rPr>
          <w:rFonts w:hint="eastAsia" w:ascii="宋体" w:hAnsi="宋体" w:eastAsia="宋体" w:cs="宋体"/>
          <w:color w:val="000000" w:themeColor="text1"/>
          <w:kern w:val="0"/>
          <w:sz w:val="21"/>
          <w:szCs w:val="21"/>
          <w:highlight w:val="none"/>
          <w:vertAlign w:val="subscript"/>
          <w14:textFill>
            <w14:solidFill>
              <w14:schemeClr w14:val="tx1"/>
            </w14:solidFill>
          </w14:textFill>
        </w:rPr>
        <w:t>低</w:t>
      </w:r>
      <w:r>
        <w:rPr>
          <w:rFonts w:hint="eastAsia" w:ascii="宋体" w:hAnsi="宋体" w:eastAsia="宋体" w:cs="宋体"/>
          <w:color w:val="000000" w:themeColor="text1"/>
          <w:kern w:val="0"/>
          <w:sz w:val="21"/>
          <w:szCs w:val="21"/>
          <w:highlight w:val="none"/>
          <w14:textFill>
            <w14:solidFill>
              <w14:schemeClr w14:val="tx1"/>
            </w14:solidFill>
          </w14:textFill>
        </w:rPr>
        <w:t>）/100*Ｘ+Q</w:t>
      </w:r>
      <w:r>
        <w:rPr>
          <w:rFonts w:hint="eastAsia" w:ascii="宋体" w:hAnsi="宋体" w:eastAsia="宋体" w:cs="宋体"/>
          <w:color w:val="000000" w:themeColor="text1"/>
          <w:kern w:val="0"/>
          <w:sz w:val="21"/>
          <w:szCs w:val="21"/>
          <w:highlight w:val="none"/>
          <w:vertAlign w:val="subscript"/>
          <w14:textFill>
            <w14:solidFill>
              <w14:schemeClr w14:val="tx1"/>
            </w14:solidFill>
          </w14:textFill>
        </w:rPr>
        <w:t>低</w:t>
      </w:r>
    </w:p>
    <w:p w14:paraId="52679F54">
      <w:pPr>
        <w:widowControl/>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Q</w:t>
      </w:r>
      <w:r>
        <w:rPr>
          <w:rFonts w:hint="eastAsia" w:ascii="宋体" w:hAnsi="宋体" w:eastAsia="宋体" w:cs="宋体"/>
          <w:color w:val="000000" w:themeColor="text1"/>
          <w:sz w:val="21"/>
          <w:szCs w:val="21"/>
          <w:highlight w:val="none"/>
          <w:vertAlign w:val="subscript"/>
          <w14:textFill>
            <w14:solidFill>
              <w14:schemeClr w14:val="tx1"/>
            </w14:solidFill>
          </w14:textFill>
        </w:rPr>
        <w:t>低</w:t>
      </w:r>
      <w:r>
        <w:rPr>
          <w:rFonts w:hint="eastAsia" w:ascii="宋体" w:hAnsi="宋体" w:eastAsia="宋体" w:cs="宋体"/>
          <w:color w:val="000000" w:themeColor="text1"/>
          <w:sz w:val="21"/>
          <w:szCs w:val="21"/>
          <w:highlight w:val="none"/>
          <w14:textFill>
            <w14:solidFill>
              <w14:schemeClr w14:val="tx1"/>
            </w14:solidFill>
          </w14:textFill>
        </w:rPr>
        <w:t>：为达到或超过技术标及格分数线的投标人最低报价与工程成本警示价两者中的较高值；</w:t>
      </w:r>
    </w:p>
    <w:p w14:paraId="3712DB9B">
      <w:pPr>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Q</w:t>
      </w:r>
      <w:r>
        <w:rPr>
          <w:rFonts w:hint="eastAsia" w:ascii="宋体" w:hAnsi="宋体" w:eastAsia="宋体" w:cs="宋体"/>
          <w:color w:val="000000" w:themeColor="text1"/>
          <w:kern w:val="0"/>
          <w:sz w:val="21"/>
          <w:szCs w:val="21"/>
          <w:highlight w:val="none"/>
          <w:vertAlign w:val="subscript"/>
          <w14:textFill>
            <w14:solidFill>
              <w14:schemeClr w14:val="tx1"/>
            </w14:solidFill>
          </w14:textFill>
        </w:rPr>
        <w:t>高</w:t>
      </w:r>
      <w:r>
        <w:rPr>
          <w:rFonts w:hint="eastAsia" w:ascii="宋体" w:hAnsi="宋体" w:eastAsia="宋体" w:cs="宋体"/>
          <w:color w:val="000000" w:themeColor="text1"/>
          <w:sz w:val="21"/>
          <w:szCs w:val="21"/>
          <w:highlight w:val="none"/>
          <w14:textFill>
            <w14:solidFill>
              <w14:schemeClr w14:val="tx1"/>
            </w14:solidFill>
          </w14:textFill>
        </w:rPr>
        <w:t>：为最高投标限价</w:t>
      </w:r>
    </w:p>
    <w:p w14:paraId="7D74F6CC">
      <w:pPr>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X:为等分点值，在开标前从[0,100]整数中随机抽取</w:t>
      </w:r>
    </w:p>
    <w:p w14:paraId="2D85ACD7">
      <w:pPr>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45.3</w:t>
      </w:r>
      <w:r>
        <w:rPr>
          <w:rFonts w:hint="eastAsia" w:ascii="宋体" w:hAnsi="宋体" w:eastAsia="宋体" w:cs="宋体"/>
          <w:color w:val="000000" w:themeColor="text1"/>
          <w:sz w:val="21"/>
          <w:szCs w:val="21"/>
          <w:highlight w:val="none"/>
          <w14:textFill>
            <w14:solidFill>
              <w14:schemeClr w14:val="tx1"/>
            </w14:solidFill>
          </w14:textFill>
        </w:rPr>
        <w:t>当标价等于评标参考价时得100分，标价每高于评标参考价1%，扣1.5分，每低于评标参考价1%，扣1分，扣至0分为止，得出经济分，精确到小数点后两位。</w:t>
      </w:r>
    </w:p>
    <w:p w14:paraId="08908C81">
      <w:pPr>
        <w:pStyle w:val="31"/>
        <w:tabs>
          <w:tab w:val="left" w:pos="7380"/>
        </w:tabs>
        <w:snapToGrid w:val="0"/>
        <w:spacing w:after="0"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45.4计算通过技术标有效性审查的投标人总得分。投标人总得分=（技术得分×技术得分权重＋经济得分×经济得分权重）×（1-综合诚信评价分数权重）＋综合诚信评价排名得分×综合诚信评价分数权重）。技术、经济得分权重及综合诚信评价分数权重按投标须知前附表的规定执行。总得分四舍五入保留两位小数。</w:t>
      </w:r>
    </w:p>
    <w:p w14:paraId="1ECF9CF2">
      <w:pPr>
        <w:pStyle w:val="31"/>
        <w:tabs>
          <w:tab w:val="left" w:pos="7380"/>
        </w:tabs>
        <w:snapToGrid w:val="0"/>
        <w:spacing w:after="0" w:line="360" w:lineRule="auto"/>
        <w:ind w:firstLine="422"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46.经济标的有效性审查</w:t>
      </w:r>
    </w:p>
    <w:p w14:paraId="4ECA6AA9">
      <w:pPr>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46.1经济标的有效性审查：按照投标人总得分排序，依次对投标文件进行经济标有效性审查，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评委发现投标文件中含义不明确、对同类问题表述不一致、有明显文字和计算错误、投标报价可能低于成本影响履约的，应当要求投标人作必要的澄清、说明后再判定投标人是否通过有效性审查，不得直接否决投标。</w:t>
      </w:r>
    </w:p>
    <w:p w14:paraId="4FC33CB3">
      <w:pPr>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46.2经济标的算术校核。评标委员会对进行经济标有效性审查的投标文件投标报价按照就低不就高的原则进行算术校核，具体标准如下：</w:t>
      </w:r>
    </w:p>
    <w:p w14:paraId="4DDE7C2C">
      <w:pPr>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46.2.1如果数字表示的金额和用文字表示的金额不一致时，应以文字表示的金额为准；</w:t>
      </w:r>
    </w:p>
    <w:p w14:paraId="33DDA3A3">
      <w:pPr>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46.2.2经算术复核的投标人报价与其投标报价不一致时，按就低不就高原则确定其最终报价；</w:t>
      </w:r>
    </w:p>
    <w:p w14:paraId="28D614CB">
      <w:pPr>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46.2.3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14:paraId="36B629E1">
      <w:pPr>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46.2.4当合价、金额累加错误时，按就低不就高原则，如果累加修正值小于原累加值，则按累加修正值；如果累加修正值大于原累加值，则按原累加值；</w:t>
      </w:r>
    </w:p>
    <w:p w14:paraId="01F28D4A">
      <w:pPr>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46.2.5如果投标人的有关规费、暂列金额、暂估价、绿色施工安全防护措施费等未按招标文件规定的金额填写的，由评标委员会按照招标文件规定的金额进行修正；</w:t>
      </w:r>
    </w:p>
    <w:p w14:paraId="06F13809">
      <w:pPr>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46.2.6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对比招标文件（招标工程量清单）漏项的，则该漏项费用视为已分配在其他项目中，不再修改；③分部分项工程量清单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14:paraId="72099104">
      <w:pPr>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46.2.7按就低不就高原则，当修正后报价小于原报价，总价按修正后报价；当修正后报价大于原报价，总价按原报价，并在签订合同时载明在结算价中扣除修正报价与原报价的差额。</w:t>
      </w:r>
    </w:p>
    <w:p w14:paraId="56F4EE68">
      <w:pPr>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46.2.8按上述修正错误的原则及方法调整或修正投标文件的投标报价，调整后的投标报价对投标人起约束作用。如果投标人不接受修正后的报价，则取消其投标资格，并且其投标保证金也将不予退还。</w:t>
      </w:r>
    </w:p>
    <w:p w14:paraId="6E6BCB6C">
      <w:pPr>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47.评标委员会按只有通过有效性审查的投标人的投标文件方可进入下一阶段评审的评审原则，根据有效性审查结果，取消被否决投标的投标人的排序，其余通过有效性审查的投标人的排序依次上升替补确定，以此类推。直至评审出3名投标人通过经济标有效性审查，经济标有效性审查结束。</w:t>
      </w:r>
    </w:p>
    <w:p w14:paraId="5893B69B">
      <w:pPr>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48.评标委员会应在通过投标文件经济标有效性审查的投标人中，按步骤45.4确定的投标人第二阶段排序，推荐前3名依次为第一中标候选人至第三中标候选人,并编制评标报告。</w:t>
      </w:r>
    </w:p>
    <w:p w14:paraId="4545D5EF">
      <w:pPr>
        <w:pStyle w:val="13"/>
        <w:rPr>
          <w:rFonts w:ascii="宋体" w:hAnsi="宋体" w:cs="宋体"/>
          <w:color w:val="auto"/>
          <w:szCs w:val="21"/>
          <w:highlight w:val="none"/>
        </w:rPr>
        <w:sectPr>
          <w:footerReference r:id="rId9" w:type="default"/>
          <w:endnotePr>
            <w:numFmt w:val="decimal"/>
          </w:endnotePr>
          <w:pgSz w:w="11906" w:h="16838"/>
          <w:pgMar w:top="1440" w:right="1383" w:bottom="1440" w:left="1383" w:header="851" w:footer="907" w:gutter="0"/>
          <w:cols w:space="720" w:num="1"/>
          <w:docGrid w:type="lines" w:linePitch="312" w:charSpace="0"/>
        </w:sectPr>
      </w:pPr>
      <w:r>
        <w:rPr>
          <w:rFonts w:hint="eastAsia" w:ascii="宋体" w:hAnsi="宋体" w:eastAsia="宋体" w:cs="宋体"/>
          <w:color w:val="000000" w:themeColor="text1"/>
          <w:sz w:val="21"/>
          <w:szCs w:val="21"/>
          <w:highlight w:val="none"/>
          <w14:textFill>
            <w14:solidFill>
              <w14:schemeClr w14:val="tx1"/>
            </w14:solidFill>
          </w14:textFill>
        </w:rPr>
        <w:t>49.若通过经济标有效性审查的投标人不足三家，应当依法重新招标。（当N个标段同时招标且不允许兼中时，若有效投标人不足N+2家，应当依法重新招标）</w:t>
      </w:r>
    </w:p>
    <w:p w14:paraId="43BE3012">
      <w:pPr>
        <w:snapToGrid w:val="0"/>
        <w:spacing w:line="360" w:lineRule="auto"/>
        <w:rPr>
          <w:rFonts w:ascii="宋体" w:hAnsi="宋体" w:cs="宋体"/>
          <w:b/>
          <w:bCs/>
          <w:color w:val="auto"/>
          <w:sz w:val="24"/>
          <w:szCs w:val="24"/>
          <w:highlight w:val="none"/>
        </w:rPr>
      </w:pPr>
      <w:r>
        <w:rPr>
          <w:rFonts w:hint="eastAsia" w:ascii="宋体" w:hAnsi="宋体" w:cs="宋体"/>
          <w:b/>
          <w:bCs/>
          <w:color w:val="auto"/>
          <w:sz w:val="24"/>
          <w:szCs w:val="24"/>
          <w:highlight w:val="none"/>
        </w:rPr>
        <w:t>附表一</w:t>
      </w:r>
    </w:p>
    <w:p w14:paraId="6DAD03CE">
      <w:pPr>
        <w:snapToGrid w:val="0"/>
        <w:spacing w:line="36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t>资格审查表</w:t>
      </w:r>
    </w:p>
    <w:p w14:paraId="462BD792">
      <w:pPr>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工程名称：</w:t>
      </w:r>
    </w:p>
    <w:p w14:paraId="0B0CDDDE">
      <w:pPr>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投标人名称：</w:t>
      </w:r>
    </w:p>
    <w:tbl>
      <w:tblPr>
        <w:tblStyle w:val="33"/>
        <w:tblW w:w="149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2"/>
        <w:gridCol w:w="6576"/>
        <w:gridCol w:w="6491"/>
        <w:gridCol w:w="1158"/>
      </w:tblGrid>
      <w:tr w14:paraId="0A442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682" w:type="dxa"/>
            <w:tcBorders>
              <w:top w:val="single" w:color="auto" w:sz="4" w:space="0"/>
              <w:left w:val="single" w:color="auto" w:sz="4" w:space="0"/>
              <w:bottom w:val="single" w:color="auto" w:sz="4" w:space="0"/>
              <w:right w:val="single" w:color="auto" w:sz="4" w:space="0"/>
            </w:tcBorders>
            <w:noWrap/>
            <w:vAlign w:val="center"/>
          </w:tcPr>
          <w:p w14:paraId="4A5425B5">
            <w:pPr>
              <w:snapToGrid w:val="0"/>
              <w:spacing w:line="360" w:lineRule="atLeast"/>
              <w:jc w:val="center"/>
              <w:rPr>
                <w:rFonts w:ascii="宋体" w:hAnsi="宋体" w:cs="宋体"/>
                <w:b/>
                <w:color w:val="auto"/>
                <w:szCs w:val="21"/>
                <w:highlight w:val="none"/>
              </w:rPr>
            </w:pPr>
            <w:r>
              <w:rPr>
                <w:rFonts w:hint="eastAsia" w:ascii="宋体" w:hAnsi="宋体" w:cs="宋体"/>
                <w:b/>
                <w:color w:val="auto"/>
                <w:szCs w:val="21"/>
                <w:highlight w:val="none"/>
              </w:rPr>
              <w:t>序号</w:t>
            </w:r>
          </w:p>
        </w:tc>
        <w:tc>
          <w:tcPr>
            <w:tcW w:w="6576" w:type="dxa"/>
            <w:tcBorders>
              <w:top w:val="single" w:color="auto" w:sz="4" w:space="0"/>
              <w:left w:val="single" w:color="auto" w:sz="4" w:space="0"/>
              <w:bottom w:val="single" w:color="auto" w:sz="4" w:space="0"/>
              <w:right w:val="single" w:color="auto" w:sz="4" w:space="0"/>
            </w:tcBorders>
            <w:noWrap/>
            <w:vAlign w:val="center"/>
          </w:tcPr>
          <w:p w14:paraId="52B9EA15">
            <w:pPr>
              <w:snapToGrid w:val="0"/>
              <w:spacing w:line="360" w:lineRule="atLeast"/>
              <w:jc w:val="center"/>
              <w:rPr>
                <w:rFonts w:ascii="宋体" w:hAnsi="宋体" w:cs="宋体"/>
                <w:b/>
                <w:color w:val="auto"/>
                <w:szCs w:val="21"/>
                <w:highlight w:val="none"/>
              </w:rPr>
            </w:pPr>
            <w:r>
              <w:rPr>
                <w:rFonts w:hint="eastAsia" w:ascii="宋体" w:hAnsi="宋体" w:cs="宋体"/>
                <w:b/>
                <w:color w:val="auto"/>
                <w:szCs w:val="21"/>
                <w:highlight w:val="none"/>
              </w:rPr>
              <w:t>审查项目</w:t>
            </w:r>
          </w:p>
        </w:tc>
        <w:tc>
          <w:tcPr>
            <w:tcW w:w="6491" w:type="dxa"/>
            <w:tcBorders>
              <w:top w:val="single" w:color="auto" w:sz="4" w:space="0"/>
              <w:left w:val="single" w:color="auto" w:sz="4" w:space="0"/>
              <w:bottom w:val="single" w:color="auto" w:sz="4" w:space="0"/>
              <w:right w:val="single" w:color="auto" w:sz="4" w:space="0"/>
            </w:tcBorders>
            <w:noWrap/>
            <w:vAlign w:val="center"/>
          </w:tcPr>
          <w:p w14:paraId="60453124">
            <w:pPr>
              <w:snapToGrid w:val="0"/>
              <w:spacing w:line="360" w:lineRule="atLeast"/>
              <w:jc w:val="center"/>
              <w:rPr>
                <w:rFonts w:ascii="宋体" w:hAnsi="宋体" w:cs="宋体"/>
                <w:b/>
                <w:color w:val="auto"/>
                <w:szCs w:val="21"/>
                <w:highlight w:val="none"/>
              </w:rPr>
            </w:pPr>
            <w:r>
              <w:rPr>
                <w:rFonts w:hint="eastAsia" w:ascii="宋体" w:hAnsi="宋体" w:cs="宋体"/>
                <w:b/>
                <w:color w:val="auto"/>
                <w:szCs w:val="21"/>
                <w:highlight w:val="none"/>
              </w:rPr>
              <w:t>须审查的资料</w:t>
            </w:r>
          </w:p>
        </w:tc>
        <w:tc>
          <w:tcPr>
            <w:tcW w:w="1158" w:type="dxa"/>
            <w:tcBorders>
              <w:top w:val="single" w:color="auto" w:sz="4" w:space="0"/>
              <w:left w:val="single" w:color="auto" w:sz="4" w:space="0"/>
              <w:bottom w:val="single" w:color="auto" w:sz="4" w:space="0"/>
              <w:right w:val="single" w:color="auto" w:sz="4" w:space="0"/>
            </w:tcBorders>
            <w:noWrap/>
            <w:vAlign w:val="center"/>
          </w:tcPr>
          <w:p w14:paraId="01F51D2D">
            <w:pPr>
              <w:snapToGrid w:val="0"/>
              <w:spacing w:line="360" w:lineRule="atLeast"/>
              <w:jc w:val="center"/>
              <w:rPr>
                <w:rFonts w:ascii="宋体" w:hAnsi="宋体" w:cs="宋体"/>
                <w:b/>
                <w:color w:val="auto"/>
                <w:szCs w:val="21"/>
                <w:highlight w:val="none"/>
              </w:rPr>
            </w:pPr>
            <w:r>
              <w:rPr>
                <w:rFonts w:hint="eastAsia" w:ascii="宋体" w:hAnsi="宋体" w:cs="宋体"/>
                <w:b/>
                <w:color w:val="auto"/>
                <w:szCs w:val="21"/>
                <w:highlight w:val="none"/>
              </w:rPr>
              <w:t>审查结果</w:t>
            </w:r>
          </w:p>
        </w:tc>
      </w:tr>
      <w:tr w14:paraId="3170F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2" w:type="dxa"/>
            <w:tcBorders>
              <w:top w:val="single" w:color="auto" w:sz="4" w:space="0"/>
              <w:left w:val="single" w:color="auto" w:sz="4" w:space="0"/>
              <w:bottom w:val="single" w:color="auto" w:sz="4" w:space="0"/>
              <w:right w:val="single" w:color="auto" w:sz="4" w:space="0"/>
            </w:tcBorders>
            <w:noWrap/>
            <w:vAlign w:val="center"/>
          </w:tcPr>
          <w:p w14:paraId="72864673">
            <w:pPr>
              <w:snapToGrid w:val="0"/>
              <w:spacing w:line="360" w:lineRule="atLeast"/>
              <w:jc w:val="center"/>
              <w:rPr>
                <w:rFonts w:ascii="宋体" w:hAnsi="宋体" w:cs="宋体"/>
                <w:color w:val="auto"/>
                <w:szCs w:val="21"/>
                <w:highlight w:val="none"/>
              </w:rPr>
            </w:pPr>
            <w:r>
              <w:rPr>
                <w:rFonts w:hint="eastAsia" w:ascii="宋体" w:hAnsi="宋体" w:cs="宋体"/>
                <w:color w:val="auto"/>
                <w:szCs w:val="21"/>
                <w:highlight w:val="none"/>
              </w:rPr>
              <w:t>1</w:t>
            </w:r>
          </w:p>
        </w:tc>
        <w:tc>
          <w:tcPr>
            <w:tcW w:w="6576" w:type="dxa"/>
            <w:tcBorders>
              <w:top w:val="single" w:color="auto" w:sz="4" w:space="0"/>
              <w:left w:val="single" w:color="auto" w:sz="4" w:space="0"/>
              <w:bottom w:val="single" w:color="auto" w:sz="4" w:space="0"/>
              <w:right w:val="single" w:color="auto" w:sz="4" w:space="0"/>
            </w:tcBorders>
            <w:noWrap/>
            <w:vAlign w:val="center"/>
          </w:tcPr>
          <w:p w14:paraId="7A147502">
            <w:pPr>
              <w:snapToGrid w:val="0"/>
              <w:spacing w:line="360" w:lineRule="atLeast"/>
              <w:rPr>
                <w:rFonts w:ascii="宋体" w:hAnsi="宋体" w:cs="宋体"/>
                <w:color w:val="auto"/>
                <w:szCs w:val="21"/>
                <w:highlight w:val="none"/>
              </w:rPr>
            </w:pPr>
            <w:r>
              <w:rPr>
                <w:rFonts w:hint="eastAsia" w:ascii="宋体" w:hAnsi="宋体" w:cs="宋体"/>
                <w:color w:val="auto"/>
                <w:szCs w:val="21"/>
                <w:highlight w:val="none"/>
              </w:rPr>
              <w:t>投标人（若为联合体投标，指联合体各方）参加投标的意思表达清楚，投标人代表被授权有效；</w:t>
            </w:r>
          </w:p>
        </w:tc>
        <w:tc>
          <w:tcPr>
            <w:tcW w:w="6491" w:type="dxa"/>
            <w:tcBorders>
              <w:top w:val="single" w:color="auto" w:sz="4" w:space="0"/>
              <w:left w:val="single" w:color="auto" w:sz="4" w:space="0"/>
              <w:bottom w:val="single" w:color="auto" w:sz="4" w:space="0"/>
              <w:right w:val="single" w:color="auto" w:sz="4" w:space="0"/>
            </w:tcBorders>
            <w:noWrap/>
            <w:vAlign w:val="center"/>
          </w:tcPr>
          <w:p w14:paraId="40CE52FA">
            <w:pPr>
              <w:snapToGrid w:val="0"/>
              <w:spacing w:line="360" w:lineRule="atLeast"/>
              <w:rPr>
                <w:rFonts w:ascii="宋体" w:hAnsi="宋体" w:cs="宋体"/>
                <w:color w:val="auto"/>
                <w:szCs w:val="21"/>
                <w:highlight w:val="none"/>
              </w:rPr>
            </w:pPr>
            <w:r>
              <w:rPr>
                <w:rFonts w:hint="eastAsia" w:ascii="宋体" w:hAnsi="宋体" w:cs="宋体"/>
                <w:color w:val="auto"/>
                <w:szCs w:val="21"/>
                <w:highlight w:val="none"/>
              </w:rPr>
              <w:t>投标人声明</w:t>
            </w:r>
            <w:r>
              <w:rPr>
                <w:rFonts w:hint="eastAsia" w:ascii="宋体" w:hAnsi="宋体" w:cs="宋体"/>
                <w:color w:val="auto"/>
                <w:szCs w:val="21"/>
                <w:highlight w:val="none"/>
                <w:u w:val="single"/>
              </w:rPr>
              <w:t>扫描件</w:t>
            </w:r>
            <w:r>
              <w:rPr>
                <w:rFonts w:hint="eastAsia" w:ascii="宋体" w:hAnsi="宋体" w:cs="宋体"/>
                <w:color w:val="auto"/>
                <w:szCs w:val="21"/>
                <w:highlight w:val="none"/>
              </w:rPr>
              <w:t>、法定代表人证明书</w:t>
            </w:r>
            <w:r>
              <w:rPr>
                <w:rFonts w:hint="eastAsia" w:ascii="宋体" w:hAnsi="宋体" w:cs="宋体"/>
                <w:color w:val="auto"/>
                <w:szCs w:val="21"/>
                <w:highlight w:val="none"/>
                <w:u w:val="single"/>
              </w:rPr>
              <w:t>扫描件</w:t>
            </w:r>
            <w:r>
              <w:rPr>
                <w:rFonts w:hint="eastAsia" w:ascii="宋体" w:hAnsi="宋体" w:cs="宋体"/>
                <w:color w:val="auto"/>
                <w:szCs w:val="21"/>
                <w:highlight w:val="none"/>
              </w:rPr>
              <w:t>；委托投标的还应提供法人授权委托证明书</w:t>
            </w:r>
            <w:r>
              <w:rPr>
                <w:rFonts w:hint="eastAsia" w:ascii="宋体" w:hAnsi="宋体" w:eastAsia="宋体" w:cs="宋体"/>
                <w:b w:val="0"/>
                <w:color w:val="auto"/>
                <w:sz w:val="21"/>
                <w:szCs w:val="21"/>
                <w:highlight w:val="none"/>
                <w:u w:val="single"/>
              </w:rPr>
              <w:t>（若为联合体投标，由联合体主办方提供）</w:t>
            </w:r>
            <w:r>
              <w:rPr>
                <w:rFonts w:hint="eastAsia" w:ascii="宋体" w:hAnsi="宋体" w:cs="宋体"/>
                <w:color w:val="auto"/>
                <w:szCs w:val="21"/>
                <w:highlight w:val="none"/>
                <w:u w:val="single"/>
              </w:rPr>
              <w:t>扫描件，及授权委托人</w:t>
            </w:r>
            <w:r>
              <w:rPr>
                <w:rFonts w:ascii="宋体" w:hAnsi="宋体" w:cs="宋体"/>
                <w:b/>
                <w:color w:val="auto"/>
                <w:szCs w:val="21"/>
                <w:highlight w:val="none"/>
                <w:u w:val="single"/>
              </w:rPr>
              <w:t>2025年</w:t>
            </w:r>
            <w:r>
              <w:rPr>
                <w:rFonts w:hint="eastAsia" w:ascii="宋体" w:hAnsi="宋体" w:cs="宋体"/>
                <w:b/>
                <w:color w:val="auto"/>
                <w:szCs w:val="21"/>
                <w:highlight w:val="none"/>
                <w:u w:val="single"/>
                <w:lang w:val="en-US" w:eastAsia="zh-CN"/>
              </w:rPr>
              <w:t>10</w:t>
            </w:r>
            <w:r>
              <w:rPr>
                <w:rFonts w:hint="eastAsia" w:ascii="宋体" w:hAnsi="宋体" w:cs="宋体"/>
                <w:b/>
                <w:color w:val="auto"/>
                <w:szCs w:val="21"/>
                <w:highlight w:val="none"/>
                <w:u w:val="single"/>
                <w:lang w:eastAsia="zh-CN"/>
              </w:rPr>
              <w:t>月或</w:t>
            </w:r>
            <w:r>
              <w:rPr>
                <w:rFonts w:hint="eastAsia" w:ascii="宋体" w:hAnsi="宋体" w:cs="宋体"/>
                <w:b/>
                <w:color w:val="auto"/>
                <w:szCs w:val="21"/>
                <w:highlight w:val="none"/>
                <w:u w:val="single"/>
                <w:lang w:val="en-US" w:eastAsia="zh-CN"/>
              </w:rPr>
              <w:t>11</w:t>
            </w:r>
            <w:r>
              <w:rPr>
                <w:rFonts w:hint="eastAsia" w:ascii="宋体" w:hAnsi="宋体" w:cs="宋体"/>
                <w:b/>
                <w:color w:val="auto"/>
                <w:szCs w:val="21"/>
                <w:highlight w:val="none"/>
                <w:u w:val="single"/>
                <w:lang w:eastAsia="zh-CN"/>
              </w:rPr>
              <w:t>月</w:t>
            </w:r>
            <w:r>
              <w:rPr>
                <w:rFonts w:hint="eastAsia" w:ascii="宋体" w:hAnsi="宋体" w:cs="宋体"/>
                <w:color w:val="auto"/>
                <w:szCs w:val="21"/>
                <w:highlight w:val="none"/>
                <w:u w:val="single"/>
              </w:rPr>
              <w:t>在本公司缴纳社保的有效社保证明。</w:t>
            </w:r>
          </w:p>
        </w:tc>
        <w:tc>
          <w:tcPr>
            <w:tcW w:w="1158" w:type="dxa"/>
            <w:tcBorders>
              <w:top w:val="single" w:color="auto" w:sz="4" w:space="0"/>
              <w:left w:val="single" w:color="auto" w:sz="4" w:space="0"/>
              <w:bottom w:val="single" w:color="auto" w:sz="4" w:space="0"/>
              <w:right w:val="single" w:color="auto" w:sz="4" w:space="0"/>
            </w:tcBorders>
            <w:noWrap/>
            <w:vAlign w:val="center"/>
          </w:tcPr>
          <w:p w14:paraId="20AE02DE">
            <w:pPr>
              <w:snapToGrid w:val="0"/>
              <w:spacing w:line="360" w:lineRule="atLeast"/>
              <w:jc w:val="center"/>
              <w:rPr>
                <w:rFonts w:ascii="宋体" w:hAnsi="宋体" w:cs="宋体"/>
                <w:color w:val="auto"/>
                <w:szCs w:val="21"/>
                <w:highlight w:val="none"/>
              </w:rPr>
            </w:pPr>
          </w:p>
        </w:tc>
      </w:tr>
      <w:tr w14:paraId="24B79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2" w:type="dxa"/>
            <w:tcBorders>
              <w:top w:val="single" w:color="auto" w:sz="4" w:space="0"/>
              <w:left w:val="single" w:color="auto" w:sz="4" w:space="0"/>
              <w:bottom w:val="single" w:color="auto" w:sz="4" w:space="0"/>
              <w:right w:val="single" w:color="auto" w:sz="4" w:space="0"/>
            </w:tcBorders>
            <w:noWrap/>
            <w:vAlign w:val="center"/>
          </w:tcPr>
          <w:p w14:paraId="7A6629B0">
            <w:pPr>
              <w:snapToGrid w:val="0"/>
              <w:spacing w:line="360" w:lineRule="atLeast"/>
              <w:jc w:val="center"/>
              <w:rPr>
                <w:rFonts w:ascii="宋体" w:hAnsi="宋体" w:cs="宋体"/>
                <w:color w:val="auto"/>
                <w:szCs w:val="21"/>
                <w:highlight w:val="none"/>
              </w:rPr>
            </w:pPr>
            <w:r>
              <w:rPr>
                <w:rFonts w:hint="eastAsia" w:ascii="宋体" w:hAnsi="宋体" w:cs="宋体"/>
                <w:color w:val="auto"/>
                <w:szCs w:val="21"/>
                <w:highlight w:val="none"/>
              </w:rPr>
              <w:t>2</w:t>
            </w:r>
          </w:p>
        </w:tc>
        <w:tc>
          <w:tcPr>
            <w:tcW w:w="6576" w:type="dxa"/>
            <w:tcBorders>
              <w:top w:val="single" w:color="auto" w:sz="4" w:space="0"/>
              <w:left w:val="single" w:color="auto" w:sz="4" w:space="0"/>
              <w:bottom w:val="single" w:color="auto" w:sz="4" w:space="0"/>
              <w:right w:val="single" w:color="auto" w:sz="4" w:space="0"/>
            </w:tcBorders>
            <w:noWrap/>
            <w:vAlign w:val="center"/>
          </w:tcPr>
          <w:p w14:paraId="44018688">
            <w:pPr>
              <w:snapToGrid w:val="0"/>
              <w:spacing w:line="360" w:lineRule="atLeast"/>
              <w:rPr>
                <w:rFonts w:ascii="宋体" w:hAnsi="宋体" w:cs="宋体"/>
                <w:color w:val="auto"/>
                <w:szCs w:val="21"/>
                <w:highlight w:val="none"/>
              </w:rPr>
            </w:pPr>
            <w:r>
              <w:rPr>
                <w:rFonts w:hint="eastAsia" w:ascii="宋体" w:hAnsi="宋体" w:cs="宋体"/>
                <w:color w:val="auto"/>
                <w:szCs w:val="21"/>
                <w:highlight w:val="none"/>
              </w:rPr>
              <w:t>投标人（若为联合体投标，指联合体各方）具有独立法人资格，按国家法律经营；</w:t>
            </w:r>
          </w:p>
        </w:tc>
        <w:tc>
          <w:tcPr>
            <w:tcW w:w="6491" w:type="dxa"/>
            <w:tcBorders>
              <w:top w:val="single" w:color="auto" w:sz="4" w:space="0"/>
              <w:left w:val="single" w:color="auto" w:sz="4" w:space="0"/>
              <w:bottom w:val="single" w:color="auto" w:sz="4" w:space="0"/>
              <w:right w:val="single" w:color="auto" w:sz="4" w:space="0"/>
            </w:tcBorders>
            <w:noWrap/>
            <w:vAlign w:val="center"/>
          </w:tcPr>
          <w:p w14:paraId="60AFC5A6">
            <w:pPr>
              <w:snapToGrid w:val="0"/>
              <w:spacing w:line="360" w:lineRule="atLeast"/>
              <w:rPr>
                <w:rFonts w:ascii="宋体" w:hAnsi="宋体" w:cs="宋体"/>
                <w:color w:val="auto"/>
                <w:szCs w:val="21"/>
                <w:highlight w:val="none"/>
              </w:rPr>
            </w:pPr>
            <w:r>
              <w:rPr>
                <w:rFonts w:hint="eastAsia" w:ascii="宋体" w:hAnsi="宋体" w:cs="宋体"/>
                <w:color w:val="auto"/>
                <w:szCs w:val="21"/>
                <w:highlight w:val="none"/>
              </w:rPr>
              <w:t>营业执照扫描</w:t>
            </w:r>
            <w:r>
              <w:rPr>
                <w:rFonts w:hint="eastAsia" w:ascii="宋体" w:hAnsi="宋体" w:cs="宋体"/>
                <w:color w:val="auto"/>
                <w:highlight w:val="none"/>
              </w:rPr>
              <w:t>件或电子证照。</w:t>
            </w:r>
          </w:p>
        </w:tc>
        <w:tc>
          <w:tcPr>
            <w:tcW w:w="1158" w:type="dxa"/>
            <w:tcBorders>
              <w:top w:val="single" w:color="auto" w:sz="4" w:space="0"/>
              <w:left w:val="single" w:color="auto" w:sz="4" w:space="0"/>
              <w:bottom w:val="single" w:color="auto" w:sz="4" w:space="0"/>
              <w:right w:val="single" w:color="auto" w:sz="4" w:space="0"/>
            </w:tcBorders>
            <w:noWrap/>
            <w:vAlign w:val="center"/>
          </w:tcPr>
          <w:p w14:paraId="15EC446B">
            <w:pPr>
              <w:snapToGrid w:val="0"/>
              <w:spacing w:line="360" w:lineRule="atLeast"/>
              <w:jc w:val="center"/>
              <w:rPr>
                <w:rFonts w:ascii="宋体" w:hAnsi="宋体" w:cs="宋体"/>
                <w:color w:val="auto"/>
                <w:szCs w:val="21"/>
                <w:highlight w:val="none"/>
              </w:rPr>
            </w:pPr>
          </w:p>
        </w:tc>
      </w:tr>
      <w:tr w14:paraId="3F18B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2" w:type="dxa"/>
            <w:tcBorders>
              <w:top w:val="single" w:color="auto" w:sz="4" w:space="0"/>
              <w:left w:val="single" w:color="auto" w:sz="4" w:space="0"/>
              <w:bottom w:val="single" w:color="auto" w:sz="4" w:space="0"/>
              <w:right w:val="single" w:color="auto" w:sz="4" w:space="0"/>
            </w:tcBorders>
            <w:noWrap/>
            <w:vAlign w:val="center"/>
          </w:tcPr>
          <w:p w14:paraId="6F96EF5D">
            <w:pPr>
              <w:snapToGrid w:val="0"/>
              <w:spacing w:line="360" w:lineRule="atLeast"/>
              <w:jc w:val="center"/>
              <w:rPr>
                <w:rFonts w:ascii="宋体" w:hAnsi="宋体" w:cs="宋体"/>
                <w:color w:val="auto"/>
                <w:szCs w:val="21"/>
                <w:highlight w:val="none"/>
              </w:rPr>
            </w:pPr>
            <w:r>
              <w:rPr>
                <w:rFonts w:hint="eastAsia" w:ascii="宋体" w:hAnsi="宋体" w:cs="宋体"/>
                <w:color w:val="auto"/>
                <w:szCs w:val="21"/>
                <w:highlight w:val="none"/>
              </w:rPr>
              <w:t>3</w:t>
            </w:r>
          </w:p>
        </w:tc>
        <w:tc>
          <w:tcPr>
            <w:tcW w:w="6576" w:type="dxa"/>
            <w:tcBorders>
              <w:top w:val="single" w:color="auto" w:sz="4" w:space="0"/>
              <w:left w:val="single" w:color="auto" w:sz="4" w:space="0"/>
              <w:bottom w:val="single" w:color="auto" w:sz="4" w:space="0"/>
              <w:right w:val="single" w:color="auto" w:sz="4" w:space="0"/>
            </w:tcBorders>
            <w:noWrap/>
            <w:vAlign w:val="center"/>
          </w:tcPr>
          <w:p w14:paraId="44550035">
            <w:pPr>
              <w:snapToGrid w:val="0"/>
              <w:spacing w:line="360" w:lineRule="atLeast"/>
              <w:rPr>
                <w:rFonts w:ascii="宋体" w:hAnsi="宋体" w:cs="宋体"/>
                <w:color w:val="auto"/>
                <w:szCs w:val="21"/>
                <w:highlight w:val="none"/>
              </w:rPr>
            </w:pPr>
            <w:r>
              <w:rPr>
                <w:rFonts w:hint="eastAsia" w:ascii="宋体" w:hAnsi="宋体" w:cs="宋体"/>
                <w:color w:val="auto"/>
                <w:szCs w:val="21"/>
                <w:highlight w:val="none"/>
              </w:rPr>
              <w:t>投标人（若为联合体投标，指联合体各方）持有建设行政主管部门颁发的</w:t>
            </w:r>
            <w:r>
              <w:rPr>
                <w:rFonts w:hint="eastAsia" w:ascii="宋体" w:hAnsi="宋体" w:cs="宋体"/>
                <w:color w:val="auto"/>
                <w:szCs w:val="21"/>
                <w:highlight w:val="none"/>
                <w:u w:val="single"/>
              </w:rPr>
              <w:t>有效期内的</w:t>
            </w:r>
            <w:r>
              <w:rPr>
                <w:rFonts w:hint="eastAsia" w:ascii="宋体" w:hAnsi="宋体" w:cs="宋体"/>
                <w:color w:val="auto"/>
                <w:szCs w:val="21"/>
                <w:highlight w:val="none"/>
              </w:rPr>
              <w:t>企业资质证书及安全生产许可证；投标人（若为联合体投标，指联合体各方）资质符合公告要求；</w:t>
            </w:r>
          </w:p>
        </w:tc>
        <w:tc>
          <w:tcPr>
            <w:tcW w:w="6491" w:type="dxa"/>
            <w:tcBorders>
              <w:top w:val="single" w:color="auto" w:sz="4" w:space="0"/>
              <w:left w:val="single" w:color="auto" w:sz="4" w:space="0"/>
              <w:bottom w:val="single" w:color="auto" w:sz="4" w:space="0"/>
              <w:right w:val="single" w:color="auto" w:sz="4" w:space="0"/>
            </w:tcBorders>
            <w:noWrap/>
            <w:vAlign w:val="center"/>
          </w:tcPr>
          <w:p w14:paraId="7F5D26AF">
            <w:pPr>
              <w:snapToGrid w:val="0"/>
              <w:spacing w:line="360" w:lineRule="atLeast"/>
              <w:rPr>
                <w:rFonts w:ascii="宋体" w:hAnsi="宋体" w:cs="宋体"/>
                <w:color w:val="auto"/>
                <w:szCs w:val="21"/>
                <w:highlight w:val="none"/>
                <w:u w:val="single"/>
              </w:rPr>
            </w:pPr>
            <w:r>
              <w:rPr>
                <w:rFonts w:hint="eastAsia" w:ascii="宋体" w:hAnsi="宋体" w:cs="宋体"/>
                <w:color w:val="auto"/>
                <w:szCs w:val="21"/>
                <w:highlight w:val="none"/>
              </w:rPr>
              <w:t>资质证书（若为联合体投标，指联合体各方</w:t>
            </w:r>
            <w:r>
              <w:rPr>
                <w:rFonts w:hint="eastAsia" w:ascii="宋体" w:hAnsi="宋体" w:cs="宋体"/>
                <w:color w:val="auto"/>
                <w:szCs w:val="21"/>
                <w:highlight w:val="none"/>
                <w:lang w:val="en-US" w:eastAsia="zh-CN"/>
              </w:rPr>
              <w:t>均须提供</w:t>
            </w:r>
            <w:r>
              <w:rPr>
                <w:rFonts w:hint="eastAsia" w:ascii="宋体" w:hAnsi="宋体" w:cs="宋体"/>
                <w:color w:val="auto"/>
                <w:szCs w:val="21"/>
                <w:highlight w:val="none"/>
              </w:rPr>
              <w:t>）扫描件或电子证照，或符合招标公告规定的相关证明材料（如有）；安全生产许可证</w:t>
            </w:r>
            <w:r>
              <w:rPr>
                <w:rFonts w:hint="eastAsia" w:ascii="宋体" w:hAnsi="宋体" w:eastAsia="宋体" w:cs="宋体"/>
                <w:b w:val="0"/>
                <w:color w:val="auto"/>
                <w:sz w:val="21"/>
                <w:szCs w:val="21"/>
                <w:highlight w:val="none"/>
                <w:u w:val="single"/>
              </w:rPr>
              <w:t>（若为联合体投标，联合体各成员均需提供）</w:t>
            </w:r>
            <w:r>
              <w:rPr>
                <w:rFonts w:hint="eastAsia" w:ascii="宋体" w:hAnsi="宋体" w:cs="宋体"/>
                <w:color w:val="auto"/>
                <w:szCs w:val="21"/>
                <w:highlight w:val="none"/>
                <w:u w:val="single"/>
              </w:rPr>
              <w:t>扫描件。</w:t>
            </w:r>
          </w:p>
        </w:tc>
        <w:tc>
          <w:tcPr>
            <w:tcW w:w="1158" w:type="dxa"/>
            <w:tcBorders>
              <w:top w:val="single" w:color="auto" w:sz="4" w:space="0"/>
              <w:left w:val="single" w:color="auto" w:sz="4" w:space="0"/>
              <w:bottom w:val="single" w:color="auto" w:sz="4" w:space="0"/>
              <w:right w:val="single" w:color="auto" w:sz="4" w:space="0"/>
            </w:tcBorders>
            <w:noWrap/>
            <w:vAlign w:val="center"/>
          </w:tcPr>
          <w:p w14:paraId="6968CAE4">
            <w:pPr>
              <w:snapToGrid w:val="0"/>
              <w:spacing w:line="360" w:lineRule="atLeast"/>
              <w:jc w:val="center"/>
              <w:rPr>
                <w:rFonts w:ascii="宋体" w:hAnsi="宋体" w:cs="宋体"/>
                <w:color w:val="auto"/>
                <w:szCs w:val="21"/>
                <w:highlight w:val="none"/>
              </w:rPr>
            </w:pPr>
          </w:p>
        </w:tc>
      </w:tr>
      <w:tr w14:paraId="3B24B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2" w:type="dxa"/>
            <w:tcBorders>
              <w:top w:val="single" w:color="auto" w:sz="4" w:space="0"/>
              <w:left w:val="single" w:color="auto" w:sz="4" w:space="0"/>
              <w:bottom w:val="single" w:color="auto" w:sz="4" w:space="0"/>
              <w:right w:val="single" w:color="auto" w:sz="4" w:space="0"/>
            </w:tcBorders>
            <w:noWrap/>
            <w:vAlign w:val="center"/>
          </w:tcPr>
          <w:p w14:paraId="1472DFF8">
            <w:pPr>
              <w:snapToGrid w:val="0"/>
              <w:spacing w:line="360" w:lineRule="atLeast"/>
              <w:jc w:val="center"/>
              <w:rPr>
                <w:rFonts w:ascii="宋体" w:hAnsi="宋体" w:cs="宋体"/>
                <w:color w:val="auto"/>
                <w:szCs w:val="21"/>
                <w:highlight w:val="none"/>
              </w:rPr>
            </w:pPr>
            <w:r>
              <w:rPr>
                <w:rFonts w:hint="eastAsia" w:ascii="宋体" w:hAnsi="宋体" w:cs="宋体"/>
                <w:color w:val="auto"/>
                <w:szCs w:val="21"/>
                <w:highlight w:val="none"/>
              </w:rPr>
              <w:t>4</w:t>
            </w:r>
          </w:p>
        </w:tc>
        <w:tc>
          <w:tcPr>
            <w:tcW w:w="6576" w:type="dxa"/>
            <w:tcBorders>
              <w:top w:val="single" w:color="auto" w:sz="4" w:space="0"/>
              <w:left w:val="single" w:color="auto" w:sz="4" w:space="0"/>
              <w:bottom w:val="single" w:color="auto" w:sz="4" w:space="0"/>
              <w:right w:val="single" w:color="auto" w:sz="4" w:space="0"/>
            </w:tcBorders>
            <w:noWrap/>
            <w:vAlign w:val="center"/>
          </w:tcPr>
          <w:p w14:paraId="6A4AE2F9">
            <w:pPr>
              <w:snapToGrid w:val="0"/>
              <w:spacing w:line="360" w:lineRule="atLeast"/>
              <w:rPr>
                <w:rFonts w:ascii="宋体" w:hAnsi="宋体" w:cs="宋体"/>
                <w:color w:val="auto"/>
                <w:szCs w:val="21"/>
                <w:highlight w:val="none"/>
              </w:rPr>
            </w:pPr>
            <w:r>
              <w:rPr>
                <w:rFonts w:hint="eastAsia" w:ascii="宋体" w:hAnsi="宋体" w:cs="宋体"/>
                <w:color w:val="auto"/>
                <w:szCs w:val="21"/>
                <w:highlight w:val="none"/>
              </w:rPr>
              <w:t>投标人（若为联合体投标，由联合体主办方提供）拟担任本工程项目负责人符合公告要求；</w:t>
            </w:r>
          </w:p>
        </w:tc>
        <w:tc>
          <w:tcPr>
            <w:tcW w:w="6491" w:type="dxa"/>
            <w:tcBorders>
              <w:top w:val="single" w:color="auto" w:sz="4" w:space="0"/>
              <w:left w:val="single" w:color="auto" w:sz="4" w:space="0"/>
              <w:bottom w:val="single" w:color="auto" w:sz="4" w:space="0"/>
              <w:right w:val="single" w:color="auto" w:sz="4" w:space="0"/>
            </w:tcBorders>
            <w:noWrap/>
            <w:vAlign w:val="center"/>
          </w:tcPr>
          <w:p w14:paraId="106F80F5">
            <w:pPr>
              <w:snapToGrid w:val="0"/>
              <w:spacing w:line="360" w:lineRule="atLeast"/>
              <w:rPr>
                <w:rFonts w:ascii="宋体" w:hAnsi="宋体" w:cs="宋体"/>
                <w:color w:val="auto"/>
                <w:szCs w:val="21"/>
                <w:highlight w:val="none"/>
              </w:rPr>
            </w:pPr>
            <w:r>
              <w:rPr>
                <w:rFonts w:hint="eastAsia" w:ascii="宋体" w:hAnsi="宋体" w:cs="宋体"/>
                <w:color w:val="auto"/>
                <w:szCs w:val="21"/>
                <w:highlight w:val="none"/>
              </w:rPr>
              <w:t>使用有效期内的注册建造师注册证书扫描件或电子证照。（注：递交的注册建造师注册证书须符合招标公告第九条第4款注②的规定。）</w:t>
            </w:r>
          </w:p>
        </w:tc>
        <w:tc>
          <w:tcPr>
            <w:tcW w:w="1158" w:type="dxa"/>
            <w:tcBorders>
              <w:top w:val="single" w:color="auto" w:sz="4" w:space="0"/>
              <w:left w:val="single" w:color="auto" w:sz="4" w:space="0"/>
              <w:bottom w:val="single" w:color="auto" w:sz="4" w:space="0"/>
              <w:right w:val="single" w:color="auto" w:sz="4" w:space="0"/>
            </w:tcBorders>
            <w:noWrap/>
            <w:vAlign w:val="center"/>
          </w:tcPr>
          <w:p w14:paraId="5277D874">
            <w:pPr>
              <w:snapToGrid w:val="0"/>
              <w:spacing w:line="360" w:lineRule="atLeast"/>
              <w:jc w:val="center"/>
              <w:rPr>
                <w:rFonts w:ascii="宋体" w:hAnsi="宋体" w:cs="宋体"/>
                <w:color w:val="auto"/>
                <w:szCs w:val="21"/>
                <w:highlight w:val="none"/>
              </w:rPr>
            </w:pPr>
          </w:p>
        </w:tc>
      </w:tr>
      <w:tr w14:paraId="39591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2" w:type="dxa"/>
            <w:tcBorders>
              <w:top w:val="single" w:color="auto" w:sz="4" w:space="0"/>
              <w:left w:val="single" w:color="auto" w:sz="4" w:space="0"/>
              <w:bottom w:val="single" w:color="auto" w:sz="4" w:space="0"/>
              <w:right w:val="single" w:color="auto" w:sz="4" w:space="0"/>
            </w:tcBorders>
            <w:noWrap/>
            <w:vAlign w:val="center"/>
          </w:tcPr>
          <w:p w14:paraId="61C046A7">
            <w:pPr>
              <w:snapToGrid w:val="0"/>
              <w:spacing w:line="360" w:lineRule="atLeast"/>
              <w:jc w:val="center"/>
              <w:rPr>
                <w:rFonts w:ascii="宋体" w:hAnsi="宋体" w:cs="宋体"/>
                <w:color w:val="auto"/>
                <w:szCs w:val="21"/>
                <w:highlight w:val="none"/>
              </w:rPr>
            </w:pPr>
            <w:r>
              <w:rPr>
                <w:rFonts w:hint="eastAsia" w:ascii="宋体" w:hAnsi="宋体" w:cs="宋体"/>
                <w:color w:val="auto"/>
                <w:szCs w:val="21"/>
                <w:highlight w:val="none"/>
              </w:rPr>
              <w:t>5</w:t>
            </w:r>
          </w:p>
        </w:tc>
        <w:tc>
          <w:tcPr>
            <w:tcW w:w="6576" w:type="dxa"/>
            <w:tcBorders>
              <w:top w:val="single" w:color="auto" w:sz="4" w:space="0"/>
              <w:left w:val="single" w:color="auto" w:sz="4" w:space="0"/>
              <w:bottom w:val="single" w:color="auto" w:sz="4" w:space="0"/>
              <w:right w:val="single" w:color="auto" w:sz="4" w:space="0"/>
            </w:tcBorders>
            <w:noWrap/>
            <w:vAlign w:val="center"/>
          </w:tcPr>
          <w:p w14:paraId="3014C989">
            <w:pPr>
              <w:snapToGrid w:val="0"/>
              <w:spacing w:line="360" w:lineRule="atLeast"/>
              <w:jc w:val="left"/>
              <w:rPr>
                <w:rFonts w:ascii="宋体" w:hAnsi="宋体" w:cs="宋体"/>
                <w:color w:val="auto"/>
                <w:szCs w:val="21"/>
                <w:highlight w:val="none"/>
              </w:rPr>
            </w:pPr>
            <w:r>
              <w:rPr>
                <w:rFonts w:hint="eastAsia" w:ascii="宋体" w:hAnsi="宋体" w:eastAsia="宋体" w:cs="宋体"/>
                <w:b w:val="0"/>
                <w:color w:val="auto"/>
                <w:sz w:val="21"/>
                <w:szCs w:val="21"/>
                <w:highlight w:val="none"/>
              </w:rPr>
              <w:t>项目负责人（若为联合体投标，由联合体主办方提供）</w:t>
            </w:r>
            <w:r>
              <w:rPr>
                <w:rFonts w:hint="eastAsia" w:ascii="宋体" w:hAnsi="宋体" w:cs="宋体"/>
                <w:color w:val="auto"/>
                <w:szCs w:val="21"/>
                <w:highlight w:val="none"/>
              </w:rPr>
              <w:t>持有</w:t>
            </w:r>
            <w:r>
              <w:rPr>
                <w:rFonts w:hint="eastAsia" w:ascii="宋体" w:hAnsi="宋体" w:cs="宋体"/>
                <w:color w:val="auto"/>
                <w:szCs w:val="21"/>
                <w:highlight w:val="none"/>
                <w:u w:val="single"/>
              </w:rPr>
              <w:t>有效期内的</w:t>
            </w:r>
            <w:r>
              <w:rPr>
                <w:rFonts w:hint="eastAsia" w:ascii="宋体" w:hAnsi="宋体" w:cs="宋体"/>
                <w:color w:val="auto"/>
                <w:szCs w:val="21"/>
                <w:highlight w:val="none"/>
              </w:rPr>
              <w:t>项目负责人安全生产考核合格证（B类）或建筑施工企业项目负责人安全生产考核合格证；</w:t>
            </w:r>
          </w:p>
        </w:tc>
        <w:tc>
          <w:tcPr>
            <w:tcW w:w="6491" w:type="dxa"/>
            <w:tcBorders>
              <w:top w:val="single" w:color="auto" w:sz="4" w:space="0"/>
              <w:left w:val="single" w:color="auto" w:sz="4" w:space="0"/>
              <w:bottom w:val="single" w:color="auto" w:sz="4" w:space="0"/>
              <w:right w:val="single" w:color="auto" w:sz="4" w:space="0"/>
            </w:tcBorders>
            <w:noWrap/>
            <w:vAlign w:val="center"/>
          </w:tcPr>
          <w:p w14:paraId="68134E5D">
            <w:pPr>
              <w:snapToGrid w:val="0"/>
              <w:spacing w:line="360" w:lineRule="atLeast"/>
              <w:jc w:val="left"/>
              <w:rPr>
                <w:rFonts w:ascii="宋体" w:hAnsi="宋体" w:cs="宋体"/>
                <w:color w:val="auto"/>
                <w:szCs w:val="21"/>
                <w:highlight w:val="none"/>
                <w:u w:val="single"/>
              </w:rPr>
            </w:pPr>
            <w:r>
              <w:rPr>
                <w:rFonts w:hint="eastAsia" w:ascii="宋体" w:hAnsi="宋体" w:cs="宋体"/>
                <w:color w:val="auto"/>
                <w:szCs w:val="21"/>
                <w:highlight w:val="none"/>
              </w:rPr>
              <w:t>项目负责人安全生产考核合格证（B证）或建筑施工企业项目负责人安全生产考核合格证</w:t>
            </w:r>
            <w:r>
              <w:rPr>
                <w:rFonts w:hint="eastAsia" w:ascii="宋体" w:hAnsi="宋体" w:cs="宋体"/>
                <w:color w:val="auto"/>
                <w:szCs w:val="21"/>
                <w:highlight w:val="none"/>
                <w:u w:val="single"/>
              </w:rPr>
              <w:t>扫描件或电子证照。</w:t>
            </w:r>
          </w:p>
          <w:p w14:paraId="3BE94C31">
            <w:pPr>
              <w:snapToGrid w:val="0"/>
              <w:spacing w:line="360" w:lineRule="atLeast"/>
              <w:jc w:val="left"/>
              <w:rPr>
                <w:rFonts w:ascii="宋体" w:hAnsi="宋体" w:cs="宋体"/>
                <w:color w:val="auto"/>
                <w:szCs w:val="21"/>
                <w:highlight w:val="none"/>
              </w:rPr>
            </w:pPr>
            <w:r>
              <w:rPr>
                <w:rFonts w:hint="eastAsia" w:ascii="宋体" w:hAnsi="宋体" w:cs="宋体"/>
                <w:color w:val="auto"/>
                <w:szCs w:val="21"/>
                <w:highlight w:val="none"/>
                <w:u w:val="single"/>
              </w:rPr>
              <w:t>广东省建筑施工企业安全生产管理人员执行《广东省住房和城乡建设厅关于加快推进建筑施工企业安全生产管理人员考核合格证书电子证照办理相关工作的通知》（粤建质函〔2023〕754号），在10月底前完成换证业务，从2023年11月1日起，旧版电子证照停止使用。其他地区建筑施工企业安全生产管理人员执行属地安全生产管理人员考核合格证书电子证照相关规定。</w:t>
            </w:r>
          </w:p>
        </w:tc>
        <w:tc>
          <w:tcPr>
            <w:tcW w:w="1158" w:type="dxa"/>
            <w:tcBorders>
              <w:top w:val="single" w:color="auto" w:sz="4" w:space="0"/>
              <w:left w:val="single" w:color="auto" w:sz="4" w:space="0"/>
              <w:bottom w:val="single" w:color="auto" w:sz="4" w:space="0"/>
              <w:right w:val="single" w:color="auto" w:sz="4" w:space="0"/>
            </w:tcBorders>
            <w:noWrap/>
            <w:vAlign w:val="center"/>
          </w:tcPr>
          <w:p w14:paraId="6282D23B">
            <w:pPr>
              <w:snapToGrid w:val="0"/>
              <w:spacing w:line="360" w:lineRule="atLeast"/>
              <w:jc w:val="center"/>
              <w:rPr>
                <w:rFonts w:ascii="宋体" w:hAnsi="宋体" w:cs="宋体"/>
                <w:color w:val="auto"/>
                <w:szCs w:val="21"/>
                <w:highlight w:val="none"/>
              </w:rPr>
            </w:pPr>
          </w:p>
        </w:tc>
      </w:tr>
      <w:tr w14:paraId="1E005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2" w:type="dxa"/>
            <w:tcBorders>
              <w:top w:val="single" w:color="auto" w:sz="4" w:space="0"/>
              <w:left w:val="single" w:color="auto" w:sz="4" w:space="0"/>
              <w:bottom w:val="single" w:color="auto" w:sz="4" w:space="0"/>
              <w:right w:val="single" w:color="auto" w:sz="4" w:space="0"/>
            </w:tcBorders>
            <w:noWrap/>
            <w:vAlign w:val="center"/>
          </w:tcPr>
          <w:p w14:paraId="39C6F6BA">
            <w:pPr>
              <w:snapToGrid w:val="0"/>
              <w:spacing w:line="360" w:lineRule="atLeast"/>
              <w:jc w:val="center"/>
              <w:rPr>
                <w:rFonts w:ascii="宋体" w:hAnsi="宋体" w:cs="宋体"/>
                <w:color w:val="auto"/>
                <w:szCs w:val="21"/>
                <w:highlight w:val="none"/>
              </w:rPr>
            </w:pPr>
            <w:r>
              <w:rPr>
                <w:rFonts w:hint="eastAsia" w:ascii="宋体" w:hAnsi="宋体" w:cs="宋体"/>
                <w:color w:val="auto"/>
                <w:szCs w:val="21"/>
                <w:highlight w:val="none"/>
              </w:rPr>
              <w:t>6</w:t>
            </w:r>
          </w:p>
        </w:tc>
        <w:tc>
          <w:tcPr>
            <w:tcW w:w="6576" w:type="dxa"/>
            <w:tcBorders>
              <w:top w:val="single" w:color="auto" w:sz="4" w:space="0"/>
              <w:left w:val="single" w:color="auto" w:sz="4" w:space="0"/>
              <w:bottom w:val="single" w:color="auto" w:sz="4" w:space="0"/>
              <w:right w:val="single" w:color="auto" w:sz="4" w:space="0"/>
            </w:tcBorders>
            <w:noWrap/>
            <w:vAlign w:val="center"/>
          </w:tcPr>
          <w:p w14:paraId="5AA123CC">
            <w:pPr>
              <w:snapToGrid w:val="0"/>
              <w:spacing w:line="360" w:lineRule="atLeast"/>
              <w:rPr>
                <w:rFonts w:ascii="宋体" w:hAnsi="宋体" w:cs="宋体"/>
                <w:color w:val="auto"/>
                <w:szCs w:val="21"/>
                <w:highlight w:val="none"/>
              </w:rPr>
            </w:pPr>
            <w:r>
              <w:rPr>
                <w:rFonts w:hint="eastAsia" w:ascii="宋体" w:hAnsi="宋体" w:cs="宋体"/>
                <w:color w:val="auto"/>
                <w:szCs w:val="21"/>
                <w:highlight w:val="none"/>
              </w:rPr>
              <w:t>投标人</w:t>
            </w:r>
            <w:r>
              <w:rPr>
                <w:rFonts w:hint="eastAsia" w:ascii="宋体" w:hAnsi="宋体" w:eastAsia="宋体" w:cs="宋体"/>
                <w:b w:val="0"/>
                <w:color w:val="auto"/>
                <w:sz w:val="21"/>
                <w:szCs w:val="21"/>
                <w:highlight w:val="none"/>
              </w:rPr>
              <w:t>（若为联合体投标，由联合体主办方提供）</w:t>
            </w:r>
            <w:r>
              <w:rPr>
                <w:rFonts w:hint="eastAsia" w:ascii="宋体" w:hAnsi="宋体" w:cs="宋体"/>
                <w:color w:val="auto"/>
                <w:szCs w:val="21"/>
                <w:highlight w:val="none"/>
              </w:rPr>
              <w:t>拟担任本工程技术负责人符合公告要求；</w:t>
            </w:r>
          </w:p>
        </w:tc>
        <w:tc>
          <w:tcPr>
            <w:tcW w:w="6491" w:type="dxa"/>
            <w:tcBorders>
              <w:top w:val="single" w:color="auto" w:sz="4" w:space="0"/>
              <w:left w:val="single" w:color="auto" w:sz="4" w:space="0"/>
              <w:bottom w:val="single" w:color="auto" w:sz="4" w:space="0"/>
              <w:right w:val="single" w:color="auto" w:sz="4" w:space="0"/>
            </w:tcBorders>
            <w:noWrap/>
            <w:vAlign w:val="center"/>
          </w:tcPr>
          <w:p w14:paraId="78D08043">
            <w:pPr>
              <w:snapToGrid w:val="0"/>
              <w:spacing w:line="360" w:lineRule="atLeast"/>
              <w:rPr>
                <w:rFonts w:ascii="宋体" w:hAnsi="宋体" w:cs="宋体"/>
                <w:color w:val="auto"/>
                <w:szCs w:val="21"/>
                <w:highlight w:val="none"/>
              </w:rPr>
            </w:pPr>
            <w:r>
              <w:rPr>
                <w:rFonts w:hint="eastAsia" w:ascii="宋体" w:hAnsi="宋体" w:cs="宋体"/>
                <w:bCs/>
                <w:color w:val="auto"/>
                <w:szCs w:val="21"/>
                <w:highlight w:val="none"/>
                <w:u w:val="single"/>
              </w:rPr>
              <w:t>拟委派技术负责人的职称证书扫描件或电子证照。</w:t>
            </w:r>
          </w:p>
        </w:tc>
        <w:tc>
          <w:tcPr>
            <w:tcW w:w="1158" w:type="dxa"/>
            <w:tcBorders>
              <w:top w:val="single" w:color="auto" w:sz="4" w:space="0"/>
              <w:left w:val="single" w:color="auto" w:sz="4" w:space="0"/>
              <w:bottom w:val="single" w:color="auto" w:sz="4" w:space="0"/>
              <w:right w:val="single" w:color="auto" w:sz="4" w:space="0"/>
            </w:tcBorders>
            <w:noWrap/>
            <w:vAlign w:val="center"/>
          </w:tcPr>
          <w:p w14:paraId="1DEAAA24">
            <w:pPr>
              <w:snapToGrid w:val="0"/>
              <w:spacing w:line="360" w:lineRule="atLeast"/>
              <w:jc w:val="center"/>
              <w:rPr>
                <w:rFonts w:ascii="宋体" w:hAnsi="宋体" w:cs="宋体"/>
                <w:color w:val="auto"/>
                <w:szCs w:val="21"/>
                <w:highlight w:val="none"/>
              </w:rPr>
            </w:pPr>
          </w:p>
        </w:tc>
      </w:tr>
      <w:tr w14:paraId="3014A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2" w:type="dxa"/>
            <w:tcBorders>
              <w:top w:val="single" w:color="auto" w:sz="4" w:space="0"/>
              <w:left w:val="single" w:color="auto" w:sz="4" w:space="0"/>
              <w:bottom w:val="single" w:color="auto" w:sz="4" w:space="0"/>
              <w:right w:val="single" w:color="auto" w:sz="4" w:space="0"/>
            </w:tcBorders>
            <w:noWrap/>
            <w:vAlign w:val="center"/>
          </w:tcPr>
          <w:p w14:paraId="0E8E3F7A">
            <w:pPr>
              <w:snapToGrid w:val="0"/>
              <w:spacing w:line="360" w:lineRule="atLeast"/>
              <w:jc w:val="center"/>
              <w:rPr>
                <w:rFonts w:ascii="宋体" w:hAnsi="宋体" w:cs="宋体"/>
                <w:color w:val="auto"/>
                <w:szCs w:val="21"/>
                <w:highlight w:val="none"/>
              </w:rPr>
            </w:pPr>
            <w:r>
              <w:rPr>
                <w:rFonts w:hint="eastAsia" w:ascii="宋体" w:hAnsi="宋体" w:cs="宋体"/>
                <w:color w:val="auto"/>
                <w:szCs w:val="21"/>
                <w:highlight w:val="none"/>
              </w:rPr>
              <w:t>7</w:t>
            </w:r>
          </w:p>
        </w:tc>
        <w:tc>
          <w:tcPr>
            <w:tcW w:w="6576" w:type="dxa"/>
            <w:tcBorders>
              <w:top w:val="single" w:color="auto" w:sz="4" w:space="0"/>
              <w:left w:val="single" w:color="auto" w:sz="4" w:space="0"/>
              <w:bottom w:val="single" w:color="auto" w:sz="4" w:space="0"/>
              <w:right w:val="single" w:color="auto" w:sz="4" w:space="0"/>
            </w:tcBorders>
            <w:noWrap/>
            <w:vAlign w:val="center"/>
          </w:tcPr>
          <w:p w14:paraId="469B855E">
            <w:pPr>
              <w:snapToGrid w:val="0"/>
              <w:spacing w:line="360" w:lineRule="atLeast"/>
              <w:rPr>
                <w:rFonts w:ascii="宋体" w:hAnsi="宋体" w:cs="宋体"/>
                <w:color w:val="auto"/>
                <w:szCs w:val="21"/>
                <w:highlight w:val="none"/>
              </w:rPr>
            </w:pPr>
            <w:r>
              <w:rPr>
                <w:rFonts w:hint="eastAsia" w:ascii="宋体" w:hAnsi="宋体" w:cs="宋体"/>
                <w:color w:val="auto"/>
                <w:szCs w:val="21"/>
                <w:highlight w:val="none"/>
              </w:rPr>
              <w:t>专职安全员</w:t>
            </w:r>
            <w:r>
              <w:rPr>
                <w:rFonts w:hint="eastAsia" w:ascii="宋体" w:hAnsi="宋体" w:eastAsia="宋体" w:cs="宋体"/>
                <w:b w:val="0"/>
                <w:color w:val="auto"/>
                <w:sz w:val="21"/>
                <w:szCs w:val="21"/>
                <w:highlight w:val="none"/>
              </w:rPr>
              <w:t>（若为联合体投标，由联合体主办方提供）</w:t>
            </w:r>
            <w:r>
              <w:rPr>
                <w:rFonts w:hint="eastAsia" w:ascii="宋体" w:hAnsi="宋体" w:cs="宋体"/>
                <w:color w:val="auto"/>
                <w:szCs w:val="21"/>
                <w:highlight w:val="none"/>
              </w:rPr>
              <w:t>须具有</w:t>
            </w:r>
            <w:r>
              <w:rPr>
                <w:rFonts w:hint="eastAsia" w:ascii="宋体" w:hAnsi="宋体" w:cs="宋体"/>
                <w:color w:val="auto"/>
                <w:szCs w:val="21"/>
                <w:highlight w:val="none"/>
                <w:u w:val="single"/>
              </w:rPr>
              <w:t>有效期内的</w:t>
            </w:r>
            <w:r>
              <w:rPr>
                <w:rFonts w:hint="eastAsia" w:ascii="宋体" w:hAnsi="宋体" w:cs="宋体"/>
                <w:color w:val="auto"/>
                <w:szCs w:val="21"/>
                <w:highlight w:val="none"/>
              </w:rPr>
              <w:t>安全生产考核合格证（C证）或建筑施工企业专职安全生产管理人员安全生产考核合格证（C3）；</w:t>
            </w:r>
          </w:p>
        </w:tc>
        <w:tc>
          <w:tcPr>
            <w:tcW w:w="6491" w:type="dxa"/>
            <w:tcBorders>
              <w:top w:val="single" w:color="auto" w:sz="4" w:space="0"/>
              <w:left w:val="single" w:color="auto" w:sz="4" w:space="0"/>
              <w:bottom w:val="single" w:color="auto" w:sz="4" w:space="0"/>
              <w:right w:val="single" w:color="auto" w:sz="4" w:space="0"/>
            </w:tcBorders>
            <w:noWrap/>
            <w:vAlign w:val="center"/>
          </w:tcPr>
          <w:p w14:paraId="324BFAAA">
            <w:pPr>
              <w:snapToGrid w:val="0"/>
              <w:spacing w:line="360" w:lineRule="atLeast"/>
              <w:rPr>
                <w:rFonts w:ascii="宋体" w:hAnsi="宋体" w:cs="宋体"/>
                <w:color w:val="auto"/>
                <w:szCs w:val="21"/>
                <w:highlight w:val="none"/>
              </w:rPr>
            </w:pPr>
            <w:r>
              <w:rPr>
                <w:rFonts w:hint="eastAsia" w:ascii="宋体" w:hAnsi="宋体" w:cs="宋体"/>
                <w:color w:val="auto"/>
                <w:szCs w:val="21"/>
                <w:highlight w:val="none"/>
              </w:rPr>
              <w:t>专职安全员的安全生产考核合格证（C证）或建筑施工企业专职安全生产管理人员安全生产考核合格证</w:t>
            </w:r>
            <w:r>
              <w:rPr>
                <w:rFonts w:hint="eastAsia" w:ascii="宋体" w:hAnsi="宋体" w:cs="宋体"/>
                <w:color w:val="auto"/>
                <w:kern w:val="0"/>
                <w:szCs w:val="21"/>
                <w:highlight w:val="none"/>
                <w:u w:val="single"/>
              </w:rPr>
              <w:t>（</w:t>
            </w:r>
            <w:r>
              <w:rPr>
                <w:rFonts w:ascii="宋体" w:hAnsi="宋体" w:cs="宋体"/>
                <w:color w:val="auto"/>
                <w:kern w:val="0"/>
                <w:szCs w:val="21"/>
                <w:highlight w:val="none"/>
                <w:u w:val="single"/>
              </w:rPr>
              <w:t>C3）</w:t>
            </w:r>
            <w:r>
              <w:rPr>
                <w:rFonts w:hint="eastAsia" w:ascii="宋体" w:hAnsi="宋体" w:cs="宋体"/>
                <w:color w:val="auto"/>
                <w:kern w:val="0"/>
                <w:szCs w:val="21"/>
                <w:highlight w:val="none"/>
              </w:rPr>
              <w:t>证书</w:t>
            </w:r>
            <w:r>
              <w:rPr>
                <w:rFonts w:hint="eastAsia" w:ascii="宋体" w:hAnsi="宋体" w:cs="宋体"/>
                <w:color w:val="auto"/>
                <w:szCs w:val="21"/>
                <w:highlight w:val="none"/>
                <w:u w:val="single"/>
              </w:rPr>
              <w:t>扫描件或电子证照。根据《建筑施工企业主要负责人、项目负责人和专职安全生产管理人员安全生产管理规定》（住房城乡建设部令第17号）《关于印发建筑施工企业主要负责人、项目负责人和专职安全生产管理人员安全生产管理规定实施意见的通知》（建质〔2015〕206号），若投标人所属地区建设行政主管部门已对建筑施工企业专职安全生产管理人员实施机械、土建、综合分类管理的，本项目要求安全生产考核合格证（C类）或建筑施工企业专职安全生产管理人员安全生产考核合格证书须为综合类（C3）。广东省建筑施工企业安全生产管理人员执行《广东省住房和城乡建设厅关于加快推进建筑施工企业安全生产管理人员考核合格证书电子证照办理相关工作的通知》（粤建质函〔2023〕754号），在10月底前完成换证业务，从2023年11月1日起，旧版电子证照停止使用。其他地区建筑施工企业安全生产管理人员执行属地安全生产管理人员考核合格证书电子证照相关规定。</w:t>
            </w:r>
          </w:p>
        </w:tc>
        <w:tc>
          <w:tcPr>
            <w:tcW w:w="1158" w:type="dxa"/>
            <w:tcBorders>
              <w:top w:val="single" w:color="auto" w:sz="4" w:space="0"/>
              <w:left w:val="single" w:color="auto" w:sz="4" w:space="0"/>
              <w:bottom w:val="single" w:color="auto" w:sz="4" w:space="0"/>
              <w:right w:val="single" w:color="auto" w:sz="4" w:space="0"/>
            </w:tcBorders>
            <w:noWrap/>
            <w:vAlign w:val="center"/>
          </w:tcPr>
          <w:p w14:paraId="0174A532">
            <w:pPr>
              <w:snapToGrid w:val="0"/>
              <w:spacing w:line="360" w:lineRule="atLeast"/>
              <w:jc w:val="center"/>
              <w:rPr>
                <w:rFonts w:ascii="宋体" w:hAnsi="宋体" w:cs="宋体"/>
                <w:color w:val="auto"/>
                <w:szCs w:val="21"/>
                <w:highlight w:val="none"/>
              </w:rPr>
            </w:pPr>
          </w:p>
        </w:tc>
      </w:tr>
      <w:tr w14:paraId="18842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2" w:type="dxa"/>
            <w:tcBorders>
              <w:top w:val="single" w:color="auto" w:sz="4" w:space="0"/>
              <w:left w:val="single" w:color="auto" w:sz="4" w:space="0"/>
              <w:bottom w:val="single" w:color="auto" w:sz="4" w:space="0"/>
              <w:right w:val="single" w:color="auto" w:sz="4" w:space="0"/>
            </w:tcBorders>
            <w:noWrap/>
            <w:vAlign w:val="center"/>
          </w:tcPr>
          <w:p w14:paraId="484F5EDF">
            <w:pPr>
              <w:snapToGrid w:val="0"/>
              <w:spacing w:line="360" w:lineRule="atLeast"/>
              <w:jc w:val="center"/>
              <w:rPr>
                <w:rFonts w:ascii="宋体" w:hAnsi="宋体" w:cs="宋体"/>
                <w:color w:val="auto"/>
                <w:szCs w:val="21"/>
                <w:highlight w:val="none"/>
                <w:u w:val="single"/>
              </w:rPr>
            </w:pPr>
            <w:r>
              <w:rPr>
                <w:rFonts w:hint="eastAsia" w:ascii="宋体" w:hAnsi="宋体" w:cs="宋体"/>
                <w:color w:val="auto"/>
                <w:szCs w:val="21"/>
                <w:highlight w:val="none"/>
                <w:u w:val="single"/>
              </w:rPr>
              <w:t>8</w:t>
            </w:r>
          </w:p>
        </w:tc>
        <w:tc>
          <w:tcPr>
            <w:tcW w:w="6576" w:type="dxa"/>
            <w:tcBorders>
              <w:top w:val="single" w:color="auto" w:sz="4" w:space="0"/>
              <w:left w:val="single" w:color="auto" w:sz="4" w:space="0"/>
              <w:bottom w:val="single" w:color="auto" w:sz="4" w:space="0"/>
              <w:right w:val="single" w:color="auto" w:sz="4" w:space="0"/>
            </w:tcBorders>
            <w:noWrap/>
            <w:vAlign w:val="center"/>
          </w:tcPr>
          <w:p w14:paraId="0838A85E">
            <w:pPr>
              <w:snapToGrid w:val="0"/>
              <w:spacing w:line="360" w:lineRule="atLeast"/>
              <w:rPr>
                <w:rFonts w:ascii="宋体" w:hAnsi="宋体" w:cs="宋体"/>
                <w:color w:val="auto"/>
                <w:szCs w:val="21"/>
                <w:highlight w:val="none"/>
              </w:rPr>
            </w:pPr>
            <w:r>
              <w:rPr>
                <w:rFonts w:hint="eastAsia" w:ascii="宋体" w:hAnsi="宋体" w:cs="宋体"/>
                <w:color w:val="auto"/>
                <w:szCs w:val="21"/>
                <w:highlight w:val="none"/>
              </w:rPr>
              <w:t>投标人</w:t>
            </w:r>
            <w:r>
              <w:rPr>
                <w:rFonts w:hint="eastAsia" w:ascii="宋体" w:hAnsi="宋体" w:eastAsia="宋体" w:cs="宋体"/>
                <w:b w:val="0"/>
                <w:color w:val="auto"/>
                <w:sz w:val="21"/>
                <w:szCs w:val="21"/>
                <w:highlight w:val="none"/>
                <w:u w:val="single"/>
              </w:rPr>
              <w:t>（若为联合体投标，指联合体各方）</w:t>
            </w:r>
            <w:r>
              <w:rPr>
                <w:rFonts w:hint="eastAsia" w:ascii="宋体" w:hAnsi="宋体" w:cs="宋体"/>
                <w:color w:val="auto"/>
                <w:szCs w:val="21"/>
                <w:highlight w:val="none"/>
              </w:rPr>
              <w:t>提供的投标人声明符合公告要求；</w:t>
            </w:r>
          </w:p>
        </w:tc>
        <w:tc>
          <w:tcPr>
            <w:tcW w:w="6491" w:type="dxa"/>
            <w:tcBorders>
              <w:top w:val="single" w:color="auto" w:sz="4" w:space="0"/>
              <w:left w:val="single" w:color="auto" w:sz="4" w:space="0"/>
              <w:bottom w:val="single" w:color="auto" w:sz="4" w:space="0"/>
              <w:right w:val="single" w:color="auto" w:sz="4" w:space="0"/>
            </w:tcBorders>
            <w:noWrap/>
            <w:vAlign w:val="center"/>
          </w:tcPr>
          <w:p w14:paraId="2404DBB5">
            <w:pPr>
              <w:snapToGrid w:val="0"/>
              <w:spacing w:line="360" w:lineRule="atLeast"/>
              <w:jc w:val="left"/>
              <w:rPr>
                <w:rFonts w:ascii="宋体" w:hAnsi="宋体" w:cs="宋体"/>
                <w:color w:val="auto"/>
                <w:szCs w:val="21"/>
                <w:highlight w:val="none"/>
              </w:rPr>
            </w:pPr>
            <w:r>
              <w:rPr>
                <w:rFonts w:hint="eastAsia" w:ascii="宋体" w:hAnsi="宋体" w:cs="宋体"/>
                <w:color w:val="auto"/>
                <w:szCs w:val="21"/>
                <w:highlight w:val="none"/>
              </w:rPr>
              <w:t>投标人声明</w:t>
            </w:r>
            <w:r>
              <w:rPr>
                <w:rFonts w:hint="eastAsia" w:ascii="宋体" w:hAnsi="宋体" w:cs="宋体"/>
                <w:color w:val="auto"/>
                <w:szCs w:val="21"/>
                <w:highlight w:val="none"/>
                <w:u w:val="single"/>
              </w:rPr>
              <w:t>扫描件。</w:t>
            </w:r>
          </w:p>
        </w:tc>
        <w:tc>
          <w:tcPr>
            <w:tcW w:w="1158" w:type="dxa"/>
            <w:tcBorders>
              <w:top w:val="single" w:color="auto" w:sz="4" w:space="0"/>
              <w:left w:val="single" w:color="auto" w:sz="4" w:space="0"/>
              <w:bottom w:val="single" w:color="auto" w:sz="4" w:space="0"/>
              <w:right w:val="single" w:color="auto" w:sz="4" w:space="0"/>
            </w:tcBorders>
            <w:noWrap/>
            <w:vAlign w:val="center"/>
          </w:tcPr>
          <w:p w14:paraId="1E731C2E">
            <w:pPr>
              <w:snapToGrid w:val="0"/>
              <w:spacing w:line="360" w:lineRule="atLeast"/>
              <w:jc w:val="center"/>
              <w:rPr>
                <w:rFonts w:ascii="宋体" w:hAnsi="宋体" w:cs="宋体"/>
                <w:color w:val="auto"/>
                <w:szCs w:val="21"/>
                <w:highlight w:val="none"/>
              </w:rPr>
            </w:pPr>
          </w:p>
        </w:tc>
      </w:tr>
      <w:tr w14:paraId="79AB9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2" w:type="dxa"/>
            <w:tcBorders>
              <w:top w:val="single" w:color="auto" w:sz="4" w:space="0"/>
              <w:left w:val="single" w:color="auto" w:sz="4" w:space="0"/>
              <w:bottom w:val="single" w:color="auto" w:sz="4" w:space="0"/>
              <w:right w:val="single" w:color="auto" w:sz="4" w:space="0"/>
            </w:tcBorders>
            <w:noWrap/>
            <w:vAlign w:val="center"/>
          </w:tcPr>
          <w:p w14:paraId="02C95E22">
            <w:pPr>
              <w:snapToGrid w:val="0"/>
              <w:spacing w:line="360" w:lineRule="atLeast"/>
              <w:jc w:val="center"/>
              <w:rPr>
                <w:rFonts w:ascii="宋体" w:hAnsi="宋体" w:cs="宋体"/>
                <w:color w:val="auto"/>
                <w:szCs w:val="21"/>
                <w:highlight w:val="none"/>
                <w:u w:val="single"/>
              </w:rPr>
            </w:pPr>
            <w:r>
              <w:rPr>
                <w:rFonts w:hint="eastAsia" w:ascii="宋体" w:hAnsi="宋体" w:cs="宋体"/>
                <w:color w:val="auto"/>
                <w:szCs w:val="21"/>
                <w:highlight w:val="none"/>
                <w:u w:val="single"/>
              </w:rPr>
              <w:t>9</w:t>
            </w:r>
          </w:p>
        </w:tc>
        <w:tc>
          <w:tcPr>
            <w:tcW w:w="6576" w:type="dxa"/>
            <w:tcBorders>
              <w:top w:val="single" w:color="auto" w:sz="4" w:space="0"/>
              <w:left w:val="single" w:color="auto" w:sz="4" w:space="0"/>
              <w:bottom w:val="single" w:color="auto" w:sz="4" w:space="0"/>
              <w:right w:val="single" w:color="auto" w:sz="4" w:space="0"/>
            </w:tcBorders>
            <w:noWrap/>
            <w:vAlign w:val="center"/>
          </w:tcPr>
          <w:p w14:paraId="72A82CB2">
            <w:pPr>
              <w:snapToGrid w:val="0"/>
              <w:spacing w:line="360" w:lineRule="atLeast"/>
              <w:rPr>
                <w:rFonts w:ascii="宋体" w:hAnsi="宋体" w:cs="宋体"/>
                <w:color w:val="auto"/>
                <w:szCs w:val="21"/>
                <w:highlight w:val="none"/>
              </w:rPr>
            </w:pPr>
            <w:r>
              <w:rPr>
                <w:rFonts w:hint="eastAsia" w:ascii="宋体" w:hAnsi="宋体" w:cs="宋体"/>
                <w:color w:val="auto"/>
                <w:szCs w:val="21"/>
                <w:highlight w:val="none"/>
              </w:rPr>
              <w:t>投标人声明中签字的项目负责人和技术负责人与本项目拟派的项目负责人和技术负责人一致；</w:t>
            </w:r>
          </w:p>
        </w:tc>
        <w:tc>
          <w:tcPr>
            <w:tcW w:w="6491" w:type="dxa"/>
            <w:tcBorders>
              <w:top w:val="single" w:color="auto" w:sz="4" w:space="0"/>
              <w:left w:val="single" w:color="auto" w:sz="4" w:space="0"/>
              <w:bottom w:val="single" w:color="auto" w:sz="4" w:space="0"/>
              <w:right w:val="single" w:color="auto" w:sz="4" w:space="0"/>
            </w:tcBorders>
            <w:noWrap/>
            <w:vAlign w:val="center"/>
          </w:tcPr>
          <w:p w14:paraId="1CF038B0">
            <w:pPr>
              <w:snapToGrid w:val="0"/>
              <w:spacing w:line="360" w:lineRule="atLeast"/>
              <w:rPr>
                <w:rFonts w:ascii="宋体" w:hAnsi="宋体" w:cs="宋体"/>
                <w:color w:val="auto"/>
                <w:szCs w:val="21"/>
                <w:highlight w:val="none"/>
              </w:rPr>
            </w:pPr>
            <w:r>
              <w:rPr>
                <w:rFonts w:hint="eastAsia" w:ascii="宋体" w:hAnsi="宋体" w:cs="宋体"/>
                <w:color w:val="auto"/>
                <w:szCs w:val="21"/>
                <w:highlight w:val="none"/>
              </w:rPr>
              <w:t>网上投标时选择拟投标的项目负责人、资格审查文件中拟委派的技术负责人及投标人声明</w:t>
            </w:r>
            <w:r>
              <w:rPr>
                <w:rFonts w:hint="eastAsia" w:ascii="宋体" w:hAnsi="宋体" w:cs="宋体"/>
                <w:color w:val="auto"/>
                <w:szCs w:val="21"/>
                <w:highlight w:val="none"/>
                <w:u w:val="single"/>
              </w:rPr>
              <w:t>扫描件</w:t>
            </w:r>
            <w:r>
              <w:rPr>
                <w:rFonts w:hint="eastAsia" w:ascii="宋体" w:hAnsi="宋体" w:cs="宋体"/>
                <w:color w:val="auto"/>
                <w:szCs w:val="21"/>
                <w:highlight w:val="none"/>
              </w:rPr>
              <w:t>。</w:t>
            </w:r>
          </w:p>
        </w:tc>
        <w:tc>
          <w:tcPr>
            <w:tcW w:w="1158" w:type="dxa"/>
            <w:tcBorders>
              <w:top w:val="single" w:color="auto" w:sz="4" w:space="0"/>
              <w:left w:val="single" w:color="auto" w:sz="4" w:space="0"/>
              <w:bottom w:val="single" w:color="auto" w:sz="4" w:space="0"/>
              <w:right w:val="single" w:color="auto" w:sz="4" w:space="0"/>
            </w:tcBorders>
            <w:noWrap/>
            <w:vAlign w:val="center"/>
          </w:tcPr>
          <w:p w14:paraId="7599F277">
            <w:pPr>
              <w:snapToGrid w:val="0"/>
              <w:spacing w:line="360" w:lineRule="atLeast"/>
              <w:jc w:val="center"/>
              <w:rPr>
                <w:rFonts w:ascii="宋体" w:hAnsi="宋体" w:cs="宋体"/>
                <w:color w:val="auto"/>
                <w:szCs w:val="21"/>
                <w:highlight w:val="none"/>
              </w:rPr>
            </w:pPr>
          </w:p>
        </w:tc>
      </w:tr>
      <w:tr w14:paraId="13684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2" w:type="dxa"/>
            <w:tcBorders>
              <w:top w:val="single" w:color="auto" w:sz="4" w:space="0"/>
              <w:left w:val="single" w:color="auto" w:sz="4" w:space="0"/>
              <w:bottom w:val="single" w:color="auto" w:sz="4" w:space="0"/>
              <w:right w:val="single" w:color="auto" w:sz="4" w:space="0"/>
            </w:tcBorders>
            <w:noWrap/>
            <w:vAlign w:val="center"/>
          </w:tcPr>
          <w:p w14:paraId="08857176">
            <w:pPr>
              <w:snapToGrid w:val="0"/>
              <w:spacing w:line="360" w:lineRule="atLeast"/>
              <w:jc w:val="center"/>
              <w:rPr>
                <w:rFonts w:ascii="宋体" w:hAnsi="宋体" w:cs="宋体"/>
                <w:color w:val="auto"/>
                <w:szCs w:val="21"/>
                <w:highlight w:val="none"/>
                <w:u w:val="single"/>
              </w:rPr>
            </w:pPr>
            <w:r>
              <w:rPr>
                <w:rFonts w:hint="eastAsia" w:ascii="宋体" w:hAnsi="宋体" w:cs="宋体"/>
                <w:color w:val="auto"/>
                <w:szCs w:val="21"/>
                <w:highlight w:val="none"/>
                <w:u w:val="single"/>
              </w:rPr>
              <w:t>10</w:t>
            </w:r>
          </w:p>
        </w:tc>
        <w:tc>
          <w:tcPr>
            <w:tcW w:w="6576" w:type="dxa"/>
            <w:tcBorders>
              <w:top w:val="single" w:color="auto" w:sz="4" w:space="0"/>
              <w:left w:val="single" w:color="auto" w:sz="4" w:space="0"/>
              <w:bottom w:val="single" w:color="auto" w:sz="4" w:space="0"/>
              <w:right w:val="single" w:color="auto" w:sz="4" w:space="0"/>
            </w:tcBorders>
            <w:noWrap/>
            <w:vAlign w:val="center"/>
          </w:tcPr>
          <w:p w14:paraId="3739E0B0">
            <w:pPr>
              <w:snapToGrid w:val="0"/>
              <w:spacing w:line="360" w:lineRule="atLeast"/>
              <w:rPr>
                <w:rFonts w:ascii="宋体" w:hAnsi="宋体" w:cs="宋体"/>
                <w:color w:val="auto"/>
                <w:szCs w:val="21"/>
                <w:highlight w:val="none"/>
              </w:rPr>
            </w:pPr>
            <w:r>
              <w:rPr>
                <w:rStyle w:val="41"/>
                <w:rFonts w:hint="default" w:cs="宋体"/>
                <w:color w:val="auto"/>
                <w:sz w:val="21"/>
                <w:szCs w:val="21"/>
                <w:highlight w:val="none"/>
              </w:rPr>
              <w:t>关于联合体投标：</w:t>
            </w:r>
            <w:r>
              <w:rPr>
                <w:rStyle w:val="41"/>
                <w:rFonts w:hint="default" w:cs="宋体"/>
                <w:b w:val="0"/>
                <w:color w:val="auto"/>
                <w:sz w:val="21"/>
                <w:szCs w:val="21"/>
                <w:highlight w:val="none"/>
              </w:rPr>
              <w:t>本项目接受联合体投标；</w:t>
            </w:r>
          </w:p>
        </w:tc>
        <w:tc>
          <w:tcPr>
            <w:tcW w:w="6491" w:type="dxa"/>
            <w:tcBorders>
              <w:top w:val="single" w:color="auto" w:sz="4" w:space="0"/>
              <w:left w:val="single" w:color="auto" w:sz="4" w:space="0"/>
              <w:bottom w:val="single" w:color="auto" w:sz="4" w:space="0"/>
              <w:right w:val="single" w:color="auto" w:sz="4" w:space="0"/>
            </w:tcBorders>
            <w:noWrap/>
            <w:vAlign w:val="center"/>
          </w:tcPr>
          <w:p w14:paraId="73E0A1FC">
            <w:pPr>
              <w:snapToGrid w:val="0"/>
              <w:spacing w:line="360" w:lineRule="atLeast"/>
              <w:jc w:val="left"/>
              <w:rPr>
                <w:rFonts w:ascii="宋体" w:hAnsi="宋体" w:cs="宋体"/>
                <w:color w:val="auto"/>
                <w:szCs w:val="21"/>
                <w:highlight w:val="none"/>
                <w:u w:val="single"/>
              </w:rPr>
            </w:pPr>
            <w:r>
              <w:rPr>
                <w:rFonts w:hint="eastAsia" w:ascii="宋体" w:hAnsi="宋体" w:eastAsia="宋体" w:cs="宋体"/>
                <w:b w:val="0"/>
                <w:color w:val="auto"/>
                <w:sz w:val="21"/>
                <w:szCs w:val="21"/>
                <w:highlight w:val="none"/>
                <w:u w:val="single"/>
              </w:rPr>
              <w:t>如联合体投标，应符合招标公告要求。</w:t>
            </w:r>
          </w:p>
        </w:tc>
        <w:tc>
          <w:tcPr>
            <w:tcW w:w="1158" w:type="dxa"/>
            <w:tcBorders>
              <w:top w:val="single" w:color="auto" w:sz="4" w:space="0"/>
              <w:left w:val="single" w:color="auto" w:sz="4" w:space="0"/>
              <w:bottom w:val="single" w:color="auto" w:sz="4" w:space="0"/>
              <w:right w:val="single" w:color="auto" w:sz="4" w:space="0"/>
            </w:tcBorders>
            <w:noWrap/>
            <w:vAlign w:val="center"/>
          </w:tcPr>
          <w:p w14:paraId="04E8D2D8">
            <w:pPr>
              <w:snapToGrid w:val="0"/>
              <w:spacing w:line="360" w:lineRule="atLeast"/>
              <w:jc w:val="center"/>
              <w:rPr>
                <w:rFonts w:ascii="宋体" w:hAnsi="宋体" w:cs="宋体"/>
                <w:color w:val="auto"/>
                <w:szCs w:val="21"/>
                <w:highlight w:val="none"/>
              </w:rPr>
            </w:pPr>
          </w:p>
        </w:tc>
      </w:tr>
      <w:tr w14:paraId="0AB5C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2" w:type="dxa"/>
            <w:tcBorders>
              <w:top w:val="single" w:color="auto" w:sz="4" w:space="0"/>
              <w:left w:val="single" w:color="auto" w:sz="4" w:space="0"/>
              <w:bottom w:val="single" w:color="auto" w:sz="4" w:space="0"/>
              <w:right w:val="single" w:color="auto" w:sz="4" w:space="0"/>
            </w:tcBorders>
            <w:noWrap/>
            <w:vAlign w:val="center"/>
          </w:tcPr>
          <w:p w14:paraId="24557098">
            <w:pPr>
              <w:snapToGrid w:val="0"/>
              <w:spacing w:line="360" w:lineRule="atLeast"/>
              <w:jc w:val="center"/>
              <w:rPr>
                <w:rFonts w:ascii="宋体" w:hAnsi="宋体" w:cs="宋体"/>
                <w:color w:val="auto"/>
                <w:szCs w:val="21"/>
                <w:highlight w:val="none"/>
                <w:u w:val="single"/>
              </w:rPr>
            </w:pPr>
            <w:r>
              <w:rPr>
                <w:rFonts w:hint="eastAsia" w:ascii="宋体" w:hAnsi="宋体" w:cs="宋体"/>
                <w:color w:val="auto"/>
                <w:szCs w:val="21"/>
                <w:highlight w:val="none"/>
                <w:u w:val="single"/>
              </w:rPr>
              <w:t>11</w:t>
            </w:r>
          </w:p>
        </w:tc>
        <w:tc>
          <w:tcPr>
            <w:tcW w:w="6576" w:type="dxa"/>
            <w:tcBorders>
              <w:top w:val="single" w:color="auto" w:sz="4" w:space="0"/>
              <w:left w:val="single" w:color="auto" w:sz="4" w:space="0"/>
              <w:bottom w:val="single" w:color="auto" w:sz="4" w:space="0"/>
              <w:right w:val="single" w:color="auto" w:sz="4" w:space="0"/>
            </w:tcBorders>
            <w:noWrap/>
            <w:vAlign w:val="center"/>
          </w:tcPr>
          <w:p w14:paraId="287D145A">
            <w:pPr>
              <w:snapToGrid w:val="0"/>
              <w:spacing w:line="360" w:lineRule="atLeast"/>
              <w:rPr>
                <w:rFonts w:ascii="宋体" w:hAnsi="宋体" w:cs="宋体"/>
                <w:color w:val="auto"/>
                <w:szCs w:val="21"/>
                <w:highlight w:val="none"/>
              </w:rPr>
            </w:pPr>
            <w:r>
              <w:rPr>
                <w:rFonts w:hint="eastAsia" w:ascii="宋体" w:hAnsi="宋体" w:cs="宋体"/>
                <w:color w:val="auto"/>
                <w:szCs w:val="21"/>
                <w:highlight w:val="none"/>
                <w:u w:val="single"/>
              </w:rPr>
              <w:t>资格审查前，投标人</w:t>
            </w:r>
            <w:r>
              <w:rPr>
                <w:rFonts w:hint="eastAsia" w:ascii="宋体" w:hAnsi="宋体" w:eastAsia="宋体" w:cs="宋体"/>
                <w:b w:val="0"/>
                <w:color w:val="auto"/>
                <w:sz w:val="21"/>
                <w:szCs w:val="21"/>
                <w:highlight w:val="none"/>
                <w:u w:val="single"/>
              </w:rPr>
              <w:t>（若为联合体投标，指联合体各方）</w:t>
            </w:r>
            <w:r>
              <w:rPr>
                <w:rFonts w:hint="eastAsia" w:ascii="宋体" w:hAnsi="宋体" w:cs="宋体"/>
                <w:color w:val="auto"/>
                <w:szCs w:val="21"/>
                <w:highlight w:val="none"/>
                <w:u w:val="single"/>
              </w:rPr>
              <w:t>须在广州市住房和城乡建设局建立企业信用档案，拟担任本工程项目负责人、专职安全员须是</w:t>
            </w:r>
            <w:r>
              <w:rPr>
                <w:rFonts w:hint="eastAsia" w:ascii="宋体" w:hAnsi="宋体" w:cs="宋体"/>
                <w:color w:val="auto"/>
                <w:szCs w:val="21"/>
                <w:highlight w:val="none"/>
                <w:u w:val="single"/>
                <w:lang w:val="en-US" w:eastAsia="zh-CN"/>
              </w:rPr>
              <w:t>投标人</w:t>
            </w:r>
            <w:r>
              <w:rPr>
                <w:rFonts w:hint="eastAsia" w:ascii="宋体" w:hAnsi="宋体" w:cs="宋体"/>
                <w:color w:val="auto"/>
                <w:szCs w:val="21"/>
                <w:highlight w:val="none"/>
                <w:u w:val="single"/>
              </w:rPr>
              <w:t>企业信用档案中的在册人员；</w:t>
            </w:r>
          </w:p>
        </w:tc>
        <w:tc>
          <w:tcPr>
            <w:tcW w:w="6491" w:type="dxa"/>
            <w:tcBorders>
              <w:top w:val="single" w:color="auto" w:sz="4" w:space="0"/>
              <w:left w:val="single" w:color="auto" w:sz="4" w:space="0"/>
              <w:bottom w:val="single" w:color="auto" w:sz="4" w:space="0"/>
              <w:right w:val="single" w:color="auto" w:sz="4" w:space="0"/>
            </w:tcBorders>
            <w:noWrap/>
            <w:vAlign w:val="center"/>
          </w:tcPr>
          <w:p w14:paraId="6367D6C5">
            <w:pPr>
              <w:snapToGrid w:val="0"/>
              <w:spacing w:line="360" w:lineRule="atLeast"/>
              <w:rPr>
                <w:rFonts w:ascii="宋体" w:hAnsi="宋体" w:cs="宋体"/>
                <w:color w:val="auto"/>
                <w:szCs w:val="21"/>
                <w:highlight w:val="none"/>
              </w:rPr>
            </w:pPr>
            <w:r>
              <w:rPr>
                <w:rFonts w:hint="eastAsia" w:ascii="宋体" w:hAnsi="宋体" w:cs="宋体"/>
                <w:color w:val="auto"/>
                <w:szCs w:val="21"/>
                <w:highlight w:val="none"/>
              </w:rPr>
              <w:t>投标人在投标登记时选择了拟投入本项目的项目负责人、专职安全员，即已满足“资格审查前，投标人须在广州市住房和城乡建设局建立企业信用档案，拟担任本工程项目负责人、专职安全员须是本企业信用档案中的在册人员”的要求，投标人无需提供证明材料。</w:t>
            </w:r>
          </w:p>
        </w:tc>
        <w:tc>
          <w:tcPr>
            <w:tcW w:w="1158" w:type="dxa"/>
            <w:tcBorders>
              <w:top w:val="single" w:color="auto" w:sz="4" w:space="0"/>
              <w:left w:val="single" w:color="auto" w:sz="4" w:space="0"/>
              <w:bottom w:val="single" w:color="auto" w:sz="4" w:space="0"/>
              <w:right w:val="single" w:color="auto" w:sz="4" w:space="0"/>
            </w:tcBorders>
            <w:noWrap/>
            <w:vAlign w:val="center"/>
          </w:tcPr>
          <w:p w14:paraId="632127B7">
            <w:pPr>
              <w:snapToGrid w:val="0"/>
              <w:spacing w:line="360" w:lineRule="atLeast"/>
              <w:jc w:val="center"/>
              <w:rPr>
                <w:rFonts w:ascii="宋体" w:hAnsi="宋体" w:cs="宋体"/>
                <w:color w:val="auto"/>
                <w:szCs w:val="21"/>
                <w:highlight w:val="none"/>
              </w:rPr>
            </w:pPr>
          </w:p>
        </w:tc>
      </w:tr>
      <w:tr w14:paraId="13D15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2" w:type="dxa"/>
            <w:tcBorders>
              <w:top w:val="single" w:color="auto" w:sz="4" w:space="0"/>
              <w:left w:val="single" w:color="auto" w:sz="4" w:space="0"/>
              <w:bottom w:val="single" w:color="auto" w:sz="4" w:space="0"/>
              <w:right w:val="single" w:color="auto" w:sz="4" w:space="0"/>
            </w:tcBorders>
            <w:noWrap/>
            <w:vAlign w:val="center"/>
          </w:tcPr>
          <w:p w14:paraId="11CC3434">
            <w:pPr>
              <w:snapToGrid w:val="0"/>
              <w:spacing w:line="360" w:lineRule="atLeast"/>
              <w:jc w:val="center"/>
              <w:rPr>
                <w:rFonts w:ascii="宋体" w:hAnsi="宋体" w:cs="宋体"/>
                <w:color w:val="auto"/>
                <w:szCs w:val="21"/>
                <w:highlight w:val="none"/>
                <w:u w:val="single"/>
              </w:rPr>
            </w:pPr>
            <w:r>
              <w:rPr>
                <w:rFonts w:hint="eastAsia" w:ascii="宋体" w:hAnsi="宋体" w:cs="宋体"/>
                <w:color w:val="auto"/>
                <w:szCs w:val="21"/>
                <w:highlight w:val="none"/>
                <w:u w:val="single"/>
              </w:rPr>
              <w:t>12</w:t>
            </w:r>
          </w:p>
        </w:tc>
        <w:tc>
          <w:tcPr>
            <w:tcW w:w="6576" w:type="dxa"/>
            <w:tcBorders>
              <w:top w:val="single" w:color="auto" w:sz="4" w:space="0"/>
              <w:left w:val="single" w:color="auto" w:sz="4" w:space="0"/>
              <w:bottom w:val="single" w:color="auto" w:sz="4" w:space="0"/>
              <w:right w:val="single" w:color="auto" w:sz="4" w:space="0"/>
            </w:tcBorders>
            <w:noWrap/>
            <w:vAlign w:val="center"/>
          </w:tcPr>
          <w:p w14:paraId="67CAD9E2">
            <w:pPr>
              <w:snapToGrid w:val="0"/>
              <w:spacing w:line="360" w:lineRule="atLeast"/>
              <w:rPr>
                <w:rFonts w:ascii="宋体" w:hAnsi="宋体" w:cs="宋体"/>
                <w:color w:val="auto"/>
                <w:szCs w:val="21"/>
                <w:highlight w:val="none"/>
              </w:rPr>
            </w:pPr>
            <w:r>
              <w:rPr>
                <w:rFonts w:hint="eastAsia" w:ascii="宋体" w:hAnsi="宋体" w:cs="宋体"/>
                <w:color w:val="auto"/>
                <w:szCs w:val="21"/>
                <w:highlight w:val="none"/>
              </w:rPr>
              <w:t>投标人</w:t>
            </w:r>
            <w:r>
              <w:rPr>
                <w:rFonts w:hint="eastAsia" w:ascii="宋体" w:hAnsi="宋体" w:eastAsia="宋体" w:cs="宋体"/>
                <w:b w:val="0"/>
                <w:color w:val="auto"/>
                <w:sz w:val="21"/>
                <w:szCs w:val="21"/>
                <w:highlight w:val="none"/>
                <w:u w:val="single"/>
              </w:rPr>
              <w:t>（若为联合体投标，指联合体各方）</w:t>
            </w:r>
            <w:r>
              <w:rPr>
                <w:rFonts w:hint="eastAsia" w:ascii="宋体" w:hAnsi="宋体" w:cs="宋体"/>
                <w:color w:val="auto"/>
                <w:szCs w:val="21"/>
                <w:highlight w:val="none"/>
              </w:rPr>
              <w:t>未出现以下情形：与其它投标人的单位负责人为同一人或者存在控股、管理关系的【按《投标人声明》第九条内容进行评审】；</w:t>
            </w:r>
          </w:p>
        </w:tc>
        <w:tc>
          <w:tcPr>
            <w:tcW w:w="6491" w:type="dxa"/>
            <w:tcBorders>
              <w:top w:val="single" w:color="auto" w:sz="4" w:space="0"/>
              <w:left w:val="single" w:color="auto" w:sz="4" w:space="0"/>
              <w:bottom w:val="single" w:color="auto" w:sz="4" w:space="0"/>
              <w:right w:val="single" w:color="auto" w:sz="4" w:space="0"/>
            </w:tcBorders>
            <w:noWrap/>
            <w:vAlign w:val="center"/>
          </w:tcPr>
          <w:p w14:paraId="1CB87970">
            <w:pPr>
              <w:snapToGrid w:val="0"/>
              <w:spacing w:line="360" w:lineRule="atLeast"/>
              <w:jc w:val="left"/>
              <w:rPr>
                <w:rFonts w:ascii="宋体" w:hAnsi="宋体" w:cs="宋体"/>
                <w:color w:val="auto"/>
                <w:szCs w:val="21"/>
                <w:highlight w:val="none"/>
              </w:rPr>
            </w:pPr>
            <w:r>
              <w:rPr>
                <w:rFonts w:hint="eastAsia" w:ascii="宋体" w:hAnsi="宋体" w:cs="宋体"/>
                <w:color w:val="auto"/>
                <w:szCs w:val="21"/>
                <w:highlight w:val="none"/>
              </w:rPr>
              <w:t>投标人声明</w:t>
            </w:r>
            <w:r>
              <w:rPr>
                <w:rFonts w:hint="eastAsia" w:ascii="宋体" w:hAnsi="宋体" w:cs="宋体"/>
                <w:color w:val="auto"/>
                <w:szCs w:val="21"/>
                <w:highlight w:val="none"/>
                <w:u w:val="single"/>
              </w:rPr>
              <w:t>扫描件。</w:t>
            </w:r>
          </w:p>
        </w:tc>
        <w:tc>
          <w:tcPr>
            <w:tcW w:w="1158" w:type="dxa"/>
            <w:tcBorders>
              <w:top w:val="single" w:color="auto" w:sz="4" w:space="0"/>
              <w:left w:val="single" w:color="auto" w:sz="4" w:space="0"/>
              <w:bottom w:val="single" w:color="auto" w:sz="4" w:space="0"/>
              <w:right w:val="single" w:color="auto" w:sz="4" w:space="0"/>
            </w:tcBorders>
            <w:noWrap/>
            <w:vAlign w:val="center"/>
          </w:tcPr>
          <w:p w14:paraId="1C00F99B">
            <w:pPr>
              <w:snapToGrid w:val="0"/>
              <w:spacing w:line="360" w:lineRule="atLeast"/>
              <w:jc w:val="center"/>
              <w:rPr>
                <w:rFonts w:ascii="宋体" w:hAnsi="宋体" w:cs="宋体"/>
                <w:color w:val="auto"/>
                <w:szCs w:val="21"/>
                <w:highlight w:val="none"/>
              </w:rPr>
            </w:pPr>
          </w:p>
        </w:tc>
      </w:tr>
      <w:tr w14:paraId="46230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jc w:val="center"/>
        </w:trPr>
        <w:tc>
          <w:tcPr>
            <w:tcW w:w="682" w:type="dxa"/>
            <w:tcBorders>
              <w:top w:val="single" w:color="auto" w:sz="4" w:space="0"/>
              <w:left w:val="single" w:color="auto" w:sz="4" w:space="0"/>
              <w:bottom w:val="single" w:color="auto" w:sz="4" w:space="0"/>
              <w:right w:val="single" w:color="auto" w:sz="4" w:space="0"/>
            </w:tcBorders>
            <w:noWrap/>
            <w:vAlign w:val="center"/>
          </w:tcPr>
          <w:p w14:paraId="480696C3">
            <w:pPr>
              <w:snapToGrid w:val="0"/>
              <w:spacing w:line="360" w:lineRule="atLeast"/>
              <w:jc w:val="center"/>
              <w:rPr>
                <w:rFonts w:ascii="宋体" w:hAnsi="宋体" w:cs="宋体"/>
                <w:color w:val="auto"/>
                <w:szCs w:val="21"/>
                <w:highlight w:val="none"/>
                <w:u w:val="single"/>
              </w:rPr>
            </w:pPr>
            <w:r>
              <w:rPr>
                <w:rFonts w:hint="eastAsia" w:ascii="宋体" w:hAnsi="宋体" w:cs="宋体"/>
                <w:color w:val="auto"/>
                <w:szCs w:val="21"/>
                <w:highlight w:val="none"/>
                <w:u w:val="single"/>
              </w:rPr>
              <w:t>13</w:t>
            </w:r>
          </w:p>
        </w:tc>
        <w:tc>
          <w:tcPr>
            <w:tcW w:w="6576" w:type="dxa"/>
            <w:tcBorders>
              <w:top w:val="single" w:color="auto" w:sz="4" w:space="0"/>
              <w:left w:val="single" w:color="auto" w:sz="4" w:space="0"/>
              <w:bottom w:val="single" w:color="auto" w:sz="4" w:space="0"/>
              <w:right w:val="single" w:color="auto" w:sz="4" w:space="0"/>
            </w:tcBorders>
            <w:noWrap/>
            <w:vAlign w:val="center"/>
          </w:tcPr>
          <w:p w14:paraId="4C3EBB06">
            <w:pPr>
              <w:snapToGrid w:val="0"/>
              <w:spacing w:line="360" w:lineRule="atLeast"/>
              <w:jc w:val="left"/>
              <w:rPr>
                <w:rFonts w:ascii="宋体" w:hAnsi="宋体" w:cs="宋体"/>
                <w:color w:val="auto"/>
                <w:szCs w:val="21"/>
                <w:highlight w:val="none"/>
              </w:rPr>
            </w:pPr>
            <w:r>
              <w:rPr>
                <w:rFonts w:hint="eastAsia" w:ascii="宋体" w:hAnsi="宋体" w:cs="宋体"/>
                <w:color w:val="auto"/>
                <w:szCs w:val="21"/>
                <w:highlight w:val="none"/>
              </w:rPr>
              <w:t>投标人未被列入拖欠农民工工资失信联合惩戒对象名单；</w:t>
            </w:r>
          </w:p>
        </w:tc>
        <w:tc>
          <w:tcPr>
            <w:tcW w:w="6491" w:type="dxa"/>
            <w:tcBorders>
              <w:top w:val="single" w:color="auto" w:sz="4" w:space="0"/>
              <w:left w:val="single" w:color="auto" w:sz="4" w:space="0"/>
              <w:bottom w:val="single" w:color="auto" w:sz="4" w:space="0"/>
              <w:right w:val="single" w:color="auto" w:sz="4" w:space="0"/>
            </w:tcBorders>
            <w:noWrap/>
            <w:vAlign w:val="center"/>
          </w:tcPr>
          <w:p w14:paraId="79ABFA0C">
            <w:pPr>
              <w:snapToGrid w:val="0"/>
              <w:spacing w:line="360" w:lineRule="atLeast"/>
              <w:jc w:val="left"/>
              <w:rPr>
                <w:rFonts w:ascii="宋体" w:hAnsi="宋体" w:cs="宋体"/>
                <w:color w:val="auto"/>
                <w:szCs w:val="21"/>
                <w:highlight w:val="none"/>
                <w:u w:val="single"/>
              </w:rPr>
            </w:pPr>
            <w:r>
              <w:rPr>
                <w:rFonts w:hint="eastAsia" w:ascii="宋体" w:hAnsi="宋体" w:cs="宋体"/>
                <w:color w:val="auto"/>
                <w:szCs w:val="21"/>
                <w:highlight w:val="none"/>
              </w:rPr>
              <w:t>投标人无需提供资料，按</w:t>
            </w:r>
            <w:r>
              <w:rPr>
                <w:rFonts w:hint="eastAsia" w:ascii="宋体" w:hAnsi="宋体" w:cs="宋体"/>
                <w:color w:val="auto"/>
                <w:szCs w:val="21"/>
                <w:highlight w:val="none"/>
                <w:u w:val="single"/>
              </w:rPr>
              <w:t>投标截止时间广州交易集团有限公司（广州公共资源交易中心）</w:t>
            </w:r>
            <w:r>
              <w:rPr>
                <w:rFonts w:hint="eastAsia" w:ascii="宋体" w:hAnsi="宋体" w:cs="宋体"/>
                <w:color w:val="auto"/>
                <w:szCs w:val="21"/>
                <w:highlight w:val="none"/>
              </w:rPr>
              <w:t>交易系统比对的结果进行评审。</w:t>
            </w:r>
          </w:p>
        </w:tc>
        <w:tc>
          <w:tcPr>
            <w:tcW w:w="1158" w:type="dxa"/>
            <w:tcBorders>
              <w:top w:val="single" w:color="auto" w:sz="4" w:space="0"/>
              <w:left w:val="single" w:color="auto" w:sz="4" w:space="0"/>
              <w:bottom w:val="single" w:color="auto" w:sz="4" w:space="0"/>
              <w:right w:val="single" w:color="auto" w:sz="4" w:space="0"/>
            </w:tcBorders>
            <w:noWrap/>
            <w:vAlign w:val="center"/>
          </w:tcPr>
          <w:p w14:paraId="51CAEC7A">
            <w:pPr>
              <w:snapToGrid w:val="0"/>
              <w:spacing w:line="360" w:lineRule="atLeast"/>
              <w:jc w:val="center"/>
              <w:rPr>
                <w:rFonts w:ascii="宋体" w:hAnsi="宋体" w:cs="宋体"/>
                <w:color w:val="auto"/>
                <w:szCs w:val="21"/>
                <w:highlight w:val="none"/>
              </w:rPr>
            </w:pPr>
          </w:p>
        </w:tc>
      </w:tr>
    </w:tbl>
    <w:p w14:paraId="20756855">
      <w:pPr>
        <w:snapToGrid w:val="0"/>
        <w:spacing w:line="360" w:lineRule="atLeast"/>
        <w:ind w:firstLine="470" w:firstLineChars="224"/>
        <w:rPr>
          <w:rFonts w:ascii="宋体" w:hAnsi="宋体" w:cs="宋体"/>
          <w:color w:val="auto"/>
          <w:szCs w:val="21"/>
          <w:highlight w:val="none"/>
        </w:rPr>
      </w:pPr>
      <w:r>
        <w:rPr>
          <w:rFonts w:hint="eastAsia" w:ascii="宋体" w:hAnsi="宋体" w:cs="宋体"/>
          <w:color w:val="auto"/>
          <w:szCs w:val="21"/>
          <w:highlight w:val="none"/>
        </w:rPr>
        <w:t>备注：1、每一项目符合的打“○”，不符合的打“×”；</w:t>
      </w:r>
    </w:p>
    <w:p w14:paraId="469F3BF6">
      <w:pPr>
        <w:snapToGrid w:val="0"/>
        <w:spacing w:line="360" w:lineRule="atLeast"/>
        <w:ind w:firstLine="470" w:firstLineChars="224"/>
        <w:rPr>
          <w:rFonts w:ascii="宋体" w:hAnsi="宋体" w:cs="宋体"/>
          <w:color w:val="auto"/>
          <w:szCs w:val="21"/>
          <w:highlight w:val="none"/>
        </w:rPr>
      </w:pPr>
      <w:r>
        <w:rPr>
          <w:rFonts w:hint="eastAsia" w:ascii="宋体" w:hAnsi="宋体" w:cs="宋体"/>
          <w:color w:val="auto"/>
          <w:szCs w:val="21"/>
          <w:highlight w:val="none"/>
        </w:rPr>
        <w:t>2、若评委意见不一致时，则按少数服从多数的原则，作出评审结论。汇总后，出现一个“×”的结论为“不通过”。</w:t>
      </w:r>
    </w:p>
    <w:p w14:paraId="26753A32">
      <w:pPr>
        <w:snapToGrid w:val="0"/>
        <w:spacing w:line="360" w:lineRule="atLeast"/>
        <w:ind w:firstLine="470" w:firstLineChars="224"/>
        <w:rPr>
          <w:rFonts w:ascii="宋体" w:hAnsi="宋体" w:cs="宋体"/>
          <w:color w:val="auto"/>
          <w:szCs w:val="21"/>
          <w:highlight w:val="none"/>
        </w:rPr>
      </w:pPr>
      <w:r>
        <w:rPr>
          <w:rFonts w:hint="eastAsia" w:ascii="宋体" w:hAnsi="宋体" w:cs="宋体"/>
          <w:color w:val="auto"/>
          <w:szCs w:val="21"/>
          <w:highlight w:val="none"/>
        </w:rPr>
        <w:t>3.不得将文件顺序、明显的文字错误等列为否决投标的情形。评委发现资格审查文件中含义不明确、对同类问题表述不一致、有明显文字和计算错误的，应当要求投标人作必要的澄清、说明后再判定投标人是否通过资格审查，不得直接认定其不通过资格审查。</w:t>
      </w:r>
    </w:p>
    <w:p w14:paraId="02C9FE93">
      <w:pPr>
        <w:snapToGrid w:val="0"/>
        <w:spacing w:line="360" w:lineRule="auto"/>
        <w:ind w:firstLine="470" w:firstLineChars="224"/>
        <w:rPr>
          <w:rFonts w:ascii="宋体" w:hAnsi="宋体" w:cs="宋体"/>
          <w:color w:val="auto"/>
          <w:szCs w:val="21"/>
          <w:highlight w:val="none"/>
        </w:rPr>
      </w:pPr>
    </w:p>
    <w:p w14:paraId="701334E0">
      <w:pPr>
        <w:snapToGrid w:val="0"/>
        <w:spacing w:line="360" w:lineRule="auto"/>
        <w:ind w:firstLine="537" w:firstLineChars="224"/>
        <w:rPr>
          <w:rFonts w:ascii="宋体" w:hAnsi="宋体" w:cs="宋体"/>
          <w:color w:val="auto"/>
          <w:sz w:val="24"/>
          <w:szCs w:val="24"/>
          <w:highlight w:val="none"/>
        </w:rPr>
      </w:pPr>
    </w:p>
    <w:p w14:paraId="5215DF28">
      <w:pPr>
        <w:snapToGrid w:val="0"/>
        <w:spacing w:line="360" w:lineRule="auto"/>
        <w:rPr>
          <w:rFonts w:ascii="宋体" w:hAnsi="宋体" w:cs="宋体"/>
          <w:color w:val="auto"/>
          <w:sz w:val="24"/>
          <w:szCs w:val="24"/>
          <w:highlight w:val="none"/>
        </w:rPr>
        <w:sectPr>
          <w:endnotePr>
            <w:numFmt w:val="decimal"/>
          </w:endnotePr>
          <w:pgSz w:w="16838" w:h="11906" w:orient="landscape"/>
          <w:pgMar w:top="1134" w:right="1247" w:bottom="1134" w:left="1247" w:header="851" w:footer="907" w:gutter="0"/>
          <w:cols w:space="720" w:num="1"/>
          <w:titlePg/>
          <w:docGrid w:type="linesAndChars" w:linePitch="312" w:charSpace="0"/>
        </w:sectPr>
      </w:pPr>
    </w:p>
    <w:p w14:paraId="1F0F5767">
      <w:pPr>
        <w:snapToGrid w:val="0"/>
        <w:spacing w:line="360" w:lineRule="auto"/>
        <w:rPr>
          <w:rFonts w:ascii="宋体" w:hAnsi="宋体" w:cs="宋体"/>
          <w:b/>
          <w:bCs/>
          <w:color w:val="auto"/>
          <w:sz w:val="24"/>
          <w:szCs w:val="24"/>
          <w:highlight w:val="none"/>
        </w:rPr>
      </w:pPr>
      <w:r>
        <w:rPr>
          <w:rFonts w:hint="eastAsia" w:ascii="宋体" w:hAnsi="宋体" w:cs="宋体"/>
          <w:b/>
          <w:bCs/>
          <w:color w:val="auto"/>
          <w:sz w:val="24"/>
          <w:szCs w:val="24"/>
          <w:highlight w:val="none"/>
        </w:rPr>
        <w:t>附表二</w:t>
      </w:r>
    </w:p>
    <w:p w14:paraId="0A2EA751">
      <w:pPr>
        <w:snapToGrid w:val="0"/>
        <w:spacing w:line="360" w:lineRule="auto"/>
        <w:jc w:val="center"/>
        <w:rPr>
          <w:rFonts w:ascii="宋体" w:hAnsi="宋体" w:cs="宋体"/>
          <w:b/>
          <w:color w:val="auto"/>
          <w:sz w:val="36"/>
          <w:szCs w:val="36"/>
          <w:highlight w:val="none"/>
        </w:rPr>
      </w:pPr>
      <w:r>
        <w:rPr>
          <w:rFonts w:hint="eastAsia" w:ascii="宋体" w:hAnsi="宋体" w:cs="宋体"/>
          <w:b/>
          <w:color w:val="auto"/>
          <w:sz w:val="36"/>
          <w:szCs w:val="36"/>
          <w:highlight w:val="none"/>
        </w:rPr>
        <w:t>技术标有效性审查表</w:t>
      </w:r>
    </w:p>
    <w:p w14:paraId="649C27B5">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工程名称：</w:t>
      </w:r>
    </w:p>
    <w:tbl>
      <w:tblPr>
        <w:tblStyle w:val="33"/>
        <w:tblW w:w="145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3"/>
        <w:gridCol w:w="9692"/>
        <w:gridCol w:w="725"/>
        <w:gridCol w:w="725"/>
        <w:gridCol w:w="725"/>
        <w:gridCol w:w="725"/>
        <w:gridCol w:w="725"/>
        <w:gridCol w:w="727"/>
      </w:tblGrid>
      <w:tr w14:paraId="50156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3" w:type="dxa"/>
            <w:tcBorders>
              <w:top w:val="single" w:color="auto" w:sz="4" w:space="0"/>
              <w:left w:val="single" w:color="auto" w:sz="4" w:space="0"/>
              <w:bottom w:val="single" w:color="auto" w:sz="4" w:space="0"/>
              <w:right w:val="single" w:color="auto" w:sz="4" w:space="0"/>
            </w:tcBorders>
            <w:noWrap/>
            <w:vAlign w:val="center"/>
          </w:tcPr>
          <w:p w14:paraId="2525EEE9">
            <w:pPr>
              <w:adjustRightInd w:val="0"/>
              <w:snapToGrid w:val="0"/>
              <w:spacing w:line="360" w:lineRule="atLeast"/>
              <w:rPr>
                <w:rFonts w:ascii="宋体" w:hAnsi="宋体" w:cs="宋体"/>
                <w:color w:val="auto"/>
                <w:szCs w:val="21"/>
                <w:highlight w:val="none"/>
              </w:rPr>
            </w:pPr>
            <w:r>
              <w:rPr>
                <w:rFonts w:hint="eastAsia" w:ascii="宋体" w:hAnsi="宋体" w:cs="宋体"/>
                <w:color w:val="auto"/>
                <w:szCs w:val="21"/>
                <w:highlight w:val="none"/>
              </w:rPr>
              <w:t>序号</w:t>
            </w:r>
          </w:p>
        </w:tc>
        <w:tc>
          <w:tcPr>
            <w:tcW w:w="9692" w:type="dxa"/>
            <w:tcBorders>
              <w:top w:val="single" w:color="auto" w:sz="4" w:space="0"/>
              <w:left w:val="single" w:color="auto" w:sz="4" w:space="0"/>
              <w:bottom w:val="single" w:color="auto" w:sz="4" w:space="0"/>
              <w:right w:val="single" w:color="auto" w:sz="4" w:space="0"/>
              <w:tl2br w:val="single" w:color="auto" w:sz="4" w:space="0"/>
            </w:tcBorders>
            <w:noWrap/>
            <w:vAlign w:val="center"/>
          </w:tcPr>
          <w:p w14:paraId="6A425BD2">
            <w:pPr>
              <w:adjustRightInd w:val="0"/>
              <w:snapToGrid w:val="0"/>
              <w:spacing w:line="360" w:lineRule="atLeast"/>
              <w:ind w:firstLine="8400" w:firstLineChars="4000"/>
              <w:rPr>
                <w:rFonts w:ascii="宋体" w:hAnsi="宋体" w:cs="宋体"/>
                <w:color w:val="auto"/>
                <w:szCs w:val="21"/>
                <w:highlight w:val="none"/>
              </w:rPr>
            </w:pPr>
            <w:r>
              <w:rPr>
                <w:rFonts w:hint="eastAsia" w:ascii="宋体" w:hAnsi="宋体" w:cs="宋体"/>
                <w:color w:val="auto"/>
                <w:szCs w:val="21"/>
                <w:highlight w:val="none"/>
              </w:rPr>
              <w:t>投标人</w:t>
            </w:r>
          </w:p>
          <w:p w14:paraId="704D5EDE">
            <w:pPr>
              <w:adjustRightInd w:val="0"/>
              <w:snapToGrid w:val="0"/>
              <w:spacing w:line="360" w:lineRule="atLeast"/>
              <w:rPr>
                <w:rFonts w:ascii="宋体" w:hAnsi="宋体" w:cs="宋体"/>
                <w:color w:val="auto"/>
                <w:szCs w:val="21"/>
                <w:highlight w:val="none"/>
              </w:rPr>
            </w:pPr>
            <w:r>
              <w:rPr>
                <w:rFonts w:hint="eastAsia" w:ascii="宋体" w:hAnsi="宋体" w:cs="宋体"/>
                <w:color w:val="auto"/>
                <w:szCs w:val="21"/>
                <w:highlight w:val="none"/>
              </w:rPr>
              <w:t>评审内容</w:t>
            </w:r>
          </w:p>
        </w:tc>
        <w:tc>
          <w:tcPr>
            <w:tcW w:w="725" w:type="dxa"/>
            <w:tcBorders>
              <w:top w:val="single" w:color="auto" w:sz="4" w:space="0"/>
              <w:left w:val="single" w:color="auto" w:sz="4" w:space="0"/>
              <w:bottom w:val="single" w:color="auto" w:sz="4" w:space="0"/>
              <w:right w:val="single" w:color="auto" w:sz="4" w:space="0"/>
            </w:tcBorders>
            <w:noWrap/>
            <w:vAlign w:val="center"/>
          </w:tcPr>
          <w:p w14:paraId="55B26039">
            <w:pPr>
              <w:adjustRightInd w:val="0"/>
              <w:snapToGrid w:val="0"/>
              <w:spacing w:line="360" w:lineRule="atLeast"/>
              <w:rPr>
                <w:rFonts w:ascii="宋体" w:hAnsi="宋体" w:cs="宋体"/>
                <w:color w:val="auto"/>
                <w:szCs w:val="21"/>
                <w:highlight w:val="none"/>
              </w:rPr>
            </w:pPr>
          </w:p>
        </w:tc>
        <w:tc>
          <w:tcPr>
            <w:tcW w:w="725" w:type="dxa"/>
            <w:tcBorders>
              <w:top w:val="single" w:color="auto" w:sz="4" w:space="0"/>
              <w:left w:val="single" w:color="auto" w:sz="4" w:space="0"/>
              <w:bottom w:val="single" w:color="auto" w:sz="4" w:space="0"/>
              <w:right w:val="single" w:color="auto" w:sz="4" w:space="0"/>
            </w:tcBorders>
            <w:noWrap/>
            <w:vAlign w:val="center"/>
          </w:tcPr>
          <w:p w14:paraId="458493FF">
            <w:pPr>
              <w:adjustRightInd w:val="0"/>
              <w:snapToGrid w:val="0"/>
              <w:spacing w:line="360" w:lineRule="atLeast"/>
              <w:rPr>
                <w:rFonts w:ascii="宋体" w:hAnsi="宋体" w:cs="宋体"/>
                <w:color w:val="auto"/>
                <w:szCs w:val="21"/>
                <w:highlight w:val="none"/>
              </w:rPr>
            </w:pPr>
          </w:p>
        </w:tc>
        <w:tc>
          <w:tcPr>
            <w:tcW w:w="725" w:type="dxa"/>
            <w:tcBorders>
              <w:top w:val="single" w:color="auto" w:sz="4" w:space="0"/>
              <w:left w:val="single" w:color="auto" w:sz="4" w:space="0"/>
              <w:bottom w:val="single" w:color="auto" w:sz="4" w:space="0"/>
              <w:right w:val="single" w:color="auto" w:sz="4" w:space="0"/>
            </w:tcBorders>
            <w:noWrap/>
            <w:vAlign w:val="center"/>
          </w:tcPr>
          <w:p w14:paraId="2625CB19">
            <w:pPr>
              <w:adjustRightInd w:val="0"/>
              <w:snapToGrid w:val="0"/>
              <w:spacing w:line="360" w:lineRule="atLeast"/>
              <w:rPr>
                <w:rFonts w:ascii="宋体" w:hAnsi="宋体" w:cs="宋体"/>
                <w:color w:val="auto"/>
                <w:szCs w:val="21"/>
                <w:highlight w:val="none"/>
              </w:rPr>
            </w:pPr>
          </w:p>
        </w:tc>
        <w:tc>
          <w:tcPr>
            <w:tcW w:w="725" w:type="dxa"/>
            <w:tcBorders>
              <w:top w:val="single" w:color="auto" w:sz="4" w:space="0"/>
              <w:left w:val="single" w:color="auto" w:sz="4" w:space="0"/>
              <w:bottom w:val="single" w:color="auto" w:sz="4" w:space="0"/>
              <w:right w:val="single" w:color="auto" w:sz="4" w:space="0"/>
            </w:tcBorders>
            <w:noWrap/>
            <w:vAlign w:val="center"/>
          </w:tcPr>
          <w:p w14:paraId="743CAE13">
            <w:pPr>
              <w:adjustRightInd w:val="0"/>
              <w:snapToGrid w:val="0"/>
              <w:spacing w:line="360" w:lineRule="atLeast"/>
              <w:rPr>
                <w:rFonts w:ascii="宋体" w:hAnsi="宋体" w:cs="宋体"/>
                <w:color w:val="auto"/>
                <w:szCs w:val="21"/>
                <w:highlight w:val="none"/>
              </w:rPr>
            </w:pPr>
          </w:p>
        </w:tc>
        <w:tc>
          <w:tcPr>
            <w:tcW w:w="725" w:type="dxa"/>
            <w:tcBorders>
              <w:top w:val="single" w:color="auto" w:sz="4" w:space="0"/>
              <w:left w:val="single" w:color="auto" w:sz="4" w:space="0"/>
              <w:bottom w:val="single" w:color="auto" w:sz="4" w:space="0"/>
              <w:right w:val="single" w:color="auto" w:sz="4" w:space="0"/>
            </w:tcBorders>
            <w:noWrap/>
            <w:vAlign w:val="center"/>
          </w:tcPr>
          <w:p w14:paraId="1BA83DBE">
            <w:pPr>
              <w:adjustRightInd w:val="0"/>
              <w:snapToGrid w:val="0"/>
              <w:spacing w:line="360" w:lineRule="atLeast"/>
              <w:rPr>
                <w:rFonts w:ascii="宋体" w:hAnsi="宋体" w:cs="宋体"/>
                <w:color w:val="auto"/>
                <w:szCs w:val="21"/>
                <w:highlight w:val="none"/>
              </w:rPr>
            </w:pPr>
          </w:p>
        </w:tc>
        <w:tc>
          <w:tcPr>
            <w:tcW w:w="727" w:type="dxa"/>
            <w:tcBorders>
              <w:top w:val="single" w:color="auto" w:sz="4" w:space="0"/>
              <w:left w:val="single" w:color="auto" w:sz="4" w:space="0"/>
              <w:bottom w:val="single" w:color="auto" w:sz="4" w:space="0"/>
              <w:right w:val="single" w:color="auto" w:sz="4" w:space="0"/>
            </w:tcBorders>
            <w:noWrap/>
            <w:vAlign w:val="center"/>
          </w:tcPr>
          <w:p w14:paraId="6907930A">
            <w:pPr>
              <w:adjustRightInd w:val="0"/>
              <w:snapToGrid w:val="0"/>
              <w:spacing w:line="360" w:lineRule="atLeast"/>
              <w:rPr>
                <w:rFonts w:ascii="宋体" w:hAnsi="宋体" w:cs="宋体"/>
                <w:color w:val="auto"/>
                <w:szCs w:val="21"/>
                <w:highlight w:val="none"/>
              </w:rPr>
            </w:pPr>
          </w:p>
        </w:tc>
      </w:tr>
      <w:tr w14:paraId="2754B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523" w:type="dxa"/>
            <w:tcBorders>
              <w:top w:val="single" w:color="auto" w:sz="4" w:space="0"/>
              <w:left w:val="single" w:color="auto" w:sz="4" w:space="0"/>
              <w:bottom w:val="single" w:color="auto" w:sz="4" w:space="0"/>
              <w:right w:val="single" w:color="auto" w:sz="4" w:space="0"/>
            </w:tcBorders>
            <w:noWrap/>
            <w:vAlign w:val="center"/>
          </w:tcPr>
          <w:p w14:paraId="2B4F078F">
            <w:pPr>
              <w:adjustRightInd w:val="0"/>
              <w:snapToGrid w:val="0"/>
              <w:spacing w:line="360" w:lineRule="atLeast"/>
              <w:rPr>
                <w:rFonts w:ascii="宋体" w:hAnsi="宋体" w:cs="宋体"/>
                <w:color w:val="auto"/>
                <w:szCs w:val="21"/>
                <w:highlight w:val="none"/>
              </w:rPr>
            </w:pPr>
            <w:r>
              <w:rPr>
                <w:rFonts w:hint="eastAsia" w:ascii="宋体" w:hAnsi="宋体" w:cs="宋体"/>
                <w:color w:val="auto"/>
                <w:szCs w:val="21"/>
                <w:highlight w:val="none"/>
              </w:rPr>
              <w:t>1</w:t>
            </w:r>
          </w:p>
        </w:tc>
        <w:tc>
          <w:tcPr>
            <w:tcW w:w="9692" w:type="dxa"/>
            <w:tcBorders>
              <w:top w:val="single" w:color="auto" w:sz="4" w:space="0"/>
              <w:left w:val="single" w:color="auto" w:sz="4" w:space="0"/>
              <w:bottom w:val="single" w:color="auto" w:sz="4" w:space="0"/>
              <w:right w:val="single" w:color="auto" w:sz="4" w:space="0"/>
            </w:tcBorders>
            <w:noWrap/>
            <w:vAlign w:val="center"/>
          </w:tcPr>
          <w:p w14:paraId="61E6AB48">
            <w:pPr>
              <w:adjustRightInd w:val="0"/>
              <w:snapToGrid w:val="0"/>
              <w:spacing w:line="360" w:lineRule="atLeast"/>
              <w:rPr>
                <w:rFonts w:ascii="宋体" w:hAnsi="宋体" w:cs="宋体"/>
                <w:color w:val="auto"/>
                <w:szCs w:val="21"/>
                <w:highlight w:val="none"/>
                <w:u w:val="single"/>
              </w:rPr>
            </w:pPr>
            <w:r>
              <w:rPr>
                <w:rFonts w:hint="eastAsia" w:ascii="宋体" w:hAnsi="宋体" w:cs="宋体"/>
                <w:color w:val="auto"/>
                <w:szCs w:val="21"/>
                <w:highlight w:val="none"/>
                <w:u w:val="single"/>
              </w:rPr>
              <w:t>《广州建设工程施工招标投标书（技术标）》中填报的投标总工期不符合招标文件要求的；</w:t>
            </w:r>
          </w:p>
        </w:tc>
        <w:tc>
          <w:tcPr>
            <w:tcW w:w="725" w:type="dxa"/>
            <w:tcBorders>
              <w:top w:val="single" w:color="auto" w:sz="4" w:space="0"/>
              <w:left w:val="single" w:color="auto" w:sz="4" w:space="0"/>
              <w:bottom w:val="single" w:color="auto" w:sz="4" w:space="0"/>
              <w:right w:val="single" w:color="auto" w:sz="4" w:space="0"/>
            </w:tcBorders>
            <w:noWrap/>
            <w:vAlign w:val="center"/>
          </w:tcPr>
          <w:p w14:paraId="52473AA5">
            <w:pPr>
              <w:adjustRightInd w:val="0"/>
              <w:snapToGrid w:val="0"/>
              <w:spacing w:line="360" w:lineRule="atLeast"/>
              <w:rPr>
                <w:rFonts w:ascii="宋体" w:hAnsi="宋体" w:cs="宋体"/>
                <w:color w:val="auto"/>
                <w:szCs w:val="21"/>
                <w:highlight w:val="none"/>
              </w:rPr>
            </w:pPr>
          </w:p>
        </w:tc>
        <w:tc>
          <w:tcPr>
            <w:tcW w:w="725" w:type="dxa"/>
            <w:tcBorders>
              <w:top w:val="single" w:color="auto" w:sz="4" w:space="0"/>
              <w:left w:val="single" w:color="auto" w:sz="4" w:space="0"/>
              <w:bottom w:val="single" w:color="auto" w:sz="4" w:space="0"/>
              <w:right w:val="single" w:color="auto" w:sz="4" w:space="0"/>
            </w:tcBorders>
            <w:noWrap/>
            <w:vAlign w:val="center"/>
          </w:tcPr>
          <w:p w14:paraId="288C7DA7">
            <w:pPr>
              <w:adjustRightInd w:val="0"/>
              <w:snapToGrid w:val="0"/>
              <w:spacing w:line="360" w:lineRule="atLeast"/>
              <w:rPr>
                <w:rFonts w:ascii="宋体" w:hAnsi="宋体" w:cs="宋体"/>
                <w:color w:val="auto"/>
                <w:szCs w:val="21"/>
                <w:highlight w:val="none"/>
              </w:rPr>
            </w:pPr>
          </w:p>
        </w:tc>
        <w:tc>
          <w:tcPr>
            <w:tcW w:w="725" w:type="dxa"/>
            <w:tcBorders>
              <w:top w:val="single" w:color="auto" w:sz="4" w:space="0"/>
              <w:left w:val="single" w:color="auto" w:sz="4" w:space="0"/>
              <w:bottom w:val="single" w:color="auto" w:sz="4" w:space="0"/>
              <w:right w:val="single" w:color="auto" w:sz="4" w:space="0"/>
            </w:tcBorders>
            <w:noWrap/>
            <w:vAlign w:val="center"/>
          </w:tcPr>
          <w:p w14:paraId="093E453B">
            <w:pPr>
              <w:adjustRightInd w:val="0"/>
              <w:snapToGrid w:val="0"/>
              <w:spacing w:line="360" w:lineRule="atLeast"/>
              <w:rPr>
                <w:rFonts w:ascii="宋体" w:hAnsi="宋体" w:cs="宋体"/>
                <w:color w:val="auto"/>
                <w:szCs w:val="21"/>
                <w:highlight w:val="none"/>
              </w:rPr>
            </w:pPr>
          </w:p>
        </w:tc>
        <w:tc>
          <w:tcPr>
            <w:tcW w:w="725" w:type="dxa"/>
            <w:tcBorders>
              <w:top w:val="single" w:color="auto" w:sz="4" w:space="0"/>
              <w:left w:val="single" w:color="auto" w:sz="4" w:space="0"/>
              <w:bottom w:val="single" w:color="auto" w:sz="4" w:space="0"/>
              <w:right w:val="single" w:color="auto" w:sz="4" w:space="0"/>
            </w:tcBorders>
            <w:noWrap/>
            <w:vAlign w:val="center"/>
          </w:tcPr>
          <w:p w14:paraId="52E5AD5D">
            <w:pPr>
              <w:adjustRightInd w:val="0"/>
              <w:snapToGrid w:val="0"/>
              <w:spacing w:line="360" w:lineRule="atLeast"/>
              <w:rPr>
                <w:rFonts w:ascii="宋体" w:hAnsi="宋体" w:cs="宋体"/>
                <w:color w:val="auto"/>
                <w:szCs w:val="21"/>
                <w:highlight w:val="none"/>
              </w:rPr>
            </w:pPr>
          </w:p>
        </w:tc>
        <w:tc>
          <w:tcPr>
            <w:tcW w:w="725" w:type="dxa"/>
            <w:tcBorders>
              <w:top w:val="single" w:color="auto" w:sz="4" w:space="0"/>
              <w:left w:val="single" w:color="auto" w:sz="4" w:space="0"/>
              <w:bottom w:val="single" w:color="auto" w:sz="4" w:space="0"/>
              <w:right w:val="single" w:color="auto" w:sz="4" w:space="0"/>
            </w:tcBorders>
            <w:noWrap/>
            <w:vAlign w:val="center"/>
          </w:tcPr>
          <w:p w14:paraId="0D7A7922">
            <w:pPr>
              <w:adjustRightInd w:val="0"/>
              <w:snapToGrid w:val="0"/>
              <w:spacing w:line="360" w:lineRule="atLeast"/>
              <w:rPr>
                <w:rFonts w:ascii="宋体" w:hAnsi="宋体" w:cs="宋体"/>
                <w:color w:val="auto"/>
                <w:szCs w:val="21"/>
                <w:highlight w:val="none"/>
              </w:rPr>
            </w:pPr>
          </w:p>
        </w:tc>
        <w:tc>
          <w:tcPr>
            <w:tcW w:w="727" w:type="dxa"/>
            <w:tcBorders>
              <w:top w:val="single" w:color="auto" w:sz="4" w:space="0"/>
              <w:left w:val="single" w:color="auto" w:sz="4" w:space="0"/>
              <w:bottom w:val="single" w:color="auto" w:sz="4" w:space="0"/>
              <w:right w:val="single" w:color="auto" w:sz="4" w:space="0"/>
            </w:tcBorders>
            <w:noWrap/>
            <w:vAlign w:val="center"/>
          </w:tcPr>
          <w:p w14:paraId="33834E0A">
            <w:pPr>
              <w:adjustRightInd w:val="0"/>
              <w:snapToGrid w:val="0"/>
              <w:spacing w:line="360" w:lineRule="atLeast"/>
              <w:rPr>
                <w:rFonts w:ascii="宋体" w:hAnsi="宋体" w:cs="宋体"/>
                <w:color w:val="auto"/>
                <w:szCs w:val="21"/>
                <w:highlight w:val="none"/>
              </w:rPr>
            </w:pPr>
          </w:p>
        </w:tc>
      </w:tr>
      <w:tr w14:paraId="3D940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523" w:type="dxa"/>
            <w:tcBorders>
              <w:top w:val="single" w:color="auto" w:sz="4" w:space="0"/>
              <w:left w:val="single" w:color="auto" w:sz="4" w:space="0"/>
              <w:bottom w:val="single" w:color="auto" w:sz="4" w:space="0"/>
              <w:right w:val="single" w:color="auto" w:sz="4" w:space="0"/>
            </w:tcBorders>
            <w:noWrap/>
            <w:vAlign w:val="center"/>
          </w:tcPr>
          <w:p w14:paraId="7FD36CBC">
            <w:pPr>
              <w:adjustRightInd w:val="0"/>
              <w:snapToGrid w:val="0"/>
              <w:spacing w:line="360" w:lineRule="atLeast"/>
              <w:rPr>
                <w:rFonts w:ascii="宋体" w:hAnsi="宋体" w:cs="宋体"/>
                <w:color w:val="auto"/>
                <w:szCs w:val="21"/>
                <w:highlight w:val="none"/>
              </w:rPr>
            </w:pPr>
            <w:r>
              <w:rPr>
                <w:rFonts w:hint="eastAsia" w:ascii="宋体" w:hAnsi="宋体" w:cs="宋体"/>
                <w:color w:val="auto"/>
                <w:szCs w:val="21"/>
                <w:highlight w:val="none"/>
              </w:rPr>
              <w:t>2</w:t>
            </w:r>
          </w:p>
        </w:tc>
        <w:tc>
          <w:tcPr>
            <w:tcW w:w="9692" w:type="dxa"/>
            <w:tcBorders>
              <w:top w:val="single" w:color="auto" w:sz="4" w:space="0"/>
              <w:left w:val="single" w:color="auto" w:sz="4" w:space="0"/>
              <w:bottom w:val="single" w:color="auto" w:sz="4" w:space="0"/>
              <w:right w:val="single" w:color="auto" w:sz="4" w:space="0"/>
            </w:tcBorders>
            <w:noWrap/>
            <w:vAlign w:val="center"/>
          </w:tcPr>
          <w:p w14:paraId="0F9C681F">
            <w:pPr>
              <w:adjustRightInd w:val="0"/>
              <w:snapToGrid w:val="0"/>
              <w:spacing w:line="360" w:lineRule="atLeast"/>
              <w:rPr>
                <w:rFonts w:ascii="宋体" w:hAnsi="宋体" w:cs="宋体"/>
                <w:color w:val="auto"/>
                <w:szCs w:val="21"/>
                <w:highlight w:val="none"/>
              </w:rPr>
            </w:pPr>
            <w:r>
              <w:rPr>
                <w:rFonts w:hint="eastAsia" w:ascii="宋体" w:hAnsi="宋体" w:cs="宋体"/>
                <w:color w:val="auto"/>
                <w:szCs w:val="21"/>
                <w:highlight w:val="none"/>
                <w:u w:val="single"/>
              </w:rPr>
              <w:t>《广州建设工程施工招标投标书（技术标）》中填报的工程质量标准不符合招标文件要求的；</w:t>
            </w:r>
          </w:p>
        </w:tc>
        <w:tc>
          <w:tcPr>
            <w:tcW w:w="725" w:type="dxa"/>
            <w:tcBorders>
              <w:top w:val="single" w:color="auto" w:sz="4" w:space="0"/>
              <w:left w:val="single" w:color="auto" w:sz="4" w:space="0"/>
              <w:bottom w:val="single" w:color="auto" w:sz="4" w:space="0"/>
              <w:right w:val="single" w:color="auto" w:sz="4" w:space="0"/>
            </w:tcBorders>
            <w:noWrap/>
            <w:vAlign w:val="center"/>
          </w:tcPr>
          <w:p w14:paraId="080D2CED">
            <w:pPr>
              <w:adjustRightInd w:val="0"/>
              <w:snapToGrid w:val="0"/>
              <w:spacing w:line="360" w:lineRule="atLeast"/>
              <w:rPr>
                <w:rFonts w:ascii="宋体" w:hAnsi="宋体" w:cs="宋体"/>
                <w:color w:val="auto"/>
                <w:szCs w:val="21"/>
                <w:highlight w:val="none"/>
              </w:rPr>
            </w:pPr>
          </w:p>
        </w:tc>
        <w:tc>
          <w:tcPr>
            <w:tcW w:w="725" w:type="dxa"/>
            <w:tcBorders>
              <w:top w:val="single" w:color="auto" w:sz="4" w:space="0"/>
              <w:left w:val="single" w:color="auto" w:sz="4" w:space="0"/>
              <w:bottom w:val="single" w:color="auto" w:sz="4" w:space="0"/>
              <w:right w:val="single" w:color="auto" w:sz="4" w:space="0"/>
            </w:tcBorders>
            <w:noWrap/>
            <w:vAlign w:val="center"/>
          </w:tcPr>
          <w:p w14:paraId="1EAC234A">
            <w:pPr>
              <w:adjustRightInd w:val="0"/>
              <w:snapToGrid w:val="0"/>
              <w:spacing w:line="360" w:lineRule="atLeast"/>
              <w:rPr>
                <w:rFonts w:ascii="宋体" w:hAnsi="宋体" w:cs="宋体"/>
                <w:color w:val="auto"/>
                <w:szCs w:val="21"/>
                <w:highlight w:val="none"/>
              </w:rPr>
            </w:pPr>
          </w:p>
        </w:tc>
        <w:tc>
          <w:tcPr>
            <w:tcW w:w="725" w:type="dxa"/>
            <w:tcBorders>
              <w:top w:val="single" w:color="auto" w:sz="4" w:space="0"/>
              <w:left w:val="single" w:color="auto" w:sz="4" w:space="0"/>
              <w:bottom w:val="single" w:color="auto" w:sz="4" w:space="0"/>
              <w:right w:val="single" w:color="auto" w:sz="4" w:space="0"/>
            </w:tcBorders>
            <w:noWrap/>
            <w:vAlign w:val="center"/>
          </w:tcPr>
          <w:p w14:paraId="377B1580">
            <w:pPr>
              <w:adjustRightInd w:val="0"/>
              <w:snapToGrid w:val="0"/>
              <w:spacing w:line="360" w:lineRule="atLeast"/>
              <w:rPr>
                <w:rFonts w:ascii="宋体" w:hAnsi="宋体" w:cs="宋体"/>
                <w:color w:val="auto"/>
                <w:szCs w:val="21"/>
                <w:highlight w:val="none"/>
              </w:rPr>
            </w:pPr>
          </w:p>
        </w:tc>
        <w:tc>
          <w:tcPr>
            <w:tcW w:w="725" w:type="dxa"/>
            <w:tcBorders>
              <w:top w:val="single" w:color="auto" w:sz="4" w:space="0"/>
              <w:left w:val="single" w:color="auto" w:sz="4" w:space="0"/>
              <w:bottom w:val="single" w:color="auto" w:sz="4" w:space="0"/>
              <w:right w:val="single" w:color="auto" w:sz="4" w:space="0"/>
            </w:tcBorders>
            <w:noWrap/>
            <w:vAlign w:val="center"/>
          </w:tcPr>
          <w:p w14:paraId="7A267806">
            <w:pPr>
              <w:adjustRightInd w:val="0"/>
              <w:snapToGrid w:val="0"/>
              <w:spacing w:line="360" w:lineRule="atLeast"/>
              <w:rPr>
                <w:rFonts w:ascii="宋体" w:hAnsi="宋体" w:cs="宋体"/>
                <w:color w:val="auto"/>
                <w:szCs w:val="21"/>
                <w:highlight w:val="none"/>
              </w:rPr>
            </w:pPr>
          </w:p>
        </w:tc>
        <w:tc>
          <w:tcPr>
            <w:tcW w:w="725" w:type="dxa"/>
            <w:tcBorders>
              <w:top w:val="single" w:color="auto" w:sz="4" w:space="0"/>
              <w:left w:val="single" w:color="auto" w:sz="4" w:space="0"/>
              <w:bottom w:val="single" w:color="auto" w:sz="4" w:space="0"/>
              <w:right w:val="single" w:color="auto" w:sz="4" w:space="0"/>
            </w:tcBorders>
            <w:noWrap/>
            <w:vAlign w:val="center"/>
          </w:tcPr>
          <w:p w14:paraId="53DEF681">
            <w:pPr>
              <w:adjustRightInd w:val="0"/>
              <w:snapToGrid w:val="0"/>
              <w:spacing w:line="360" w:lineRule="atLeast"/>
              <w:rPr>
                <w:rFonts w:ascii="宋体" w:hAnsi="宋体" w:cs="宋体"/>
                <w:color w:val="auto"/>
                <w:szCs w:val="21"/>
                <w:highlight w:val="none"/>
              </w:rPr>
            </w:pPr>
          </w:p>
        </w:tc>
        <w:tc>
          <w:tcPr>
            <w:tcW w:w="727" w:type="dxa"/>
            <w:tcBorders>
              <w:top w:val="single" w:color="auto" w:sz="4" w:space="0"/>
              <w:left w:val="single" w:color="auto" w:sz="4" w:space="0"/>
              <w:bottom w:val="single" w:color="auto" w:sz="4" w:space="0"/>
              <w:right w:val="single" w:color="auto" w:sz="4" w:space="0"/>
            </w:tcBorders>
            <w:noWrap/>
            <w:vAlign w:val="center"/>
          </w:tcPr>
          <w:p w14:paraId="301A111B">
            <w:pPr>
              <w:adjustRightInd w:val="0"/>
              <w:snapToGrid w:val="0"/>
              <w:spacing w:line="360" w:lineRule="atLeast"/>
              <w:rPr>
                <w:rFonts w:ascii="宋体" w:hAnsi="宋体" w:cs="宋体"/>
                <w:color w:val="auto"/>
                <w:szCs w:val="21"/>
                <w:highlight w:val="none"/>
              </w:rPr>
            </w:pPr>
          </w:p>
        </w:tc>
      </w:tr>
      <w:tr w14:paraId="053F9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3" w:type="dxa"/>
            <w:tcBorders>
              <w:top w:val="single" w:color="auto" w:sz="4" w:space="0"/>
              <w:left w:val="single" w:color="auto" w:sz="4" w:space="0"/>
              <w:bottom w:val="single" w:color="auto" w:sz="4" w:space="0"/>
              <w:right w:val="single" w:color="auto" w:sz="4" w:space="0"/>
            </w:tcBorders>
            <w:noWrap/>
            <w:vAlign w:val="center"/>
          </w:tcPr>
          <w:p w14:paraId="2AC97CEB">
            <w:pPr>
              <w:adjustRightInd w:val="0"/>
              <w:snapToGrid w:val="0"/>
              <w:spacing w:line="360" w:lineRule="atLeast"/>
              <w:rPr>
                <w:rFonts w:ascii="宋体" w:hAnsi="宋体" w:cs="宋体"/>
                <w:color w:val="auto"/>
                <w:szCs w:val="21"/>
                <w:highlight w:val="none"/>
                <w:u w:val="single"/>
              </w:rPr>
            </w:pPr>
            <w:r>
              <w:rPr>
                <w:rFonts w:hint="eastAsia" w:ascii="宋体" w:hAnsi="宋体" w:cs="宋体"/>
                <w:color w:val="auto"/>
                <w:szCs w:val="21"/>
                <w:highlight w:val="none"/>
                <w:u w:val="single"/>
              </w:rPr>
              <w:t>3</w:t>
            </w:r>
          </w:p>
        </w:tc>
        <w:tc>
          <w:tcPr>
            <w:tcW w:w="9692" w:type="dxa"/>
            <w:tcBorders>
              <w:top w:val="single" w:color="auto" w:sz="4" w:space="0"/>
              <w:left w:val="single" w:color="auto" w:sz="4" w:space="0"/>
              <w:bottom w:val="single" w:color="auto" w:sz="4" w:space="0"/>
              <w:right w:val="single" w:color="auto" w:sz="4" w:space="0"/>
            </w:tcBorders>
            <w:noWrap/>
            <w:vAlign w:val="center"/>
          </w:tcPr>
          <w:p w14:paraId="1C6F521A">
            <w:pPr>
              <w:adjustRightInd w:val="0"/>
              <w:snapToGrid w:val="0"/>
              <w:spacing w:line="360" w:lineRule="atLeast"/>
              <w:rPr>
                <w:rFonts w:ascii="宋体" w:hAnsi="宋体" w:cs="宋体"/>
                <w:color w:val="auto"/>
                <w:szCs w:val="21"/>
                <w:highlight w:val="none"/>
              </w:rPr>
            </w:pPr>
            <w:r>
              <w:rPr>
                <w:rFonts w:hint="eastAsia" w:ascii="宋体" w:hAnsi="宋体" w:cs="宋体"/>
                <w:color w:val="auto"/>
                <w:szCs w:val="21"/>
                <w:highlight w:val="none"/>
              </w:rPr>
              <w:t>投标文件中没有有效的法定代表人证明书，或由委托代理人签署的投标文件中没有法定代表人授权书；</w:t>
            </w:r>
          </w:p>
        </w:tc>
        <w:tc>
          <w:tcPr>
            <w:tcW w:w="725" w:type="dxa"/>
            <w:tcBorders>
              <w:top w:val="single" w:color="auto" w:sz="4" w:space="0"/>
              <w:left w:val="single" w:color="auto" w:sz="4" w:space="0"/>
              <w:bottom w:val="single" w:color="auto" w:sz="4" w:space="0"/>
              <w:right w:val="single" w:color="auto" w:sz="4" w:space="0"/>
            </w:tcBorders>
            <w:noWrap/>
            <w:vAlign w:val="center"/>
          </w:tcPr>
          <w:p w14:paraId="6B3790E3">
            <w:pPr>
              <w:adjustRightInd w:val="0"/>
              <w:snapToGrid w:val="0"/>
              <w:spacing w:line="360" w:lineRule="atLeast"/>
              <w:rPr>
                <w:rFonts w:ascii="宋体" w:hAnsi="宋体" w:cs="宋体"/>
                <w:color w:val="auto"/>
                <w:szCs w:val="21"/>
                <w:highlight w:val="none"/>
              </w:rPr>
            </w:pPr>
          </w:p>
        </w:tc>
        <w:tc>
          <w:tcPr>
            <w:tcW w:w="725" w:type="dxa"/>
            <w:tcBorders>
              <w:top w:val="single" w:color="auto" w:sz="4" w:space="0"/>
              <w:left w:val="single" w:color="auto" w:sz="4" w:space="0"/>
              <w:bottom w:val="single" w:color="auto" w:sz="4" w:space="0"/>
              <w:right w:val="single" w:color="auto" w:sz="4" w:space="0"/>
            </w:tcBorders>
            <w:noWrap/>
            <w:vAlign w:val="center"/>
          </w:tcPr>
          <w:p w14:paraId="65D1C4C5">
            <w:pPr>
              <w:adjustRightInd w:val="0"/>
              <w:snapToGrid w:val="0"/>
              <w:spacing w:line="360" w:lineRule="atLeast"/>
              <w:rPr>
                <w:rFonts w:ascii="宋体" w:hAnsi="宋体" w:cs="宋体"/>
                <w:color w:val="auto"/>
                <w:szCs w:val="21"/>
                <w:highlight w:val="none"/>
              </w:rPr>
            </w:pPr>
          </w:p>
        </w:tc>
        <w:tc>
          <w:tcPr>
            <w:tcW w:w="725" w:type="dxa"/>
            <w:tcBorders>
              <w:top w:val="single" w:color="auto" w:sz="4" w:space="0"/>
              <w:left w:val="single" w:color="auto" w:sz="4" w:space="0"/>
              <w:bottom w:val="single" w:color="auto" w:sz="4" w:space="0"/>
              <w:right w:val="single" w:color="auto" w:sz="4" w:space="0"/>
            </w:tcBorders>
            <w:noWrap/>
            <w:vAlign w:val="center"/>
          </w:tcPr>
          <w:p w14:paraId="20ED9B62">
            <w:pPr>
              <w:adjustRightInd w:val="0"/>
              <w:snapToGrid w:val="0"/>
              <w:spacing w:line="360" w:lineRule="atLeast"/>
              <w:rPr>
                <w:rFonts w:ascii="宋体" w:hAnsi="宋体" w:cs="宋体"/>
                <w:color w:val="auto"/>
                <w:szCs w:val="21"/>
                <w:highlight w:val="none"/>
              </w:rPr>
            </w:pPr>
          </w:p>
        </w:tc>
        <w:tc>
          <w:tcPr>
            <w:tcW w:w="725" w:type="dxa"/>
            <w:tcBorders>
              <w:top w:val="single" w:color="auto" w:sz="4" w:space="0"/>
              <w:left w:val="single" w:color="auto" w:sz="4" w:space="0"/>
              <w:bottom w:val="single" w:color="auto" w:sz="4" w:space="0"/>
              <w:right w:val="single" w:color="auto" w:sz="4" w:space="0"/>
            </w:tcBorders>
            <w:noWrap/>
            <w:vAlign w:val="center"/>
          </w:tcPr>
          <w:p w14:paraId="309B1368">
            <w:pPr>
              <w:adjustRightInd w:val="0"/>
              <w:snapToGrid w:val="0"/>
              <w:spacing w:line="360" w:lineRule="atLeast"/>
              <w:rPr>
                <w:rFonts w:ascii="宋体" w:hAnsi="宋体" w:cs="宋体"/>
                <w:color w:val="auto"/>
                <w:szCs w:val="21"/>
                <w:highlight w:val="none"/>
              </w:rPr>
            </w:pPr>
          </w:p>
        </w:tc>
        <w:tc>
          <w:tcPr>
            <w:tcW w:w="725" w:type="dxa"/>
            <w:tcBorders>
              <w:top w:val="single" w:color="auto" w:sz="4" w:space="0"/>
              <w:left w:val="single" w:color="auto" w:sz="4" w:space="0"/>
              <w:bottom w:val="single" w:color="auto" w:sz="4" w:space="0"/>
              <w:right w:val="single" w:color="auto" w:sz="4" w:space="0"/>
            </w:tcBorders>
            <w:noWrap/>
            <w:vAlign w:val="center"/>
          </w:tcPr>
          <w:p w14:paraId="219DA114">
            <w:pPr>
              <w:adjustRightInd w:val="0"/>
              <w:snapToGrid w:val="0"/>
              <w:spacing w:line="360" w:lineRule="atLeast"/>
              <w:rPr>
                <w:rFonts w:ascii="宋体" w:hAnsi="宋体" w:cs="宋体"/>
                <w:color w:val="auto"/>
                <w:szCs w:val="21"/>
                <w:highlight w:val="none"/>
              </w:rPr>
            </w:pPr>
          </w:p>
        </w:tc>
        <w:tc>
          <w:tcPr>
            <w:tcW w:w="727" w:type="dxa"/>
            <w:tcBorders>
              <w:top w:val="single" w:color="auto" w:sz="4" w:space="0"/>
              <w:left w:val="single" w:color="auto" w:sz="4" w:space="0"/>
              <w:bottom w:val="single" w:color="auto" w:sz="4" w:space="0"/>
              <w:right w:val="single" w:color="auto" w:sz="4" w:space="0"/>
            </w:tcBorders>
            <w:noWrap/>
            <w:vAlign w:val="center"/>
          </w:tcPr>
          <w:p w14:paraId="41E98019">
            <w:pPr>
              <w:adjustRightInd w:val="0"/>
              <w:snapToGrid w:val="0"/>
              <w:spacing w:line="360" w:lineRule="atLeast"/>
              <w:rPr>
                <w:rFonts w:ascii="宋体" w:hAnsi="宋体" w:cs="宋体"/>
                <w:color w:val="auto"/>
                <w:szCs w:val="21"/>
                <w:highlight w:val="none"/>
              </w:rPr>
            </w:pPr>
          </w:p>
        </w:tc>
      </w:tr>
      <w:tr w14:paraId="4B5E0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3" w:type="dxa"/>
            <w:tcBorders>
              <w:top w:val="single" w:color="auto" w:sz="4" w:space="0"/>
              <w:left w:val="single" w:color="auto" w:sz="4" w:space="0"/>
              <w:bottom w:val="single" w:color="auto" w:sz="4" w:space="0"/>
              <w:right w:val="single" w:color="auto" w:sz="4" w:space="0"/>
            </w:tcBorders>
            <w:noWrap/>
            <w:vAlign w:val="center"/>
          </w:tcPr>
          <w:p w14:paraId="4F546F02">
            <w:pPr>
              <w:adjustRightInd w:val="0"/>
              <w:snapToGrid w:val="0"/>
              <w:spacing w:line="360" w:lineRule="atLeast"/>
              <w:rPr>
                <w:rFonts w:ascii="宋体" w:hAnsi="宋体" w:cs="宋体"/>
                <w:color w:val="auto"/>
                <w:szCs w:val="21"/>
                <w:highlight w:val="none"/>
                <w:u w:val="single"/>
              </w:rPr>
            </w:pPr>
            <w:r>
              <w:rPr>
                <w:rFonts w:hint="eastAsia" w:ascii="宋体" w:hAnsi="宋体" w:cs="宋体"/>
                <w:color w:val="auto"/>
                <w:szCs w:val="21"/>
                <w:highlight w:val="none"/>
                <w:u w:val="single"/>
              </w:rPr>
              <w:t>4</w:t>
            </w:r>
          </w:p>
        </w:tc>
        <w:tc>
          <w:tcPr>
            <w:tcW w:w="9692" w:type="dxa"/>
            <w:tcBorders>
              <w:top w:val="single" w:color="auto" w:sz="4" w:space="0"/>
              <w:left w:val="single" w:color="auto" w:sz="4" w:space="0"/>
              <w:bottom w:val="single" w:color="auto" w:sz="4" w:space="0"/>
              <w:right w:val="single" w:color="auto" w:sz="4" w:space="0"/>
            </w:tcBorders>
            <w:noWrap/>
            <w:vAlign w:val="center"/>
          </w:tcPr>
          <w:p w14:paraId="4BA71E6D">
            <w:pPr>
              <w:adjustRightInd w:val="0"/>
              <w:snapToGrid w:val="0"/>
              <w:spacing w:line="360" w:lineRule="atLeast"/>
              <w:rPr>
                <w:rFonts w:ascii="宋体" w:hAnsi="宋体" w:cs="宋体"/>
                <w:color w:val="auto"/>
                <w:szCs w:val="21"/>
                <w:highlight w:val="none"/>
                <w:u w:val="single"/>
              </w:rPr>
            </w:pPr>
            <w:r>
              <w:rPr>
                <w:rFonts w:hint="eastAsia" w:ascii="宋体" w:hAnsi="宋体" w:cs="宋体"/>
                <w:color w:val="auto"/>
                <w:szCs w:val="21"/>
                <w:highlight w:val="none"/>
              </w:rPr>
              <w:t>投标文件未按规定的格式填写</w:t>
            </w:r>
            <w:r>
              <w:rPr>
                <w:rFonts w:hint="eastAsia" w:ascii="宋体" w:hAnsi="宋体" w:cs="宋体"/>
                <w:color w:val="auto"/>
                <w:szCs w:val="21"/>
                <w:highlight w:val="none"/>
                <w:u w:val="single"/>
              </w:rPr>
              <w:t>（指招标文件第四章提供格式的《广州建设工程施工招标投标书（技术标）》《投标函》《危险性较大的分部分项工程安全管理措施》）</w:t>
            </w:r>
            <w:r>
              <w:rPr>
                <w:rFonts w:hint="eastAsia" w:ascii="宋体" w:hAnsi="宋体" w:cs="宋体"/>
                <w:color w:val="auto"/>
                <w:szCs w:val="21"/>
                <w:highlight w:val="none"/>
              </w:rPr>
              <w:t>，或主要内容（指投标文件组成内容）不全，或关键字迹模糊、无法辨认的；</w:t>
            </w:r>
          </w:p>
        </w:tc>
        <w:tc>
          <w:tcPr>
            <w:tcW w:w="725" w:type="dxa"/>
            <w:tcBorders>
              <w:top w:val="single" w:color="auto" w:sz="4" w:space="0"/>
              <w:left w:val="single" w:color="auto" w:sz="4" w:space="0"/>
              <w:bottom w:val="single" w:color="auto" w:sz="4" w:space="0"/>
              <w:right w:val="single" w:color="auto" w:sz="4" w:space="0"/>
            </w:tcBorders>
            <w:noWrap/>
            <w:vAlign w:val="center"/>
          </w:tcPr>
          <w:p w14:paraId="6CE01250">
            <w:pPr>
              <w:adjustRightInd w:val="0"/>
              <w:snapToGrid w:val="0"/>
              <w:spacing w:line="360" w:lineRule="atLeast"/>
              <w:rPr>
                <w:rFonts w:ascii="宋体" w:hAnsi="宋体" w:cs="宋体"/>
                <w:color w:val="auto"/>
                <w:szCs w:val="21"/>
                <w:highlight w:val="none"/>
              </w:rPr>
            </w:pPr>
          </w:p>
        </w:tc>
        <w:tc>
          <w:tcPr>
            <w:tcW w:w="725" w:type="dxa"/>
            <w:tcBorders>
              <w:top w:val="single" w:color="auto" w:sz="4" w:space="0"/>
              <w:left w:val="single" w:color="auto" w:sz="4" w:space="0"/>
              <w:bottom w:val="single" w:color="auto" w:sz="4" w:space="0"/>
              <w:right w:val="single" w:color="auto" w:sz="4" w:space="0"/>
            </w:tcBorders>
            <w:noWrap/>
            <w:vAlign w:val="center"/>
          </w:tcPr>
          <w:p w14:paraId="6D23FC5F">
            <w:pPr>
              <w:adjustRightInd w:val="0"/>
              <w:snapToGrid w:val="0"/>
              <w:spacing w:line="360" w:lineRule="atLeast"/>
              <w:rPr>
                <w:rFonts w:ascii="宋体" w:hAnsi="宋体" w:cs="宋体"/>
                <w:color w:val="auto"/>
                <w:szCs w:val="21"/>
                <w:highlight w:val="none"/>
              </w:rPr>
            </w:pPr>
          </w:p>
        </w:tc>
        <w:tc>
          <w:tcPr>
            <w:tcW w:w="725" w:type="dxa"/>
            <w:tcBorders>
              <w:top w:val="single" w:color="auto" w:sz="4" w:space="0"/>
              <w:left w:val="single" w:color="auto" w:sz="4" w:space="0"/>
              <w:bottom w:val="single" w:color="auto" w:sz="4" w:space="0"/>
              <w:right w:val="single" w:color="auto" w:sz="4" w:space="0"/>
            </w:tcBorders>
            <w:noWrap/>
            <w:vAlign w:val="center"/>
          </w:tcPr>
          <w:p w14:paraId="23822E20">
            <w:pPr>
              <w:adjustRightInd w:val="0"/>
              <w:snapToGrid w:val="0"/>
              <w:spacing w:line="360" w:lineRule="atLeast"/>
              <w:rPr>
                <w:rFonts w:ascii="宋体" w:hAnsi="宋体" w:cs="宋体"/>
                <w:color w:val="auto"/>
                <w:szCs w:val="21"/>
                <w:highlight w:val="none"/>
              </w:rPr>
            </w:pPr>
          </w:p>
        </w:tc>
        <w:tc>
          <w:tcPr>
            <w:tcW w:w="725" w:type="dxa"/>
            <w:tcBorders>
              <w:top w:val="single" w:color="auto" w:sz="4" w:space="0"/>
              <w:left w:val="single" w:color="auto" w:sz="4" w:space="0"/>
              <w:bottom w:val="single" w:color="auto" w:sz="4" w:space="0"/>
              <w:right w:val="single" w:color="auto" w:sz="4" w:space="0"/>
            </w:tcBorders>
            <w:noWrap/>
            <w:vAlign w:val="center"/>
          </w:tcPr>
          <w:p w14:paraId="5DC200ED">
            <w:pPr>
              <w:adjustRightInd w:val="0"/>
              <w:snapToGrid w:val="0"/>
              <w:spacing w:line="360" w:lineRule="atLeast"/>
              <w:rPr>
                <w:rFonts w:ascii="宋体" w:hAnsi="宋体" w:cs="宋体"/>
                <w:color w:val="auto"/>
                <w:szCs w:val="21"/>
                <w:highlight w:val="none"/>
              </w:rPr>
            </w:pPr>
          </w:p>
        </w:tc>
        <w:tc>
          <w:tcPr>
            <w:tcW w:w="725" w:type="dxa"/>
            <w:tcBorders>
              <w:top w:val="single" w:color="auto" w:sz="4" w:space="0"/>
              <w:left w:val="single" w:color="auto" w:sz="4" w:space="0"/>
              <w:bottom w:val="single" w:color="auto" w:sz="4" w:space="0"/>
              <w:right w:val="single" w:color="auto" w:sz="4" w:space="0"/>
            </w:tcBorders>
            <w:noWrap/>
            <w:vAlign w:val="center"/>
          </w:tcPr>
          <w:p w14:paraId="3A0D6B81">
            <w:pPr>
              <w:adjustRightInd w:val="0"/>
              <w:snapToGrid w:val="0"/>
              <w:spacing w:line="360" w:lineRule="atLeast"/>
              <w:rPr>
                <w:rFonts w:ascii="宋体" w:hAnsi="宋体" w:cs="宋体"/>
                <w:color w:val="auto"/>
                <w:szCs w:val="21"/>
                <w:highlight w:val="none"/>
              </w:rPr>
            </w:pPr>
          </w:p>
        </w:tc>
        <w:tc>
          <w:tcPr>
            <w:tcW w:w="727" w:type="dxa"/>
            <w:tcBorders>
              <w:top w:val="single" w:color="auto" w:sz="4" w:space="0"/>
              <w:left w:val="single" w:color="auto" w:sz="4" w:space="0"/>
              <w:bottom w:val="single" w:color="auto" w:sz="4" w:space="0"/>
              <w:right w:val="single" w:color="auto" w:sz="4" w:space="0"/>
            </w:tcBorders>
            <w:noWrap/>
            <w:vAlign w:val="center"/>
          </w:tcPr>
          <w:p w14:paraId="487765B7">
            <w:pPr>
              <w:adjustRightInd w:val="0"/>
              <w:snapToGrid w:val="0"/>
              <w:spacing w:line="360" w:lineRule="atLeast"/>
              <w:rPr>
                <w:rFonts w:ascii="宋体" w:hAnsi="宋体" w:cs="宋体"/>
                <w:color w:val="auto"/>
                <w:szCs w:val="21"/>
                <w:highlight w:val="none"/>
              </w:rPr>
            </w:pPr>
          </w:p>
        </w:tc>
      </w:tr>
      <w:tr w14:paraId="482D8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3" w:type="dxa"/>
            <w:tcBorders>
              <w:top w:val="single" w:color="auto" w:sz="4" w:space="0"/>
              <w:left w:val="single" w:color="auto" w:sz="4" w:space="0"/>
              <w:bottom w:val="single" w:color="auto" w:sz="4" w:space="0"/>
              <w:right w:val="single" w:color="auto" w:sz="4" w:space="0"/>
            </w:tcBorders>
            <w:noWrap/>
            <w:vAlign w:val="center"/>
          </w:tcPr>
          <w:p w14:paraId="6A25A426">
            <w:pPr>
              <w:adjustRightInd w:val="0"/>
              <w:snapToGrid w:val="0"/>
              <w:spacing w:line="360" w:lineRule="atLeast"/>
              <w:rPr>
                <w:rFonts w:ascii="宋体" w:hAnsi="宋体" w:cs="宋体"/>
                <w:color w:val="auto"/>
                <w:szCs w:val="21"/>
                <w:highlight w:val="none"/>
                <w:u w:val="single"/>
              </w:rPr>
            </w:pPr>
            <w:r>
              <w:rPr>
                <w:rFonts w:hint="eastAsia" w:ascii="宋体" w:hAnsi="宋体" w:cs="宋体"/>
                <w:color w:val="auto"/>
                <w:szCs w:val="21"/>
                <w:highlight w:val="none"/>
                <w:u w:val="single"/>
              </w:rPr>
              <w:t>5</w:t>
            </w:r>
          </w:p>
        </w:tc>
        <w:tc>
          <w:tcPr>
            <w:tcW w:w="9692" w:type="dxa"/>
            <w:tcBorders>
              <w:top w:val="single" w:color="auto" w:sz="4" w:space="0"/>
              <w:left w:val="single" w:color="auto" w:sz="4" w:space="0"/>
              <w:bottom w:val="single" w:color="auto" w:sz="4" w:space="0"/>
              <w:right w:val="single" w:color="auto" w:sz="4" w:space="0"/>
            </w:tcBorders>
            <w:noWrap/>
            <w:vAlign w:val="center"/>
          </w:tcPr>
          <w:p w14:paraId="33B2393A">
            <w:pPr>
              <w:adjustRightInd w:val="0"/>
              <w:snapToGrid w:val="0"/>
              <w:spacing w:line="360" w:lineRule="atLeast"/>
              <w:rPr>
                <w:rFonts w:ascii="宋体" w:hAnsi="宋体" w:cs="宋体"/>
                <w:color w:val="auto"/>
                <w:szCs w:val="21"/>
                <w:highlight w:val="none"/>
              </w:rPr>
            </w:pPr>
            <w:r>
              <w:rPr>
                <w:rFonts w:hint="eastAsia" w:ascii="宋体" w:hAnsi="宋体" w:cs="宋体"/>
                <w:color w:val="auto"/>
                <w:szCs w:val="21"/>
                <w:highlight w:val="none"/>
              </w:rPr>
              <w:t>投标人之间存在《广东省实施&lt;中华人民共和国招标投标法&gt;》第十六条所禁止的情形的；</w:t>
            </w:r>
          </w:p>
        </w:tc>
        <w:tc>
          <w:tcPr>
            <w:tcW w:w="725" w:type="dxa"/>
            <w:tcBorders>
              <w:top w:val="single" w:color="auto" w:sz="4" w:space="0"/>
              <w:left w:val="single" w:color="auto" w:sz="4" w:space="0"/>
              <w:bottom w:val="single" w:color="auto" w:sz="4" w:space="0"/>
              <w:right w:val="single" w:color="auto" w:sz="4" w:space="0"/>
            </w:tcBorders>
            <w:noWrap/>
            <w:vAlign w:val="center"/>
          </w:tcPr>
          <w:p w14:paraId="63D7A9CE">
            <w:pPr>
              <w:adjustRightInd w:val="0"/>
              <w:snapToGrid w:val="0"/>
              <w:spacing w:line="360" w:lineRule="atLeast"/>
              <w:rPr>
                <w:rFonts w:ascii="宋体" w:hAnsi="宋体" w:cs="宋体"/>
                <w:color w:val="auto"/>
                <w:szCs w:val="21"/>
                <w:highlight w:val="none"/>
              </w:rPr>
            </w:pPr>
          </w:p>
        </w:tc>
        <w:tc>
          <w:tcPr>
            <w:tcW w:w="725" w:type="dxa"/>
            <w:tcBorders>
              <w:top w:val="single" w:color="auto" w:sz="4" w:space="0"/>
              <w:left w:val="single" w:color="auto" w:sz="4" w:space="0"/>
              <w:bottom w:val="single" w:color="auto" w:sz="4" w:space="0"/>
              <w:right w:val="single" w:color="auto" w:sz="4" w:space="0"/>
            </w:tcBorders>
            <w:noWrap/>
            <w:vAlign w:val="center"/>
          </w:tcPr>
          <w:p w14:paraId="5F36BDB0">
            <w:pPr>
              <w:adjustRightInd w:val="0"/>
              <w:snapToGrid w:val="0"/>
              <w:spacing w:line="360" w:lineRule="atLeast"/>
              <w:rPr>
                <w:rFonts w:ascii="宋体" w:hAnsi="宋体" w:cs="宋体"/>
                <w:color w:val="auto"/>
                <w:szCs w:val="21"/>
                <w:highlight w:val="none"/>
              </w:rPr>
            </w:pPr>
          </w:p>
        </w:tc>
        <w:tc>
          <w:tcPr>
            <w:tcW w:w="725" w:type="dxa"/>
            <w:tcBorders>
              <w:top w:val="single" w:color="auto" w:sz="4" w:space="0"/>
              <w:left w:val="single" w:color="auto" w:sz="4" w:space="0"/>
              <w:bottom w:val="single" w:color="auto" w:sz="4" w:space="0"/>
              <w:right w:val="single" w:color="auto" w:sz="4" w:space="0"/>
            </w:tcBorders>
            <w:noWrap/>
            <w:vAlign w:val="center"/>
          </w:tcPr>
          <w:p w14:paraId="472C3435">
            <w:pPr>
              <w:adjustRightInd w:val="0"/>
              <w:snapToGrid w:val="0"/>
              <w:spacing w:line="360" w:lineRule="atLeast"/>
              <w:rPr>
                <w:rFonts w:ascii="宋体" w:hAnsi="宋体" w:cs="宋体"/>
                <w:color w:val="auto"/>
                <w:szCs w:val="21"/>
                <w:highlight w:val="none"/>
              </w:rPr>
            </w:pPr>
          </w:p>
        </w:tc>
        <w:tc>
          <w:tcPr>
            <w:tcW w:w="725" w:type="dxa"/>
            <w:tcBorders>
              <w:top w:val="single" w:color="auto" w:sz="4" w:space="0"/>
              <w:left w:val="single" w:color="auto" w:sz="4" w:space="0"/>
              <w:bottom w:val="single" w:color="auto" w:sz="4" w:space="0"/>
              <w:right w:val="single" w:color="auto" w:sz="4" w:space="0"/>
            </w:tcBorders>
            <w:noWrap/>
            <w:vAlign w:val="center"/>
          </w:tcPr>
          <w:p w14:paraId="3F1DB92A">
            <w:pPr>
              <w:adjustRightInd w:val="0"/>
              <w:snapToGrid w:val="0"/>
              <w:spacing w:line="360" w:lineRule="atLeast"/>
              <w:rPr>
                <w:rFonts w:ascii="宋体" w:hAnsi="宋体" w:cs="宋体"/>
                <w:color w:val="auto"/>
                <w:szCs w:val="21"/>
                <w:highlight w:val="none"/>
              </w:rPr>
            </w:pPr>
          </w:p>
        </w:tc>
        <w:tc>
          <w:tcPr>
            <w:tcW w:w="725" w:type="dxa"/>
            <w:tcBorders>
              <w:top w:val="single" w:color="auto" w:sz="4" w:space="0"/>
              <w:left w:val="single" w:color="auto" w:sz="4" w:space="0"/>
              <w:bottom w:val="single" w:color="auto" w:sz="4" w:space="0"/>
              <w:right w:val="single" w:color="auto" w:sz="4" w:space="0"/>
            </w:tcBorders>
            <w:noWrap/>
            <w:vAlign w:val="center"/>
          </w:tcPr>
          <w:p w14:paraId="0F46120E">
            <w:pPr>
              <w:adjustRightInd w:val="0"/>
              <w:snapToGrid w:val="0"/>
              <w:spacing w:line="360" w:lineRule="atLeast"/>
              <w:rPr>
                <w:rFonts w:ascii="宋体" w:hAnsi="宋体" w:cs="宋体"/>
                <w:color w:val="auto"/>
                <w:szCs w:val="21"/>
                <w:highlight w:val="none"/>
              </w:rPr>
            </w:pPr>
          </w:p>
        </w:tc>
        <w:tc>
          <w:tcPr>
            <w:tcW w:w="727" w:type="dxa"/>
            <w:tcBorders>
              <w:top w:val="single" w:color="auto" w:sz="4" w:space="0"/>
              <w:left w:val="single" w:color="auto" w:sz="4" w:space="0"/>
              <w:bottom w:val="single" w:color="auto" w:sz="4" w:space="0"/>
              <w:right w:val="single" w:color="auto" w:sz="4" w:space="0"/>
            </w:tcBorders>
            <w:noWrap/>
            <w:vAlign w:val="center"/>
          </w:tcPr>
          <w:p w14:paraId="75DD5CA6">
            <w:pPr>
              <w:adjustRightInd w:val="0"/>
              <w:snapToGrid w:val="0"/>
              <w:spacing w:line="360" w:lineRule="atLeast"/>
              <w:rPr>
                <w:rFonts w:ascii="宋体" w:hAnsi="宋体" w:cs="宋体"/>
                <w:color w:val="auto"/>
                <w:szCs w:val="21"/>
                <w:highlight w:val="none"/>
              </w:rPr>
            </w:pPr>
          </w:p>
        </w:tc>
      </w:tr>
      <w:tr w14:paraId="6AF61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3" w:type="dxa"/>
            <w:tcBorders>
              <w:top w:val="single" w:color="auto" w:sz="4" w:space="0"/>
              <w:left w:val="single" w:color="auto" w:sz="4" w:space="0"/>
              <w:bottom w:val="single" w:color="auto" w:sz="4" w:space="0"/>
              <w:right w:val="single" w:color="auto" w:sz="4" w:space="0"/>
            </w:tcBorders>
            <w:noWrap/>
            <w:vAlign w:val="center"/>
          </w:tcPr>
          <w:p w14:paraId="32089961">
            <w:pPr>
              <w:adjustRightInd w:val="0"/>
              <w:snapToGrid w:val="0"/>
              <w:spacing w:line="360" w:lineRule="atLeast"/>
              <w:rPr>
                <w:rFonts w:ascii="宋体" w:hAnsi="宋体" w:cs="宋体"/>
                <w:color w:val="auto"/>
                <w:szCs w:val="21"/>
                <w:highlight w:val="none"/>
                <w:u w:val="single"/>
              </w:rPr>
            </w:pPr>
            <w:r>
              <w:rPr>
                <w:rFonts w:hint="eastAsia" w:ascii="宋体" w:hAnsi="宋体" w:cs="宋体"/>
                <w:color w:val="auto"/>
                <w:szCs w:val="21"/>
                <w:highlight w:val="none"/>
                <w:u w:val="single"/>
              </w:rPr>
              <w:t>6</w:t>
            </w:r>
          </w:p>
        </w:tc>
        <w:tc>
          <w:tcPr>
            <w:tcW w:w="9692" w:type="dxa"/>
            <w:tcBorders>
              <w:top w:val="single" w:color="auto" w:sz="4" w:space="0"/>
              <w:left w:val="single" w:color="auto" w:sz="4" w:space="0"/>
              <w:bottom w:val="single" w:color="auto" w:sz="4" w:space="0"/>
              <w:right w:val="single" w:color="auto" w:sz="4" w:space="0"/>
            </w:tcBorders>
            <w:noWrap/>
            <w:vAlign w:val="center"/>
          </w:tcPr>
          <w:p w14:paraId="2C11406E">
            <w:pPr>
              <w:adjustRightInd w:val="0"/>
              <w:snapToGrid w:val="0"/>
              <w:spacing w:line="360" w:lineRule="atLeast"/>
              <w:rPr>
                <w:rFonts w:ascii="宋体" w:hAnsi="宋体" w:cs="宋体"/>
                <w:color w:val="auto"/>
                <w:szCs w:val="21"/>
                <w:highlight w:val="none"/>
              </w:rPr>
            </w:pPr>
            <w:r>
              <w:rPr>
                <w:rFonts w:hint="eastAsia" w:ascii="宋体" w:hAnsi="宋体" w:cs="宋体"/>
                <w:color w:val="auto"/>
                <w:szCs w:val="21"/>
                <w:highlight w:val="none"/>
              </w:rPr>
              <w:t>无《参与编制技术标投标文件人员名单》的；</w:t>
            </w:r>
            <w:r>
              <w:rPr>
                <w:rFonts w:hint="eastAsia" w:ascii="宋体" w:hAnsi="宋体" w:cs="宋体"/>
                <w:color w:val="auto"/>
                <w:szCs w:val="21"/>
                <w:highlight w:val="none"/>
                <w:u w:val="single"/>
              </w:rPr>
              <w:t>或未提供《参与编制技术标投标文件人员名单》表中人员</w:t>
            </w:r>
            <w:r>
              <w:rPr>
                <w:rFonts w:ascii="宋体" w:hAnsi="宋体" w:cs="宋体"/>
                <w:b/>
                <w:color w:val="auto"/>
                <w:szCs w:val="21"/>
                <w:highlight w:val="none"/>
                <w:u w:val="single"/>
              </w:rPr>
              <w:t>2025年</w:t>
            </w:r>
            <w:r>
              <w:rPr>
                <w:rFonts w:hint="eastAsia" w:ascii="宋体" w:hAnsi="宋体" w:cs="宋体"/>
                <w:b/>
                <w:color w:val="auto"/>
                <w:szCs w:val="21"/>
                <w:highlight w:val="none"/>
                <w:u w:val="single"/>
                <w:lang w:val="en-US" w:eastAsia="zh-CN"/>
              </w:rPr>
              <w:t>10</w:t>
            </w:r>
            <w:r>
              <w:rPr>
                <w:rFonts w:hint="eastAsia" w:ascii="宋体" w:hAnsi="宋体" w:cs="宋体"/>
                <w:b/>
                <w:color w:val="auto"/>
                <w:szCs w:val="21"/>
                <w:highlight w:val="none"/>
                <w:u w:val="single"/>
                <w:lang w:eastAsia="zh-CN"/>
              </w:rPr>
              <w:t>月或</w:t>
            </w:r>
            <w:r>
              <w:rPr>
                <w:rFonts w:hint="eastAsia" w:ascii="宋体" w:hAnsi="宋体" w:cs="宋体"/>
                <w:b/>
                <w:color w:val="auto"/>
                <w:szCs w:val="21"/>
                <w:highlight w:val="none"/>
                <w:u w:val="single"/>
                <w:lang w:val="en-US" w:eastAsia="zh-CN"/>
              </w:rPr>
              <w:t>11</w:t>
            </w:r>
            <w:r>
              <w:rPr>
                <w:rFonts w:hint="eastAsia" w:ascii="宋体" w:hAnsi="宋体" w:cs="宋体"/>
                <w:b/>
                <w:color w:val="auto"/>
                <w:szCs w:val="21"/>
                <w:highlight w:val="none"/>
                <w:u w:val="single"/>
                <w:lang w:eastAsia="zh-CN"/>
              </w:rPr>
              <w:t>月</w:t>
            </w:r>
            <w:r>
              <w:rPr>
                <w:rFonts w:hint="eastAsia" w:ascii="宋体" w:hAnsi="宋体" w:cs="宋体"/>
                <w:color w:val="auto"/>
                <w:szCs w:val="21"/>
                <w:highlight w:val="none"/>
                <w:u w:val="single"/>
              </w:rPr>
              <w:t>在本公司缴纳社保的有效社保证明资料。</w:t>
            </w:r>
          </w:p>
        </w:tc>
        <w:tc>
          <w:tcPr>
            <w:tcW w:w="725" w:type="dxa"/>
            <w:tcBorders>
              <w:top w:val="single" w:color="auto" w:sz="4" w:space="0"/>
              <w:left w:val="single" w:color="auto" w:sz="4" w:space="0"/>
              <w:bottom w:val="single" w:color="auto" w:sz="4" w:space="0"/>
              <w:right w:val="single" w:color="auto" w:sz="4" w:space="0"/>
            </w:tcBorders>
            <w:noWrap/>
            <w:vAlign w:val="center"/>
          </w:tcPr>
          <w:p w14:paraId="008C9E4B">
            <w:pPr>
              <w:adjustRightInd w:val="0"/>
              <w:snapToGrid w:val="0"/>
              <w:spacing w:line="360" w:lineRule="atLeast"/>
              <w:rPr>
                <w:rFonts w:ascii="宋体" w:hAnsi="宋体" w:cs="宋体"/>
                <w:color w:val="auto"/>
                <w:szCs w:val="21"/>
                <w:highlight w:val="none"/>
                <w:shd w:val="pct10" w:color="auto" w:fill="FFFFFF"/>
              </w:rPr>
            </w:pPr>
          </w:p>
        </w:tc>
        <w:tc>
          <w:tcPr>
            <w:tcW w:w="725" w:type="dxa"/>
            <w:tcBorders>
              <w:top w:val="single" w:color="auto" w:sz="4" w:space="0"/>
              <w:left w:val="single" w:color="auto" w:sz="4" w:space="0"/>
              <w:bottom w:val="single" w:color="auto" w:sz="4" w:space="0"/>
              <w:right w:val="single" w:color="auto" w:sz="4" w:space="0"/>
            </w:tcBorders>
            <w:noWrap/>
            <w:vAlign w:val="center"/>
          </w:tcPr>
          <w:p w14:paraId="08B09A8A">
            <w:pPr>
              <w:adjustRightInd w:val="0"/>
              <w:snapToGrid w:val="0"/>
              <w:spacing w:line="360" w:lineRule="atLeast"/>
              <w:rPr>
                <w:rFonts w:ascii="宋体" w:hAnsi="宋体" w:cs="宋体"/>
                <w:color w:val="auto"/>
                <w:szCs w:val="21"/>
                <w:highlight w:val="none"/>
                <w:shd w:val="pct10" w:color="auto" w:fill="FFFFFF"/>
              </w:rPr>
            </w:pPr>
          </w:p>
        </w:tc>
        <w:tc>
          <w:tcPr>
            <w:tcW w:w="725" w:type="dxa"/>
            <w:tcBorders>
              <w:top w:val="single" w:color="auto" w:sz="4" w:space="0"/>
              <w:left w:val="single" w:color="auto" w:sz="4" w:space="0"/>
              <w:bottom w:val="single" w:color="auto" w:sz="4" w:space="0"/>
              <w:right w:val="single" w:color="auto" w:sz="4" w:space="0"/>
            </w:tcBorders>
            <w:noWrap/>
            <w:vAlign w:val="center"/>
          </w:tcPr>
          <w:p w14:paraId="629326EA">
            <w:pPr>
              <w:adjustRightInd w:val="0"/>
              <w:snapToGrid w:val="0"/>
              <w:spacing w:line="360" w:lineRule="atLeast"/>
              <w:rPr>
                <w:rFonts w:ascii="宋体" w:hAnsi="宋体" w:cs="宋体"/>
                <w:color w:val="auto"/>
                <w:szCs w:val="21"/>
                <w:highlight w:val="none"/>
                <w:shd w:val="pct10" w:color="auto" w:fill="FFFFFF"/>
              </w:rPr>
            </w:pPr>
          </w:p>
        </w:tc>
        <w:tc>
          <w:tcPr>
            <w:tcW w:w="725" w:type="dxa"/>
            <w:tcBorders>
              <w:top w:val="single" w:color="auto" w:sz="4" w:space="0"/>
              <w:left w:val="single" w:color="auto" w:sz="4" w:space="0"/>
              <w:bottom w:val="single" w:color="auto" w:sz="4" w:space="0"/>
              <w:right w:val="single" w:color="auto" w:sz="4" w:space="0"/>
            </w:tcBorders>
            <w:noWrap/>
            <w:vAlign w:val="center"/>
          </w:tcPr>
          <w:p w14:paraId="202DB9FD">
            <w:pPr>
              <w:adjustRightInd w:val="0"/>
              <w:snapToGrid w:val="0"/>
              <w:spacing w:line="360" w:lineRule="atLeast"/>
              <w:rPr>
                <w:rFonts w:ascii="宋体" w:hAnsi="宋体" w:cs="宋体"/>
                <w:color w:val="auto"/>
                <w:szCs w:val="21"/>
                <w:highlight w:val="none"/>
                <w:shd w:val="pct10" w:color="auto" w:fill="FFFFFF"/>
              </w:rPr>
            </w:pPr>
          </w:p>
        </w:tc>
        <w:tc>
          <w:tcPr>
            <w:tcW w:w="725" w:type="dxa"/>
            <w:tcBorders>
              <w:top w:val="single" w:color="auto" w:sz="4" w:space="0"/>
              <w:left w:val="single" w:color="auto" w:sz="4" w:space="0"/>
              <w:bottom w:val="single" w:color="auto" w:sz="4" w:space="0"/>
              <w:right w:val="single" w:color="auto" w:sz="4" w:space="0"/>
            </w:tcBorders>
            <w:noWrap/>
            <w:vAlign w:val="center"/>
          </w:tcPr>
          <w:p w14:paraId="5A76063F">
            <w:pPr>
              <w:adjustRightInd w:val="0"/>
              <w:snapToGrid w:val="0"/>
              <w:spacing w:line="360" w:lineRule="atLeast"/>
              <w:rPr>
                <w:rFonts w:ascii="宋体" w:hAnsi="宋体" w:cs="宋体"/>
                <w:color w:val="auto"/>
                <w:szCs w:val="21"/>
                <w:highlight w:val="none"/>
                <w:shd w:val="pct10" w:color="auto" w:fill="FFFFFF"/>
              </w:rPr>
            </w:pPr>
          </w:p>
        </w:tc>
        <w:tc>
          <w:tcPr>
            <w:tcW w:w="727" w:type="dxa"/>
            <w:tcBorders>
              <w:top w:val="single" w:color="auto" w:sz="4" w:space="0"/>
              <w:left w:val="single" w:color="auto" w:sz="4" w:space="0"/>
              <w:bottom w:val="single" w:color="auto" w:sz="4" w:space="0"/>
              <w:right w:val="single" w:color="auto" w:sz="4" w:space="0"/>
            </w:tcBorders>
            <w:noWrap/>
            <w:vAlign w:val="center"/>
          </w:tcPr>
          <w:p w14:paraId="290E8F0B">
            <w:pPr>
              <w:adjustRightInd w:val="0"/>
              <w:snapToGrid w:val="0"/>
              <w:spacing w:line="360" w:lineRule="atLeast"/>
              <w:rPr>
                <w:rFonts w:ascii="宋体" w:hAnsi="宋体" w:cs="宋体"/>
                <w:color w:val="auto"/>
                <w:szCs w:val="21"/>
                <w:highlight w:val="none"/>
                <w:shd w:val="pct10" w:color="auto" w:fill="FFFFFF"/>
              </w:rPr>
            </w:pPr>
          </w:p>
        </w:tc>
      </w:tr>
      <w:tr w14:paraId="61E98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523" w:type="dxa"/>
            <w:tcBorders>
              <w:top w:val="single" w:color="auto" w:sz="4" w:space="0"/>
              <w:left w:val="single" w:color="auto" w:sz="4" w:space="0"/>
              <w:bottom w:val="single" w:color="auto" w:sz="4" w:space="0"/>
              <w:right w:val="single" w:color="auto" w:sz="4" w:space="0"/>
            </w:tcBorders>
            <w:noWrap/>
            <w:vAlign w:val="center"/>
          </w:tcPr>
          <w:p w14:paraId="0BF39638">
            <w:pPr>
              <w:adjustRightInd w:val="0"/>
              <w:snapToGrid w:val="0"/>
              <w:spacing w:line="360" w:lineRule="atLeast"/>
              <w:rPr>
                <w:rFonts w:ascii="宋体" w:hAnsi="宋体" w:cs="宋体"/>
                <w:color w:val="auto"/>
                <w:szCs w:val="21"/>
                <w:highlight w:val="none"/>
                <w:u w:val="single"/>
              </w:rPr>
            </w:pPr>
            <w:r>
              <w:rPr>
                <w:rFonts w:hint="eastAsia" w:ascii="宋体" w:hAnsi="宋体" w:cs="宋体"/>
                <w:color w:val="auto"/>
                <w:szCs w:val="21"/>
                <w:highlight w:val="none"/>
                <w:u w:val="single"/>
              </w:rPr>
              <w:t>7</w:t>
            </w:r>
          </w:p>
        </w:tc>
        <w:tc>
          <w:tcPr>
            <w:tcW w:w="9692" w:type="dxa"/>
            <w:tcBorders>
              <w:top w:val="single" w:color="auto" w:sz="4" w:space="0"/>
              <w:left w:val="single" w:color="auto" w:sz="4" w:space="0"/>
              <w:bottom w:val="single" w:color="auto" w:sz="4" w:space="0"/>
              <w:right w:val="single" w:color="auto" w:sz="4" w:space="0"/>
            </w:tcBorders>
            <w:noWrap/>
            <w:vAlign w:val="center"/>
          </w:tcPr>
          <w:p w14:paraId="2A2007A4">
            <w:pPr>
              <w:adjustRightInd w:val="0"/>
              <w:snapToGrid w:val="0"/>
              <w:spacing w:line="360" w:lineRule="atLeast"/>
              <w:rPr>
                <w:rFonts w:ascii="宋体" w:hAnsi="宋体" w:cs="宋体"/>
                <w:color w:val="auto"/>
                <w:szCs w:val="21"/>
                <w:highlight w:val="none"/>
              </w:rPr>
            </w:pPr>
            <w:r>
              <w:rPr>
                <w:rFonts w:hint="eastAsia" w:ascii="宋体" w:hAnsi="宋体" w:cs="宋体"/>
                <w:color w:val="auto"/>
                <w:szCs w:val="21"/>
                <w:highlight w:val="none"/>
              </w:rPr>
              <w:t>投标人与本项目其他投标人加密打包投标文件电脑机器特征码一致的[以</w:t>
            </w:r>
            <w:r>
              <w:rPr>
                <w:rFonts w:hint="eastAsia" w:ascii="宋体" w:hAnsi="宋体" w:cs="宋体"/>
                <w:color w:val="auto"/>
                <w:szCs w:val="21"/>
                <w:highlight w:val="none"/>
                <w:u w:val="single"/>
              </w:rPr>
              <w:t>广州交易集团有限公司（广州公共资源交易中心）</w:t>
            </w:r>
            <w:r>
              <w:rPr>
                <w:rFonts w:hint="eastAsia" w:ascii="宋体" w:hAnsi="宋体" w:cs="宋体"/>
                <w:color w:val="auto"/>
                <w:szCs w:val="21"/>
                <w:highlight w:val="none"/>
              </w:rPr>
              <w:t>交易平台评标系统的检索信息为准]。</w:t>
            </w:r>
          </w:p>
        </w:tc>
        <w:tc>
          <w:tcPr>
            <w:tcW w:w="725" w:type="dxa"/>
            <w:tcBorders>
              <w:top w:val="single" w:color="auto" w:sz="4" w:space="0"/>
              <w:left w:val="single" w:color="auto" w:sz="4" w:space="0"/>
              <w:bottom w:val="single" w:color="auto" w:sz="4" w:space="0"/>
              <w:right w:val="single" w:color="auto" w:sz="4" w:space="0"/>
            </w:tcBorders>
            <w:noWrap/>
            <w:vAlign w:val="center"/>
          </w:tcPr>
          <w:p w14:paraId="1F16B946">
            <w:pPr>
              <w:adjustRightInd w:val="0"/>
              <w:snapToGrid w:val="0"/>
              <w:spacing w:line="360" w:lineRule="atLeast"/>
              <w:rPr>
                <w:rFonts w:ascii="宋体" w:hAnsi="宋体" w:cs="宋体"/>
                <w:color w:val="auto"/>
                <w:szCs w:val="21"/>
                <w:highlight w:val="none"/>
              </w:rPr>
            </w:pPr>
          </w:p>
        </w:tc>
        <w:tc>
          <w:tcPr>
            <w:tcW w:w="725" w:type="dxa"/>
            <w:tcBorders>
              <w:top w:val="single" w:color="auto" w:sz="4" w:space="0"/>
              <w:left w:val="single" w:color="auto" w:sz="4" w:space="0"/>
              <w:bottom w:val="single" w:color="auto" w:sz="4" w:space="0"/>
              <w:right w:val="single" w:color="auto" w:sz="4" w:space="0"/>
            </w:tcBorders>
            <w:noWrap/>
            <w:vAlign w:val="center"/>
          </w:tcPr>
          <w:p w14:paraId="25B0E43C">
            <w:pPr>
              <w:adjustRightInd w:val="0"/>
              <w:snapToGrid w:val="0"/>
              <w:spacing w:line="360" w:lineRule="atLeast"/>
              <w:rPr>
                <w:rFonts w:ascii="宋体" w:hAnsi="宋体" w:cs="宋体"/>
                <w:color w:val="auto"/>
                <w:szCs w:val="21"/>
                <w:highlight w:val="none"/>
              </w:rPr>
            </w:pPr>
          </w:p>
        </w:tc>
        <w:tc>
          <w:tcPr>
            <w:tcW w:w="725" w:type="dxa"/>
            <w:tcBorders>
              <w:top w:val="single" w:color="auto" w:sz="4" w:space="0"/>
              <w:left w:val="single" w:color="auto" w:sz="4" w:space="0"/>
              <w:bottom w:val="single" w:color="auto" w:sz="4" w:space="0"/>
              <w:right w:val="single" w:color="auto" w:sz="4" w:space="0"/>
            </w:tcBorders>
            <w:noWrap/>
            <w:vAlign w:val="center"/>
          </w:tcPr>
          <w:p w14:paraId="275C23F2">
            <w:pPr>
              <w:adjustRightInd w:val="0"/>
              <w:snapToGrid w:val="0"/>
              <w:spacing w:line="360" w:lineRule="atLeast"/>
              <w:rPr>
                <w:rFonts w:ascii="宋体" w:hAnsi="宋体" w:cs="宋体"/>
                <w:color w:val="auto"/>
                <w:szCs w:val="21"/>
                <w:highlight w:val="none"/>
              </w:rPr>
            </w:pPr>
          </w:p>
        </w:tc>
        <w:tc>
          <w:tcPr>
            <w:tcW w:w="725" w:type="dxa"/>
            <w:tcBorders>
              <w:top w:val="single" w:color="auto" w:sz="4" w:space="0"/>
              <w:left w:val="single" w:color="auto" w:sz="4" w:space="0"/>
              <w:bottom w:val="single" w:color="auto" w:sz="4" w:space="0"/>
              <w:right w:val="single" w:color="auto" w:sz="4" w:space="0"/>
            </w:tcBorders>
            <w:noWrap/>
            <w:vAlign w:val="center"/>
          </w:tcPr>
          <w:p w14:paraId="05D3713E">
            <w:pPr>
              <w:adjustRightInd w:val="0"/>
              <w:snapToGrid w:val="0"/>
              <w:spacing w:line="360" w:lineRule="atLeast"/>
              <w:rPr>
                <w:rFonts w:ascii="宋体" w:hAnsi="宋体" w:cs="宋体"/>
                <w:color w:val="auto"/>
                <w:szCs w:val="21"/>
                <w:highlight w:val="none"/>
              </w:rPr>
            </w:pPr>
          </w:p>
        </w:tc>
        <w:tc>
          <w:tcPr>
            <w:tcW w:w="725" w:type="dxa"/>
            <w:tcBorders>
              <w:top w:val="single" w:color="auto" w:sz="4" w:space="0"/>
              <w:left w:val="single" w:color="auto" w:sz="4" w:space="0"/>
              <w:bottom w:val="single" w:color="auto" w:sz="4" w:space="0"/>
              <w:right w:val="single" w:color="auto" w:sz="4" w:space="0"/>
            </w:tcBorders>
            <w:noWrap/>
            <w:vAlign w:val="center"/>
          </w:tcPr>
          <w:p w14:paraId="129E15FE">
            <w:pPr>
              <w:adjustRightInd w:val="0"/>
              <w:snapToGrid w:val="0"/>
              <w:spacing w:line="360" w:lineRule="atLeast"/>
              <w:rPr>
                <w:rFonts w:ascii="宋体" w:hAnsi="宋体" w:cs="宋体"/>
                <w:color w:val="auto"/>
                <w:szCs w:val="21"/>
                <w:highlight w:val="none"/>
              </w:rPr>
            </w:pPr>
          </w:p>
        </w:tc>
        <w:tc>
          <w:tcPr>
            <w:tcW w:w="727" w:type="dxa"/>
            <w:tcBorders>
              <w:top w:val="single" w:color="auto" w:sz="4" w:space="0"/>
              <w:left w:val="single" w:color="auto" w:sz="4" w:space="0"/>
              <w:bottom w:val="single" w:color="auto" w:sz="4" w:space="0"/>
              <w:right w:val="single" w:color="auto" w:sz="4" w:space="0"/>
            </w:tcBorders>
            <w:noWrap/>
            <w:vAlign w:val="center"/>
          </w:tcPr>
          <w:p w14:paraId="672B93A2">
            <w:pPr>
              <w:adjustRightInd w:val="0"/>
              <w:snapToGrid w:val="0"/>
              <w:spacing w:line="360" w:lineRule="atLeast"/>
              <w:rPr>
                <w:rFonts w:ascii="宋体" w:hAnsi="宋体" w:cs="宋体"/>
                <w:color w:val="auto"/>
                <w:szCs w:val="21"/>
                <w:highlight w:val="none"/>
              </w:rPr>
            </w:pPr>
          </w:p>
        </w:tc>
      </w:tr>
    </w:tbl>
    <w:p w14:paraId="5F246062">
      <w:pPr>
        <w:snapToGrid w:val="0"/>
        <w:spacing w:line="260" w:lineRule="atLeast"/>
        <w:rPr>
          <w:rFonts w:ascii="宋体" w:hAnsi="宋体" w:cs="宋体"/>
          <w:color w:val="auto"/>
          <w:szCs w:val="21"/>
          <w:highlight w:val="none"/>
        </w:rPr>
      </w:pPr>
      <w:r>
        <w:rPr>
          <w:rFonts w:hint="eastAsia" w:ascii="宋体" w:hAnsi="宋体" w:cs="宋体"/>
          <w:color w:val="auto"/>
          <w:szCs w:val="21"/>
          <w:highlight w:val="none"/>
        </w:rPr>
        <w:t>注：1.本表使用GZZB2018-3招标文件范本，与范本内容不同之处均以下划线标明。技术标评审中，响应性、承诺性内容不应作为评分因素，可在该表中对上述内容进行符合性审查。审查标准须具备可操作性。</w:t>
      </w:r>
    </w:p>
    <w:p w14:paraId="2891F449">
      <w:pPr>
        <w:snapToGrid w:val="0"/>
        <w:spacing w:line="260" w:lineRule="atLeast"/>
        <w:ind w:firstLine="420" w:firstLineChars="200"/>
        <w:rPr>
          <w:rFonts w:ascii="宋体" w:hAnsi="宋体" w:cs="宋体"/>
          <w:color w:val="auto"/>
          <w:szCs w:val="21"/>
          <w:highlight w:val="none"/>
        </w:rPr>
      </w:pPr>
      <w:r>
        <w:rPr>
          <w:rFonts w:hint="eastAsia" w:ascii="宋体" w:hAnsi="宋体" w:cs="宋体"/>
          <w:color w:val="auto"/>
          <w:szCs w:val="21"/>
          <w:highlight w:val="none"/>
        </w:rPr>
        <w:t>2.不得将文件顺序、明显的文字错误等列为否决投标的情形。评委发现投标文件中含义不明确、对同类问题表述不一致、有明显文字和计算错误的，应当要求投标人作必要的澄清、说明后再判定投标人是否通过有效性审查，不得直接否决投标，若出现评标委员会否决投标的，应在评标报告中载明否决投标的具体情形、原因。</w:t>
      </w:r>
    </w:p>
    <w:p w14:paraId="07AF1F70">
      <w:pPr>
        <w:snapToGrid w:val="0"/>
        <w:spacing w:line="260" w:lineRule="atLeast"/>
        <w:ind w:firstLine="420" w:firstLineChars="200"/>
        <w:rPr>
          <w:rFonts w:ascii="宋体" w:hAnsi="宋体" w:cs="宋体"/>
          <w:color w:val="auto"/>
          <w:szCs w:val="21"/>
          <w:highlight w:val="none"/>
        </w:rPr>
      </w:pPr>
      <w:r>
        <w:rPr>
          <w:rFonts w:hint="eastAsia" w:ascii="宋体" w:hAnsi="宋体" w:cs="宋体"/>
          <w:color w:val="auto"/>
          <w:szCs w:val="21"/>
          <w:highlight w:val="none"/>
        </w:rPr>
        <w:t>3.凡出现以上任何一项情形，结论均为无效，否则就为有效。</w:t>
      </w:r>
    </w:p>
    <w:p w14:paraId="5081CCA6">
      <w:pPr>
        <w:snapToGrid w:val="0"/>
        <w:spacing w:line="260" w:lineRule="atLeast"/>
        <w:ind w:firstLine="420" w:firstLineChars="200"/>
        <w:rPr>
          <w:rFonts w:ascii="宋体" w:hAnsi="宋体" w:cs="宋体"/>
          <w:color w:val="auto"/>
          <w:szCs w:val="21"/>
          <w:highlight w:val="none"/>
        </w:rPr>
      </w:pPr>
      <w:r>
        <w:rPr>
          <w:rFonts w:hint="eastAsia" w:ascii="宋体" w:hAnsi="宋体" w:cs="宋体"/>
          <w:color w:val="auto"/>
          <w:szCs w:val="21"/>
          <w:highlight w:val="none"/>
        </w:rPr>
        <w:t>4.如对本表中某种情形的评审意见不一致时，以评标委员会过半数成员的意见作为评标委员会对该情形的认定结论。</w:t>
      </w:r>
    </w:p>
    <w:p w14:paraId="2AEADB41">
      <w:pPr>
        <w:snapToGrid w:val="0"/>
        <w:spacing w:line="260" w:lineRule="atLeast"/>
        <w:ind w:firstLine="470" w:firstLineChars="224"/>
        <w:rPr>
          <w:rFonts w:ascii="宋体" w:hAnsi="宋体" w:cs="宋体"/>
          <w:color w:val="auto"/>
          <w:szCs w:val="21"/>
          <w:highlight w:val="none"/>
        </w:rPr>
      </w:pPr>
    </w:p>
    <w:p w14:paraId="69F1BD38">
      <w:pPr>
        <w:snapToGrid w:val="0"/>
        <w:spacing w:line="260" w:lineRule="atLeast"/>
        <w:rPr>
          <w:rFonts w:ascii="宋体" w:hAnsi="宋体" w:cs="宋体"/>
          <w:color w:val="auto"/>
          <w:szCs w:val="21"/>
          <w:highlight w:val="none"/>
        </w:rPr>
      </w:pPr>
      <w:r>
        <w:rPr>
          <w:rFonts w:hint="eastAsia" w:ascii="宋体" w:hAnsi="宋体" w:cs="宋体"/>
          <w:color w:val="auto"/>
          <w:szCs w:val="21"/>
          <w:highlight w:val="none"/>
        </w:rPr>
        <w:t>评委签名：</w:t>
      </w:r>
    </w:p>
    <w:p w14:paraId="65E70DF2">
      <w:pPr>
        <w:pStyle w:val="2"/>
        <w:snapToGrid w:val="0"/>
        <w:spacing w:line="360" w:lineRule="auto"/>
        <w:ind w:firstLine="0"/>
        <w:rPr>
          <w:rFonts w:ascii="宋体" w:hAnsi="宋体" w:cs="宋体"/>
          <w:b/>
          <w:bCs/>
          <w:color w:val="auto"/>
          <w:sz w:val="24"/>
          <w:szCs w:val="24"/>
          <w:highlight w:val="none"/>
        </w:rPr>
      </w:pPr>
      <w:r>
        <w:rPr>
          <w:rFonts w:hint="eastAsia" w:ascii="宋体" w:hAnsi="宋体" w:cs="宋体"/>
          <w:color w:val="auto"/>
          <w:sz w:val="24"/>
          <w:szCs w:val="24"/>
          <w:highlight w:val="none"/>
        </w:rPr>
        <w:br w:type="page"/>
      </w:r>
      <w:r>
        <w:rPr>
          <w:rFonts w:hint="eastAsia" w:ascii="宋体" w:hAnsi="宋体" w:cs="宋体"/>
          <w:b/>
          <w:bCs/>
          <w:color w:val="auto"/>
          <w:sz w:val="24"/>
          <w:szCs w:val="24"/>
          <w:highlight w:val="none"/>
        </w:rPr>
        <w:t>附表三</w:t>
      </w:r>
    </w:p>
    <w:p w14:paraId="2573B4F6">
      <w:pPr>
        <w:snapToGrid w:val="0"/>
        <w:spacing w:line="360" w:lineRule="auto"/>
        <w:jc w:val="center"/>
        <w:rPr>
          <w:rFonts w:ascii="宋体" w:hAnsi="宋体" w:cs="宋体"/>
          <w:b/>
          <w:color w:val="auto"/>
          <w:sz w:val="36"/>
          <w:szCs w:val="36"/>
          <w:highlight w:val="none"/>
        </w:rPr>
      </w:pPr>
      <w:r>
        <w:rPr>
          <w:rFonts w:hint="eastAsia" w:ascii="宋体" w:hAnsi="宋体" w:cs="宋体"/>
          <w:b/>
          <w:color w:val="auto"/>
          <w:sz w:val="36"/>
          <w:szCs w:val="36"/>
          <w:highlight w:val="none"/>
        </w:rPr>
        <w:t>经济标有效性审查表</w:t>
      </w:r>
    </w:p>
    <w:p w14:paraId="53A42C62">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工程名称：</w:t>
      </w:r>
    </w:p>
    <w:tbl>
      <w:tblPr>
        <w:tblStyle w:val="33"/>
        <w:tblW w:w="142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
        <w:gridCol w:w="8848"/>
        <w:gridCol w:w="850"/>
        <w:gridCol w:w="624"/>
        <w:gridCol w:w="857"/>
        <w:gridCol w:w="857"/>
        <w:gridCol w:w="857"/>
        <w:gridCol w:w="858"/>
      </w:tblGrid>
      <w:tr w14:paraId="6ABC4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532" w:type="dxa"/>
            <w:tcBorders>
              <w:top w:val="single" w:color="auto" w:sz="4" w:space="0"/>
              <w:left w:val="single" w:color="auto" w:sz="4" w:space="0"/>
              <w:bottom w:val="single" w:color="auto" w:sz="4" w:space="0"/>
              <w:right w:val="single" w:color="auto" w:sz="4" w:space="0"/>
            </w:tcBorders>
            <w:noWrap/>
            <w:vAlign w:val="center"/>
          </w:tcPr>
          <w:p w14:paraId="4B55A5F5">
            <w:pPr>
              <w:snapToGrid w:val="0"/>
              <w:spacing w:line="320" w:lineRule="atLeast"/>
              <w:rPr>
                <w:rFonts w:ascii="宋体" w:hAnsi="宋体" w:cs="宋体"/>
                <w:color w:val="auto"/>
                <w:szCs w:val="21"/>
                <w:highlight w:val="none"/>
              </w:rPr>
            </w:pPr>
            <w:r>
              <w:rPr>
                <w:rFonts w:hint="eastAsia" w:ascii="宋体" w:hAnsi="宋体" w:cs="宋体"/>
                <w:color w:val="auto"/>
                <w:szCs w:val="21"/>
                <w:highlight w:val="none"/>
              </w:rPr>
              <w:t>序号</w:t>
            </w:r>
          </w:p>
        </w:tc>
        <w:tc>
          <w:tcPr>
            <w:tcW w:w="8848" w:type="dxa"/>
            <w:tcBorders>
              <w:top w:val="single" w:color="auto" w:sz="4" w:space="0"/>
              <w:left w:val="single" w:color="auto" w:sz="4" w:space="0"/>
              <w:bottom w:val="single" w:color="auto" w:sz="4" w:space="0"/>
              <w:right w:val="single" w:color="auto" w:sz="4" w:space="0"/>
              <w:tl2br w:val="single" w:color="auto" w:sz="4" w:space="0"/>
            </w:tcBorders>
            <w:noWrap/>
          </w:tcPr>
          <w:p w14:paraId="050FB210">
            <w:pPr>
              <w:snapToGrid w:val="0"/>
              <w:spacing w:line="320" w:lineRule="atLeast"/>
              <w:ind w:firstLine="7350" w:firstLineChars="3500"/>
              <w:rPr>
                <w:rFonts w:ascii="宋体" w:hAnsi="宋体" w:cs="宋体"/>
                <w:color w:val="auto"/>
                <w:szCs w:val="21"/>
                <w:highlight w:val="none"/>
              </w:rPr>
            </w:pPr>
            <w:r>
              <w:rPr>
                <w:rFonts w:hint="eastAsia" w:ascii="宋体" w:hAnsi="宋体" w:cs="宋体"/>
                <w:color w:val="auto"/>
                <w:szCs w:val="21"/>
                <w:highlight w:val="none"/>
              </w:rPr>
              <w:t>投标人</w:t>
            </w:r>
          </w:p>
          <w:p w14:paraId="5C07C7A8">
            <w:pPr>
              <w:snapToGrid w:val="0"/>
              <w:spacing w:line="320" w:lineRule="atLeast"/>
              <w:rPr>
                <w:rFonts w:ascii="宋体" w:hAnsi="宋体" w:cs="宋体"/>
                <w:color w:val="auto"/>
                <w:szCs w:val="21"/>
                <w:highlight w:val="none"/>
              </w:rPr>
            </w:pPr>
            <w:r>
              <w:rPr>
                <w:rFonts w:hint="eastAsia" w:ascii="宋体" w:hAnsi="宋体" w:cs="宋体"/>
                <w:color w:val="auto"/>
                <w:szCs w:val="21"/>
                <w:highlight w:val="none"/>
              </w:rPr>
              <w:t>评审内容</w:t>
            </w:r>
          </w:p>
        </w:tc>
        <w:tc>
          <w:tcPr>
            <w:tcW w:w="850" w:type="dxa"/>
            <w:tcBorders>
              <w:top w:val="single" w:color="auto" w:sz="4" w:space="0"/>
              <w:left w:val="single" w:color="auto" w:sz="4" w:space="0"/>
              <w:bottom w:val="single" w:color="auto" w:sz="4" w:space="0"/>
              <w:right w:val="single" w:color="auto" w:sz="4" w:space="0"/>
            </w:tcBorders>
            <w:noWrap/>
          </w:tcPr>
          <w:p w14:paraId="673FFE55">
            <w:pPr>
              <w:snapToGrid w:val="0"/>
              <w:spacing w:line="320" w:lineRule="atLeast"/>
              <w:rPr>
                <w:rFonts w:ascii="宋体" w:hAnsi="宋体" w:cs="宋体"/>
                <w:color w:val="auto"/>
                <w:szCs w:val="21"/>
                <w:highlight w:val="none"/>
              </w:rPr>
            </w:pPr>
          </w:p>
        </w:tc>
        <w:tc>
          <w:tcPr>
            <w:tcW w:w="624" w:type="dxa"/>
            <w:tcBorders>
              <w:top w:val="single" w:color="auto" w:sz="4" w:space="0"/>
              <w:left w:val="single" w:color="auto" w:sz="4" w:space="0"/>
              <w:bottom w:val="single" w:color="auto" w:sz="4" w:space="0"/>
              <w:right w:val="single" w:color="auto" w:sz="4" w:space="0"/>
            </w:tcBorders>
            <w:noWrap/>
          </w:tcPr>
          <w:p w14:paraId="48615ABE">
            <w:pPr>
              <w:snapToGrid w:val="0"/>
              <w:spacing w:line="320" w:lineRule="atLeast"/>
              <w:rPr>
                <w:rFonts w:ascii="宋体" w:hAnsi="宋体" w:cs="宋体"/>
                <w:color w:val="auto"/>
                <w:szCs w:val="21"/>
                <w:highlight w:val="none"/>
              </w:rPr>
            </w:pPr>
          </w:p>
        </w:tc>
        <w:tc>
          <w:tcPr>
            <w:tcW w:w="857" w:type="dxa"/>
            <w:tcBorders>
              <w:top w:val="single" w:color="auto" w:sz="4" w:space="0"/>
              <w:left w:val="single" w:color="auto" w:sz="4" w:space="0"/>
              <w:bottom w:val="single" w:color="auto" w:sz="4" w:space="0"/>
              <w:right w:val="single" w:color="auto" w:sz="4" w:space="0"/>
            </w:tcBorders>
            <w:noWrap/>
          </w:tcPr>
          <w:p w14:paraId="4334368D">
            <w:pPr>
              <w:snapToGrid w:val="0"/>
              <w:spacing w:line="320" w:lineRule="atLeast"/>
              <w:rPr>
                <w:rFonts w:ascii="宋体" w:hAnsi="宋体" w:cs="宋体"/>
                <w:color w:val="auto"/>
                <w:szCs w:val="21"/>
                <w:highlight w:val="none"/>
              </w:rPr>
            </w:pPr>
          </w:p>
        </w:tc>
        <w:tc>
          <w:tcPr>
            <w:tcW w:w="857" w:type="dxa"/>
            <w:tcBorders>
              <w:top w:val="single" w:color="auto" w:sz="4" w:space="0"/>
              <w:left w:val="single" w:color="auto" w:sz="4" w:space="0"/>
              <w:bottom w:val="single" w:color="auto" w:sz="4" w:space="0"/>
              <w:right w:val="single" w:color="auto" w:sz="4" w:space="0"/>
            </w:tcBorders>
            <w:noWrap/>
          </w:tcPr>
          <w:p w14:paraId="0EB2972B">
            <w:pPr>
              <w:snapToGrid w:val="0"/>
              <w:spacing w:line="320" w:lineRule="atLeast"/>
              <w:rPr>
                <w:rFonts w:ascii="宋体" w:hAnsi="宋体" w:cs="宋体"/>
                <w:color w:val="auto"/>
                <w:szCs w:val="21"/>
                <w:highlight w:val="none"/>
              </w:rPr>
            </w:pPr>
          </w:p>
        </w:tc>
        <w:tc>
          <w:tcPr>
            <w:tcW w:w="857" w:type="dxa"/>
            <w:tcBorders>
              <w:top w:val="single" w:color="auto" w:sz="4" w:space="0"/>
              <w:left w:val="single" w:color="auto" w:sz="4" w:space="0"/>
              <w:bottom w:val="single" w:color="auto" w:sz="4" w:space="0"/>
              <w:right w:val="single" w:color="auto" w:sz="4" w:space="0"/>
            </w:tcBorders>
            <w:noWrap/>
          </w:tcPr>
          <w:p w14:paraId="768F3B3B">
            <w:pPr>
              <w:snapToGrid w:val="0"/>
              <w:spacing w:line="320" w:lineRule="atLeast"/>
              <w:rPr>
                <w:rFonts w:ascii="宋体" w:hAnsi="宋体" w:cs="宋体"/>
                <w:color w:val="auto"/>
                <w:szCs w:val="21"/>
                <w:highlight w:val="none"/>
              </w:rPr>
            </w:pPr>
          </w:p>
        </w:tc>
        <w:tc>
          <w:tcPr>
            <w:tcW w:w="858" w:type="dxa"/>
            <w:tcBorders>
              <w:top w:val="single" w:color="auto" w:sz="4" w:space="0"/>
              <w:left w:val="single" w:color="auto" w:sz="4" w:space="0"/>
              <w:bottom w:val="single" w:color="auto" w:sz="4" w:space="0"/>
              <w:right w:val="single" w:color="auto" w:sz="4" w:space="0"/>
            </w:tcBorders>
            <w:noWrap/>
          </w:tcPr>
          <w:p w14:paraId="40E3353F">
            <w:pPr>
              <w:snapToGrid w:val="0"/>
              <w:spacing w:line="320" w:lineRule="atLeast"/>
              <w:rPr>
                <w:rFonts w:ascii="宋体" w:hAnsi="宋体" w:cs="宋体"/>
                <w:color w:val="auto"/>
                <w:szCs w:val="21"/>
                <w:highlight w:val="none"/>
              </w:rPr>
            </w:pPr>
          </w:p>
        </w:tc>
      </w:tr>
      <w:tr w14:paraId="26E9C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noWrap/>
            <w:vAlign w:val="center"/>
          </w:tcPr>
          <w:p w14:paraId="77862172">
            <w:pPr>
              <w:snapToGrid w:val="0"/>
              <w:spacing w:line="320" w:lineRule="atLeast"/>
              <w:rPr>
                <w:rFonts w:ascii="宋体" w:hAnsi="宋体" w:cs="宋体"/>
                <w:color w:val="auto"/>
                <w:szCs w:val="21"/>
                <w:highlight w:val="none"/>
              </w:rPr>
            </w:pPr>
            <w:r>
              <w:rPr>
                <w:rFonts w:hint="eastAsia" w:ascii="宋体" w:hAnsi="宋体" w:cs="宋体"/>
                <w:color w:val="auto"/>
                <w:szCs w:val="21"/>
                <w:highlight w:val="none"/>
              </w:rPr>
              <w:t>1</w:t>
            </w:r>
          </w:p>
        </w:tc>
        <w:tc>
          <w:tcPr>
            <w:tcW w:w="8848" w:type="dxa"/>
            <w:tcBorders>
              <w:top w:val="single" w:color="auto" w:sz="4" w:space="0"/>
              <w:left w:val="single" w:color="auto" w:sz="4" w:space="0"/>
              <w:bottom w:val="single" w:color="auto" w:sz="4" w:space="0"/>
              <w:right w:val="single" w:color="auto" w:sz="4" w:space="0"/>
            </w:tcBorders>
            <w:noWrap/>
            <w:vAlign w:val="center"/>
          </w:tcPr>
          <w:p w14:paraId="3EB48FD8">
            <w:pPr>
              <w:snapToGrid w:val="0"/>
              <w:spacing w:line="320" w:lineRule="atLeast"/>
              <w:rPr>
                <w:rFonts w:ascii="宋体" w:hAnsi="宋体" w:cs="宋体"/>
                <w:color w:val="auto"/>
                <w:szCs w:val="21"/>
                <w:highlight w:val="none"/>
              </w:rPr>
            </w:pPr>
            <w:r>
              <w:rPr>
                <w:rFonts w:hint="eastAsia" w:ascii="宋体" w:hAnsi="宋体" w:cs="宋体"/>
                <w:color w:val="auto"/>
                <w:szCs w:val="21"/>
                <w:highlight w:val="none"/>
              </w:rPr>
              <w:t>对同一招标项目出现两个或以上的投标报价，且没有申明哪个有效；</w:t>
            </w:r>
          </w:p>
        </w:tc>
        <w:tc>
          <w:tcPr>
            <w:tcW w:w="850" w:type="dxa"/>
            <w:tcBorders>
              <w:top w:val="single" w:color="auto" w:sz="4" w:space="0"/>
              <w:left w:val="single" w:color="auto" w:sz="4" w:space="0"/>
              <w:bottom w:val="single" w:color="auto" w:sz="4" w:space="0"/>
              <w:right w:val="single" w:color="auto" w:sz="4" w:space="0"/>
            </w:tcBorders>
            <w:noWrap/>
          </w:tcPr>
          <w:p w14:paraId="6858DC9D">
            <w:pPr>
              <w:snapToGrid w:val="0"/>
              <w:spacing w:line="320" w:lineRule="atLeast"/>
              <w:rPr>
                <w:rFonts w:ascii="宋体" w:hAnsi="宋体" w:cs="宋体"/>
                <w:color w:val="auto"/>
                <w:szCs w:val="21"/>
                <w:highlight w:val="none"/>
              </w:rPr>
            </w:pPr>
          </w:p>
        </w:tc>
        <w:tc>
          <w:tcPr>
            <w:tcW w:w="624" w:type="dxa"/>
            <w:tcBorders>
              <w:top w:val="single" w:color="auto" w:sz="4" w:space="0"/>
              <w:left w:val="single" w:color="auto" w:sz="4" w:space="0"/>
              <w:bottom w:val="single" w:color="auto" w:sz="4" w:space="0"/>
              <w:right w:val="single" w:color="auto" w:sz="4" w:space="0"/>
            </w:tcBorders>
            <w:noWrap/>
          </w:tcPr>
          <w:p w14:paraId="5907D915">
            <w:pPr>
              <w:snapToGrid w:val="0"/>
              <w:spacing w:line="320" w:lineRule="atLeast"/>
              <w:rPr>
                <w:rFonts w:ascii="宋体" w:hAnsi="宋体" w:cs="宋体"/>
                <w:color w:val="auto"/>
                <w:szCs w:val="21"/>
                <w:highlight w:val="none"/>
              </w:rPr>
            </w:pPr>
          </w:p>
        </w:tc>
        <w:tc>
          <w:tcPr>
            <w:tcW w:w="857" w:type="dxa"/>
            <w:tcBorders>
              <w:top w:val="single" w:color="auto" w:sz="4" w:space="0"/>
              <w:left w:val="single" w:color="auto" w:sz="4" w:space="0"/>
              <w:bottom w:val="single" w:color="auto" w:sz="4" w:space="0"/>
              <w:right w:val="single" w:color="auto" w:sz="4" w:space="0"/>
            </w:tcBorders>
            <w:noWrap/>
          </w:tcPr>
          <w:p w14:paraId="6C601A58">
            <w:pPr>
              <w:snapToGrid w:val="0"/>
              <w:spacing w:line="320" w:lineRule="atLeast"/>
              <w:rPr>
                <w:rFonts w:ascii="宋体" w:hAnsi="宋体" w:cs="宋体"/>
                <w:color w:val="auto"/>
                <w:szCs w:val="21"/>
                <w:highlight w:val="none"/>
              </w:rPr>
            </w:pPr>
          </w:p>
        </w:tc>
        <w:tc>
          <w:tcPr>
            <w:tcW w:w="857" w:type="dxa"/>
            <w:tcBorders>
              <w:top w:val="single" w:color="auto" w:sz="4" w:space="0"/>
              <w:left w:val="single" w:color="auto" w:sz="4" w:space="0"/>
              <w:bottom w:val="single" w:color="auto" w:sz="4" w:space="0"/>
              <w:right w:val="single" w:color="auto" w:sz="4" w:space="0"/>
            </w:tcBorders>
            <w:noWrap/>
          </w:tcPr>
          <w:p w14:paraId="1BD2D73C">
            <w:pPr>
              <w:snapToGrid w:val="0"/>
              <w:spacing w:line="320" w:lineRule="atLeast"/>
              <w:rPr>
                <w:rFonts w:ascii="宋体" w:hAnsi="宋体" w:cs="宋体"/>
                <w:color w:val="auto"/>
                <w:szCs w:val="21"/>
                <w:highlight w:val="none"/>
              </w:rPr>
            </w:pPr>
          </w:p>
        </w:tc>
        <w:tc>
          <w:tcPr>
            <w:tcW w:w="857" w:type="dxa"/>
            <w:tcBorders>
              <w:top w:val="single" w:color="auto" w:sz="4" w:space="0"/>
              <w:left w:val="single" w:color="auto" w:sz="4" w:space="0"/>
              <w:bottom w:val="single" w:color="auto" w:sz="4" w:space="0"/>
              <w:right w:val="single" w:color="auto" w:sz="4" w:space="0"/>
            </w:tcBorders>
            <w:noWrap/>
          </w:tcPr>
          <w:p w14:paraId="4543C93A">
            <w:pPr>
              <w:snapToGrid w:val="0"/>
              <w:spacing w:line="320" w:lineRule="atLeast"/>
              <w:rPr>
                <w:rFonts w:ascii="宋体" w:hAnsi="宋体" w:cs="宋体"/>
                <w:color w:val="auto"/>
                <w:szCs w:val="21"/>
                <w:highlight w:val="none"/>
              </w:rPr>
            </w:pPr>
          </w:p>
        </w:tc>
        <w:tc>
          <w:tcPr>
            <w:tcW w:w="858" w:type="dxa"/>
            <w:tcBorders>
              <w:top w:val="single" w:color="auto" w:sz="4" w:space="0"/>
              <w:left w:val="single" w:color="auto" w:sz="4" w:space="0"/>
              <w:bottom w:val="single" w:color="auto" w:sz="4" w:space="0"/>
              <w:right w:val="single" w:color="auto" w:sz="4" w:space="0"/>
            </w:tcBorders>
            <w:noWrap/>
          </w:tcPr>
          <w:p w14:paraId="04B64ED6">
            <w:pPr>
              <w:snapToGrid w:val="0"/>
              <w:spacing w:line="320" w:lineRule="atLeast"/>
              <w:rPr>
                <w:rFonts w:ascii="宋体" w:hAnsi="宋体" w:cs="宋体"/>
                <w:color w:val="auto"/>
                <w:szCs w:val="21"/>
                <w:highlight w:val="none"/>
              </w:rPr>
            </w:pPr>
          </w:p>
        </w:tc>
      </w:tr>
      <w:tr w14:paraId="3AF4D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noWrap/>
            <w:vAlign w:val="center"/>
          </w:tcPr>
          <w:p w14:paraId="03B32AF0">
            <w:pPr>
              <w:snapToGrid w:val="0"/>
              <w:spacing w:line="320" w:lineRule="atLeast"/>
              <w:rPr>
                <w:rFonts w:ascii="宋体" w:hAnsi="宋体" w:cs="宋体"/>
                <w:color w:val="auto"/>
                <w:szCs w:val="21"/>
                <w:highlight w:val="none"/>
              </w:rPr>
            </w:pPr>
            <w:r>
              <w:rPr>
                <w:rFonts w:hint="eastAsia" w:ascii="宋体" w:hAnsi="宋体" w:cs="宋体"/>
                <w:color w:val="auto"/>
                <w:szCs w:val="21"/>
                <w:highlight w:val="none"/>
              </w:rPr>
              <w:t>2</w:t>
            </w:r>
          </w:p>
        </w:tc>
        <w:tc>
          <w:tcPr>
            <w:tcW w:w="8848" w:type="dxa"/>
            <w:tcBorders>
              <w:top w:val="single" w:color="auto" w:sz="4" w:space="0"/>
              <w:left w:val="single" w:color="auto" w:sz="4" w:space="0"/>
              <w:bottom w:val="single" w:color="auto" w:sz="4" w:space="0"/>
              <w:right w:val="single" w:color="auto" w:sz="4" w:space="0"/>
            </w:tcBorders>
            <w:noWrap/>
            <w:vAlign w:val="center"/>
          </w:tcPr>
          <w:p w14:paraId="0EF3E880">
            <w:pPr>
              <w:snapToGrid w:val="0"/>
              <w:spacing w:line="320" w:lineRule="atLeast"/>
              <w:rPr>
                <w:rFonts w:ascii="宋体" w:hAnsi="宋体" w:cs="宋体"/>
                <w:color w:val="auto"/>
                <w:szCs w:val="21"/>
                <w:highlight w:val="none"/>
              </w:rPr>
            </w:pPr>
            <w:r>
              <w:rPr>
                <w:rFonts w:hint="eastAsia" w:ascii="宋体" w:hAnsi="宋体" w:cs="宋体"/>
                <w:color w:val="auto"/>
                <w:szCs w:val="21"/>
                <w:highlight w:val="none"/>
              </w:rPr>
              <w:t>投标报价高于最高投标限价的</w:t>
            </w:r>
            <w:r>
              <w:rPr>
                <w:rFonts w:hint="eastAsia" w:ascii="宋体" w:hAnsi="宋体" w:cs="宋体"/>
                <w:color w:val="auto"/>
                <w:szCs w:val="21"/>
                <w:highlight w:val="none"/>
                <w:u w:val="none"/>
              </w:rPr>
              <w:t>。</w:t>
            </w:r>
          </w:p>
        </w:tc>
        <w:tc>
          <w:tcPr>
            <w:tcW w:w="850" w:type="dxa"/>
            <w:tcBorders>
              <w:top w:val="single" w:color="auto" w:sz="4" w:space="0"/>
              <w:left w:val="single" w:color="auto" w:sz="4" w:space="0"/>
              <w:bottom w:val="single" w:color="auto" w:sz="4" w:space="0"/>
              <w:right w:val="single" w:color="auto" w:sz="4" w:space="0"/>
            </w:tcBorders>
            <w:noWrap/>
          </w:tcPr>
          <w:p w14:paraId="50456E49">
            <w:pPr>
              <w:snapToGrid w:val="0"/>
              <w:spacing w:line="320" w:lineRule="atLeast"/>
              <w:rPr>
                <w:rFonts w:ascii="宋体" w:hAnsi="宋体" w:cs="宋体"/>
                <w:color w:val="auto"/>
                <w:szCs w:val="21"/>
                <w:highlight w:val="none"/>
              </w:rPr>
            </w:pPr>
          </w:p>
        </w:tc>
        <w:tc>
          <w:tcPr>
            <w:tcW w:w="624" w:type="dxa"/>
            <w:tcBorders>
              <w:top w:val="single" w:color="auto" w:sz="4" w:space="0"/>
              <w:left w:val="single" w:color="auto" w:sz="4" w:space="0"/>
              <w:bottom w:val="single" w:color="auto" w:sz="4" w:space="0"/>
              <w:right w:val="single" w:color="auto" w:sz="4" w:space="0"/>
            </w:tcBorders>
            <w:noWrap/>
          </w:tcPr>
          <w:p w14:paraId="36494D65">
            <w:pPr>
              <w:snapToGrid w:val="0"/>
              <w:spacing w:line="320" w:lineRule="atLeast"/>
              <w:rPr>
                <w:rFonts w:ascii="宋体" w:hAnsi="宋体" w:cs="宋体"/>
                <w:color w:val="auto"/>
                <w:szCs w:val="21"/>
                <w:highlight w:val="none"/>
              </w:rPr>
            </w:pPr>
          </w:p>
        </w:tc>
        <w:tc>
          <w:tcPr>
            <w:tcW w:w="857" w:type="dxa"/>
            <w:tcBorders>
              <w:top w:val="single" w:color="auto" w:sz="4" w:space="0"/>
              <w:left w:val="single" w:color="auto" w:sz="4" w:space="0"/>
              <w:bottom w:val="single" w:color="auto" w:sz="4" w:space="0"/>
              <w:right w:val="single" w:color="auto" w:sz="4" w:space="0"/>
            </w:tcBorders>
            <w:noWrap/>
          </w:tcPr>
          <w:p w14:paraId="4A4EBD22">
            <w:pPr>
              <w:snapToGrid w:val="0"/>
              <w:spacing w:line="320" w:lineRule="atLeast"/>
              <w:rPr>
                <w:rFonts w:ascii="宋体" w:hAnsi="宋体" w:cs="宋体"/>
                <w:color w:val="auto"/>
                <w:szCs w:val="21"/>
                <w:highlight w:val="none"/>
              </w:rPr>
            </w:pPr>
          </w:p>
        </w:tc>
        <w:tc>
          <w:tcPr>
            <w:tcW w:w="857" w:type="dxa"/>
            <w:tcBorders>
              <w:top w:val="single" w:color="auto" w:sz="4" w:space="0"/>
              <w:left w:val="single" w:color="auto" w:sz="4" w:space="0"/>
              <w:bottom w:val="single" w:color="auto" w:sz="4" w:space="0"/>
              <w:right w:val="single" w:color="auto" w:sz="4" w:space="0"/>
            </w:tcBorders>
            <w:noWrap/>
          </w:tcPr>
          <w:p w14:paraId="00B76EC1">
            <w:pPr>
              <w:snapToGrid w:val="0"/>
              <w:spacing w:line="320" w:lineRule="atLeast"/>
              <w:rPr>
                <w:rFonts w:ascii="宋体" w:hAnsi="宋体" w:cs="宋体"/>
                <w:color w:val="auto"/>
                <w:szCs w:val="21"/>
                <w:highlight w:val="none"/>
              </w:rPr>
            </w:pPr>
          </w:p>
        </w:tc>
        <w:tc>
          <w:tcPr>
            <w:tcW w:w="857" w:type="dxa"/>
            <w:tcBorders>
              <w:top w:val="single" w:color="auto" w:sz="4" w:space="0"/>
              <w:left w:val="single" w:color="auto" w:sz="4" w:space="0"/>
              <w:bottom w:val="single" w:color="auto" w:sz="4" w:space="0"/>
              <w:right w:val="single" w:color="auto" w:sz="4" w:space="0"/>
            </w:tcBorders>
            <w:noWrap/>
          </w:tcPr>
          <w:p w14:paraId="7C3F60B4">
            <w:pPr>
              <w:snapToGrid w:val="0"/>
              <w:spacing w:line="320" w:lineRule="atLeast"/>
              <w:rPr>
                <w:rFonts w:ascii="宋体" w:hAnsi="宋体" w:cs="宋体"/>
                <w:color w:val="auto"/>
                <w:szCs w:val="21"/>
                <w:highlight w:val="none"/>
              </w:rPr>
            </w:pPr>
          </w:p>
        </w:tc>
        <w:tc>
          <w:tcPr>
            <w:tcW w:w="858" w:type="dxa"/>
            <w:tcBorders>
              <w:top w:val="single" w:color="auto" w:sz="4" w:space="0"/>
              <w:left w:val="single" w:color="auto" w:sz="4" w:space="0"/>
              <w:bottom w:val="single" w:color="auto" w:sz="4" w:space="0"/>
              <w:right w:val="single" w:color="auto" w:sz="4" w:space="0"/>
            </w:tcBorders>
            <w:noWrap/>
          </w:tcPr>
          <w:p w14:paraId="51F4514D">
            <w:pPr>
              <w:snapToGrid w:val="0"/>
              <w:spacing w:line="320" w:lineRule="atLeast"/>
              <w:rPr>
                <w:rFonts w:ascii="宋体" w:hAnsi="宋体" w:cs="宋体"/>
                <w:color w:val="auto"/>
                <w:szCs w:val="21"/>
                <w:highlight w:val="none"/>
              </w:rPr>
            </w:pPr>
          </w:p>
        </w:tc>
      </w:tr>
      <w:tr w14:paraId="61C57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noWrap/>
            <w:vAlign w:val="center"/>
          </w:tcPr>
          <w:p w14:paraId="1C2F4695">
            <w:pPr>
              <w:snapToGrid w:val="0"/>
              <w:spacing w:line="320" w:lineRule="atLeast"/>
              <w:rPr>
                <w:rFonts w:ascii="宋体" w:hAnsi="宋体" w:cs="宋体"/>
                <w:color w:val="auto"/>
                <w:szCs w:val="21"/>
                <w:highlight w:val="none"/>
              </w:rPr>
            </w:pPr>
            <w:r>
              <w:rPr>
                <w:rFonts w:hint="eastAsia" w:ascii="宋体" w:hAnsi="宋体" w:cs="宋体"/>
                <w:color w:val="auto"/>
                <w:szCs w:val="21"/>
                <w:highlight w:val="none"/>
              </w:rPr>
              <w:t>3</w:t>
            </w:r>
          </w:p>
        </w:tc>
        <w:tc>
          <w:tcPr>
            <w:tcW w:w="8848" w:type="dxa"/>
            <w:tcBorders>
              <w:top w:val="single" w:color="auto" w:sz="4" w:space="0"/>
              <w:left w:val="single" w:color="auto" w:sz="4" w:space="0"/>
              <w:bottom w:val="single" w:color="auto" w:sz="4" w:space="0"/>
              <w:right w:val="single" w:color="auto" w:sz="4" w:space="0"/>
            </w:tcBorders>
            <w:noWrap/>
            <w:vAlign w:val="center"/>
          </w:tcPr>
          <w:p w14:paraId="2E8CE28C">
            <w:pPr>
              <w:autoSpaceDE w:val="0"/>
              <w:autoSpaceDN w:val="0"/>
              <w:adjustRightInd w:val="0"/>
              <w:snapToGrid w:val="0"/>
              <w:spacing w:line="320" w:lineRule="atLeast"/>
              <w:ind w:left="-2" w:leftChars="-1"/>
              <w:jc w:val="left"/>
              <w:rPr>
                <w:rFonts w:ascii="宋体" w:hAnsi="宋体" w:cs="宋体"/>
                <w:color w:val="auto"/>
                <w:szCs w:val="21"/>
                <w:highlight w:val="none"/>
              </w:rPr>
            </w:pPr>
            <w:r>
              <w:rPr>
                <w:rFonts w:hint="eastAsia" w:ascii="宋体" w:hAnsi="宋体" w:cs="宋体"/>
                <w:color w:val="auto"/>
                <w:szCs w:val="21"/>
                <w:highlight w:val="none"/>
              </w:rPr>
              <w:t>投标报价低于成本的</w:t>
            </w:r>
            <w:r>
              <w:rPr>
                <w:rFonts w:hint="eastAsia" w:ascii="宋体" w:hAnsi="宋体" w:cs="宋体"/>
                <w:color w:val="auto"/>
                <w:szCs w:val="21"/>
                <w:highlight w:val="none"/>
                <w:u w:val="single"/>
              </w:rPr>
              <w:t>（投标人的报价明显低于其他投标报价或者低于</w:t>
            </w:r>
            <w:r>
              <w:rPr>
                <w:rFonts w:hint="eastAsia" w:ascii="宋体" w:hAnsi="宋体" w:cs="宋体"/>
                <w:color w:val="auto"/>
                <w:szCs w:val="21"/>
                <w:highlight w:val="none"/>
                <w:u w:val="single"/>
                <w:lang w:eastAsia="zh-CN"/>
              </w:rPr>
              <w:t>成本警示价</w:t>
            </w:r>
            <w:r>
              <w:rPr>
                <w:rFonts w:hint="eastAsia" w:ascii="宋体" w:hAnsi="宋体" w:cs="宋体"/>
                <w:color w:val="auto"/>
                <w:szCs w:val="21"/>
                <w:highlight w:val="none"/>
                <w:u w:val="single"/>
              </w:rPr>
              <w:t>，使得其投标报价可能低于其个别成本的，应当要求该投标人作出书面说明并提供相关证明材料。投标人不能合理说明或者不能提供相关证明材料的，由评标委员会认定该投标人以低于成本报价竞标）；</w:t>
            </w:r>
          </w:p>
        </w:tc>
        <w:tc>
          <w:tcPr>
            <w:tcW w:w="850" w:type="dxa"/>
            <w:tcBorders>
              <w:top w:val="single" w:color="auto" w:sz="4" w:space="0"/>
              <w:left w:val="single" w:color="auto" w:sz="4" w:space="0"/>
              <w:bottom w:val="single" w:color="auto" w:sz="4" w:space="0"/>
              <w:right w:val="single" w:color="auto" w:sz="4" w:space="0"/>
            </w:tcBorders>
            <w:noWrap/>
          </w:tcPr>
          <w:p w14:paraId="72A74B27">
            <w:pPr>
              <w:snapToGrid w:val="0"/>
              <w:spacing w:line="320" w:lineRule="atLeast"/>
              <w:rPr>
                <w:rFonts w:ascii="宋体" w:hAnsi="宋体" w:cs="宋体"/>
                <w:color w:val="auto"/>
                <w:szCs w:val="21"/>
                <w:highlight w:val="none"/>
              </w:rPr>
            </w:pPr>
          </w:p>
        </w:tc>
        <w:tc>
          <w:tcPr>
            <w:tcW w:w="624" w:type="dxa"/>
            <w:tcBorders>
              <w:top w:val="single" w:color="auto" w:sz="4" w:space="0"/>
              <w:left w:val="single" w:color="auto" w:sz="4" w:space="0"/>
              <w:bottom w:val="single" w:color="auto" w:sz="4" w:space="0"/>
              <w:right w:val="single" w:color="auto" w:sz="4" w:space="0"/>
            </w:tcBorders>
            <w:noWrap/>
          </w:tcPr>
          <w:p w14:paraId="4124C527">
            <w:pPr>
              <w:snapToGrid w:val="0"/>
              <w:spacing w:line="320" w:lineRule="atLeast"/>
              <w:rPr>
                <w:rFonts w:ascii="宋体" w:hAnsi="宋体" w:cs="宋体"/>
                <w:color w:val="auto"/>
                <w:szCs w:val="21"/>
                <w:highlight w:val="none"/>
              </w:rPr>
            </w:pPr>
          </w:p>
        </w:tc>
        <w:tc>
          <w:tcPr>
            <w:tcW w:w="857" w:type="dxa"/>
            <w:tcBorders>
              <w:top w:val="single" w:color="auto" w:sz="4" w:space="0"/>
              <w:left w:val="single" w:color="auto" w:sz="4" w:space="0"/>
              <w:bottom w:val="single" w:color="auto" w:sz="4" w:space="0"/>
              <w:right w:val="single" w:color="auto" w:sz="4" w:space="0"/>
            </w:tcBorders>
            <w:noWrap/>
          </w:tcPr>
          <w:p w14:paraId="753AA48E">
            <w:pPr>
              <w:snapToGrid w:val="0"/>
              <w:spacing w:line="320" w:lineRule="atLeast"/>
              <w:rPr>
                <w:rFonts w:ascii="宋体" w:hAnsi="宋体" w:cs="宋体"/>
                <w:color w:val="auto"/>
                <w:szCs w:val="21"/>
                <w:highlight w:val="none"/>
              </w:rPr>
            </w:pPr>
          </w:p>
        </w:tc>
        <w:tc>
          <w:tcPr>
            <w:tcW w:w="857" w:type="dxa"/>
            <w:tcBorders>
              <w:top w:val="single" w:color="auto" w:sz="4" w:space="0"/>
              <w:left w:val="single" w:color="auto" w:sz="4" w:space="0"/>
              <w:bottom w:val="single" w:color="auto" w:sz="4" w:space="0"/>
              <w:right w:val="single" w:color="auto" w:sz="4" w:space="0"/>
            </w:tcBorders>
            <w:noWrap/>
          </w:tcPr>
          <w:p w14:paraId="10447D4E">
            <w:pPr>
              <w:snapToGrid w:val="0"/>
              <w:spacing w:line="320" w:lineRule="atLeast"/>
              <w:rPr>
                <w:rFonts w:ascii="宋体" w:hAnsi="宋体" w:cs="宋体"/>
                <w:color w:val="auto"/>
                <w:szCs w:val="21"/>
                <w:highlight w:val="none"/>
              </w:rPr>
            </w:pPr>
          </w:p>
        </w:tc>
        <w:tc>
          <w:tcPr>
            <w:tcW w:w="857" w:type="dxa"/>
            <w:tcBorders>
              <w:top w:val="single" w:color="auto" w:sz="4" w:space="0"/>
              <w:left w:val="single" w:color="auto" w:sz="4" w:space="0"/>
              <w:bottom w:val="single" w:color="auto" w:sz="4" w:space="0"/>
              <w:right w:val="single" w:color="auto" w:sz="4" w:space="0"/>
            </w:tcBorders>
            <w:noWrap/>
          </w:tcPr>
          <w:p w14:paraId="26EE185C">
            <w:pPr>
              <w:snapToGrid w:val="0"/>
              <w:spacing w:line="320" w:lineRule="atLeast"/>
              <w:rPr>
                <w:rFonts w:ascii="宋体" w:hAnsi="宋体" w:cs="宋体"/>
                <w:color w:val="auto"/>
                <w:szCs w:val="21"/>
                <w:highlight w:val="none"/>
              </w:rPr>
            </w:pPr>
          </w:p>
        </w:tc>
        <w:tc>
          <w:tcPr>
            <w:tcW w:w="858" w:type="dxa"/>
            <w:tcBorders>
              <w:top w:val="single" w:color="auto" w:sz="4" w:space="0"/>
              <w:left w:val="single" w:color="auto" w:sz="4" w:space="0"/>
              <w:bottom w:val="single" w:color="auto" w:sz="4" w:space="0"/>
              <w:right w:val="single" w:color="auto" w:sz="4" w:space="0"/>
            </w:tcBorders>
            <w:noWrap/>
          </w:tcPr>
          <w:p w14:paraId="432CD96B">
            <w:pPr>
              <w:snapToGrid w:val="0"/>
              <w:spacing w:line="320" w:lineRule="atLeast"/>
              <w:rPr>
                <w:rFonts w:ascii="宋体" w:hAnsi="宋体" w:cs="宋体"/>
                <w:color w:val="auto"/>
                <w:szCs w:val="21"/>
                <w:highlight w:val="none"/>
              </w:rPr>
            </w:pPr>
          </w:p>
        </w:tc>
      </w:tr>
      <w:tr w14:paraId="4C0CE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noWrap/>
            <w:vAlign w:val="center"/>
          </w:tcPr>
          <w:p w14:paraId="02701CA9">
            <w:pPr>
              <w:snapToGrid w:val="0"/>
              <w:spacing w:line="320" w:lineRule="atLeast"/>
              <w:rPr>
                <w:rFonts w:ascii="宋体" w:hAnsi="宋体" w:cs="宋体"/>
                <w:color w:val="auto"/>
                <w:szCs w:val="21"/>
                <w:highlight w:val="none"/>
              </w:rPr>
            </w:pPr>
            <w:r>
              <w:rPr>
                <w:rFonts w:hint="eastAsia" w:ascii="宋体" w:hAnsi="宋体" w:cs="宋体"/>
                <w:color w:val="auto"/>
                <w:szCs w:val="21"/>
                <w:highlight w:val="none"/>
              </w:rPr>
              <w:t>4</w:t>
            </w:r>
          </w:p>
        </w:tc>
        <w:tc>
          <w:tcPr>
            <w:tcW w:w="8848" w:type="dxa"/>
            <w:tcBorders>
              <w:top w:val="single" w:color="auto" w:sz="4" w:space="0"/>
              <w:left w:val="single" w:color="auto" w:sz="4" w:space="0"/>
              <w:bottom w:val="single" w:color="auto" w:sz="4" w:space="0"/>
              <w:right w:val="single" w:color="auto" w:sz="4" w:space="0"/>
            </w:tcBorders>
            <w:noWrap/>
            <w:vAlign w:val="center"/>
          </w:tcPr>
          <w:p w14:paraId="4DFCF635">
            <w:pPr>
              <w:snapToGrid w:val="0"/>
              <w:spacing w:line="320" w:lineRule="atLeast"/>
              <w:rPr>
                <w:rFonts w:ascii="宋体" w:hAnsi="宋体" w:cs="宋体"/>
                <w:color w:val="auto"/>
                <w:szCs w:val="21"/>
                <w:highlight w:val="none"/>
              </w:rPr>
            </w:pPr>
            <w:r>
              <w:rPr>
                <w:rFonts w:hint="eastAsia" w:ascii="宋体" w:hAnsi="宋体" w:cs="宋体"/>
                <w:color w:val="auto"/>
                <w:szCs w:val="21"/>
                <w:highlight w:val="none"/>
              </w:rPr>
              <w:t>投标文件未按规定的格式</w:t>
            </w:r>
            <w:r>
              <w:rPr>
                <w:rFonts w:hint="eastAsia" w:ascii="宋体" w:hAnsi="宋体" w:cs="宋体"/>
                <w:color w:val="auto"/>
                <w:szCs w:val="21"/>
                <w:highlight w:val="none"/>
                <w:u w:val="single"/>
              </w:rPr>
              <w:t>（指招标文件第四章提供格式的《广州建设工程施工招标投标书（经济标）》《对投标文件编制的承诺》）</w:t>
            </w:r>
            <w:r>
              <w:rPr>
                <w:rFonts w:hint="eastAsia" w:ascii="宋体" w:hAnsi="宋体" w:cs="宋体"/>
                <w:color w:val="auto"/>
                <w:szCs w:val="21"/>
                <w:highlight w:val="none"/>
              </w:rPr>
              <w:t>填写，或主要内容不全，或关键字迹模糊、无法辨认的；</w:t>
            </w:r>
          </w:p>
        </w:tc>
        <w:tc>
          <w:tcPr>
            <w:tcW w:w="850" w:type="dxa"/>
            <w:tcBorders>
              <w:top w:val="single" w:color="auto" w:sz="4" w:space="0"/>
              <w:left w:val="single" w:color="auto" w:sz="4" w:space="0"/>
              <w:bottom w:val="single" w:color="auto" w:sz="4" w:space="0"/>
              <w:right w:val="single" w:color="auto" w:sz="4" w:space="0"/>
            </w:tcBorders>
            <w:noWrap/>
          </w:tcPr>
          <w:p w14:paraId="2B398926">
            <w:pPr>
              <w:snapToGrid w:val="0"/>
              <w:spacing w:line="320" w:lineRule="atLeast"/>
              <w:rPr>
                <w:rFonts w:ascii="宋体" w:hAnsi="宋体" w:cs="宋体"/>
                <w:color w:val="auto"/>
                <w:szCs w:val="21"/>
                <w:highlight w:val="none"/>
              </w:rPr>
            </w:pPr>
          </w:p>
        </w:tc>
        <w:tc>
          <w:tcPr>
            <w:tcW w:w="624" w:type="dxa"/>
            <w:tcBorders>
              <w:top w:val="single" w:color="auto" w:sz="4" w:space="0"/>
              <w:left w:val="single" w:color="auto" w:sz="4" w:space="0"/>
              <w:bottom w:val="single" w:color="auto" w:sz="4" w:space="0"/>
              <w:right w:val="single" w:color="auto" w:sz="4" w:space="0"/>
            </w:tcBorders>
            <w:noWrap/>
          </w:tcPr>
          <w:p w14:paraId="28AEB870">
            <w:pPr>
              <w:snapToGrid w:val="0"/>
              <w:spacing w:line="320" w:lineRule="atLeast"/>
              <w:rPr>
                <w:rFonts w:ascii="宋体" w:hAnsi="宋体" w:cs="宋体"/>
                <w:color w:val="auto"/>
                <w:szCs w:val="21"/>
                <w:highlight w:val="none"/>
              </w:rPr>
            </w:pPr>
          </w:p>
        </w:tc>
        <w:tc>
          <w:tcPr>
            <w:tcW w:w="857" w:type="dxa"/>
            <w:tcBorders>
              <w:top w:val="single" w:color="auto" w:sz="4" w:space="0"/>
              <w:left w:val="single" w:color="auto" w:sz="4" w:space="0"/>
              <w:bottom w:val="single" w:color="auto" w:sz="4" w:space="0"/>
              <w:right w:val="single" w:color="auto" w:sz="4" w:space="0"/>
            </w:tcBorders>
            <w:noWrap/>
          </w:tcPr>
          <w:p w14:paraId="2AB25569">
            <w:pPr>
              <w:snapToGrid w:val="0"/>
              <w:spacing w:line="320" w:lineRule="atLeast"/>
              <w:rPr>
                <w:rFonts w:ascii="宋体" w:hAnsi="宋体" w:cs="宋体"/>
                <w:color w:val="auto"/>
                <w:szCs w:val="21"/>
                <w:highlight w:val="none"/>
              </w:rPr>
            </w:pPr>
          </w:p>
        </w:tc>
        <w:tc>
          <w:tcPr>
            <w:tcW w:w="857" w:type="dxa"/>
            <w:tcBorders>
              <w:top w:val="single" w:color="auto" w:sz="4" w:space="0"/>
              <w:left w:val="single" w:color="auto" w:sz="4" w:space="0"/>
              <w:bottom w:val="single" w:color="auto" w:sz="4" w:space="0"/>
              <w:right w:val="single" w:color="auto" w:sz="4" w:space="0"/>
            </w:tcBorders>
            <w:noWrap/>
          </w:tcPr>
          <w:p w14:paraId="4D1F0375">
            <w:pPr>
              <w:snapToGrid w:val="0"/>
              <w:spacing w:line="320" w:lineRule="atLeast"/>
              <w:rPr>
                <w:rFonts w:ascii="宋体" w:hAnsi="宋体" w:cs="宋体"/>
                <w:color w:val="auto"/>
                <w:szCs w:val="21"/>
                <w:highlight w:val="none"/>
              </w:rPr>
            </w:pPr>
          </w:p>
        </w:tc>
        <w:tc>
          <w:tcPr>
            <w:tcW w:w="857" w:type="dxa"/>
            <w:tcBorders>
              <w:top w:val="single" w:color="auto" w:sz="4" w:space="0"/>
              <w:left w:val="single" w:color="auto" w:sz="4" w:space="0"/>
              <w:bottom w:val="single" w:color="auto" w:sz="4" w:space="0"/>
              <w:right w:val="single" w:color="auto" w:sz="4" w:space="0"/>
            </w:tcBorders>
            <w:noWrap/>
          </w:tcPr>
          <w:p w14:paraId="1406E992">
            <w:pPr>
              <w:snapToGrid w:val="0"/>
              <w:spacing w:line="320" w:lineRule="atLeast"/>
              <w:rPr>
                <w:rFonts w:ascii="宋体" w:hAnsi="宋体" w:cs="宋体"/>
                <w:color w:val="auto"/>
                <w:szCs w:val="21"/>
                <w:highlight w:val="none"/>
              </w:rPr>
            </w:pPr>
          </w:p>
        </w:tc>
        <w:tc>
          <w:tcPr>
            <w:tcW w:w="858" w:type="dxa"/>
            <w:tcBorders>
              <w:top w:val="single" w:color="auto" w:sz="4" w:space="0"/>
              <w:left w:val="single" w:color="auto" w:sz="4" w:space="0"/>
              <w:bottom w:val="single" w:color="auto" w:sz="4" w:space="0"/>
              <w:right w:val="single" w:color="auto" w:sz="4" w:space="0"/>
            </w:tcBorders>
            <w:noWrap/>
          </w:tcPr>
          <w:p w14:paraId="3BCC893C">
            <w:pPr>
              <w:snapToGrid w:val="0"/>
              <w:spacing w:line="320" w:lineRule="atLeast"/>
              <w:rPr>
                <w:rFonts w:ascii="宋体" w:hAnsi="宋体" w:cs="宋体"/>
                <w:color w:val="auto"/>
                <w:szCs w:val="21"/>
                <w:highlight w:val="none"/>
              </w:rPr>
            </w:pPr>
          </w:p>
        </w:tc>
      </w:tr>
      <w:tr w14:paraId="1C762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noWrap/>
            <w:vAlign w:val="center"/>
          </w:tcPr>
          <w:p w14:paraId="2A498998">
            <w:pPr>
              <w:snapToGrid w:val="0"/>
              <w:spacing w:line="320" w:lineRule="atLeast"/>
              <w:rPr>
                <w:rFonts w:ascii="宋体" w:hAnsi="宋体" w:cs="宋体"/>
                <w:color w:val="auto"/>
                <w:szCs w:val="21"/>
                <w:highlight w:val="none"/>
              </w:rPr>
            </w:pPr>
            <w:r>
              <w:rPr>
                <w:rFonts w:hint="eastAsia" w:ascii="宋体" w:hAnsi="宋体" w:cs="宋体"/>
                <w:color w:val="auto"/>
                <w:szCs w:val="21"/>
                <w:highlight w:val="none"/>
              </w:rPr>
              <w:t>5</w:t>
            </w:r>
          </w:p>
        </w:tc>
        <w:tc>
          <w:tcPr>
            <w:tcW w:w="8848" w:type="dxa"/>
            <w:tcBorders>
              <w:top w:val="single" w:color="auto" w:sz="4" w:space="0"/>
              <w:left w:val="single" w:color="auto" w:sz="4" w:space="0"/>
              <w:bottom w:val="single" w:color="auto" w:sz="4" w:space="0"/>
              <w:right w:val="single" w:color="auto" w:sz="4" w:space="0"/>
            </w:tcBorders>
            <w:noWrap/>
            <w:vAlign w:val="center"/>
          </w:tcPr>
          <w:p w14:paraId="41052194">
            <w:pPr>
              <w:snapToGrid w:val="0"/>
              <w:spacing w:line="320" w:lineRule="atLeast"/>
              <w:rPr>
                <w:rFonts w:ascii="宋体" w:hAnsi="宋体" w:cs="宋体"/>
                <w:color w:val="auto"/>
                <w:szCs w:val="21"/>
                <w:highlight w:val="none"/>
              </w:rPr>
            </w:pPr>
            <w:r>
              <w:rPr>
                <w:rFonts w:hint="eastAsia" w:ascii="宋体" w:hAnsi="宋体" w:cs="宋体"/>
                <w:color w:val="auto"/>
                <w:szCs w:val="21"/>
                <w:highlight w:val="none"/>
              </w:rPr>
              <w:t>投标人之间存在《广东省实施&lt;中华人民共和国招标投标法&gt;》第十六条所禁止的情形的；</w:t>
            </w:r>
          </w:p>
        </w:tc>
        <w:tc>
          <w:tcPr>
            <w:tcW w:w="850" w:type="dxa"/>
            <w:tcBorders>
              <w:top w:val="single" w:color="auto" w:sz="4" w:space="0"/>
              <w:left w:val="single" w:color="auto" w:sz="4" w:space="0"/>
              <w:bottom w:val="single" w:color="auto" w:sz="4" w:space="0"/>
              <w:right w:val="single" w:color="auto" w:sz="4" w:space="0"/>
            </w:tcBorders>
            <w:noWrap/>
          </w:tcPr>
          <w:p w14:paraId="54BCBFC2">
            <w:pPr>
              <w:snapToGrid w:val="0"/>
              <w:spacing w:line="320" w:lineRule="atLeast"/>
              <w:rPr>
                <w:rFonts w:ascii="宋体" w:hAnsi="宋体" w:cs="宋体"/>
                <w:color w:val="auto"/>
                <w:szCs w:val="21"/>
                <w:highlight w:val="none"/>
              </w:rPr>
            </w:pPr>
          </w:p>
        </w:tc>
        <w:tc>
          <w:tcPr>
            <w:tcW w:w="624" w:type="dxa"/>
            <w:tcBorders>
              <w:top w:val="single" w:color="auto" w:sz="4" w:space="0"/>
              <w:left w:val="single" w:color="auto" w:sz="4" w:space="0"/>
              <w:bottom w:val="single" w:color="auto" w:sz="4" w:space="0"/>
              <w:right w:val="single" w:color="auto" w:sz="4" w:space="0"/>
            </w:tcBorders>
            <w:noWrap/>
          </w:tcPr>
          <w:p w14:paraId="451C7D77">
            <w:pPr>
              <w:snapToGrid w:val="0"/>
              <w:spacing w:line="320" w:lineRule="atLeast"/>
              <w:rPr>
                <w:rFonts w:ascii="宋体" w:hAnsi="宋体" w:cs="宋体"/>
                <w:color w:val="auto"/>
                <w:szCs w:val="21"/>
                <w:highlight w:val="none"/>
              </w:rPr>
            </w:pPr>
          </w:p>
        </w:tc>
        <w:tc>
          <w:tcPr>
            <w:tcW w:w="857" w:type="dxa"/>
            <w:tcBorders>
              <w:top w:val="single" w:color="auto" w:sz="4" w:space="0"/>
              <w:left w:val="single" w:color="auto" w:sz="4" w:space="0"/>
              <w:bottom w:val="single" w:color="auto" w:sz="4" w:space="0"/>
              <w:right w:val="single" w:color="auto" w:sz="4" w:space="0"/>
            </w:tcBorders>
            <w:noWrap/>
          </w:tcPr>
          <w:p w14:paraId="2275134F">
            <w:pPr>
              <w:snapToGrid w:val="0"/>
              <w:spacing w:line="320" w:lineRule="atLeast"/>
              <w:rPr>
                <w:rFonts w:ascii="宋体" w:hAnsi="宋体" w:cs="宋体"/>
                <w:color w:val="auto"/>
                <w:szCs w:val="21"/>
                <w:highlight w:val="none"/>
              </w:rPr>
            </w:pPr>
          </w:p>
        </w:tc>
        <w:tc>
          <w:tcPr>
            <w:tcW w:w="857" w:type="dxa"/>
            <w:tcBorders>
              <w:top w:val="single" w:color="auto" w:sz="4" w:space="0"/>
              <w:left w:val="single" w:color="auto" w:sz="4" w:space="0"/>
              <w:bottom w:val="single" w:color="auto" w:sz="4" w:space="0"/>
              <w:right w:val="single" w:color="auto" w:sz="4" w:space="0"/>
            </w:tcBorders>
            <w:noWrap/>
          </w:tcPr>
          <w:p w14:paraId="3E0725FC">
            <w:pPr>
              <w:snapToGrid w:val="0"/>
              <w:spacing w:line="320" w:lineRule="atLeast"/>
              <w:rPr>
                <w:rFonts w:ascii="宋体" w:hAnsi="宋体" w:cs="宋体"/>
                <w:color w:val="auto"/>
                <w:szCs w:val="21"/>
                <w:highlight w:val="none"/>
              </w:rPr>
            </w:pPr>
          </w:p>
        </w:tc>
        <w:tc>
          <w:tcPr>
            <w:tcW w:w="857" w:type="dxa"/>
            <w:tcBorders>
              <w:top w:val="single" w:color="auto" w:sz="4" w:space="0"/>
              <w:left w:val="single" w:color="auto" w:sz="4" w:space="0"/>
              <w:bottom w:val="single" w:color="auto" w:sz="4" w:space="0"/>
              <w:right w:val="single" w:color="auto" w:sz="4" w:space="0"/>
            </w:tcBorders>
            <w:noWrap/>
          </w:tcPr>
          <w:p w14:paraId="1BFD322A">
            <w:pPr>
              <w:snapToGrid w:val="0"/>
              <w:spacing w:line="320" w:lineRule="atLeast"/>
              <w:rPr>
                <w:rFonts w:ascii="宋体" w:hAnsi="宋体" w:cs="宋体"/>
                <w:color w:val="auto"/>
                <w:szCs w:val="21"/>
                <w:highlight w:val="none"/>
              </w:rPr>
            </w:pPr>
          </w:p>
        </w:tc>
        <w:tc>
          <w:tcPr>
            <w:tcW w:w="858" w:type="dxa"/>
            <w:tcBorders>
              <w:top w:val="single" w:color="auto" w:sz="4" w:space="0"/>
              <w:left w:val="single" w:color="auto" w:sz="4" w:space="0"/>
              <w:bottom w:val="single" w:color="auto" w:sz="4" w:space="0"/>
              <w:right w:val="single" w:color="auto" w:sz="4" w:space="0"/>
            </w:tcBorders>
            <w:noWrap/>
          </w:tcPr>
          <w:p w14:paraId="1E44236D">
            <w:pPr>
              <w:snapToGrid w:val="0"/>
              <w:spacing w:line="320" w:lineRule="atLeast"/>
              <w:rPr>
                <w:rFonts w:ascii="宋体" w:hAnsi="宋体" w:cs="宋体"/>
                <w:color w:val="auto"/>
                <w:szCs w:val="21"/>
                <w:highlight w:val="none"/>
              </w:rPr>
            </w:pPr>
          </w:p>
        </w:tc>
      </w:tr>
      <w:tr w14:paraId="41FAE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noWrap/>
            <w:vAlign w:val="center"/>
          </w:tcPr>
          <w:p w14:paraId="35174C1A">
            <w:pPr>
              <w:snapToGrid w:val="0"/>
              <w:spacing w:line="320" w:lineRule="atLeast"/>
              <w:rPr>
                <w:rFonts w:ascii="宋体" w:hAnsi="宋体" w:cs="宋体"/>
                <w:color w:val="auto"/>
                <w:szCs w:val="21"/>
                <w:highlight w:val="none"/>
              </w:rPr>
            </w:pPr>
            <w:r>
              <w:rPr>
                <w:rFonts w:hint="eastAsia" w:ascii="宋体" w:hAnsi="宋体" w:cs="宋体"/>
                <w:color w:val="auto"/>
                <w:szCs w:val="21"/>
                <w:highlight w:val="none"/>
              </w:rPr>
              <w:t>6</w:t>
            </w:r>
          </w:p>
        </w:tc>
        <w:tc>
          <w:tcPr>
            <w:tcW w:w="8848" w:type="dxa"/>
            <w:tcBorders>
              <w:top w:val="single" w:color="auto" w:sz="4" w:space="0"/>
              <w:left w:val="single" w:color="auto" w:sz="4" w:space="0"/>
              <w:bottom w:val="single" w:color="auto" w:sz="4" w:space="0"/>
              <w:right w:val="single" w:color="auto" w:sz="4" w:space="0"/>
            </w:tcBorders>
            <w:noWrap/>
            <w:vAlign w:val="center"/>
          </w:tcPr>
          <w:p w14:paraId="32BD66E2">
            <w:pPr>
              <w:snapToGrid w:val="0"/>
              <w:spacing w:line="320" w:lineRule="atLeast"/>
              <w:rPr>
                <w:rFonts w:ascii="宋体" w:hAnsi="宋体" w:cs="宋体"/>
                <w:color w:val="auto"/>
                <w:szCs w:val="21"/>
                <w:highlight w:val="none"/>
              </w:rPr>
            </w:pPr>
            <w:r>
              <w:rPr>
                <w:rFonts w:hint="eastAsia" w:ascii="宋体" w:hAnsi="宋体" w:cs="宋体"/>
                <w:color w:val="auto"/>
                <w:szCs w:val="21"/>
                <w:highlight w:val="none"/>
              </w:rPr>
              <w:t>无《参与编制经济标投标文件人员名单》的；</w:t>
            </w:r>
            <w:r>
              <w:rPr>
                <w:rFonts w:hint="eastAsia" w:ascii="宋体" w:hAnsi="宋体" w:cs="宋体"/>
                <w:color w:val="auto"/>
                <w:szCs w:val="21"/>
                <w:highlight w:val="none"/>
                <w:u w:val="single"/>
              </w:rPr>
              <w:t>或未提供《参与编制经济标文件人员名单》表中人员</w:t>
            </w:r>
            <w:r>
              <w:rPr>
                <w:rFonts w:ascii="宋体" w:hAnsi="宋体" w:cs="宋体"/>
                <w:b/>
                <w:color w:val="auto"/>
                <w:szCs w:val="21"/>
                <w:highlight w:val="none"/>
                <w:u w:val="single"/>
              </w:rPr>
              <w:t>2025年</w:t>
            </w:r>
            <w:r>
              <w:rPr>
                <w:rFonts w:hint="eastAsia" w:ascii="宋体" w:hAnsi="宋体" w:cs="宋体"/>
                <w:b/>
                <w:color w:val="auto"/>
                <w:szCs w:val="21"/>
                <w:highlight w:val="none"/>
                <w:u w:val="single"/>
                <w:lang w:val="en-US" w:eastAsia="zh-CN"/>
              </w:rPr>
              <w:t>10</w:t>
            </w:r>
            <w:r>
              <w:rPr>
                <w:rFonts w:hint="eastAsia" w:ascii="宋体" w:hAnsi="宋体" w:cs="宋体"/>
                <w:b/>
                <w:color w:val="auto"/>
                <w:szCs w:val="21"/>
                <w:highlight w:val="none"/>
                <w:u w:val="single"/>
                <w:lang w:eastAsia="zh-CN"/>
              </w:rPr>
              <w:t>月或</w:t>
            </w:r>
            <w:r>
              <w:rPr>
                <w:rFonts w:hint="eastAsia" w:ascii="宋体" w:hAnsi="宋体" w:cs="宋体"/>
                <w:b/>
                <w:color w:val="auto"/>
                <w:szCs w:val="21"/>
                <w:highlight w:val="none"/>
                <w:u w:val="single"/>
                <w:lang w:val="en-US" w:eastAsia="zh-CN"/>
              </w:rPr>
              <w:t>11</w:t>
            </w:r>
            <w:r>
              <w:rPr>
                <w:rFonts w:hint="eastAsia" w:ascii="宋体" w:hAnsi="宋体" w:cs="宋体"/>
                <w:b/>
                <w:color w:val="auto"/>
                <w:szCs w:val="21"/>
                <w:highlight w:val="none"/>
                <w:u w:val="single"/>
                <w:lang w:eastAsia="zh-CN"/>
              </w:rPr>
              <w:t>月</w:t>
            </w:r>
            <w:r>
              <w:rPr>
                <w:rFonts w:hint="eastAsia" w:ascii="宋体" w:hAnsi="宋体" w:cs="宋体"/>
                <w:color w:val="auto"/>
                <w:szCs w:val="21"/>
                <w:highlight w:val="none"/>
                <w:u w:val="single"/>
              </w:rPr>
              <w:t>在本公司</w:t>
            </w:r>
            <w:r>
              <w:rPr>
                <w:rFonts w:hint="eastAsia" w:ascii="宋体" w:hAnsi="宋体" w:eastAsia="宋体" w:cs="宋体"/>
                <w:color w:val="auto"/>
                <w:szCs w:val="21"/>
                <w:highlight w:val="none"/>
                <w:u w:val="single"/>
                <w:lang w:val="en-US" w:eastAsia="zh-CN"/>
              </w:rPr>
              <w:t>(委托编制投标文件报价的，在委托单位)</w:t>
            </w:r>
            <w:r>
              <w:rPr>
                <w:rFonts w:hint="eastAsia" w:ascii="宋体" w:hAnsi="宋体" w:cs="宋体"/>
                <w:color w:val="auto"/>
                <w:szCs w:val="21"/>
                <w:highlight w:val="none"/>
                <w:u w:val="single"/>
              </w:rPr>
              <w:t>缴纳社保的有效社保证明资料。</w:t>
            </w:r>
          </w:p>
        </w:tc>
        <w:tc>
          <w:tcPr>
            <w:tcW w:w="850" w:type="dxa"/>
            <w:tcBorders>
              <w:top w:val="single" w:color="auto" w:sz="4" w:space="0"/>
              <w:left w:val="single" w:color="auto" w:sz="4" w:space="0"/>
              <w:bottom w:val="single" w:color="auto" w:sz="4" w:space="0"/>
              <w:right w:val="single" w:color="auto" w:sz="4" w:space="0"/>
            </w:tcBorders>
            <w:noWrap/>
          </w:tcPr>
          <w:p w14:paraId="0513FBD3">
            <w:pPr>
              <w:snapToGrid w:val="0"/>
              <w:spacing w:line="320" w:lineRule="atLeast"/>
              <w:rPr>
                <w:rFonts w:ascii="宋体" w:hAnsi="宋体" w:cs="宋体"/>
                <w:color w:val="auto"/>
                <w:szCs w:val="21"/>
                <w:highlight w:val="none"/>
              </w:rPr>
            </w:pPr>
          </w:p>
        </w:tc>
        <w:tc>
          <w:tcPr>
            <w:tcW w:w="624" w:type="dxa"/>
            <w:tcBorders>
              <w:top w:val="single" w:color="auto" w:sz="4" w:space="0"/>
              <w:left w:val="single" w:color="auto" w:sz="4" w:space="0"/>
              <w:bottom w:val="single" w:color="auto" w:sz="4" w:space="0"/>
              <w:right w:val="single" w:color="auto" w:sz="4" w:space="0"/>
            </w:tcBorders>
            <w:noWrap/>
          </w:tcPr>
          <w:p w14:paraId="16BED38A">
            <w:pPr>
              <w:snapToGrid w:val="0"/>
              <w:spacing w:line="320" w:lineRule="atLeast"/>
              <w:rPr>
                <w:rFonts w:ascii="宋体" w:hAnsi="宋体" w:cs="宋体"/>
                <w:color w:val="auto"/>
                <w:szCs w:val="21"/>
                <w:highlight w:val="none"/>
              </w:rPr>
            </w:pPr>
          </w:p>
        </w:tc>
        <w:tc>
          <w:tcPr>
            <w:tcW w:w="857" w:type="dxa"/>
            <w:tcBorders>
              <w:top w:val="single" w:color="auto" w:sz="4" w:space="0"/>
              <w:left w:val="single" w:color="auto" w:sz="4" w:space="0"/>
              <w:bottom w:val="single" w:color="auto" w:sz="4" w:space="0"/>
              <w:right w:val="single" w:color="auto" w:sz="4" w:space="0"/>
            </w:tcBorders>
            <w:noWrap/>
          </w:tcPr>
          <w:p w14:paraId="480315BC">
            <w:pPr>
              <w:snapToGrid w:val="0"/>
              <w:spacing w:line="320" w:lineRule="atLeast"/>
              <w:rPr>
                <w:rFonts w:ascii="宋体" w:hAnsi="宋体" w:cs="宋体"/>
                <w:color w:val="auto"/>
                <w:szCs w:val="21"/>
                <w:highlight w:val="none"/>
              </w:rPr>
            </w:pPr>
          </w:p>
        </w:tc>
        <w:tc>
          <w:tcPr>
            <w:tcW w:w="857" w:type="dxa"/>
            <w:tcBorders>
              <w:top w:val="single" w:color="auto" w:sz="4" w:space="0"/>
              <w:left w:val="single" w:color="auto" w:sz="4" w:space="0"/>
              <w:bottom w:val="single" w:color="auto" w:sz="4" w:space="0"/>
              <w:right w:val="single" w:color="auto" w:sz="4" w:space="0"/>
            </w:tcBorders>
            <w:noWrap/>
          </w:tcPr>
          <w:p w14:paraId="62D20081">
            <w:pPr>
              <w:snapToGrid w:val="0"/>
              <w:spacing w:line="320" w:lineRule="atLeast"/>
              <w:rPr>
                <w:rFonts w:ascii="宋体" w:hAnsi="宋体" w:cs="宋体"/>
                <w:color w:val="auto"/>
                <w:szCs w:val="21"/>
                <w:highlight w:val="none"/>
              </w:rPr>
            </w:pPr>
          </w:p>
        </w:tc>
        <w:tc>
          <w:tcPr>
            <w:tcW w:w="857" w:type="dxa"/>
            <w:tcBorders>
              <w:top w:val="single" w:color="auto" w:sz="4" w:space="0"/>
              <w:left w:val="single" w:color="auto" w:sz="4" w:space="0"/>
              <w:bottom w:val="single" w:color="auto" w:sz="4" w:space="0"/>
              <w:right w:val="single" w:color="auto" w:sz="4" w:space="0"/>
            </w:tcBorders>
            <w:noWrap/>
          </w:tcPr>
          <w:p w14:paraId="34C7F5D3">
            <w:pPr>
              <w:snapToGrid w:val="0"/>
              <w:spacing w:line="320" w:lineRule="atLeast"/>
              <w:rPr>
                <w:rFonts w:ascii="宋体" w:hAnsi="宋体" w:cs="宋体"/>
                <w:color w:val="auto"/>
                <w:szCs w:val="21"/>
                <w:highlight w:val="none"/>
              </w:rPr>
            </w:pPr>
          </w:p>
        </w:tc>
        <w:tc>
          <w:tcPr>
            <w:tcW w:w="858" w:type="dxa"/>
            <w:tcBorders>
              <w:top w:val="single" w:color="auto" w:sz="4" w:space="0"/>
              <w:left w:val="single" w:color="auto" w:sz="4" w:space="0"/>
              <w:bottom w:val="single" w:color="auto" w:sz="4" w:space="0"/>
              <w:right w:val="single" w:color="auto" w:sz="4" w:space="0"/>
            </w:tcBorders>
            <w:noWrap/>
          </w:tcPr>
          <w:p w14:paraId="3B2143C8">
            <w:pPr>
              <w:snapToGrid w:val="0"/>
              <w:spacing w:line="320" w:lineRule="atLeast"/>
              <w:rPr>
                <w:rFonts w:ascii="宋体" w:hAnsi="宋体" w:cs="宋体"/>
                <w:color w:val="auto"/>
                <w:szCs w:val="21"/>
                <w:highlight w:val="none"/>
              </w:rPr>
            </w:pPr>
          </w:p>
        </w:tc>
      </w:tr>
      <w:tr w14:paraId="10F22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noWrap/>
            <w:vAlign w:val="center"/>
          </w:tcPr>
          <w:p w14:paraId="32E5F7C7">
            <w:pPr>
              <w:snapToGrid w:val="0"/>
              <w:spacing w:line="320" w:lineRule="atLeast"/>
              <w:rPr>
                <w:rFonts w:ascii="宋体" w:hAnsi="宋体" w:cs="宋体"/>
                <w:color w:val="auto"/>
                <w:szCs w:val="21"/>
                <w:highlight w:val="none"/>
              </w:rPr>
            </w:pPr>
            <w:r>
              <w:rPr>
                <w:rFonts w:hint="eastAsia" w:ascii="宋体" w:hAnsi="宋体" w:cs="宋体"/>
                <w:color w:val="auto"/>
                <w:szCs w:val="21"/>
                <w:highlight w:val="none"/>
              </w:rPr>
              <w:t>7</w:t>
            </w:r>
          </w:p>
        </w:tc>
        <w:tc>
          <w:tcPr>
            <w:tcW w:w="8848" w:type="dxa"/>
            <w:tcBorders>
              <w:top w:val="single" w:color="auto" w:sz="4" w:space="0"/>
              <w:left w:val="single" w:color="auto" w:sz="4" w:space="0"/>
              <w:bottom w:val="single" w:color="auto" w:sz="4" w:space="0"/>
              <w:right w:val="single" w:color="auto" w:sz="4" w:space="0"/>
            </w:tcBorders>
            <w:noWrap/>
            <w:vAlign w:val="center"/>
          </w:tcPr>
          <w:p w14:paraId="26CECCE3">
            <w:pPr>
              <w:snapToGrid w:val="0"/>
              <w:spacing w:line="320" w:lineRule="atLeast"/>
              <w:rPr>
                <w:rFonts w:ascii="宋体" w:hAnsi="宋体" w:cs="宋体"/>
                <w:color w:val="auto"/>
                <w:szCs w:val="21"/>
                <w:highlight w:val="none"/>
              </w:rPr>
            </w:pPr>
            <w:r>
              <w:rPr>
                <w:rFonts w:hint="eastAsia" w:ascii="宋体" w:hAnsi="宋体" w:cs="宋体"/>
                <w:color w:val="auto"/>
                <w:szCs w:val="21"/>
                <w:highlight w:val="none"/>
              </w:rPr>
              <w:t>无《对投标文件编制的承诺》；</w:t>
            </w:r>
          </w:p>
        </w:tc>
        <w:tc>
          <w:tcPr>
            <w:tcW w:w="850" w:type="dxa"/>
            <w:tcBorders>
              <w:top w:val="single" w:color="auto" w:sz="4" w:space="0"/>
              <w:left w:val="single" w:color="auto" w:sz="4" w:space="0"/>
              <w:bottom w:val="single" w:color="auto" w:sz="4" w:space="0"/>
              <w:right w:val="single" w:color="auto" w:sz="4" w:space="0"/>
            </w:tcBorders>
            <w:noWrap/>
          </w:tcPr>
          <w:p w14:paraId="651F2D30">
            <w:pPr>
              <w:snapToGrid w:val="0"/>
              <w:spacing w:line="320" w:lineRule="atLeast"/>
              <w:rPr>
                <w:rFonts w:ascii="宋体" w:hAnsi="宋体" w:cs="宋体"/>
                <w:color w:val="auto"/>
                <w:szCs w:val="21"/>
                <w:highlight w:val="none"/>
              </w:rPr>
            </w:pPr>
          </w:p>
        </w:tc>
        <w:tc>
          <w:tcPr>
            <w:tcW w:w="624" w:type="dxa"/>
            <w:tcBorders>
              <w:top w:val="single" w:color="auto" w:sz="4" w:space="0"/>
              <w:left w:val="single" w:color="auto" w:sz="4" w:space="0"/>
              <w:bottom w:val="single" w:color="auto" w:sz="4" w:space="0"/>
              <w:right w:val="single" w:color="auto" w:sz="4" w:space="0"/>
            </w:tcBorders>
            <w:noWrap/>
          </w:tcPr>
          <w:p w14:paraId="649E641D">
            <w:pPr>
              <w:snapToGrid w:val="0"/>
              <w:spacing w:line="320" w:lineRule="atLeast"/>
              <w:rPr>
                <w:rFonts w:ascii="宋体" w:hAnsi="宋体" w:cs="宋体"/>
                <w:color w:val="auto"/>
                <w:szCs w:val="21"/>
                <w:highlight w:val="none"/>
              </w:rPr>
            </w:pPr>
          </w:p>
        </w:tc>
        <w:tc>
          <w:tcPr>
            <w:tcW w:w="857" w:type="dxa"/>
            <w:tcBorders>
              <w:top w:val="single" w:color="auto" w:sz="4" w:space="0"/>
              <w:left w:val="single" w:color="auto" w:sz="4" w:space="0"/>
              <w:bottom w:val="single" w:color="auto" w:sz="4" w:space="0"/>
              <w:right w:val="single" w:color="auto" w:sz="4" w:space="0"/>
            </w:tcBorders>
            <w:noWrap/>
          </w:tcPr>
          <w:p w14:paraId="4FF53BDE">
            <w:pPr>
              <w:snapToGrid w:val="0"/>
              <w:spacing w:line="320" w:lineRule="atLeast"/>
              <w:rPr>
                <w:rFonts w:ascii="宋体" w:hAnsi="宋体" w:cs="宋体"/>
                <w:color w:val="auto"/>
                <w:szCs w:val="21"/>
                <w:highlight w:val="none"/>
              </w:rPr>
            </w:pPr>
          </w:p>
        </w:tc>
        <w:tc>
          <w:tcPr>
            <w:tcW w:w="857" w:type="dxa"/>
            <w:tcBorders>
              <w:top w:val="single" w:color="auto" w:sz="4" w:space="0"/>
              <w:left w:val="single" w:color="auto" w:sz="4" w:space="0"/>
              <w:bottom w:val="single" w:color="auto" w:sz="4" w:space="0"/>
              <w:right w:val="single" w:color="auto" w:sz="4" w:space="0"/>
            </w:tcBorders>
            <w:noWrap/>
          </w:tcPr>
          <w:p w14:paraId="554AC830">
            <w:pPr>
              <w:snapToGrid w:val="0"/>
              <w:spacing w:line="320" w:lineRule="atLeast"/>
              <w:rPr>
                <w:rFonts w:ascii="宋体" w:hAnsi="宋体" w:cs="宋体"/>
                <w:color w:val="auto"/>
                <w:szCs w:val="21"/>
                <w:highlight w:val="none"/>
              </w:rPr>
            </w:pPr>
          </w:p>
        </w:tc>
        <w:tc>
          <w:tcPr>
            <w:tcW w:w="857" w:type="dxa"/>
            <w:tcBorders>
              <w:top w:val="single" w:color="auto" w:sz="4" w:space="0"/>
              <w:left w:val="single" w:color="auto" w:sz="4" w:space="0"/>
              <w:bottom w:val="single" w:color="auto" w:sz="4" w:space="0"/>
              <w:right w:val="single" w:color="auto" w:sz="4" w:space="0"/>
            </w:tcBorders>
            <w:noWrap/>
          </w:tcPr>
          <w:p w14:paraId="46E1E93B">
            <w:pPr>
              <w:snapToGrid w:val="0"/>
              <w:spacing w:line="320" w:lineRule="atLeast"/>
              <w:rPr>
                <w:rFonts w:ascii="宋体" w:hAnsi="宋体" w:cs="宋体"/>
                <w:color w:val="auto"/>
                <w:szCs w:val="21"/>
                <w:highlight w:val="none"/>
              </w:rPr>
            </w:pPr>
          </w:p>
        </w:tc>
        <w:tc>
          <w:tcPr>
            <w:tcW w:w="858" w:type="dxa"/>
            <w:tcBorders>
              <w:top w:val="single" w:color="auto" w:sz="4" w:space="0"/>
              <w:left w:val="single" w:color="auto" w:sz="4" w:space="0"/>
              <w:bottom w:val="single" w:color="auto" w:sz="4" w:space="0"/>
              <w:right w:val="single" w:color="auto" w:sz="4" w:space="0"/>
            </w:tcBorders>
            <w:noWrap/>
          </w:tcPr>
          <w:p w14:paraId="5587B68B">
            <w:pPr>
              <w:snapToGrid w:val="0"/>
              <w:spacing w:line="320" w:lineRule="atLeast"/>
              <w:rPr>
                <w:rFonts w:ascii="宋体" w:hAnsi="宋体" w:cs="宋体"/>
                <w:color w:val="auto"/>
                <w:szCs w:val="21"/>
                <w:highlight w:val="none"/>
              </w:rPr>
            </w:pPr>
          </w:p>
        </w:tc>
      </w:tr>
      <w:tr w14:paraId="3AFFF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532" w:type="dxa"/>
            <w:tcBorders>
              <w:top w:val="single" w:color="auto" w:sz="4" w:space="0"/>
              <w:left w:val="single" w:color="auto" w:sz="4" w:space="0"/>
              <w:bottom w:val="single" w:color="auto" w:sz="4" w:space="0"/>
              <w:right w:val="single" w:color="auto" w:sz="4" w:space="0"/>
            </w:tcBorders>
            <w:noWrap/>
            <w:vAlign w:val="center"/>
          </w:tcPr>
          <w:p w14:paraId="4CF52CC9">
            <w:pPr>
              <w:snapToGrid w:val="0"/>
              <w:spacing w:line="320" w:lineRule="atLeast"/>
              <w:rPr>
                <w:rFonts w:ascii="宋体" w:hAnsi="宋体" w:cs="宋体"/>
                <w:color w:val="auto"/>
                <w:szCs w:val="21"/>
                <w:highlight w:val="none"/>
              </w:rPr>
            </w:pPr>
            <w:r>
              <w:rPr>
                <w:rFonts w:hint="eastAsia" w:ascii="宋体" w:hAnsi="宋体" w:cs="宋体"/>
                <w:color w:val="auto"/>
                <w:szCs w:val="21"/>
                <w:highlight w:val="none"/>
              </w:rPr>
              <w:t>8</w:t>
            </w:r>
          </w:p>
        </w:tc>
        <w:tc>
          <w:tcPr>
            <w:tcW w:w="8848" w:type="dxa"/>
            <w:tcBorders>
              <w:top w:val="single" w:color="auto" w:sz="4" w:space="0"/>
              <w:left w:val="single" w:color="auto" w:sz="4" w:space="0"/>
              <w:bottom w:val="single" w:color="auto" w:sz="4" w:space="0"/>
              <w:right w:val="single" w:color="auto" w:sz="4" w:space="0"/>
            </w:tcBorders>
            <w:noWrap/>
            <w:vAlign w:val="center"/>
          </w:tcPr>
          <w:p w14:paraId="18A854F9">
            <w:pPr>
              <w:snapToGrid w:val="0"/>
              <w:spacing w:line="320" w:lineRule="atLeast"/>
              <w:rPr>
                <w:rFonts w:ascii="宋体" w:hAnsi="宋体" w:cs="宋体"/>
                <w:color w:val="auto"/>
                <w:szCs w:val="21"/>
                <w:highlight w:val="none"/>
              </w:rPr>
            </w:pPr>
            <w:r>
              <w:rPr>
                <w:rFonts w:hint="eastAsia" w:ascii="宋体" w:hAnsi="宋体" w:cs="宋体"/>
                <w:color w:val="auto"/>
                <w:szCs w:val="21"/>
                <w:highlight w:val="none"/>
              </w:rPr>
              <w:t>投标人与本项目其他投标人的投标文件工程量清单编制机器硬件信息一致的[以</w:t>
            </w:r>
            <w:r>
              <w:rPr>
                <w:rFonts w:hint="eastAsia" w:ascii="宋体" w:hAnsi="宋体" w:cs="宋体"/>
                <w:color w:val="auto"/>
                <w:szCs w:val="21"/>
                <w:highlight w:val="none"/>
                <w:u w:val="single"/>
              </w:rPr>
              <w:t>广州交易集团有限公司（广州公共资源交易中心）</w:t>
            </w:r>
            <w:r>
              <w:rPr>
                <w:rFonts w:hint="eastAsia" w:ascii="宋体" w:hAnsi="宋体" w:cs="宋体"/>
                <w:color w:val="auto"/>
                <w:szCs w:val="21"/>
                <w:highlight w:val="none"/>
              </w:rPr>
              <w:t>交易平台评标系统的检索信息为准]。</w:t>
            </w:r>
          </w:p>
        </w:tc>
        <w:tc>
          <w:tcPr>
            <w:tcW w:w="850" w:type="dxa"/>
            <w:tcBorders>
              <w:top w:val="single" w:color="auto" w:sz="4" w:space="0"/>
              <w:left w:val="single" w:color="auto" w:sz="4" w:space="0"/>
              <w:bottom w:val="single" w:color="auto" w:sz="4" w:space="0"/>
              <w:right w:val="single" w:color="auto" w:sz="4" w:space="0"/>
            </w:tcBorders>
            <w:noWrap/>
          </w:tcPr>
          <w:p w14:paraId="0C4C7F8F">
            <w:pPr>
              <w:snapToGrid w:val="0"/>
              <w:spacing w:line="320" w:lineRule="atLeast"/>
              <w:rPr>
                <w:rFonts w:ascii="宋体" w:hAnsi="宋体" w:cs="宋体"/>
                <w:color w:val="auto"/>
                <w:szCs w:val="21"/>
                <w:highlight w:val="none"/>
              </w:rPr>
            </w:pPr>
          </w:p>
        </w:tc>
        <w:tc>
          <w:tcPr>
            <w:tcW w:w="624" w:type="dxa"/>
            <w:tcBorders>
              <w:top w:val="single" w:color="auto" w:sz="4" w:space="0"/>
              <w:left w:val="single" w:color="auto" w:sz="4" w:space="0"/>
              <w:bottom w:val="single" w:color="auto" w:sz="4" w:space="0"/>
              <w:right w:val="single" w:color="auto" w:sz="4" w:space="0"/>
            </w:tcBorders>
            <w:noWrap/>
          </w:tcPr>
          <w:p w14:paraId="4B6938FB">
            <w:pPr>
              <w:snapToGrid w:val="0"/>
              <w:spacing w:line="320" w:lineRule="atLeast"/>
              <w:rPr>
                <w:rFonts w:ascii="宋体" w:hAnsi="宋体" w:cs="宋体"/>
                <w:color w:val="auto"/>
                <w:szCs w:val="21"/>
                <w:highlight w:val="none"/>
              </w:rPr>
            </w:pPr>
          </w:p>
        </w:tc>
        <w:tc>
          <w:tcPr>
            <w:tcW w:w="857" w:type="dxa"/>
            <w:tcBorders>
              <w:top w:val="single" w:color="auto" w:sz="4" w:space="0"/>
              <w:left w:val="single" w:color="auto" w:sz="4" w:space="0"/>
              <w:bottom w:val="single" w:color="auto" w:sz="4" w:space="0"/>
              <w:right w:val="single" w:color="auto" w:sz="4" w:space="0"/>
            </w:tcBorders>
            <w:noWrap/>
          </w:tcPr>
          <w:p w14:paraId="64150701">
            <w:pPr>
              <w:snapToGrid w:val="0"/>
              <w:spacing w:line="320" w:lineRule="atLeast"/>
              <w:rPr>
                <w:rFonts w:ascii="宋体" w:hAnsi="宋体" w:cs="宋体"/>
                <w:color w:val="auto"/>
                <w:szCs w:val="21"/>
                <w:highlight w:val="none"/>
              </w:rPr>
            </w:pPr>
          </w:p>
        </w:tc>
        <w:tc>
          <w:tcPr>
            <w:tcW w:w="857" w:type="dxa"/>
            <w:tcBorders>
              <w:top w:val="single" w:color="auto" w:sz="4" w:space="0"/>
              <w:left w:val="single" w:color="auto" w:sz="4" w:space="0"/>
              <w:bottom w:val="single" w:color="auto" w:sz="4" w:space="0"/>
              <w:right w:val="single" w:color="auto" w:sz="4" w:space="0"/>
            </w:tcBorders>
            <w:noWrap/>
          </w:tcPr>
          <w:p w14:paraId="37C792F5">
            <w:pPr>
              <w:snapToGrid w:val="0"/>
              <w:spacing w:line="320" w:lineRule="atLeast"/>
              <w:rPr>
                <w:rFonts w:ascii="宋体" w:hAnsi="宋体" w:cs="宋体"/>
                <w:color w:val="auto"/>
                <w:szCs w:val="21"/>
                <w:highlight w:val="none"/>
              </w:rPr>
            </w:pPr>
          </w:p>
        </w:tc>
        <w:tc>
          <w:tcPr>
            <w:tcW w:w="857" w:type="dxa"/>
            <w:tcBorders>
              <w:top w:val="single" w:color="auto" w:sz="4" w:space="0"/>
              <w:left w:val="single" w:color="auto" w:sz="4" w:space="0"/>
              <w:bottom w:val="single" w:color="auto" w:sz="4" w:space="0"/>
              <w:right w:val="single" w:color="auto" w:sz="4" w:space="0"/>
            </w:tcBorders>
            <w:noWrap/>
          </w:tcPr>
          <w:p w14:paraId="0AAC69DF">
            <w:pPr>
              <w:snapToGrid w:val="0"/>
              <w:spacing w:line="320" w:lineRule="atLeast"/>
              <w:rPr>
                <w:rFonts w:ascii="宋体" w:hAnsi="宋体" w:cs="宋体"/>
                <w:color w:val="auto"/>
                <w:szCs w:val="21"/>
                <w:highlight w:val="none"/>
              </w:rPr>
            </w:pPr>
          </w:p>
        </w:tc>
        <w:tc>
          <w:tcPr>
            <w:tcW w:w="858" w:type="dxa"/>
            <w:tcBorders>
              <w:top w:val="single" w:color="auto" w:sz="4" w:space="0"/>
              <w:left w:val="single" w:color="auto" w:sz="4" w:space="0"/>
              <w:bottom w:val="single" w:color="auto" w:sz="4" w:space="0"/>
              <w:right w:val="single" w:color="auto" w:sz="4" w:space="0"/>
            </w:tcBorders>
            <w:noWrap/>
          </w:tcPr>
          <w:p w14:paraId="1FFB26F1">
            <w:pPr>
              <w:snapToGrid w:val="0"/>
              <w:spacing w:line="320" w:lineRule="atLeast"/>
              <w:rPr>
                <w:rFonts w:ascii="宋体" w:hAnsi="宋体" w:cs="宋体"/>
                <w:color w:val="auto"/>
                <w:szCs w:val="21"/>
                <w:highlight w:val="none"/>
              </w:rPr>
            </w:pPr>
          </w:p>
        </w:tc>
      </w:tr>
    </w:tbl>
    <w:p w14:paraId="55E5F8C4">
      <w:pPr>
        <w:snapToGrid w:val="0"/>
        <w:spacing w:line="300" w:lineRule="atLeast"/>
        <w:ind w:firstLine="458"/>
        <w:rPr>
          <w:rFonts w:ascii="宋体" w:hAnsi="宋体" w:cs="宋体"/>
          <w:color w:val="auto"/>
          <w:szCs w:val="21"/>
          <w:highlight w:val="none"/>
        </w:rPr>
      </w:pPr>
      <w:r>
        <w:rPr>
          <w:rFonts w:hint="eastAsia" w:ascii="宋体" w:hAnsi="宋体" w:cs="宋体"/>
          <w:color w:val="auto"/>
          <w:szCs w:val="21"/>
          <w:highlight w:val="none"/>
        </w:rPr>
        <w:t>注：1.本表使用GZZB2018-3招标文件范本，与范本内容不同之处均以下划线标明。</w:t>
      </w:r>
    </w:p>
    <w:p w14:paraId="331D6CA4">
      <w:pPr>
        <w:snapToGrid w:val="0"/>
        <w:spacing w:line="300" w:lineRule="atLeast"/>
        <w:ind w:firstLine="458"/>
        <w:rPr>
          <w:rFonts w:ascii="宋体" w:hAnsi="宋体" w:cs="宋体"/>
          <w:color w:val="auto"/>
          <w:szCs w:val="21"/>
          <w:highlight w:val="none"/>
        </w:rPr>
      </w:pPr>
      <w:r>
        <w:rPr>
          <w:rFonts w:hint="eastAsia" w:ascii="宋体" w:hAnsi="宋体" w:cs="宋体"/>
          <w:color w:val="auto"/>
          <w:szCs w:val="21"/>
          <w:highlight w:val="none"/>
        </w:rPr>
        <w:t>2.凡出现以上任何一项情形，结论均为无效，否则就为有效。</w:t>
      </w:r>
    </w:p>
    <w:p w14:paraId="771BAA3E">
      <w:pPr>
        <w:snapToGrid w:val="0"/>
        <w:spacing w:line="300" w:lineRule="atLeast"/>
        <w:ind w:firstLine="458"/>
        <w:rPr>
          <w:rFonts w:ascii="宋体" w:hAnsi="宋体" w:cs="宋体"/>
          <w:color w:val="auto"/>
          <w:szCs w:val="21"/>
          <w:highlight w:val="none"/>
        </w:rPr>
      </w:pPr>
      <w:r>
        <w:rPr>
          <w:rFonts w:hint="eastAsia" w:ascii="宋体" w:hAnsi="宋体" w:cs="宋体"/>
          <w:color w:val="auto"/>
          <w:szCs w:val="21"/>
          <w:highlight w:val="none"/>
        </w:rPr>
        <w:t>3.如对本表中某种情形的评审意见不一致时，以评标委员会过半数成员的意见作为评标委员会对该情形的认定结论。</w:t>
      </w:r>
    </w:p>
    <w:p w14:paraId="7E944A8A">
      <w:pPr>
        <w:snapToGrid w:val="0"/>
        <w:spacing w:line="300" w:lineRule="atLeast"/>
        <w:ind w:firstLine="458"/>
        <w:rPr>
          <w:rFonts w:ascii="宋体" w:hAnsi="宋体" w:cs="宋体"/>
          <w:color w:val="auto"/>
          <w:szCs w:val="21"/>
          <w:highlight w:val="none"/>
        </w:rPr>
      </w:pPr>
      <w:r>
        <w:rPr>
          <w:rFonts w:hint="eastAsia" w:ascii="宋体" w:hAnsi="宋体" w:cs="宋体"/>
          <w:color w:val="auto"/>
          <w:szCs w:val="21"/>
          <w:highlight w:val="none"/>
        </w:rPr>
        <w:t>4.不得将文件顺序、明显的文字错误等列为否决投标的情形。评委发现投标文件中含义不明确、对同类问题表述不一致、有明显文字和计算错误、投标报价可能低于成本影响履约的，应当要求投标人作必要的澄清、说明后再判定投标人是否通过有效性审查，不得直接否决投标。</w:t>
      </w:r>
    </w:p>
    <w:p w14:paraId="69346645">
      <w:pPr>
        <w:snapToGrid w:val="0"/>
        <w:spacing w:line="300" w:lineRule="atLeast"/>
        <w:rPr>
          <w:color w:val="auto"/>
          <w:highlight w:val="none"/>
        </w:rPr>
      </w:pPr>
      <w:r>
        <w:rPr>
          <w:rFonts w:hint="eastAsia" w:ascii="宋体" w:hAnsi="宋体" w:cs="宋体"/>
          <w:color w:val="auto"/>
          <w:szCs w:val="21"/>
          <w:highlight w:val="none"/>
        </w:rPr>
        <w:t>评委签名：</w:t>
      </w:r>
    </w:p>
    <w:p w14:paraId="749D31DE">
      <w:pPr>
        <w:snapToGrid w:val="0"/>
        <w:spacing w:line="360" w:lineRule="auto"/>
        <w:jc w:val="left"/>
        <w:rPr>
          <w:rFonts w:ascii="宋体" w:hAnsi="宋体" w:cs="宋体"/>
          <w:b/>
          <w:bCs/>
          <w:color w:val="auto"/>
          <w:sz w:val="24"/>
          <w:szCs w:val="24"/>
          <w:highlight w:val="none"/>
        </w:rPr>
        <w:sectPr>
          <w:footerReference r:id="rId10" w:type="default"/>
          <w:pgSz w:w="16840" w:h="11907" w:orient="landscape"/>
          <w:pgMar w:top="1247" w:right="1247" w:bottom="1247" w:left="1247" w:header="851" w:footer="992" w:gutter="0"/>
          <w:cols w:space="720" w:num="1"/>
          <w:docGrid w:type="lines" w:linePitch="312" w:charSpace="0"/>
        </w:sectPr>
      </w:pPr>
    </w:p>
    <w:p w14:paraId="4C1DF175">
      <w:pPr>
        <w:pStyle w:val="4"/>
        <w:tabs>
          <w:tab w:val="right" w:leader="dot" w:pos="9060"/>
        </w:tabs>
        <w:spacing w:line="360" w:lineRule="auto"/>
        <w:jc w:val="left"/>
        <w:rPr>
          <w:rFonts w:hint="eastAsia"/>
          <w:color w:val="auto"/>
          <w:highlight w:val="none"/>
        </w:rPr>
      </w:pPr>
      <w:bookmarkStart w:id="26" w:name="_Toc28089"/>
      <w:r>
        <w:rPr>
          <w:rFonts w:hint="eastAsia"/>
          <w:color w:val="auto"/>
          <w:highlight w:val="none"/>
        </w:rPr>
        <w:t>附表四</w:t>
      </w:r>
      <w:bookmarkEnd w:id="26"/>
    </w:p>
    <w:p w14:paraId="43C6A907">
      <w:pPr>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技术标详细审查评分表</w:t>
      </w:r>
      <w:bookmarkStart w:id="27" w:name="_Toc20135"/>
      <w:bookmarkStart w:id="28" w:name="_Toc22943"/>
      <w:bookmarkStart w:id="29" w:name="_Toc5159"/>
      <w:bookmarkStart w:id="30" w:name="_Toc32003"/>
      <w:bookmarkStart w:id="31" w:name="_Toc18838"/>
      <w:bookmarkStart w:id="32" w:name="_Toc30168"/>
      <w:bookmarkStart w:id="33" w:name="_Toc21638"/>
    </w:p>
    <w:p w14:paraId="0383F8D6">
      <w:pPr>
        <w:jc w:val="left"/>
        <w:rPr>
          <w:rFonts w:hint="eastAsia" w:ascii="宋体" w:hAnsi="宋体" w:eastAsia="宋体" w:cs="宋体"/>
          <w:b/>
          <w:color w:val="auto"/>
          <w:highlight w:val="none"/>
        </w:rPr>
      </w:pPr>
      <w:r>
        <w:rPr>
          <w:rFonts w:hint="eastAsia" w:ascii="宋体" w:hAnsi="宋体" w:eastAsia="宋体" w:cs="宋体"/>
          <w:b/>
          <w:color w:val="auto"/>
          <w:highlight w:val="none"/>
        </w:rPr>
        <w:t>项目名称：</w:t>
      </w:r>
    </w:p>
    <w:tbl>
      <w:tblPr>
        <w:tblStyle w:val="33"/>
        <w:tblW w:w="141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7"/>
        <w:gridCol w:w="1025"/>
        <w:gridCol w:w="1300"/>
        <w:gridCol w:w="2545"/>
        <w:gridCol w:w="2693"/>
        <w:gridCol w:w="2694"/>
        <w:gridCol w:w="2980"/>
      </w:tblGrid>
      <w:tr w14:paraId="7B934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blHeader/>
          <w:jc w:val="center"/>
        </w:trPr>
        <w:tc>
          <w:tcPr>
            <w:tcW w:w="937" w:type="dxa"/>
            <w:noWrap w:val="0"/>
            <w:vAlign w:val="center"/>
          </w:tcPr>
          <w:p w14:paraId="410654AF">
            <w:pPr>
              <w:wordWrap w:val="0"/>
              <w:spacing w:line="288" w:lineRule="auto"/>
              <w:jc w:val="center"/>
              <w:rPr>
                <w:rFonts w:hint="eastAsia" w:ascii="宋体" w:hAnsi="宋体" w:eastAsia="宋体" w:cs="宋体"/>
                <w:b/>
                <w:color w:val="000000"/>
                <w:szCs w:val="21"/>
                <w:highlight w:val="none"/>
              </w:rPr>
            </w:pPr>
            <w:r>
              <w:rPr>
                <w:rFonts w:hint="eastAsia" w:ascii="宋体" w:hAnsi="宋体" w:eastAsia="宋体" w:cs="宋体"/>
                <w:b/>
                <w:color w:val="000000"/>
                <w:szCs w:val="21"/>
                <w:highlight w:val="none"/>
              </w:rPr>
              <w:t>评分项目</w:t>
            </w:r>
          </w:p>
        </w:tc>
        <w:tc>
          <w:tcPr>
            <w:tcW w:w="1025" w:type="dxa"/>
            <w:noWrap w:val="0"/>
            <w:vAlign w:val="center"/>
          </w:tcPr>
          <w:p w14:paraId="538C4C9E">
            <w:pPr>
              <w:wordWrap w:val="0"/>
              <w:spacing w:line="288" w:lineRule="auto"/>
              <w:jc w:val="center"/>
              <w:rPr>
                <w:rFonts w:hint="eastAsia" w:ascii="宋体" w:hAnsi="宋体" w:eastAsia="宋体" w:cs="宋体"/>
                <w:b/>
                <w:color w:val="000000"/>
                <w:szCs w:val="21"/>
                <w:highlight w:val="none"/>
              </w:rPr>
            </w:pPr>
            <w:r>
              <w:rPr>
                <w:rFonts w:hint="eastAsia" w:ascii="宋体" w:hAnsi="宋体" w:eastAsia="宋体" w:cs="宋体"/>
                <w:b/>
                <w:color w:val="000000"/>
                <w:szCs w:val="21"/>
                <w:highlight w:val="none"/>
              </w:rPr>
              <w:t>评分内容</w:t>
            </w:r>
          </w:p>
        </w:tc>
        <w:tc>
          <w:tcPr>
            <w:tcW w:w="1300" w:type="dxa"/>
            <w:noWrap w:val="0"/>
            <w:vAlign w:val="center"/>
          </w:tcPr>
          <w:p w14:paraId="252E935F">
            <w:pPr>
              <w:wordWrap w:val="0"/>
              <w:spacing w:line="288" w:lineRule="auto"/>
              <w:jc w:val="center"/>
              <w:rPr>
                <w:rFonts w:hint="eastAsia" w:ascii="宋体" w:hAnsi="宋体" w:eastAsia="宋体" w:cs="宋体"/>
                <w:b/>
                <w:color w:val="000000"/>
                <w:szCs w:val="21"/>
                <w:highlight w:val="none"/>
              </w:rPr>
            </w:pPr>
            <w:r>
              <w:rPr>
                <w:rFonts w:hint="eastAsia" w:ascii="宋体" w:hAnsi="宋体" w:eastAsia="宋体" w:cs="宋体"/>
                <w:b/>
                <w:color w:val="000000"/>
                <w:szCs w:val="21"/>
                <w:highlight w:val="none"/>
              </w:rPr>
              <w:t>分值</w:t>
            </w:r>
          </w:p>
        </w:tc>
        <w:tc>
          <w:tcPr>
            <w:tcW w:w="10912" w:type="dxa"/>
            <w:gridSpan w:val="4"/>
            <w:noWrap w:val="0"/>
            <w:vAlign w:val="center"/>
          </w:tcPr>
          <w:p w14:paraId="01CB7D2B">
            <w:pPr>
              <w:wordWrap w:val="0"/>
              <w:spacing w:line="288" w:lineRule="auto"/>
              <w:jc w:val="center"/>
              <w:rPr>
                <w:rFonts w:hint="eastAsia" w:ascii="宋体" w:hAnsi="宋体" w:eastAsia="宋体" w:cs="宋体"/>
                <w:b/>
                <w:color w:val="000000"/>
                <w:szCs w:val="21"/>
                <w:highlight w:val="none"/>
              </w:rPr>
            </w:pPr>
            <w:r>
              <w:rPr>
                <w:rFonts w:hint="eastAsia" w:ascii="宋体" w:hAnsi="宋体" w:eastAsia="宋体" w:cs="宋体"/>
                <w:b/>
                <w:color w:val="000000"/>
                <w:szCs w:val="21"/>
                <w:highlight w:val="none"/>
              </w:rPr>
              <w:t>评审标准</w:t>
            </w:r>
          </w:p>
        </w:tc>
      </w:tr>
      <w:tr w14:paraId="0375E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3262" w:type="dxa"/>
            <w:gridSpan w:val="3"/>
            <w:noWrap w:val="0"/>
            <w:vAlign w:val="center"/>
          </w:tcPr>
          <w:p w14:paraId="2F34195E">
            <w:pPr>
              <w:pStyle w:val="42"/>
              <w:wordWrap w:val="0"/>
              <w:ind w:firstLine="400" w:firstLineChars="200"/>
              <w:jc w:val="center"/>
              <w:rPr>
                <w:rFonts w:hint="eastAsia" w:ascii="宋体" w:hAnsi="宋体" w:eastAsia="宋体" w:cs="宋体"/>
                <w:color w:val="000000"/>
                <w:highlight w:val="none"/>
              </w:rPr>
            </w:pPr>
          </w:p>
        </w:tc>
        <w:tc>
          <w:tcPr>
            <w:tcW w:w="2545" w:type="dxa"/>
            <w:noWrap w:val="0"/>
            <w:vAlign w:val="center"/>
          </w:tcPr>
          <w:p w14:paraId="6E3A9D43">
            <w:pPr>
              <w:pStyle w:val="42"/>
              <w:wordWrap w:val="0"/>
              <w:ind w:firstLine="402" w:firstLineChars="200"/>
              <w:jc w:val="center"/>
              <w:rPr>
                <w:rFonts w:hint="eastAsia" w:ascii="宋体" w:hAnsi="宋体" w:eastAsia="宋体" w:cs="宋体"/>
                <w:b/>
                <w:bCs/>
                <w:color w:val="000000"/>
                <w:highlight w:val="none"/>
              </w:rPr>
            </w:pPr>
            <w:r>
              <w:rPr>
                <w:rFonts w:hint="eastAsia" w:ascii="宋体" w:hAnsi="宋体" w:eastAsia="宋体" w:cs="宋体"/>
                <w:b/>
                <w:bCs/>
                <w:color w:val="000000"/>
                <w:highlight w:val="none"/>
              </w:rPr>
              <w:t>优</w:t>
            </w:r>
          </w:p>
        </w:tc>
        <w:tc>
          <w:tcPr>
            <w:tcW w:w="2693" w:type="dxa"/>
            <w:noWrap w:val="0"/>
            <w:vAlign w:val="center"/>
          </w:tcPr>
          <w:p w14:paraId="6F3E81D6">
            <w:pPr>
              <w:pStyle w:val="42"/>
              <w:wordWrap w:val="0"/>
              <w:jc w:val="center"/>
              <w:rPr>
                <w:rFonts w:hint="eastAsia" w:ascii="宋体" w:hAnsi="宋体" w:eastAsia="宋体" w:cs="宋体"/>
                <w:b/>
                <w:bCs/>
                <w:color w:val="000000"/>
                <w:highlight w:val="none"/>
              </w:rPr>
            </w:pPr>
            <w:r>
              <w:rPr>
                <w:rFonts w:hint="eastAsia" w:ascii="宋体" w:hAnsi="宋体" w:eastAsia="宋体" w:cs="宋体"/>
                <w:b/>
                <w:bCs/>
                <w:color w:val="000000"/>
                <w:highlight w:val="none"/>
              </w:rPr>
              <w:t>良</w:t>
            </w:r>
          </w:p>
        </w:tc>
        <w:tc>
          <w:tcPr>
            <w:tcW w:w="2694" w:type="dxa"/>
            <w:noWrap w:val="0"/>
            <w:vAlign w:val="center"/>
          </w:tcPr>
          <w:p w14:paraId="5876896C">
            <w:pPr>
              <w:pStyle w:val="42"/>
              <w:wordWrap w:val="0"/>
              <w:jc w:val="center"/>
              <w:rPr>
                <w:rFonts w:hint="eastAsia" w:ascii="宋体" w:hAnsi="宋体" w:eastAsia="宋体" w:cs="宋体"/>
                <w:b/>
                <w:bCs/>
                <w:color w:val="000000"/>
                <w:highlight w:val="none"/>
              </w:rPr>
            </w:pPr>
            <w:r>
              <w:rPr>
                <w:rFonts w:hint="eastAsia" w:ascii="宋体" w:hAnsi="宋体" w:eastAsia="宋体" w:cs="宋体"/>
                <w:b/>
                <w:bCs/>
                <w:color w:val="000000"/>
                <w:highlight w:val="none"/>
              </w:rPr>
              <w:t>一般</w:t>
            </w:r>
          </w:p>
        </w:tc>
        <w:tc>
          <w:tcPr>
            <w:tcW w:w="2980" w:type="dxa"/>
            <w:noWrap w:val="0"/>
            <w:vAlign w:val="center"/>
          </w:tcPr>
          <w:p w14:paraId="6258CA13">
            <w:pPr>
              <w:pStyle w:val="42"/>
              <w:wordWrap w:val="0"/>
              <w:jc w:val="center"/>
              <w:rPr>
                <w:rFonts w:hint="eastAsia" w:ascii="宋体" w:hAnsi="宋体" w:eastAsia="宋体" w:cs="宋体"/>
                <w:b/>
                <w:bCs/>
                <w:color w:val="000000"/>
                <w:highlight w:val="none"/>
              </w:rPr>
            </w:pPr>
            <w:r>
              <w:rPr>
                <w:rFonts w:hint="eastAsia" w:ascii="宋体" w:hAnsi="宋体" w:eastAsia="宋体" w:cs="宋体"/>
                <w:b/>
                <w:bCs/>
                <w:color w:val="000000"/>
                <w:highlight w:val="none"/>
              </w:rPr>
              <w:t>差</w:t>
            </w:r>
          </w:p>
        </w:tc>
      </w:tr>
      <w:tr w14:paraId="1ED85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1" w:hRule="atLeast"/>
          <w:tblHeader/>
          <w:jc w:val="center"/>
        </w:trPr>
        <w:tc>
          <w:tcPr>
            <w:tcW w:w="937" w:type="dxa"/>
            <w:vMerge w:val="restart"/>
            <w:noWrap w:val="0"/>
            <w:vAlign w:val="center"/>
          </w:tcPr>
          <w:p w14:paraId="4B25DFE3">
            <w:pPr>
              <w:pStyle w:val="42"/>
              <w:jc w:val="center"/>
              <w:rPr>
                <w:rFonts w:hint="eastAsia" w:ascii="宋体" w:hAnsi="宋体" w:eastAsia="宋体" w:cs="宋体"/>
                <w:color w:val="000000"/>
                <w:highlight w:val="none"/>
              </w:rPr>
            </w:pPr>
            <w:r>
              <w:rPr>
                <w:rFonts w:hint="eastAsia" w:ascii="宋体" w:hAnsi="宋体" w:eastAsia="宋体" w:cs="宋体"/>
                <w:color w:val="000000"/>
                <w:highlight w:val="none"/>
              </w:rPr>
              <w:t>一、施工组织设计（</w:t>
            </w:r>
            <w:r>
              <w:rPr>
                <w:rFonts w:hint="eastAsia" w:ascii="宋体" w:hAnsi="宋体" w:eastAsia="宋体" w:cs="宋体"/>
                <w:color w:val="000000"/>
                <w:highlight w:val="none"/>
                <w:lang w:val="en-US" w:eastAsia="zh-CN"/>
              </w:rPr>
              <w:t>5</w:t>
            </w:r>
            <w:r>
              <w:rPr>
                <w:rFonts w:hint="eastAsia" w:ascii="宋体" w:hAnsi="宋体" w:eastAsia="宋体" w:cs="宋体"/>
                <w:color w:val="000000"/>
                <w:highlight w:val="none"/>
              </w:rPr>
              <w:t>0分）</w:t>
            </w:r>
          </w:p>
        </w:tc>
        <w:tc>
          <w:tcPr>
            <w:tcW w:w="1025" w:type="dxa"/>
            <w:noWrap w:val="0"/>
            <w:vAlign w:val="center"/>
          </w:tcPr>
          <w:p w14:paraId="17855F50">
            <w:pPr>
              <w:pStyle w:val="42"/>
              <w:jc w:val="center"/>
              <w:rPr>
                <w:rFonts w:hint="eastAsia" w:ascii="宋体" w:hAnsi="宋体" w:eastAsia="宋体" w:cs="宋体"/>
                <w:color w:val="000000"/>
                <w:highlight w:val="none"/>
              </w:rPr>
            </w:pPr>
            <w:r>
              <w:rPr>
                <w:rFonts w:hint="eastAsia" w:ascii="宋体" w:hAnsi="宋体" w:eastAsia="宋体" w:cs="宋体"/>
                <w:color w:val="000000"/>
                <w:highlight w:val="none"/>
              </w:rPr>
              <w:t>对工程重点、难点的分析及对策</w:t>
            </w:r>
          </w:p>
        </w:tc>
        <w:tc>
          <w:tcPr>
            <w:tcW w:w="1300" w:type="dxa"/>
            <w:noWrap w:val="0"/>
            <w:vAlign w:val="center"/>
          </w:tcPr>
          <w:p w14:paraId="77BD8947">
            <w:pPr>
              <w:pStyle w:val="42"/>
              <w:jc w:val="center"/>
              <w:rPr>
                <w:rFonts w:hint="eastAsia" w:ascii="宋体" w:hAnsi="宋体" w:eastAsia="宋体" w:cs="宋体"/>
                <w:color w:val="000000"/>
                <w:highlight w:val="none"/>
                <w:lang w:eastAsia="zh-CN"/>
              </w:rPr>
            </w:pPr>
            <w:r>
              <w:rPr>
                <w:rFonts w:hint="eastAsia" w:ascii="宋体" w:hAnsi="宋体" w:eastAsia="宋体" w:cs="宋体"/>
                <w:color w:val="000000"/>
                <w:highlight w:val="none"/>
                <w:lang w:val="en-US" w:eastAsia="zh-CN"/>
              </w:rPr>
              <w:t>8</w:t>
            </w:r>
          </w:p>
        </w:tc>
        <w:tc>
          <w:tcPr>
            <w:tcW w:w="2545" w:type="dxa"/>
            <w:noWrap w:val="0"/>
            <w:vAlign w:val="center"/>
          </w:tcPr>
          <w:p w14:paraId="333D1428">
            <w:pPr>
              <w:jc w:val="left"/>
              <w:rPr>
                <w:rFonts w:hint="eastAsia" w:ascii="宋体" w:hAnsi="宋体" w:eastAsia="宋体" w:cs="宋体"/>
                <w:color w:val="000000"/>
                <w:kern w:val="0"/>
                <w:sz w:val="21"/>
                <w:szCs w:val="21"/>
                <w:highlight w:val="none"/>
              </w:rPr>
            </w:pPr>
            <w:r>
              <w:rPr>
                <w:rFonts w:hint="eastAsia" w:ascii="宋体" w:hAnsi="宋体" w:eastAsia="宋体" w:cs="宋体"/>
                <w:color w:val="000000"/>
                <w:sz w:val="21"/>
                <w:szCs w:val="21"/>
                <w:highlight w:val="none"/>
              </w:rPr>
              <w:t>依据工程特点制定专项施工方案，对本项目工程重点、难点分析透切，制定的相应对策针对性强，可行性高，得</w:t>
            </w:r>
            <w:r>
              <w:rPr>
                <w:rFonts w:hint="eastAsia" w:ascii="宋体" w:hAnsi="宋体" w:eastAsia="宋体" w:cs="宋体"/>
                <w:color w:val="000000"/>
                <w:sz w:val="21"/>
                <w:szCs w:val="21"/>
                <w:highlight w:val="none"/>
                <w:u w:val="single"/>
              </w:rPr>
              <w:t>[</w:t>
            </w:r>
            <w:r>
              <w:rPr>
                <w:rFonts w:hint="eastAsia" w:ascii="宋体" w:hAnsi="宋体" w:eastAsia="宋体" w:cs="宋体"/>
                <w:color w:val="000000"/>
                <w:sz w:val="21"/>
                <w:szCs w:val="21"/>
                <w:highlight w:val="none"/>
                <w:u w:val="single"/>
                <w:lang w:val="en-US" w:eastAsia="zh-CN"/>
              </w:rPr>
              <w:t>8</w:t>
            </w:r>
            <w:r>
              <w:rPr>
                <w:rFonts w:hint="eastAsia" w:ascii="宋体" w:hAnsi="宋体" w:eastAsia="宋体" w:cs="宋体"/>
                <w:color w:val="000000"/>
                <w:sz w:val="21"/>
                <w:szCs w:val="21"/>
                <w:highlight w:val="none"/>
                <w:u w:val="single"/>
              </w:rPr>
              <w:t>-</w:t>
            </w:r>
            <w:r>
              <w:rPr>
                <w:rFonts w:hint="eastAsia" w:ascii="宋体" w:hAnsi="宋体" w:eastAsia="宋体" w:cs="宋体"/>
                <w:color w:val="000000"/>
                <w:sz w:val="21"/>
                <w:szCs w:val="21"/>
                <w:highlight w:val="none"/>
                <w:u w:val="single"/>
                <w:lang w:val="en-US" w:eastAsia="zh-CN"/>
              </w:rPr>
              <w:t>6</w:t>
            </w:r>
            <w:r>
              <w:rPr>
                <w:rFonts w:hint="eastAsia" w:ascii="宋体" w:hAnsi="宋体" w:eastAsia="宋体" w:cs="宋体"/>
                <w:color w:val="000000"/>
                <w:sz w:val="21"/>
                <w:szCs w:val="21"/>
                <w:highlight w:val="none"/>
                <w:u w:val="single"/>
              </w:rPr>
              <w:t>）</w:t>
            </w:r>
            <w:r>
              <w:rPr>
                <w:rFonts w:hint="eastAsia" w:ascii="宋体" w:hAnsi="宋体" w:eastAsia="宋体" w:cs="宋体"/>
                <w:color w:val="000000"/>
                <w:sz w:val="21"/>
                <w:szCs w:val="21"/>
                <w:highlight w:val="none"/>
              </w:rPr>
              <w:t>分。</w:t>
            </w:r>
          </w:p>
        </w:tc>
        <w:tc>
          <w:tcPr>
            <w:tcW w:w="2693" w:type="dxa"/>
            <w:noWrap w:val="0"/>
            <w:vAlign w:val="center"/>
          </w:tcPr>
          <w:p w14:paraId="5E1E3D36">
            <w:pPr>
              <w:jc w:val="left"/>
              <w:rPr>
                <w:rFonts w:hint="eastAsia" w:ascii="宋体" w:hAnsi="宋体" w:eastAsia="宋体" w:cs="宋体"/>
                <w:color w:val="000000"/>
                <w:kern w:val="0"/>
                <w:sz w:val="21"/>
                <w:szCs w:val="21"/>
                <w:highlight w:val="none"/>
              </w:rPr>
            </w:pPr>
            <w:r>
              <w:rPr>
                <w:rFonts w:hint="eastAsia" w:ascii="宋体" w:hAnsi="宋体" w:eastAsia="宋体" w:cs="宋体"/>
                <w:color w:val="000000"/>
                <w:sz w:val="21"/>
                <w:szCs w:val="21"/>
                <w:highlight w:val="none"/>
              </w:rPr>
              <w:t>依据工程特点制定专项施工方案，对本项目工程重点、难点分析较透切，制定的相应对策针对性较强，可行性较高，得</w:t>
            </w:r>
            <w:r>
              <w:rPr>
                <w:rFonts w:hint="eastAsia" w:ascii="宋体" w:hAnsi="宋体" w:eastAsia="宋体" w:cs="宋体"/>
                <w:color w:val="000000"/>
                <w:sz w:val="21"/>
                <w:szCs w:val="21"/>
                <w:highlight w:val="none"/>
                <w:u w:val="single"/>
              </w:rPr>
              <w:t>[</w:t>
            </w:r>
            <w:r>
              <w:rPr>
                <w:rFonts w:hint="eastAsia" w:ascii="宋体" w:hAnsi="宋体" w:eastAsia="宋体" w:cs="宋体"/>
                <w:color w:val="000000"/>
                <w:sz w:val="21"/>
                <w:szCs w:val="21"/>
                <w:highlight w:val="none"/>
                <w:u w:val="single"/>
                <w:lang w:val="en-US" w:eastAsia="zh-CN"/>
              </w:rPr>
              <w:t>6</w:t>
            </w:r>
            <w:r>
              <w:rPr>
                <w:rFonts w:hint="eastAsia" w:ascii="宋体" w:hAnsi="宋体" w:eastAsia="宋体" w:cs="宋体"/>
                <w:color w:val="000000"/>
                <w:sz w:val="21"/>
                <w:szCs w:val="21"/>
                <w:highlight w:val="none"/>
                <w:u w:val="single"/>
              </w:rPr>
              <w:t>-</w:t>
            </w:r>
            <w:r>
              <w:rPr>
                <w:rFonts w:hint="eastAsia" w:ascii="宋体" w:hAnsi="宋体" w:eastAsia="宋体" w:cs="宋体"/>
                <w:color w:val="000000"/>
                <w:sz w:val="21"/>
                <w:szCs w:val="21"/>
                <w:highlight w:val="none"/>
                <w:u w:val="single"/>
                <w:lang w:val="en-US" w:eastAsia="zh-CN"/>
              </w:rPr>
              <w:t>3</w:t>
            </w:r>
            <w:r>
              <w:rPr>
                <w:rFonts w:hint="eastAsia" w:ascii="宋体" w:hAnsi="宋体" w:eastAsia="宋体" w:cs="宋体"/>
                <w:color w:val="000000"/>
                <w:sz w:val="21"/>
                <w:szCs w:val="21"/>
                <w:highlight w:val="none"/>
                <w:u w:val="single"/>
              </w:rPr>
              <w:t>）</w:t>
            </w:r>
            <w:r>
              <w:rPr>
                <w:rFonts w:hint="eastAsia" w:ascii="宋体" w:hAnsi="宋体" w:eastAsia="宋体" w:cs="宋体"/>
                <w:color w:val="000000"/>
                <w:sz w:val="21"/>
                <w:szCs w:val="21"/>
                <w:highlight w:val="none"/>
              </w:rPr>
              <w:t>分。</w:t>
            </w:r>
          </w:p>
        </w:tc>
        <w:tc>
          <w:tcPr>
            <w:tcW w:w="2694" w:type="dxa"/>
            <w:noWrap w:val="0"/>
            <w:vAlign w:val="center"/>
          </w:tcPr>
          <w:p w14:paraId="76ABBE89">
            <w:pPr>
              <w:jc w:val="left"/>
              <w:rPr>
                <w:rFonts w:hint="eastAsia" w:ascii="宋体" w:hAnsi="宋体" w:eastAsia="宋体" w:cs="宋体"/>
                <w:color w:val="000000"/>
                <w:kern w:val="0"/>
                <w:sz w:val="21"/>
                <w:szCs w:val="21"/>
                <w:highlight w:val="none"/>
              </w:rPr>
            </w:pPr>
            <w:r>
              <w:rPr>
                <w:rFonts w:hint="eastAsia" w:ascii="宋体" w:hAnsi="宋体" w:eastAsia="宋体" w:cs="宋体"/>
                <w:color w:val="000000"/>
                <w:sz w:val="21"/>
                <w:szCs w:val="21"/>
                <w:highlight w:val="none"/>
              </w:rPr>
              <w:t>依据工程特点制定专项施工方案，对本项目工程重点、难点分析一般，制定的相应对策针对性一般，基本可行，得</w:t>
            </w:r>
            <w:r>
              <w:rPr>
                <w:rFonts w:hint="eastAsia" w:ascii="宋体" w:hAnsi="宋体" w:eastAsia="宋体" w:cs="宋体"/>
                <w:color w:val="000000"/>
                <w:sz w:val="21"/>
                <w:szCs w:val="21"/>
                <w:highlight w:val="none"/>
                <w:u w:val="single"/>
              </w:rPr>
              <w:t>[</w:t>
            </w:r>
            <w:r>
              <w:rPr>
                <w:rFonts w:hint="eastAsia" w:ascii="宋体" w:hAnsi="宋体" w:eastAsia="宋体" w:cs="宋体"/>
                <w:color w:val="000000"/>
                <w:sz w:val="21"/>
                <w:szCs w:val="21"/>
                <w:highlight w:val="none"/>
                <w:u w:val="single"/>
                <w:lang w:val="en-US" w:eastAsia="zh-CN"/>
              </w:rPr>
              <w:t>3</w:t>
            </w:r>
            <w:r>
              <w:rPr>
                <w:rFonts w:hint="eastAsia" w:ascii="宋体" w:hAnsi="宋体" w:eastAsia="宋体" w:cs="宋体"/>
                <w:color w:val="000000"/>
                <w:sz w:val="21"/>
                <w:szCs w:val="21"/>
                <w:highlight w:val="none"/>
                <w:u w:val="single"/>
              </w:rPr>
              <w:t>-0）</w:t>
            </w:r>
            <w:r>
              <w:rPr>
                <w:rFonts w:hint="eastAsia" w:ascii="宋体" w:hAnsi="宋体" w:eastAsia="宋体" w:cs="宋体"/>
                <w:color w:val="000000"/>
                <w:sz w:val="21"/>
                <w:szCs w:val="21"/>
                <w:highlight w:val="none"/>
              </w:rPr>
              <w:t>分。</w:t>
            </w:r>
          </w:p>
        </w:tc>
        <w:tc>
          <w:tcPr>
            <w:tcW w:w="2980" w:type="dxa"/>
            <w:noWrap w:val="0"/>
            <w:vAlign w:val="center"/>
          </w:tcPr>
          <w:p w14:paraId="1AE3D3D7">
            <w:pPr>
              <w:pStyle w:val="42"/>
              <w:jc w:val="left"/>
              <w:rPr>
                <w:rFonts w:hint="eastAsia" w:ascii="宋体" w:hAnsi="宋体" w:eastAsia="宋体" w:cs="宋体"/>
                <w:color w:val="000000"/>
                <w:highlight w:val="none"/>
              </w:rPr>
            </w:pPr>
            <w:r>
              <w:rPr>
                <w:rFonts w:hint="eastAsia" w:ascii="宋体" w:hAnsi="宋体" w:eastAsia="宋体" w:cs="宋体"/>
                <w:color w:val="000000"/>
                <w:highlight w:val="none"/>
              </w:rPr>
              <w:t>不满足前述要求者，得0分。</w:t>
            </w:r>
          </w:p>
        </w:tc>
      </w:tr>
      <w:tr w14:paraId="5895C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blHeader/>
          <w:jc w:val="center"/>
        </w:trPr>
        <w:tc>
          <w:tcPr>
            <w:tcW w:w="937" w:type="dxa"/>
            <w:vMerge w:val="continue"/>
            <w:noWrap w:val="0"/>
            <w:vAlign w:val="center"/>
          </w:tcPr>
          <w:p w14:paraId="19E65A01">
            <w:pPr>
              <w:pStyle w:val="42"/>
              <w:ind w:firstLine="400" w:firstLineChars="200"/>
              <w:jc w:val="center"/>
              <w:rPr>
                <w:rFonts w:hint="eastAsia" w:ascii="宋体" w:hAnsi="宋体" w:eastAsia="宋体" w:cs="宋体"/>
                <w:color w:val="000000"/>
                <w:highlight w:val="none"/>
              </w:rPr>
            </w:pPr>
          </w:p>
        </w:tc>
        <w:tc>
          <w:tcPr>
            <w:tcW w:w="1025" w:type="dxa"/>
            <w:noWrap w:val="0"/>
            <w:vAlign w:val="center"/>
          </w:tcPr>
          <w:p w14:paraId="241C9CF9">
            <w:pPr>
              <w:pStyle w:val="42"/>
              <w:jc w:val="center"/>
              <w:rPr>
                <w:rFonts w:hint="eastAsia" w:ascii="宋体" w:hAnsi="宋体" w:eastAsia="宋体" w:cs="宋体"/>
                <w:color w:val="000000"/>
                <w:highlight w:val="none"/>
              </w:rPr>
            </w:pPr>
            <w:r>
              <w:rPr>
                <w:rFonts w:hint="eastAsia" w:ascii="宋体" w:hAnsi="宋体" w:eastAsia="宋体" w:cs="宋体"/>
                <w:color w:val="000000"/>
                <w:highlight w:val="none"/>
              </w:rPr>
              <w:t>施工组织方案与技术措施</w:t>
            </w:r>
          </w:p>
        </w:tc>
        <w:tc>
          <w:tcPr>
            <w:tcW w:w="1300" w:type="dxa"/>
            <w:noWrap w:val="0"/>
            <w:vAlign w:val="center"/>
          </w:tcPr>
          <w:p w14:paraId="24F28137">
            <w:pPr>
              <w:pStyle w:val="42"/>
              <w:jc w:val="center"/>
              <w:rPr>
                <w:rFonts w:hint="eastAsia" w:ascii="宋体" w:hAnsi="宋体" w:eastAsia="宋体" w:cs="宋体"/>
                <w:color w:val="000000"/>
                <w:highlight w:val="none"/>
                <w:lang w:eastAsia="zh-CN"/>
              </w:rPr>
            </w:pPr>
            <w:r>
              <w:rPr>
                <w:rFonts w:hint="eastAsia" w:ascii="宋体" w:hAnsi="宋体" w:eastAsia="宋体" w:cs="宋体"/>
                <w:color w:val="000000"/>
                <w:highlight w:val="none"/>
                <w:lang w:val="en-US" w:eastAsia="zh-CN"/>
              </w:rPr>
              <w:t>8</w:t>
            </w:r>
          </w:p>
        </w:tc>
        <w:tc>
          <w:tcPr>
            <w:tcW w:w="2545" w:type="dxa"/>
            <w:noWrap w:val="0"/>
            <w:vAlign w:val="center"/>
          </w:tcPr>
          <w:p w14:paraId="48E9BF21">
            <w:pPr>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施工组织方案及施工方法先进，工程重点难点、施工关键技术工艺把握及应用准确，技术措施可以充分保障工程质量、工期和施工安全生产，得</w:t>
            </w:r>
            <w:r>
              <w:rPr>
                <w:rFonts w:hint="eastAsia" w:ascii="宋体" w:hAnsi="宋体" w:eastAsia="宋体" w:cs="宋体"/>
                <w:color w:val="000000"/>
                <w:sz w:val="21"/>
                <w:szCs w:val="21"/>
                <w:highlight w:val="none"/>
                <w:u w:val="single"/>
              </w:rPr>
              <w:t>[</w:t>
            </w:r>
            <w:r>
              <w:rPr>
                <w:rFonts w:hint="eastAsia" w:ascii="宋体" w:hAnsi="宋体" w:eastAsia="宋体" w:cs="宋体"/>
                <w:color w:val="000000"/>
                <w:sz w:val="21"/>
                <w:szCs w:val="21"/>
                <w:highlight w:val="none"/>
                <w:u w:val="single"/>
                <w:lang w:val="en-US" w:eastAsia="zh-CN"/>
              </w:rPr>
              <w:t>8</w:t>
            </w:r>
            <w:r>
              <w:rPr>
                <w:rFonts w:hint="eastAsia" w:ascii="宋体" w:hAnsi="宋体" w:eastAsia="宋体" w:cs="宋体"/>
                <w:color w:val="000000"/>
                <w:sz w:val="21"/>
                <w:szCs w:val="21"/>
                <w:highlight w:val="none"/>
                <w:u w:val="single"/>
              </w:rPr>
              <w:t>-</w:t>
            </w:r>
            <w:r>
              <w:rPr>
                <w:rFonts w:hint="eastAsia" w:ascii="宋体" w:hAnsi="宋体" w:eastAsia="宋体" w:cs="宋体"/>
                <w:color w:val="000000"/>
                <w:sz w:val="21"/>
                <w:szCs w:val="21"/>
                <w:highlight w:val="none"/>
                <w:u w:val="single"/>
                <w:lang w:val="en-US" w:eastAsia="zh-CN"/>
              </w:rPr>
              <w:t>6</w:t>
            </w:r>
            <w:r>
              <w:rPr>
                <w:rFonts w:hint="eastAsia" w:ascii="宋体" w:hAnsi="宋体" w:eastAsia="宋体" w:cs="宋体"/>
                <w:color w:val="000000"/>
                <w:sz w:val="21"/>
                <w:szCs w:val="21"/>
                <w:highlight w:val="none"/>
                <w:u w:val="single"/>
              </w:rPr>
              <w:t>）</w:t>
            </w:r>
            <w:r>
              <w:rPr>
                <w:rFonts w:hint="eastAsia" w:ascii="宋体" w:hAnsi="宋体" w:eastAsia="宋体" w:cs="宋体"/>
                <w:color w:val="000000"/>
                <w:kern w:val="0"/>
                <w:sz w:val="21"/>
                <w:szCs w:val="21"/>
                <w:highlight w:val="none"/>
              </w:rPr>
              <w:t>分。</w:t>
            </w:r>
          </w:p>
        </w:tc>
        <w:tc>
          <w:tcPr>
            <w:tcW w:w="2693" w:type="dxa"/>
            <w:noWrap w:val="0"/>
            <w:vAlign w:val="center"/>
          </w:tcPr>
          <w:p w14:paraId="600F89F9">
            <w:pPr>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施工组织方案及施工方法较好，工程重点难点、施工关键技术工艺把握及应用较好，技术措施较能保障工程质量、工期和施工安全生产，得</w:t>
            </w:r>
            <w:r>
              <w:rPr>
                <w:rFonts w:hint="eastAsia" w:ascii="宋体" w:hAnsi="宋体" w:eastAsia="宋体" w:cs="宋体"/>
                <w:color w:val="000000"/>
                <w:sz w:val="21"/>
                <w:szCs w:val="21"/>
                <w:highlight w:val="none"/>
                <w:u w:val="single"/>
              </w:rPr>
              <w:t>[</w:t>
            </w:r>
            <w:r>
              <w:rPr>
                <w:rFonts w:hint="eastAsia" w:ascii="宋体" w:hAnsi="宋体" w:eastAsia="宋体" w:cs="宋体"/>
                <w:color w:val="000000"/>
                <w:sz w:val="21"/>
                <w:szCs w:val="21"/>
                <w:highlight w:val="none"/>
                <w:u w:val="single"/>
                <w:lang w:val="en-US" w:eastAsia="zh-CN"/>
              </w:rPr>
              <w:t>6</w:t>
            </w:r>
            <w:r>
              <w:rPr>
                <w:rFonts w:hint="eastAsia" w:ascii="宋体" w:hAnsi="宋体" w:eastAsia="宋体" w:cs="宋体"/>
                <w:color w:val="000000"/>
                <w:sz w:val="21"/>
                <w:szCs w:val="21"/>
                <w:highlight w:val="none"/>
                <w:u w:val="single"/>
              </w:rPr>
              <w:t>-</w:t>
            </w:r>
            <w:r>
              <w:rPr>
                <w:rFonts w:hint="eastAsia" w:ascii="宋体" w:hAnsi="宋体" w:eastAsia="宋体" w:cs="宋体"/>
                <w:color w:val="000000"/>
                <w:sz w:val="21"/>
                <w:szCs w:val="21"/>
                <w:highlight w:val="none"/>
                <w:u w:val="single"/>
                <w:lang w:val="en-US" w:eastAsia="zh-CN"/>
              </w:rPr>
              <w:t>3</w:t>
            </w:r>
            <w:r>
              <w:rPr>
                <w:rFonts w:hint="eastAsia" w:ascii="宋体" w:hAnsi="宋体" w:eastAsia="宋体" w:cs="宋体"/>
                <w:color w:val="000000"/>
                <w:sz w:val="21"/>
                <w:szCs w:val="21"/>
                <w:highlight w:val="none"/>
                <w:u w:val="single"/>
              </w:rPr>
              <w:t>）</w:t>
            </w:r>
            <w:r>
              <w:rPr>
                <w:rFonts w:hint="eastAsia" w:ascii="宋体" w:hAnsi="宋体" w:eastAsia="宋体" w:cs="宋体"/>
                <w:color w:val="000000"/>
                <w:kern w:val="0"/>
                <w:sz w:val="21"/>
                <w:szCs w:val="21"/>
                <w:highlight w:val="none"/>
              </w:rPr>
              <w:t>分。</w:t>
            </w:r>
          </w:p>
        </w:tc>
        <w:tc>
          <w:tcPr>
            <w:tcW w:w="2694" w:type="dxa"/>
            <w:noWrap w:val="0"/>
            <w:vAlign w:val="center"/>
          </w:tcPr>
          <w:p w14:paraId="145B869B">
            <w:pPr>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施工组织方案或施工方法一般，工程重点难点、施工关键技术工艺把握及应用基本可行，技术措施基本能保障工程质量、工期和施工安全生产，得</w:t>
            </w:r>
            <w:r>
              <w:rPr>
                <w:rFonts w:hint="eastAsia" w:ascii="宋体" w:hAnsi="宋体" w:eastAsia="宋体" w:cs="宋体"/>
                <w:color w:val="000000"/>
                <w:sz w:val="21"/>
                <w:szCs w:val="21"/>
                <w:highlight w:val="none"/>
                <w:u w:val="single"/>
              </w:rPr>
              <w:t>[</w:t>
            </w:r>
            <w:r>
              <w:rPr>
                <w:rFonts w:hint="eastAsia" w:ascii="宋体" w:hAnsi="宋体" w:eastAsia="宋体" w:cs="宋体"/>
                <w:color w:val="000000"/>
                <w:sz w:val="21"/>
                <w:szCs w:val="21"/>
                <w:highlight w:val="none"/>
                <w:u w:val="single"/>
                <w:lang w:val="en-US" w:eastAsia="zh-CN"/>
              </w:rPr>
              <w:t>3</w:t>
            </w:r>
            <w:r>
              <w:rPr>
                <w:rFonts w:hint="eastAsia" w:ascii="宋体" w:hAnsi="宋体" w:eastAsia="宋体" w:cs="宋体"/>
                <w:color w:val="000000"/>
                <w:sz w:val="21"/>
                <w:szCs w:val="21"/>
                <w:highlight w:val="none"/>
                <w:u w:val="single"/>
              </w:rPr>
              <w:t>-0）</w:t>
            </w:r>
            <w:r>
              <w:rPr>
                <w:rFonts w:hint="eastAsia" w:ascii="宋体" w:hAnsi="宋体" w:eastAsia="宋体" w:cs="宋体"/>
                <w:color w:val="000000"/>
                <w:sz w:val="21"/>
                <w:szCs w:val="21"/>
                <w:highlight w:val="none"/>
              </w:rPr>
              <w:t>分。</w:t>
            </w:r>
          </w:p>
        </w:tc>
        <w:tc>
          <w:tcPr>
            <w:tcW w:w="2980" w:type="dxa"/>
            <w:noWrap w:val="0"/>
            <w:vAlign w:val="center"/>
          </w:tcPr>
          <w:p w14:paraId="7C90247C">
            <w:pPr>
              <w:pStyle w:val="42"/>
              <w:jc w:val="left"/>
              <w:rPr>
                <w:rFonts w:hint="eastAsia" w:ascii="宋体" w:hAnsi="宋体" w:eastAsia="宋体" w:cs="宋体"/>
                <w:color w:val="000000"/>
                <w:highlight w:val="none"/>
              </w:rPr>
            </w:pPr>
            <w:r>
              <w:rPr>
                <w:rFonts w:hint="eastAsia" w:ascii="宋体" w:hAnsi="宋体" w:eastAsia="宋体" w:cs="宋体"/>
                <w:color w:val="000000"/>
                <w:highlight w:val="none"/>
              </w:rPr>
              <w:t>不满足前述要求者，得0分。</w:t>
            </w:r>
          </w:p>
        </w:tc>
      </w:tr>
      <w:tr w14:paraId="71603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blHeader/>
          <w:jc w:val="center"/>
        </w:trPr>
        <w:tc>
          <w:tcPr>
            <w:tcW w:w="937" w:type="dxa"/>
            <w:vMerge w:val="continue"/>
            <w:noWrap w:val="0"/>
            <w:vAlign w:val="center"/>
          </w:tcPr>
          <w:p w14:paraId="1AB157B3">
            <w:pPr>
              <w:pStyle w:val="42"/>
              <w:ind w:firstLine="400" w:firstLineChars="200"/>
              <w:jc w:val="center"/>
              <w:rPr>
                <w:rFonts w:hint="eastAsia" w:ascii="宋体" w:hAnsi="宋体" w:eastAsia="宋体" w:cs="宋体"/>
                <w:color w:val="000000"/>
                <w:highlight w:val="none"/>
              </w:rPr>
            </w:pPr>
          </w:p>
        </w:tc>
        <w:tc>
          <w:tcPr>
            <w:tcW w:w="1025" w:type="dxa"/>
            <w:noWrap w:val="0"/>
            <w:vAlign w:val="center"/>
          </w:tcPr>
          <w:p w14:paraId="1D85BD95">
            <w:pPr>
              <w:pStyle w:val="42"/>
              <w:jc w:val="center"/>
              <w:rPr>
                <w:rFonts w:hint="eastAsia" w:ascii="宋体" w:hAnsi="宋体" w:eastAsia="宋体" w:cs="宋体"/>
                <w:color w:val="000000"/>
                <w:highlight w:val="none"/>
              </w:rPr>
            </w:pPr>
            <w:r>
              <w:rPr>
                <w:rFonts w:hint="eastAsia" w:ascii="宋体" w:hAnsi="宋体" w:eastAsia="宋体" w:cs="宋体"/>
                <w:color w:val="000000"/>
                <w:highlight w:val="none"/>
              </w:rPr>
              <w:t>施工总进度计划</w:t>
            </w:r>
          </w:p>
        </w:tc>
        <w:tc>
          <w:tcPr>
            <w:tcW w:w="1300" w:type="dxa"/>
            <w:noWrap w:val="0"/>
            <w:vAlign w:val="center"/>
          </w:tcPr>
          <w:p w14:paraId="71754BE2">
            <w:pPr>
              <w:pStyle w:val="42"/>
              <w:jc w:val="center"/>
              <w:rPr>
                <w:rFonts w:hint="eastAsia" w:ascii="宋体" w:hAnsi="宋体" w:eastAsia="宋体" w:cs="宋体"/>
                <w:color w:val="000000"/>
                <w:highlight w:val="none"/>
                <w:lang w:eastAsia="zh-CN"/>
              </w:rPr>
            </w:pPr>
            <w:r>
              <w:rPr>
                <w:rFonts w:hint="eastAsia" w:ascii="宋体" w:hAnsi="宋体" w:eastAsia="宋体" w:cs="宋体"/>
                <w:color w:val="000000"/>
                <w:highlight w:val="none"/>
                <w:lang w:val="en-US" w:eastAsia="zh-CN"/>
              </w:rPr>
              <w:t>5</w:t>
            </w:r>
          </w:p>
        </w:tc>
        <w:tc>
          <w:tcPr>
            <w:tcW w:w="2545" w:type="dxa"/>
            <w:noWrap w:val="0"/>
            <w:vAlign w:val="center"/>
          </w:tcPr>
          <w:p w14:paraId="3F76245C">
            <w:pPr>
              <w:pStyle w:val="42"/>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施工总进度计划逻辑性强、合理、可行，保证措施明确具体，得</w:t>
            </w:r>
            <w:r>
              <w:rPr>
                <w:rFonts w:hint="eastAsia" w:ascii="宋体" w:hAnsi="宋体" w:eastAsia="宋体" w:cs="宋体"/>
                <w:color w:val="000000"/>
                <w:sz w:val="21"/>
                <w:szCs w:val="21"/>
                <w:highlight w:val="none"/>
                <w:u w:val="single"/>
              </w:rPr>
              <w:t>[</w:t>
            </w:r>
            <w:r>
              <w:rPr>
                <w:rFonts w:hint="eastAsia" w:ascii="宋体" w:hAnsi="宋体" w:eastAsia="宋体" w:cs="宋体"/>
                <w:color w:val="000000"/>
                <w:sz w:val="21"/>
                <w:szCs w:val="21"/>
                <w:highlight w:val="none"/>
                <w:u w:val="single"/>
                <w:lang w:val="en-US" w:eastAsia="zh-CN"/>
              </w:rPr>
              <w:t>5</w:t>
            </w:r>
            <w:r>
              <w:rPr>
                <w:rFonts w:hint="eastAsia" w:ascii="宋体" w:hAnsi="宋体" w:eastAsia="宋体" w:cs="宋体"/>
                <w:color w:val="000000"/>
                <w:sz w:val="21"/>
                <w:szCs w:val="21"/>
                <w:highlight w:val="none"/>
                <w:u w:val="single"/>
              </w:rPr>
              <w:t>-</w:t>
            </w:r>
            <w:r>
              <w:rPr>
                <w:rFonts w:hint="eastAsia" w:ascii="宋体" w:hAnsi="宋体" w:eastAsia="宋体" w:cs="宋体"/>
                <w:color w:val="000000"/>
                <w:sz w:val="21"/>
                <w:szCs w:val="21"/>
                <w:highlight w:val="none"/>
                <w:u w:val="single"/>
                <w:lang w:val="en-US" w:eastAsia="zh-CN"/>
              </w:rPr>
              <w:t>3</w:t>
            </w:r>
            <w:r>
              <w:rPr>
                <w:rFonts w:hint="eastAsia" w:ascii="宋体" w:hAnsi="宋体" w:eastAsia="宋体" w:cs="宋体"/>
                <w:color w:val="000000"/>
                <w:sz w:val="21"/>
                <w:szCs w:val="21"/>
                <w:highlight w:val="none"/>
                <w:u w:val="single"/>
              </w:rPr>
              <w:t>）</w:t>
            </w:r>
            <w:r>
              <w:rPr>
                <w:rFonts w:hint="eastAsia" w:ascii="宋体" w:hAnsi="宋体" w:eastAsia="宋体" w:cs="宋体"/>
                <w:color w:val="000000"/>
                <w:sz w:val="21"/>
                <w:szCs w:val="21"/>
                <w:highlight w:val="none"/>
              </w:rPr>
              <w:t>分。</w:t>
            </w:r>
          </w:p>
        </w:tc>
        <w:tc>
          <w:tcPr>
            <w:tcW w:w="2693" w:type="dxa"/>
            <w:noWrap w:val="0"/>
            <w:vAlign w:val="center"/>
          </w:tcPr>
          <w:p w14:paraId="6D44ED65">
            <w:pPr>
              <w:pStyle w:val="42"/>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施工总进度计划逻辑性较强、较合理可行，有保证措施，得</w:t>
            </w:r>
            <w:r>
              <w:rPr>
                <w:rFonts w:hint="eastAsia" w:ascii="宋体" w:hAnsi="宋体" w:eastAsia="宋体" w:cs="宋体"/>
                <w:color w:val="000000"/>
                <w:sz w:val="21"/>
                <w:szCs w:val="21"/>
                <w:highlight w:val="none"/>
                <w:u w:val="single"/>
              </w:rPr>
              <w:t>[</w:t>
            </w:r>
            <w:r>
              <w:rPr>
                <w:rFonts w:hint="eastAsia" w:ascii="宋体" w:hAnsi="宋体" w:eastAsia="宋体" w:cs="宋体"/>
                <w:color w:val="000000"/>
                <w:sz w:val="21"/>
                <w:szCs w:val="21"/>
                <w:highlight w:val="none"/>
                <w:u w:val="single"/>
                <w:lang w:val="en-US" w:eastAsia="zh-CN"/>
              </w:rPr>
              <w:t>3</w:t>
            </w:r>
            <w:r>
              <w:rPr>
                <w:rFonts w:hint="eastAsia" w:ascii="宋体" w:hAnsi="宋体" w:eastAsia="宋体" w:cs="宋体"/>
                <w:color w:val="000000"/>
                <w:sz w:val="21"/>
                <w:szCs w:val="21"/>
                <w:highlight w:val="none"/>
                <w:u w:val="single"/>
              </w:rPr>
              <w:t>-1）</w:t>
            </w:r>
            <w:r>
              <w:rPr>
                <w:rFonts w:hint="eastAsia" w:ascii="宋体" w:hAnsi="宋体" w:eastAsia="宋体" w:cs="宋体"/>
                <w:color w:val="000000"/>
                <w:sz w:val="21"/>
                <w:szCs w:val="21"/>
                <w:highlight w:val="none"/>
              </w:rPr>
              <w:t>分。</w:t>
            </w:r>
          </w:p>
        </w:tc>
        <w:tc>
          <w:tcPr>
            <w:tcW w:w="2694" w:type="dxa"/>
            <w:noWrap w:val="0"/>
            <w:vAlign w:val="center"/>
          </w:tcPr>
          <w:p w14:paraId="4001A330">
            <w:pPr>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施工总进度计划逻辑性一般、基本合理可行，得</w:t>
            </w:r>
            <w:r>
              <w:rPr>
                <w:rFonts w:hint="eastAsia" w:ascii="宋体" w:hAnsi="宋体" w:eastAsia="宋体" w:cs="宋体"/>
                <w:color w:val="000000"/>
                <w:sz w:val="21"/>
                <w:szCs w:val="21"/>
                <w:highlight w:val="none"/>
                <w:u w:val="single"/>
              </w:rPr>
              <w:t>[1-0）</w:t>
            </w:r>
            <w:r>
              <w:rPr>
                <w:rFonts w:hint="eastAsia" w:ascii="宋体" w:hAnsi="宋体" w:eastAsia="宋体" w:cs="宋体"/>
                <w:color w:val="000000"/>
                <w:kern w:val="0"/>
                <w:sz w:val="21"/>
                <w:szCs w:val="21"/>
                <w:highlight w:val="none"/>
              </w:rPr>
              <w:t>分。</w:t>
            </w:r>
          </w:p>
        </w:tc>
        <w:tc>
          <w:tcPr>
            <w:tcW w:w="2980" w:type="dxa"/>
            <w:noWrap w:val="0"/>
            <w:vAlign w:val="center"/>
          </w:tcPr>
          <w:p w14:paraId="7AF897F7">
            <w:pPr>
              <w:pStyle w:val="42"/>
              <w:jc w:val="left"/>
              <w:rPr>
                <w:rFonts w:hint="eastAsia" w:ascii="宋体" w:hAnsi="宋体" w:eastAsia="宋体" w:cs="宋体"/>
                <w:color w:val="000000"/>
                <w:highlight w:val="none"/>
              </w:rPr>
            </w:pPr>
            <w:r>
              <w:rPr>
                <w:rFonts w:hint="eastAsia" w:ascii="宋体" w:hAnsi="宋体" w:eastAsia="宋体" w:cs="宋体"/>
                <w:color w:val="000000"/>
                <w:highlight w:val="none"/>
              </w:rPr>
              <w:t>不满足前述要求者，得0分。</w:t>
            </w:r>
          </w:p>
        </w:tc>
      </w:tr>
      <w:tr w14:paraId="19670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1" w:hRule="atLeast"/>
          <w:tblHeader/>
          <w:jc w:val="center"/>
        </w:trPr>
        <w:tc>
          <w:tcPr>
            <w:tcW w:w="937" w:type="dxa"/>
            <w:vMerge w:val="continue"/>
            <w:noWrap w:val="0"/>
            <w:vAlign w:val="center"/>
          </w:tcPr>
          <w:p w14:paraId="4A2C5A7B">
            <w:pPr>
              <w:pStyle w:val="42"/>
              <w:ind w:firstLine="400" w:firstLineChars="200"/>
              <w:jc w:val="center"/>
              <w:rPr>
                <w:rFonts w:hint="eastAsia" w:ascii="宋体" w:hAnsi="宋体" w:eastAsia="宋体" w:cs="宋体"/>
                <w:color w:val="000000"/>
                <w:highlight w:val="none"/>
              </w:rPr>
            </w:pPr>
          </w:p>
        </w:tc>
        <w:tc>
          <w:tcPr>
            <w:tcW w:w="1025" w:type="dxa"/>
            <w:noWrap w:val="0"/>
            <w:vAlign w:val="center"/>
          </w:tcPr>
          <w:p w14:paraId="1E483BE0">
            <w:pPr>
              <w:pStyle w:val="42"/>
              <w:jc w:val="center"/>
              <w:rPr>
                <w:rFonts w:hint="eastAsia" w:ascii="宋体" w:hAnsi="宋体" w:eastAsia="宋体" w:cs="宋体"/>
                <w:color w:val="000000"/>
                <w:highlight w:val="none"/>
              </w:rPr>
            </w:pPr>
            <w:r>
              <w:rPr>
                <w:rFonts w:hint="eastAsia" w:ascii="宋体" w:hAnsi="宋体" w:eastAsia="宋体" w:cs="宋体"/>
                <w:color w:val="000000"/>
                <w:highlight w:val="none"/>
              </w:rPr>
              <w:t>资源供应计划</w:t>
            </w:r>
          </w:p>
        </w:tc>
        <w:tc>
          <w:tcPr>
            <w:tcW w:w="1300" w:type="dxa"/>
            <w:noWrap w:val="0"/>
            <w:vAlign w:val="center"/>
          </w:tcPr>
          <w:p w14:paraId="59D8C19C">
            <w:pPr>
              <w:pStyle w:val="42"/>
              <w:jc w:val="center"/>
              <w:rPr>
                <w:rFonts w:hint="eastAsia" w:ascii="宋体" w:hAnsi="宋体" w:eastAsia="宋体" w:cs="宋体"/>
                <w:color w:val="000000"/>
                <w:highlight w:val="none"/>
                <w:lang w:eastAsia="zh-CN"/>
              </w:rPr>
            </w:pPr>
            <w:r>
              <w:rPr>
                <w:rFonts w:hint="eastAsia" w:ascii="宋体" w:hAnsi="宋体" w:eastAsia="宋体" w:cs="宋体"/>
                <w:color w:val="000000"/>
                <w:highlight w:val="none"/>
                <w:lang w:val="en-US" w:eastAsia="zh-CN"/>
              </w:rPr>
              <w:t>5</w:t>
            </w:r>
          </w:p>
        </w:tc>
        <w:tc>
          <w:tcPr>
            <w:tcW w:w="2545" w:type="dxa"/>
            <w:noWrap w:val="0"/>
            <w:vAlign w:val="center"/>
          </w:tcPr>
          <w:p w14:paraId="4E2E1DF7">
            <w:pPr>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有劳动力需求计划及保障措施、机械设备需求计划及保障措施和材料需求计划及保障措施，措施合理、可行得</w:t>
            </w:r>
            <w:r>
              <w:rPr>
                <w:rFonts w:hint="eastAsia" w:ascii="宋体" w:hAnsi="宋体" w:eastAsia="宋体" w:cs="宋体"/>
                <w:color w:val="000000"/>
                <w:sz w:val="21"/>
                <w:szCs w:val="21"/>
                <w:highlight w:val="none"/>
                <w:u w:val="single"/>
              </w:rPr>
              <w:t>[</w:t>
            </w:r>
            <w:r>
              <w:rPr>
                <w:rFonts w:hint="eastAsia" w:ascii="宋体" w:hAnsi="宋体" w:eastAsia="宋体" w:cs="宋体"/>
                <w:color w:val="000000"/>
                <w:sz w:val="21"/>
                <w:szCs w:val="21"/>
                <w:highlight w:val="none"/>
                <w:u w:val="single"/>
                <w:lang w:val="en-US" w:eastAsia="zh-CN"/>
              </w:rPr>
              <w:t>5</w:t>
            </w:r>
            <w:r>
              <w:rPr>
                <w:rFonts w:hint="eastAsia" w:ascii="宋体" w:hAnsi="宋体" w:eastAsia="宋体" w:cs="宋体"/>
                <w:color w:val="000000"/>
                <w:sz w:val="21"/>
                <w:szCs w:val="21"/>
                <w:highlight w:val="none"/>
                <w:u w:val="single"/>
              </w:rPr>
              <w:t>-</w:t>
            </w:r>
            <w:r>
              <w:rPr>
                <w:rFonts w:hint="eastAsia" w:ascii="宋体" w:hAnsi="宋体" w:eastAsia="宋体" w:cs="宋体"/>
                <w:color w:val="000000"/>
                <w:sz w:val="21"/>
                <w:szCs w:val="21"/>
                <w:highlight w:val="none"/>
                <w:u w:val="single"/>
                <w:lang w:val="en-US" w:eastAsia="zh-CN"/>
              </w:rPr>
              <w:t>3</w:t>
            </w:r>
            <w:r>
              <w:rPr>
                <w:rFonts w:hint="eastAsia" w:ascii="宋体" w:hAnsi="宋体" w:eastAsia="宋体" w:cs="宋体"/>
                <w:color w:val="000000"/>
                <w:sz w:val="21"/>
                <w:szCs w:val="21"/>
                <w:highlight w:val="none"/>
                <w:u w:val="single"/>
              </w:rPr>
              <w:t>）</w:t>
            </w:r>
            <w:r>
              <w:rPr>
                <w:rFonts w:hint="eastAsia" w:ascii="宋体" w:hAnsi="宋体" w:eastAsia="宋体" w:cs="宋体"/>
                <w:color w:val="000000"/>
                <w:sz w:val="21"/>
                <w:szCs w:val="21"/>
                <w:highlight w:val="none"/>
              </w:rPr>
              <w:t>分。</w:t>
            </w:r>
          </w:p>
        </w:tc>
        <w:tc>
          <w:tcPr>
            <w:tcW w:w="2693" w:type="dxa"/>
            <w:noWrap w:val="0"/>
            <w:vAlign w:val="center"/>
          </w:tcPr>
          <w:p w14:paraId="234BCC08">
            <w:pPr>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有劳动力需求计划及保障措施、机械设备需求计划及保障措施和材料需求计划及保障措施，措施较合理、可行得</w:t>
            </w:r>
            <w:r>
              <w:rPr>
                <w:rFonts w:hint="eastAsia" w:ascii="宋体" w:hAnsi="宋体" w:eastAsia="宋体" w:cs="宋体"/>
                <w:color w:val="000000"/>
                <w:sz w:val="21"/>
                <w:szCs w:val="21"/>
                <w:highlight w:val="none"/>
                <w:u w:val="single"/>
              </w:rPr>
              <w:t>[</w:t>
            </w:r>
            <w:r>
              <w:rPr>
                <w:rFonts w:hint="eastAsia" w:ascii="宋体" w:hAnsi="宋体" w:eastAsia="宋体" w:cs="宋体"/>
                <w:color w:val="000000"/>
                <w:sz w:val="21"/>
                <w:szCs w:val="21"/>
                <w:highlight w:val="none"/>
                <w:u w:val="single"/>
                <w:lang w:val="en-US" w:eastAsia="zh-CN"/>
              </w:rPr>
              <w:t>3</w:t>
            </w:r>
            <w:r>
              <w:rPr>
                <w:rFonts w:hint="eastAsia" w:ascii="宋体" w:hAnsi="宋体" w:eastAsia="宋体" w:cs="宋体"/>
                <w:color w:val="000000"/>
                <w:sz w:val="21"/>
                <w:szCs w:val="21"/>
                <w:highlight w:val="none"/>
                <w:u w:val="single"/>
              </w:rPr>
              <w:t>-1）</w:t>
            </w:r>
            <w:r>
              <w:rPr>
                <w:rFonts w:hint="eastAsia" w:ascii="宋体" w:hAnsi="宋体" w:eastAsia="宋体" w:cs="宋体"/>
                <w:color w:val="000000"/>
                <w:sz w:val="21"/>
                <w:szCs w:val="21"/>
                <w:highlight w:val="none"/>
              </w:rPr>
              <w:t>分。</w:t>
            </w:r>
          </w:p>
        </w:tc>
        <w:tc>
          <w:tcPr>
            <w:tcW w:w="2694" w:type="dxa"/>
            <w:noWrap w:val="0"/>
            <w:vAlign w:val="center"/>
          </w:tcPr>
          <w:p w14:paraId="7CABC23B">
            <w:pPr>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有劳动力需求计划及保障措施、机械设备需求计划及保障措施和材料需求计划及保障措施，措施基本合理、可行得</w:t>
            </w:r>
            <w:r>
              <w:rPr>
                <w:rFonts w:hint="eastAsia" w:ascii="宋体" w:hAnsi="宋体" w:eastAsia="宋体" w:cs="宋体"/>
                <w:color w:val="000000"/>
                <w:sz w:val="21"/>
                <w:szCs w:val="21"/>
                <w:highlight w:val="none"/>
                <w:u w:val="single"/>
              </w:rPr>
              <w:t>[1-0）</w:t>
            </w:r>
            <w:r>
              <w:rPr>
                <w:rFonts w:hint="eastAsia" w:ascii="宋体" w:hAnsi="宋体" w:eastAsia="宋体" w:cs="宋体"/>
                <w:color w:val="000000"/>
                <w:sz w:val="21"/>
                <w:szCs w:val="21"/>
                <w:highlight w:val="none"/>
              </w:rPr>
              <w:t>分。</w:t>
            </w:r>
          </w:p>
        </w:tc>
        <w:tc>
          <w:tcPr>
            <w:tcW w:w="2980" w:type="dxa"/>
            <w:noWrap w:val="0"/>
            <w:vAlign w:val="center"/>
          </w:tcPr>
          <w:p w14:paraId="22817F2A">
            <w:pPr>
              <w:jc w:val="left"/>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rPr>
              <w:t>不满足前述要求者，得0分。</w:t>
            </w:r>
          </w:p>
        </w:tc>
      </w:tr>
      <w:tr w14:paraId="7014A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937" w:type="dxa"/>
            <w:vMerge w:val="continue"/>
            <w:noWrap w:val="0"/>
            <w:vAlign w:val="center"/>
          </w:tcPr>
          <w:p w14:paraId="273BBFDD">
            <w:pPr>
              <w:ind w:left="218" w:leftChars="104"/>
              <w:jc w:val="center"/>
              <w:rPr>
                <w:rFonts w:hint="eastAsia" w:ascii="宋体" w:hAnsi="宋体" w:eastAsia="宋体" w:cs="宋体"/>
                <w:color w:val="000000"/>
                <w:szCs w:val="21"/>
                <w:highlight w:val="none"/>
              </w:rPr>
            </w:pPr>
          </w:p>
        </w:tc>
        <w:tc>
          <w:tcPr>
            <w:tcW w:w="1025" w:type="dxa"/>
            <w:noWrap w:val="0"/>
            <w:vAlign w:val="center"/>
          </w:tcPr>
          <w:p w14:paraId="7CCBCC4B">
            <w:pPr>
              <w:pStyle w:val="42"/>
              <w:jc w:val="center"/>
              <w:rPr>
                <w:rFonts w:hint="eastAsia" w:ascii="宋体" w:hAnsi="宋体" w:eastAsia="宋体" w:cs="宋体"/>
                <w:color w:val="000000"/>
                <w:highlight w:val="none"/>
              </w:rPr>
            </w:pPr>
            <w:r>
              <w:rPr>
                <w:rFonts w:hint="eastAsia" w:ascii="宋体" w:hAnsi="宋体" w:eastAsia="宋体" w:cs="宋体"/>
                <w:color w:val="000000"/>
                <w:highlight w:val="none"/>
              </w:rPr>
              <w:t>施工质量目标</w:t>
            </w:r>
          </w:p>
        </w:tc>
        <w:tc>
          <w:tcPr>
            <w:tcW w:w="1300" w:type="dxa"/>
            <w:noWrap w:val="0"/>
            <w:vAlign w:val="center"/>
          </w:tcPr>
          <w:p w14:paraId="70CE12D2">
            <w:pPr>
              <w:pStyle w:val="42"/>
              <w:jc w:val="center"/>
              <w:rPr>
                <w:rFonts w:hint="eastAsia" w:ascii="宋体" w:hAnsi="宋体" w:eastAsia="宋体" w:cs="宋体"/>
                <w:color w:val="000000"/>
                <w:highlight w:val="none"/>
                <w:lang w:eastAsia="zh-CN"/>
              </w:rPr>
            </w:pPr>
            <w:r>
              <w:rPr>
                <w:rFonts w:hint="eastAsia" w:ascii="宋体" w:hAnsi="宋体" w:eastAsia="宋体" w:cs="宋体"/>
                <w:color w:val="000000"/>
                <w:highlight w:val="none"/>
                <w:lang w:val="en-US" w:eastAsia="zh-CN"/>
              </w:rPr>
              <w:t>8</w:t>
            </w:r>
          </w:p>
        </w:tc>
        <w:tc>
          <w:tcPr>
            <w:tcW w:w="2545" w:type="dxa"/>
            <w:noWrap w:val="0"/>
            <w:vAlign w:val="center"/>
          </w:tcPr>
          <w:p w14:paraId="62770433">
            <w:pPr>
              <w:pStyle w:val="42"/>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有质量目标保证措施且质量目标符合招标文件要求，质量保证体系及质量事故应急预案合理、可行，得</w:t>
            </w:r>
            <w:r>
              <w:rPr>
                <w:rFonts w:hint="eastAsia" w:ascii="宋体" w:hAnsi="宋体" w:eastAsia="宋体" w:cs="宋体"/>
                <w:color w:val="000000"/>
                <w:sz w:val="21"/>
                <w:szCs w:val="21"/>
                <w:highlight w:val="none"/>
                <w:u w:val="single"/>
              </w:rPr>
              <w:t>[</w:t>
            </w:r>
            <w:r>
              <w:rPr>
                <w:rFonts w:hint="eastAsia" w:ascii="宋体" w:hAnsi="宋体" w:eastAsia="宋体" w:cs="宋体"/>
                <w:color w:val="000000"/>
                <w:sz w:val="21"/>
                <w:szCs w:val="21"/>
                <w:highlight w:val="none"/>
                <w:u w:val="single"/>
                <w:lang w:val="en-US" w:eastAsia="zh-CN"/>
              </w:rPr>
              <w:t>8</w:t>
            </w:r>
            <w:r>
              <w:rPr>
                <w:rFonts w:hint="eastAsia" w:ascii="宋体" w:hAnsi="宋体" w:eastAsia="宋体" w:cs="宋体"/>
                <w:color w:val="000000"/>
                <w:sz w:val="21"/>
                <w:szCs w:val="21"/>
                <w:highlight w:val="none"/>
                <w:u w:val="single"/>
              </w:rPr>
              <w:t>-</w:t>
            </w:r>
            <w:r>
              <w:rPr>
                <w:rFonts w:hint="eastAsia" w:ascii="宋体" w:hAnsi="宋体" w:eastAsia="宋体" w:cs="宋体"/>
                <w:color w:val="000000"/>
                <w:sz w:val="21"/>
                <w:szCs w:val="21"/>
                <w:highlight w:val="none"/>
                <w:u w:val="single"/>
                <w:lang w:val="en-US" w:eastAsia="zh-CN"/>
              </w:rPr>
              <w:t>6</w:t>
            </w:r>
            <w:r>
              <w:rPr>
                <w:rFonts w:hint="eastAsia" w:ascii="宋体" w:hAnsi="宋体" w:eastAsia="宋体" w:cs="宋体"/>
                <w:color w:val="000000"/>
                <w:sz w:val="21"/>
                <w:szCs w:val="21"/>
                <w:highlight w:val="none"/>
                <w:u w:val="single"/>
              </w:rPr>
              <w:t>）</w:t>
            </w:r>
            <w:r>
              <w:rPr>
                <w:rFonts w:hint="eastAsia" w:ascii="宋体" w:hAnsi="宋体" w:eastAsia="宋体" w:cs="宋体"/>
                <w:color w:val="000000"/>
                <w:sz w:val="21"/>
                <w:szCs w:val="21"/>
                <w:highlight w:val="none"/>
              </w:rPr>
              <w:t>分。</w:t>
            </w:r>
          </w:p>
        </w:tc>
        <w:tc>
          <w:tcPr>
            <w:tcW w:w="2693" w:type="dxa"/>
            <w:noWrap w:val="0"/>
            <w:vAlign w:val="center"/>
          </w:tcPr>
          <w:p w14:paraId="3CCDCE94">
            <w:pPr>
              <w:pStyle w:val="42"/>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有质量目标保证措施且质量目标符合招标文件要求，质量保证体系及质量事故应急预案较合理可行，得</w:t>
            </w:r>
            <w:r>
              <w:rPr>
                <w:rFonts w:hint="eastAsia" w:ascii="宋体" w:hAnsi="宋体" w:eastAsia="宋体" w:cs="宋体"/>
                <w:color w:val="000000"/>
                <w:sz w:val="21"/>
                <w:szCs w:val="21"/>
                <w:highlight w:val="none"/>
                <w:u w:val="single"/>
              </w:rPr>
              <w:t>[</w:t>
            </w:r>
            <w:r>
              <w:rPr>
                <w:rFonts w:hint="eastAsia" w:ascii="宋体" w:hAnsi="宋体" w:eastAsia="宋体" w:cs="宋体"/>
                <w:color w:val="000000"/>
                <w:sz w:val="21"/>
                <w:szCs w:val="21"/>
                <w:highlight w:val="none"/>
                <w:u w:val="single"/>
                <w:lang w:val="en-US" w:eastAsia="zh-CN"/>
              </w:rPr>
              <w:t>6</w:t>
            </w:r>
            <w:r>
              <w:rPr>
                <w:rFonts w:hint="eastAsia" w:ascii="宋体" w:hAnsi="宋体" w:eastAsia="宋体" w:cs="宋体"/>
                <w:color w:val="000000"/>
                <w:sz w:val="21"/>
                <w:szCs w:val="21"/>
                <w:highlight w:val="none"/>
                <w:u w:val="single"/>
              </w:rPr>
              <w:t>-</w:t>
            </w:r>
            <w:r>
              <w:rPr>
                <w:rFonts w:hint="eastAsia" w:ascii="宋体" w:hAnsi="宋体" w:eastAsia="宋体" w:cs="宋体"/>
                <w:color w:val="000000"/>
                <w:sz w:val="21"/>
                <w:szCs w:val="21"/>
                <w:highlight w:val="none"/>
                <w:u w:val="single"/>
                <w:lang w:val="en-US" w:eastAsia="zh-CN"/>
              </w:rPr>
              <w:t>3</w:t>
            </w:r>
            <w:r>
              <w:rPr>
                <w:rFonts w:hint="eastAsia" w:ascii="宋体" w:hAnsi="宋体" w:eastAsia="宋体" w:cs="宋体"/>
                <w:color w:val="000000"/>
                <w:sz w:val="21"/>
                <w:szCs w:val="21"/>
                <w:highlight w:val="none"/>
                <w:u w:val="single"/>
              </w:rPr>
              <w:t>）</w:t>
            </w:r>
            <w:r>
              <w:rPr>
                <w:rFonts w:hint="eastAsia" w:ascii="宋体" w:hAnsi="宋体" w:eastAsia="宋体" w:cs="宋体"/>
                <w:color w:val="000000"/>
                <w:sz w:val="21"/>
                <w:szCs w:val="21"/>
                <w:highlight w:val="none"/>
              </w:rPr>
              <w:t>分。</w:t>
            </w:r>
          </w:p>
        </w:tc>
        <w:tc>
          <w:tcPr>
            <w:tcW w:w="2694" w:type="dxa"/>
            <w:noWrap w:val="0"/>
            <w:vAlign w:val="center"/>
          </w:tcPr>
          <w:p w14:paraId="49E32E2A">
            <w:pPr>
              <w:pStyle w:val="42"/>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有质量目标保证措施且质量目标符合招标文件要求，质量保证体系及质量事故应急预案基本合理可行，得</w:t>
            </w:r>
            <w:r>
              <w:rPr>
                <w:rFonts w:hint="eastAsia" w:ascii="宋体" w:hAnsi="宋体" w:eastAsia="宋体" w:cs="宋体"/>
                <w:color w:val="000000"/>
                <w:sz w:val="21"/>
                <w:szCs w:val="21"/>
                <w:highlight w:val="none"/>
                <w:u w:val="single"/>
              </w:rPr>
              <w:t>[</w:t>
            </w:r>
            <w:r>
              <w:rPr>
                <w:rFonts w:hint="eastAsia" w:ascii="宋体" w:hAnsi="宋体" w:eastAsia="宋体" w:cs="宋体"/>
                <w:color w:val="000000"/>
                <w:sz w:val="21"/>
                <w:szCs w:val="21"/>
                <w:highlight w:val="none"/>
                <w:u w:val="single"/>
                <w:lang w:val="en-US" w:eastAsia="zh-CN"/>
              </w:rPr>
              <w:t>3</w:t>
            </w:r>
            <w:r>
              <w:rPr>
                <w:rFonts w:hint="eastAsia" w:ascii="宋体" w:hAnsi="宋体" w:eastAsia="宋体" w:cs="宋体"/>
                <w:color w:val="000000"/>
                <w:sz w:val="21"/>
                <w:szCs w:val="21"/>
                <w:highlight w:val="none"/>
                <w:u w:val="single"/>
              </w:rPr>
              <w:t>-0）</w:t>
            </w:r>
            <w:r>
              <w:rPr>
                <w:rFonts w:hint="eastAsia" w:ascii="宋体" w:hAnsi="宋体" w:eastAsia="宋体" w:cs="宋体"/>
                <w:color w:val="000000"/>
                <w:sz w:val="21"/>
                <w:szCs w:val="21"/>
                <w:highlight w:val="none"/>
              </w:rPr>
              <w:t>分。</w:t>
            </w:r>
          </w:p>
        </w:tc>
        <w:tc>
          <w:tcPr>
            <w:tcW w:w="2980" w:type="dxa"/>
            <w:noWrap w:val="0"/>
            <w:vAlign w:val="center"/>
          </w:tcPr>
          <w:p w14:paraId="7B0C0FD8">
            <w:pPr>
              <w:pStyle w:val="42"/>
              <w:jc w:val="left"/>
              <w:rPr>
                <w:rFonts w:hint="eastAsia" w:ascii="宋体" w:hAnsi="宋体" w:eastAsia="宋体" w:cs="宋体"/>
                <w:color w:val="000000"/>
                <w:highlight w:val="none"/>
              </w:rPr>
            </w:pPr>
            <w:r>
              <w:rPr>
                <w:rFonts w:hint="eastAsia" w:ascii="宋体" w:hAnsi="宋体" w:eastAsia="宋体" w:cs="宋体"/>
                <w:color w:val="000000"/>
                <w:highlight w:val="none"/>
              </w:rPr>
              <w:t>不满足前述要求者，得0分。</w:t>
            </w:r>
          </w:p>
        </w:tc>
      </w:tr>
      <w:tr w14:paraId="2FD3D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937" w:type="dxa"/>
            <w:vMerge w:val="continue"/>
            <w:noWrap w:val="0"/>
            <w:vAlign w:val="center"/>
          </w:tcPr>
          <w:p w14:paraId="5785A63E">
            <w:pPr>
              <w:pStyle w:val="42"/>
              <w:ind w:firstLine="400" w:firstLineChars="200"/>
              <w:jc w:val="center"/>
              <w:rPr>
                <w:rFonts w:hint="eastAsia" w:ascii="宋体" w:hAnsi="宋体" w:eastAsia="宋体" w:cs="宋体"/>
                <w:color w:val="000000"/>
                <w:highlight w:val="none"/>
              </w:rPr>
            </w:pPr>
          </w:p>
        </w:tc>
        <w:tc>
          <w:tcPr>
            <w:tcW w:w="1025" w:type="dxa"/>
            <w:noWrap w:val="0"/>
            <w:vAlign w:val="center"/>
          </w:tcPr>
          <w:p w14:paraId="420A509D">
            <w:pPr>
              <w:pStyle w:val="42"/>
              <w:jc w:val="center"/>
              <w:rPr>
                <w:rFonts w:hint="eastAsia" w:ascii="宋体" w:hAnsi="宋体" w:eastAsia="宋体" w:cs="宋体"/>
                <w:color w:val="000000"/>
                <w:highlight w:val="none"/>
              </w:rPr>
            </w:pPr>
            <w:r>
              <w:rPr>
                <w:rFonts w:hint="eastAsia" w:ascii="宋体" w:hAnsi="宋体" w:eastAsia="宋体" w:cs="宋体"/>
                <w:color w:val="000000"/>
                <w:highlight w:val="none"/>
              </w:rPr>
              <w:t>安全文明施工措施</w:t>
            </w:r>
          </w:p>
        </w:tc>
        <w:tc>
          <w:tcPr>
            <w:tcW w:w="1300" w:type="dxa"/>
            <w:noWrap w:val="0"/>
            <w:vAlign w:val="center"/>
          </w:tcPr>
          <w:p w14:paraId="09D5B53E">
            <w:pPr>
              <w:pStyle w:val="42"/>
              <w:jc w:val="center"/>
              <w:rPr>
                <w:rFonts w:hint="eastAsia" w:ascii="宋体" w:hAnsi="宋体" w:eastAsia="宋体" w:cs="宋体"/>
                <w:color w:val="000000"/>
                <w:highlight w:val="none"/>
                <w:lang w:eastAsia="zh-CN"/>
              </w:rPr>
            </w:pPr>
            <w:r>
              <w:rPr>
                <w:rFonts w:hint="eastAsia" w:ascii="宋体" w:hAnsi="宋体" w:eastAsia="宋体" w:cs="宋体"/>
                <w:color w:val="000000"/>
                <w:highlight w:val="none"/>
                <w:lang w:val="en-US" w:eastAsia="zh-CN"/>
              </w:rPr>
              <w:t>8</w:t>
            </w:r>
          </w:p>
        </w:tc>
        <w:tc>
          <w:tcPr>
            <w:tcW w:w="2545" w:type="dxa"/>
            <w:noWrap w:val="0"/>
            <w:vAlign w:val="center"/>
          </w:tcPr>
          <w:p w14:paraId="4BEB1AD7">
            <w:pPr>
              <w:pStyle w:val="42"/>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有安全文明施工目标、安全文明保障体系及安全文明施工保证措施，措施合理、可行得</w:t>
            </w:r>
            <w:r>
              <w:rPr>
                <w:rFonts w:hint="eastAsia" w:ascii="宋体" w:hAnsi="宋体" w:eastAsia="宋体" w:cs="宋体"/>
                <w:color w:val="000000"/>
                <w:sz w:val="21"/>
                <w:szCs w:val="21"/>
                <w:highlight w:val="none"/>
                <w:u w:val="single"/>
              </w:rPr>
              <w:t>[</w:t>
            </w:r>
            <w:r>
              <w:rPr>
                <w:rFonts w:hint="eastAsia" w:ascii="宋体" w:hAnsi="宋体" w:eastAsia="宋体" w:cs="宋体"/>
                <w:color w:val="000000"/>
                <w:sz w:val="21"/>
                <w:szCs w:val="21"/>
                <w:highlight w:val="none"/>
                <w:u w:val="single"/>
                <w:lang w:val="en-US" w:eastAsia="zh-CN"/>
              </w:rPr>
              <w:t>8</w:t>
            </w:r>
            <w:r>
              <w:rPr>
                <w:rFonts w:hint="eastAsia" w:ascii="宋体" w:hAnsi="宋体" w:eastAsia="宋体" w:cs="宋体"/>
                <w:color w:val="000000"/>
                <w:sz w:val="21"/>
                <w:szCs w:val="21"/>
                <w:highlight w:val="none"/>
                <w:u w:val="single"/>
              </w:rPr>
              <w:t>-</w:t>
            </w:r>
            <w:r>
              <w:rPr>
                <w:rFonts w:hint="eastAsia" w:ascii="宋体" w:hAnsi="宋体" w:eastAsia="宋体" w:cs="宋体"/>
                <w:color w:val="000000"/>
                <w:sz w:val="21"/>
                <w:szCs w:val="21"/>
                <w:highlight w:val="none"/>
                <w:u w:val="single"/>
                <w:lang w:val="en-US" w:eastAsia="zh-CN"/>
              </w:rPr>
              <w:t>6</w:t>
            </w:r>
            <w:r>
              <w:rPr>
                <w:rFonts w:hint="eastAsia" w:ascii="宋体" w:hAnsi="宋体" w:eastAsia="宋体" w:cs="宋体"/>
                <w:color w:val="000000"/>
                <w:sz w:val="21"/>
                <w:szCs w:val="21"/>
                <w:highlight w:val="none"/>
                <w:u w:val="single"/>
              </w:rPr>
              <w:t>）分。</w:t>
            </w:r>
          </w:p>
        </w:tc>
        <w:tc>
          <w:tcPr>
            <w:tcW w:w="2693" w:type="dxa"/>
            <w:noWrap w:val="0"/>
            <w:vAlign w:val="center"/>
          </w:tcPr>
          <w:p w14:paraId="56B8DF7A">
            <w:pPr>
              <w:pStyle w:val="42"/>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有安全文明施工目标、安全文明保障体系及安全文明施工保证措施，措施较合理、可行得</w:t>
            </w:r>
            <w:r>
              <w:rPr>
                <w:rFonts w:hint="eastAsia" w:ascii="宋体" w:hAnsi="宋体" w:eastAsia="宋体" w:cs="宋体"/>
                <w:color w:val="000000"/>
                <w:sz w:val="21"/>
                <w:szCs w:val="21"/>
                <w:highlight w:val="none"/>
                <w:u w:val="single"/>
              </w:rPr>
              <w:t>[</w:t>
            </w:r>
            <w:r>
              <w:rPr>
                <w:rFonts w:hint="eastAsia" w:ascii="宋体" w:hAnsi="宋体" w:eastAsia="宋体" w:cs="宋体"/>
                <w:color w:val="000000"/>
                <w:sz w:val="21"/>
                <w:szCs w:val="21"/>
                <w:highlight w:val="none"/>
                <w:u w:val="single"/>
                <w:lang w:val="en-US" w:eastAsia="zh-CN"/>
              </w:rPr>
              <w:t>6</w:t>
            </w:r>
            <w:r>
              <w:rPr>
                <w:rFonts w:hint="eastAsia" w:ascii="宋体" w:hAnsi="宋体" w:eastAsia="宋体" w:cs="宋体"/>
                <w:color w:val="000000"/>
                <w:sz w:val="21"/>
                <w:szCs w:val="21"/>
                <w:highlight w:val="none"/>
                <w:u w:val="single"/>
              </w:rPr>
              <w:t>-</w:t>
            </w:r>
            <w:r>
              <w:rPr>
                <w:rFonts w:hint="eastAsia" w:ascii="宋体" w:hAnsi="宋体" w:eastAsia="宋体" w:cs="宋体"/>
                <w:color w:val="000000"/>
                <w:sz w:val="21"/>
                <w:szCs w:val="21"/>
                <w:highlight w:val="none"/>
                <w:u w:val="single"/>
                <w:lang w:val="en-US" w:eastAsia="zh-CN"/>
              </w:rPr>
              <w:t>3</w:t>
            </w:r>
            <w:r>
              <w:rPr>
                <w:rFonts w:hint="eastAsia" w:ascii="宋体" w:hAnsi="宋体" w:eastAsia="宋体" w:cs="宋体"/>
                <w:color w:val="000000"/>
                <w:sz w:val="21"/>
                <w:szCs w:val="21"/>
                <w:highlight w:val="none"/>
                <w:u w:val="single"/>
              </w:rPr>
              <w:t>）分。</w:t>
            </w:r>
          </w:p>
        </w:tc>
        <w:tc>
          <w:tcPr>
            <w:tcW w:w="2694" w:type="dxa"/>
            <w:noWrap w:val="0"/>
            <w:vAlign w:val="center"/>
          </w:tcPr>
          <w:p w14:paraId="32A24C66">
            <w:pPr>
              <w:pStyle w:val="42"/>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有安全文明施工目标、安全文明保障体系及安全文明施工保证措施，措施基本合理、可行得</w:t>
            </w:r>
            <w:r>
              <w:rPr>
                <w:rFonts w:hint="eastAsia" w:ascii="宋体" w:hAnsi="宋体" w:eastAsia="宋体" w:cs="宋体"/>
                <w:color w:val="000000"/>
                <w:sz w:val="21"/>
                <w:szCs w:val="21"/>
                <w:highlight w:val="none"/>
                <w:u w:val="single"/>
              </w:rPr>
              <w:t>[</w:t>
            </w:r>
            <w:r>
              <w:rPr>
                <w:rFonts w:hint="eastAsia" w:ascii="宋体" w:hAnsi="宋体" w:eastAsia="宋体" w:cs="宋体"/>
                <w:color w:val="000000"/>
                <w:sz w:val="21"/>
                <w:szCs w:val="21"/>
                <w:highlight w:val="none"/>
                <w:u w:val="single"/>
                <w:lang w:val="en-US" w:eastAsia="zh-CN"/>
              </w:rPr>
              <w:t>3</w:t>
            </w:r>
            <w:r>
              <w:rPr>
                <w:rFonts w:hint="eastAsia" w:ascii="宋体" w:hAnsi="宋体" w:eastAsia="宋体" w:cs="宋体"/>
                <w:color w:val="000000"/>
                <w:sz w:val="21"/>
                <w:szCs w:val="21"/>
                <w:highlight w:val="none"/>
                <w:u w:val="single"/>
              </w:rPr>
              <w:t>-0）分。</w:t>
            </w:r>
          </w:p>
        </w:tc>
        <w:tc>
          <w:tcPr>
            <w:tcW w:w="2980" w:type="dxa"/>
            <w:noWrap w:val="0"/>
            <w:vAlign w:val="center"/>
          </w:tcPr>
          <w:p w14:paraId="613166F0">
            <w:pPr>
              <w:pStyle w:val="42"/>
              <w:jc w:val="left"/>
              <w:rPr>
                <w:rFonts w:hint="eastAsia" w:ascii="宋体" w:hAnsi="宋体" w:eastAsia="宋体" w:cs="宋体"/>
                <w:color w:val="000000"/>
                <w:highlight w:val="none"/>
              </w:rPr>
            </w:pPr>
            <w:r>
              <w:rPr>
                <w:rFonts w:hint="eastAsia" w:ascii="宋体" w:hAnsi="宋体" w:eastAsia="宋体" w:cs="宋体"/>
                <w:color w:val="000000"/>
                <w:highlight w:val="none"/>
              </w:rPr>
              <w:t>不满足前述要求者，得0分。</w:t>
            </w:r>
          </w:p>
        </w:tc>
      </w:tr>
      <w:tr w14:paraId="3A3E2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blHeader/>
          <w:jc w:val="center"/>
        </w:trPr>
        <w:tc>
          <w:tcPr>
            <w:tcW w:w="937" w:type="dxa"/>
            <w:vMerge w:val="continue"/>
            <w:noWrap w:val="0"/>
            <w:vAlign w:val="center"/>
          </w:tcPr>
          <w:p w14:paraId="41441CD1">
            <w:pPr>
              <w:pStyle w:val="42"/>
              <w:ind w:firstLine="400" w:firstLineChars="200"/>
              <w:jc w:val="center"/>
              <w:rPr>
                <w:rFonts w:hint="eastAsia" w:ascii="宋体" w:hAnsi="宋体" w:eastAsia="宋体" w:cs="宋体"/>
                <w:color w:val="000000"/>
                <w:highlight w:val="none"/>
              </w:rPr>
            </w:pPr>
          </w:p>
        </w:tc>
        <w:tc>
          <w:tcPr>
            <w:tcW w:w="1025" w:type="dxa"/>
            <w:noWrap w:val="0"/>
            <w:vAlign w:val="center"/>
          </w:tcPr>
          <w:p w14:paraId="4C020430">
            <w:pPr>
              <w:pStyle w:val="42"/>
              <w:jc w:val="center"/>
              <w:rPr>
                <w:rFonts w:hint="eastAsia" w:ascii="宋体" w:hAnsi="宋体" w:eastAsia="宋体" w:cs="宋体"/>
                <w:color w:val="000000"/>
                <w:highlight w:val="none"/>
              </w:rPr>
            </w:pPr>
            <w:r>
              <w:rPr>
                <w:rFonts w:hint="eastAsia" w:ascii="宋体" w:hAnsi="宋体" w:eastAsia="宋体" w:cs="宋体"/>
                <w:color w:val="auto"/>
                <w:szCs w:val="21"/>
                <w:highlight w:val="none"/>
              </w:rPr>
              <w:t>绿色节能控制措施</w:t>
            </w:r>
          </w:p>
        </w:tc>
        <w:tc>
          <w:tcPr>
            <w:tcW w:w="1300" w:type="dxa"/>
            <w:noWrap w:val="0"/>
            <w:vAlign w:val="center"/>
          </w:tcPr>
          <w:p w14:paraId="5F8E94AB">
            <w:pPr>
              <w:pStyle w:val="42"/>
              <w:jc w:val="center"/>
              <w:rPr>
                <w:rFonts w:hint="eastAsia" w:ascii="宋体" w:hAnsi="宋体" w:eastAsia="宋体" w:cs="宋体"/>
                <w:color w:val="000000"/>
                <w:highlight w:val="none"/>
                <w:lang w:eastAsia="zh-CN"/>
              </w:rPr>
            </w:pPr>
            <w:r>
              <w:rPr>
                <w:rFonts w:hint="eastAsia" w:ascii="宋体" w:hAnsi="宋体" w:eastAsia="宋体" w:cs="宋体"/>
                <w:color w:val="000000"/>
                <w:highlight w:val="none"/>
                <w:lang w:val="en-US" w:eastAsia="zh-CN"/>
              </w:rPr>
              <w:t>8</w:t>
            </w:r>
          </w:p>
        </w:tc>
        <w:tc>
          <w:tcPr>
            <w:tcW w:w="2545" w:type="dxa"/>
            <w:noWrap w:val="0"/>
            <w:vAlign w:val="center"/>
          </w:tcPr>
          <w:p w14:paraId="31C4D3E0">
            <w:pPr>
              <w:spacing w:line="300" w:lineRule="exact"/>
              <w:contextualSpacing/>
              <w:jc w:val="left"/>
              <w:rPr>
                <w:rFonts w:hint="eastAsia" w:ascii="宋体" w:hAnsi="宋体" w:eastAsia="宋体" w:cs="宋体"/>
                <w:color w:val="000000"/>
                <w:sz w:val="21"/>
                <w:szCs w:val="21"/>
                <w:highlight w:val="none"/>
              </w:rPr>
            </w:pPr>
            <w:r>
              <w:rPr>
                <w:rFonts w:hint="eastAsia" w:ascii="宋体" w:hAnsi="宋体" w:eastAsia="宋体" w:cs="宋体"/>
                <w:color w:val="auto"/>
                <w:sz w:val="21"/>
                <w:szCs w:val="21"/>
                <w:highlight w:val="none"/>
              </w:rPr>
              <w:t>措施效果显著、合理性相对较强、可操作性相对较强，承诺使用绿色生产达标企业生产的混凝土，得</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分。</w:t>
            </w:r>
          </w:p>
        </w:tc>
        <w:tc>
          <w:tcPr>
            <w:tcW w:w="2693" w:type="dxa"/>
            <w:noWrap w:val="0"/>
            <w:vAlign w:val="center"/>
          </w:tcPr>
          <w:p w14:paraId="2CD56869">
            <w:pPr>
              <w:jc w:val="left"/>
              <w:rPr>
                <w:rFonts w:hint="eastAsia" w:ascii="宋体" w:hAnsi="宋体" w:eastAsia="宋体" w:cs="宋体"/>
                <w:color w:val="000000"/>
                <w:sz w:val="21"/>
                <w:szCs w:val="21"/>
                <w:highlight w:val="none"/>
              </w:rPr>
            </w:pPr>
            <w:r>
              <w:rPr>
                <w:rFonts w:hint="eastAsia" w:ascii="宋体" w:hAnsi="宋体" w:eastAsia="宋体" w:cs="宋体"/>
                <w:color w:val="auto"/>
                <w:sz w:val="21"/>
                <w:szCs w:val="21"/>
                <w:highlight w:val="none"/>
              </w:rPr>
              <w:t>措施相对有效、合理、可操作性相对良好，承诺使用绿色生产达标企业生产的混凝土，得</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分。</w:t>
            </w:r>
          </w:p>
        </w:tc>
        <w:tc>
          <w:tcPr>
            <w:tcW w:w="2694" w:type="dxa"/>
            <w:noWrap w:val="0"/>
            <w:vAlign w:val="center"/>
          </w:tcPr>
          <w:p w14:paraId="1880C153">
            <w:pPr>
              <w:jc w:val="left"/>
              <w:rPr>
                <w:rFonts w:hint="eastAsia" w:ascii="宋体" w:hAnsi="宋体" w:eastAsia="宋体" w:cs="宋体"/>
                <w:color w:val="000000"/>
                <w:sz w:val="21"/>
                <w:szCs w:val="21"/>
                <w:highlight w:val="none"/>
              </w:rPr>
            </w:pPr>
            <w:r>
              <w:rPr>
                <w:rFonts w:hint="eastAsia" w:ascii="宋体" w:hAnsi="宋体" w:eastAsia="宋体" w:cs="宋体"/>
                <w:color w:val="auto"/>
                <w:sz w:val="21"/>
                <w:szCs w:val="21"/>
                <w:highlight w:val="none"/>
              </w:rPr>
              <w:t>措施相对效果一般，现场可操作性相对一般，未承诺使用绿色生产达标企业生产的混凝土，得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w:t>
            </w:r>
          </w:p>
        </w:tc>
        <w:tc>
          <w:tcPr>
            <w:tcW w:w="2980" w:type="dxa"/>
            <w:noWrap w:val="0"/>
            <w:vAlign w:val="center"/>
          </w:tcPr>
          <w:p w14:paraId="62AFCA7B">
            <w:pPr>
              <w:jc w:val="left"/>
              <w:rPr>
                <w:rFonts w:hint="eastAsia" w:ascii="宋体" w:hAnsi="宋体" w:eastAsia="宋体" w:cs="宋体"/>
                <w:color w:val="000000"/>
                <w:highlight w:val="none"/>
              </w:rPr>
            </w:pPr>
            <w:r>
              <w:rPr>
                <w:rFonts w:hint="eastAsia" w:ascii="宋体" w:hAnsi="宋体" w:eastAsia="宋体" w:cs="宋体"/>
                <w:color w:val="auto"/>
                <w:szCs w:val="21"/>
                <w:highlight w:val="none"/>
              </w:rPr>
              <w:t>措施相对效果较差，现场可操作性相对不高，未承诺使用绿色生产达标企业生产的混凝土，得0分。</w:t>
            </w:r>
          </w:p>
        </w:tc>
      </w:tr>
      <w:tr w14:paraId="17167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blHeader/>
          <w:jc w:val="center"/>
        </w:trPr>
        <w:tc>
          <w:tcPr>
            <w:tcW w:w="937" w:type="dxa"/>
            <w:vMerge w:val="restart"/>
            <w:noWrap w:val="0"/>
            <w:vAlign w:val="center"/>
          </w:tcPr>
          <w:p w14:paraId="2B2D0F1A">
            <w:pPr>
              <w:jc w:val="center"/>
              <w:rPr>
                <w:rFonts w:hint="eastAsia" w:ascii="宋体" w:hAnsi="宋体" w:eastAsia="宋体" w:cs="宋体"/>
                <w:b/>
                <w:color w:val="000000"/>
                <w:szCs w:val="21"/>
                <w:highlight w:val="none"/>
              </w:rPr>
            </w:pPr>
            <w:r>
              <w:rPr>
                <w:rFonts w:hint="eastAsia" w:ascii="宋体" w:hAnsi="宋体" w:eastAsia="宋体" w:cs="宋体"/>
                <w:color w:val="000000"/>
                <w:szCs w:val="21"/>
                <w:highlight w:val="none"/>
                <w:lang w:val="en-US" w:eastAsia="zh-CN"/>
              </w:rPr>
              <w:t>二</w:t>
            </w:r>
            <w:r>
              <w:rPr>
                <w:rFonts w:hint="eastAsia" w:ascii="宋体" w:hAnsi="宋体" w:eastAsia="宋体" w:cs="宋体"/>
                <w:color w:val="000000"/>
                <w:szCs w:val="21"/>
                <w:highlight w:val="none"/>
              </w:rPr>
              <w:t>、企业资信（</w:t>
            </w:r>
            <w:r>
              <w:rPr>
                <w:rFonts w:hint="eastAsia" w:ascii="宋体" w:hAnsi="宋体" w:eastAsia="宋体" w:cs="宋体"/>
                <w:color w:val="000000"/>
                <w:szCs w:val="21"/>
                <w:highlight w:val="none"/>
                <w:lang w:val="en-US" w:eastAsia="zh-CN"/>
              </w:rPr>
              <w:t>3</w:t>
            </w:r>
            <w:r>
              <w:rPr>
                <w:rFonts w:hint="eastAsia" w:ascii="宋体" w:hAnsi="宋体" w:eastAsia="宋体" w:cs="宋体"/>
                <w:color w:val="000000"/>
                <w:szCs w:val="21"/>
                <w:highlight w:val="none"/>
              </w:rPr>
              <w:t>0分）</w:t>
            </w:r>
          </w:p>
        </w:tc>
        <w:tc>
          <w:tcPr>
            <w:tcW w:w="1025" w:type="dxa"/>
            <w:noWrap w:val="0"/>
            <w:vAlign w:val="center"/>
          </w:tcPr>
          <w:p w14:paraId="624FFFCD">
            <w:pPr>
              <w:pStyle w:val="42"/>
              <w:jc w:val="center"/>
              <w:rPr>
                <w:rFonts w:hint="eastAsia" w:ascii="宋体" w:hAnsi="宋体" w:eastAsia="宋体" w:cs="宋体"/>
                <w:color w:val="000000"/>
                <w:highlight w:val="none"/>
              </w:rPr>
            </w:pPr>
            <w:r>
              <w:rPr>
                <w:rFonts w:hint="eastAsia" w:ascii="宋体" w:hAnsi="宋体" w:eastAsia="宋体" w:cs="宋体"/>
                <w:color w:val="000000"/>
                <w:highlight w:val="none"/>
              </w:rPr>
              <w:t>企业类似工程业绩</w:t>
            </w:r>
          </w:p>
        </w:tc>
        <w:tc>
          <w:tcPr>
            <w:tcW w:w="1300" w:type="dxa"/>
            <w:noWrap w:val="0"/>
            <w:vAlign w:val="center"/>
          </w:tcPr>
          <w:p w14:paraId="694DB3A4">
            <w:pPr>
              <w:pStyle w:val="42"/>
              <w:jc w:val="center"/>
              <w:rPr>
                <w:rFonts w:hint="default"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15</w:t>
            </w:r>
          </w:p>
        </w:tc>
        <w:tc>
          <w:tcPr>
            <w:tcW w:w="10912" w:type="dxa"/>
            <w:gridSpan w:val="4"/>
            <w:noWrap w:val="0"/>
            <w:vAlign w:val="center"/>
          </w:tcPr>
          <w:p w14:paraId="0F4E41AF">
            <w:pPr>
              <w:pStyle w:val="42"/>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投标人（若为联合体，由联合体主办方提供）自2022年1月1日至投标截止时间止，完成过质量合格且</w:t>
            </w:r>
            <w:r>
              <w:rPr>
                <w:rFonts w:hint="eastAsia" w:ascii="宋体" w:hAnsi="宋体" w:eastAsia="宋体" w:cs="宋体"/>
                <w:color w:val="auto"/>
                <w:sz w:val="21"/>
                <w:szCs w:val="21"/>
                <w:highlight w:val="none"/>
                <w:lang w:val="en-US" w:eastAsia="zh-CN"/>
              </w:rPr>
              <w:t>建筑面积</w:t>
            </w:r>
            <w:r>
              <w:rPr>
                <w:rFonts w:hint="eastAsia" w:ascii="宋体" w:hAnsi="宋体" w:eastAsia="宋体" w:cs="宋体"/>
                <w:color w:val="auto"/>
                <w:sz w:val="21"/>
                <w:szCs w:val="21"/>
                <w:highlight w:val="none"/>
              </w:rPr>
              <w:t>≥10万㎡的建筑工程施工总承包或工程总承包（包括勘察设计施工总承包或设计施工总承包或设计采购施工总承包或勘察设计采购施工总承包等）业绩】，每项得3分。</w:t>
            </w:r>
          </w:p>
          <w:p w14:paraId="23473A18">
            <w:pPr>
              <w:pStyle w:val="42"/>
              <w:jc w:val="left"/>
              <w:rPr>
                <w:rFonts w:hint="eastAsia" w:ascii="宋体" w:hAnsi="宋体" w:eastAsia="宋体" w:cs="宋体"/>
                <w:color w:val="000000"/>
                <w:sz w:val="21"/>
                <w:szCs w:val="21"/>
                <w:highlight w:val="none"/>
              </w:rPr>
            </w:pPr>
            <w:r>
              <w:rPr>
                <w:rFonts w:hint="eastAsia" w:ascii="宋体" w:hAnsi="宋体" w:eastAsia="宋体" w:cs="宋体"/>
                <w:color w:val="auto"/>
                <w:sz w:val="21"/>
                <w:szCs w:val="21"/>
                <w:highlight w:val="none"/>
              </w:rPr>
              <w:t>未提供的不得分，不满足上述情况的不得分，本项最多得15分。</w:t>
            </w:r>
          </w:p>
        </w:tc>
      </w:tr>
      <w:tr w14:paraId="270A6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blHeader/>
          <w:jc w:val="center"/>
        </w:trPr>
        <w:tc>
          <w:tcPr>
            <w:tcW w:w="937" w:type="dxa"/>
            <w:vMerge w:val="continue"/>
            <w:noWrap w:val="0"/>
            <w:vAlign w:val="center"/>
          </w:tcPr>
          <w:p w14:paraId="12A3C55C">
            <w:pPr>
              <w:ind w:firstLine="400"/>
              <w:jc w:val="center"/>
              <w:rPr>
                <w:rFonts w:hint="eastAsia" w:ascii="宋体" w:hAnsi="宋体" w:eastAsia="宋体" w:cs="宋体"/>
                <w:color w:val="000000"/>
                <w:szCs w:val="21"/>
                <w:highlight w:val="none"/>
              </w:rPr>
            </w:pPr>
          </w:p>
        </w:tc>
        <w:tc>
          <w:tcPr>
            <w:tcW w:w="1025" w:type="dxa"/>
            <w:noWrap w:val="0"/>
            <w:vAlign w:val="center"/>
          </w:tcPr>
          <w:p w14:paraId="5C0B2115">
            <w:pPr>
              <w:pStyle w:val="42"/>
              <w:jc w:val="center"/>
              <w:rPr>
                <w:rFonts w:hint="eastAsia" w:ascii="宋体" w:hAnsi="宋体" w:eastAsia="宋体" w:cs="宋体"/>
                <w:color w:val="000000"/>
                <w:highlight w:val="none"/>
              </w:rPr>
            </w:pPr>
            <w:r>
              <w:rPr>
                <w:rFonts w:hint="eastAsia" w:ascii="宋体" w:hAnsi="宋体" w:eastAsia="宋体" w:cs="宋体"/>
                <w:color w:val="000000"/>
                <w:highlight w:val="none"/>
              </w:rPr>
              <w:t>企业工程项目获奖情况</w:t>
            </w:r>
          </w:p>
        </w:tc>
        <w:tc>
          <w:tcPr>
            <w:tcW w:w="1300" w:type="dxa"/>
            <w:noWrap w:val="0"/>
            <w:vAlign w:val="center"/>
          </w:tcPr>
          <w:p w14:paraId="146D768B">
            <w:pPr>
              <w:pStyle w:val="42"/>
              <w:jc w:val="center"/>
              <w:rPr>
                <w:rFonts w:hint="eastAsia" w:ascii="宋体" w:hAnsi="宋体" w:eastAsia="宋体" w:cs="宋体"/>
                <w:color w:val="000000"/>
                <w:highlight w:val="none"/>
                <w:lang w:eastAsia="zh-CN"/>
              </w:rPr>
            </w:pPr>
            <w:r>
              <w:rPr>
                <w:rFonts w:hint="eastAsia" w:ascii="宋体" w:hAnsi="宋体" w:eastAsia="宋体" w:cs="宋体"/>
                <w:color w:val="000000"/>
                <w:highlight w:val="none"/>
                <w:lang w:val="en-US" w:eastAsia="zh-CN"/>
              </w:rPr>
              <w:t>5</w:t>
            </w:r>
          </w:p>
        </w:tc>
        <w:tc>
          <w:tcPr>
            <w:tcW w:w="10912" w:type="dxa"/>
            <w:gridSpan w:val="4"/>
            <w:noWrap w:val="0"/>
            <w:vAlign w:val="center"/>
          </w:tcPr>
          <w:p w14:paraId="7CCC488C">
            <w:pPr>
              <w:snapToGrid w:val="0"/>
              <w:spacing w:line="300" w:lineRule="exact"/>
              <w:ind w:firstLine="420" w:firstLineChars="200"/>
              <w:rPr>
                <w:rFonts w:hint="eastAsia" w:ascii="宋体" w:hAnsi="宋体" w:eastAsia="宋体" w:cs="宋体"/>
                <w:color w:val="auto"/>
                <w:sz w:val="21"/>
                <w:szCs w:val="21"/>
                <w:highlight w:val="none"/>
                <w:lang w:val="zh-TW" w:eastAsia="zh-TW"/>
              </w:rPr>
            </w:pPr>
            <w:r>
              <w:rPr>
                <w:rFonts w:hint="eastAsia" w:ascii="宋体" w:hAnsi="宋体" w:eastAsia="宋体" w:cs="宋体"/>
                <w:color w:val="auto"/>
                <w:sz w:val="21"/>
                <w:szCs w:val="21"/>
                <w:highlight w:val="none"/>
                <w:lang w:val="zh-TW" w:eastAsia="zh-TW"/>
              </w:rPr>
              <w:t>投标人（若为联合体，由联合体主办方提供）自 2022年1月1日至投标截止时间止，投标人获得建筑工程质量类奖项：</w:t>
            </w:r>
          </w:p>
          <w:p w14:paraId="2160699B">
            <w:pPr>
              <w:snapToGrid w:val="0"/>
              <w:spacing w:line="300" w:lineRule="exact"/>
              <w:ind w:firstLine="420" w:firstLineChars="200"/>
              <w:rPr>
                <w:rFonts w:hint="eastAsia" w:ascii="宋体" w:hAnsi="宋体" w:eastAsia="宋体" w:cs="宋体"/>
                <w:color w:val="auto"/>
                <w:sz w:val="21"/>
                <w:szCs w:val="21"/>
                <w:highlight w:val="none"/>
                <w:lang w:val="zh-TW" w:eastAsia="zh-TW"/>
              </w:rPr>
            </w:pPr>
            <w:r>
              <w:rPr>
                <w:rFonts w:hint="eastAsia" w:ascii="宋体" w:hAnsi="宋体" w:eastAsia="宋体" w:cs="宋体"/>
                <w:color w:val="auto"/>
                <w:sz w:val="21"/>
                <w:szCs w:val="21"/>
                <w:highlight w:val="none"/>
                <w:lang w:val="zh-TW" w:eastAsia="zh-TW"/>
              </w:rPr>
              <w:t>（1）市级或以上奖项，每项得1分；</w:t>
            </w:r>
          </w:p>
          <w:p w14:paraId="1CFBD9CC">
            <w:pPr>
              <w:snapToGrid w:val="0"/>
              <w:spacing w:line="300" w:lineRule="exact"/>
              <w:ind w:firstLine="420" w:firstLineChars="200"/>
              <w:rPr>
                <w:rFonts w:hint="eastAsia" w:ascii="宋体" w:hAnsi="宋体" w:eastAsia="宋体" w:cs="宋体"/>
                <w:color w:val="auto"/>
                <w:sz w:val="21"/>
                <w:szCs w:val="21"/>
                <w:highlight w:val="none"/>
                <w:lang w:val="zh-TW" w:eastAsia="zh-TW"/>
              </w:rPr>
            </w:pPr>
            <w:r>
              <w:rPr>
                <w:rFonts w:hint="eastAsia" w:ascii="宋体" w:hAnsi="宋体" w:eastAsia="宋体" w:cs="宋体"/>
                <w:color w:val="auto"/>
                <w:sz w:val="21"/>
                <w:szCs w:val="21"/>
                <w:highlight w:val="none"/>
                <w:lang w:val="zh-TW" w:eastAsia="zh-TW"/>
              </w:rPr>
              <w:t>（2）未提供的不得分，不满足上述情况的不得分；</w:t>
            </w:r>
          </w:p>
          <w:p w14:paraId="402CE516">
            <w:pPr>
              <w:snapToGrid w:val="0"/>
              <w:spacing w:line="30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auto"/>
                <w:sz w:val="21"/>
                <w:szCs w:val="21"/>
                <w:highlight w:val="none"/>
                <w:lang w:val="zh-TW" w:eastAsia="zh-TW"/>
              </w:rPr>
              <w:t>本小项最多得5分。</w:t>
            </w:r>
          </w:p>
        </w:tc>
      </w:tr>
      <w:tr w14:paraId="36515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tblHeader/>
          <w:jc w:val="center"/>
        </w:trPr>
        <w:tc>
          <w:tcPr>
            <w:tcW w:w="937" w:type="dxa"/>
            <w:vMerge w:val="continue"/>
            <w:noWrap w:val="0"/>
            <w:vAlign w:val="center"/>
          </w:tcPr>
          <w:p w14:paraId="5132F531">
            <w:pPr>
              <w:ind w:firstLine="400"/>
              <w:jc w:val="center"/>
              <w:rPr>
                <w:rFonts w:hint="eastAsia" w:ascii="宋体" w:hAnsi="宋体" w:eastAsia="宋体" w:cs="宋体"/>
                <w:color w:val="000000"/>
                <w:szCs w:val="21"/>
                <w:highlight w:val="none"/>
              </w:rPr>
            </w:pPr>
          </w:p>
        </w:tc>
        <w:tc>
          <w:tcPr>
            <w:tcW w:w="1025" w:type="dxa"/>
            <w:noWrap w:val="0"/>
            <w:vAlign w:val="center"/>
          </w:tcPr>
          <w:p w14:paraId="0315306B">
            <w:pPr>
              <w:pStyle w:val="42"/>
              <w:jc w:val="center"/>
              <w:rPr>
                <w:rFonts w:hint="eastAsia" w:ascii="宋体" w:hAnsi="宋体" w:eastAsia="宋体" w:cs="宋体"/>
                <w:color w:val="000000"/>
                <w:highlight w:val="none"/>
              </w:rPr>
            </w:pPr>
            <w:r>
              <w:rPr>
                <w:rFonts w:hint="eastAsia" w:ascii="宋体" w:hAnsi="宋体" w:eastAsia="宋体" w:cs="宋体"/>
                <w:color w:val="000000"/>
                <w:highlight w:val="none"/>
              </w:rPr>
              <w:t>企业工程研发能力</w:t>
            </w:r>
          </w:p>
        </w:tc>
        <w:tc>
          <w:tcPr>
            <w:tcW w:w="1300" w:type="dxa"/>
            <w:noWrap w:val="0"/>
            <w:vAlign w:val="center"/>
          </w:tcPr>
          <w:p w14:paraId="5C8F6C4F">
            <w:pPr>
              <w:pStyle w:val="42"/>
              <w:jc w:val="center"/>
              <w:rPr>
                <w:rFonts w:hint="eastAsia" w:ascii="宋体" w:hAnsi="宋体" w:eastAsia="宋体" w:cs="宋体"/>
                <w:color w:val="000000"/>
                <w:highlight w:val="none"/>
                <w:lang w:eastAsia="zh-CN"/>
              </w:rPr>
            </w:pPr>
            <w:r>
              <w:rPr>
                <w:rFonts w:hint="eastAsia" w:ascii="宋体" w:hAnsi="宋体" w:eastAsia="宋体" w:cs="宋体"/>
                <w:color w:val="000000"/>
                <w:highlight w:val="none"/>
                <w:lang w:val="en-US" w:eastAsia="zh-CN"/>
              </w:rPr>
              <w:t>6</w:t>
            </w:r>
          </w:p>
        </w:tc>
        <w:tc>
          <w:tcPr>
            <w:tcW w:w="10912" w:type="dxa"/>
            <w:gridSpan w:val="4"/>
            <w:noWrap w:val="0"/>
            <w:vAlign w:val="center"/>
          </w:tcPr>
          <w:p w14:paraId="181E14D6">
            <w:pPr>
              <w:snapToGrid w:val="0"/>
              <w:spacing w:line="300" w:lineRule="exact"/>
              <w:rPr>
                <w:rFonts w:hint="eastAsia" w:ascii="宋体" w:hAnsi="宋体" w:eastAsia="宋体" w:cs="宋体"/>
                <w:color w:val="auto"/>
                <w:sz w:val="21"/>
                <w:szCs w:val="21"/>
                <w:highlight w:val="none"/>
                <w:lang w:val="zh-TW" w:eastAsia="zh-TW"/>
              </w:rPr>
            </w:pPr>
            <w:r>
              <w:rPr>
                <w:rFonts w:hint="eastAsia" w:ascii="宋体" w:hAnsi="宋体" w:eastAsia="宋体" w:cs="宋体"/>
                <w:color w:val="auto"/>
                <w:sz w:val="21"/>
                <w:szCs w:val="21"/>
                <w:highlight w:val="none"/>
                <w:lang w:val="zh-TW" w:eastAsia="zh-TW"/>
              </w:rPr>
              <w:t>投标人（若为联合体，由联合体主办方提供））自2022年1月1日至今获得过工程建设(指房建工程领域)科学技术类奖项的：</w:t>
            </w:r>
          </w:p>
          <w:p w14:paraId="7BB9C656">
            <w:pPr>
              <w:snapToGrid w:val="0"/>
              <w:spacing w:line="300" w:lineRule="exact"/>
              <w:rPr>
                <w:rFonts w:hint="eastAsia" w:ascii="宋体" w:hAnsi="宋体" w:eastAsia="宋体" w:cs="宋体"/>
                <w:color w:val="auto"/>
                <w:sz w:val="21"/>
                <w:szCs w:val="21"/>
                <w:highlight w:val="none"/>
                <w:lang w:val="zh-TW" w:eastAsia="zh-TW"/>
              </w:rPr>
            </w:pPr>
            <w:r>
              <w:rPr>
                <w:rFonts w:hint="eastAsia" w:ascii="宋体" w:hAnsi="宋体" w:eastAsia="宋体" w:cs="宋体"/>
                <w:color w:val="auto"/>
                <w:sz w:val="21"/>
                <w:szCs w:val="21"/>
                <w:highlight w:val="none"/>
                <w:lang w:val="zh-TW" w:eastAsia="zh-TW"/>
              </w:rPr>
              <w:t>①国家级的，每提供1项，得2分，最高得6分。</w:t>
            </w:r>
          </w:p>
          <w:p w14:paraId="2D17E3C2">
            <w:pPr>
              <w:snapToGrid w:val="0"/>
              <w:spacing w:line="300" w:lineRule="exact"/>
              <w:rPr>
                <w:rFonts w:hint="eastAsia" w:ascii="宋体" w:hAnsi="宋体" w:eastAsia="宋体" w:cs="宋体"/>
                <w:color w:val="000000"/>
                <w:sz w:val="21"/>
                <w:szCs w:val="21"/>
                <w:highlight w:val="none"/>
              </w:rPr>
            </w:pPr>
            <w:r>
              <w:rPr>
                <w:rFonts w:hint="eastAsia" w:ascii="宋体" w:hAnsi="宋体" w:eastAsia="宋体" w:cs="宋体"/>
                <w:color w:val="auto"/>
                <w:sz w:val="21"/>
                <w:szCs w:val="21"/>
                <w:highlight w:val="none"/>
                <w:lang w:val="zh-TW" w:eastAsia="zh-TW"/>
              </w:rPr>
              <w:t>②省、市级的，每提供1项，得1分，最高得6分。</w:t>
            </w:r>
          </w:p>
        </w:tc>
      </w:tr>
      <w:tr w14:paraId="2D32C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blHeader/>
          <w:jc w:val="center"/>
        </w:trPr>
        <w:tc>
          <w:tcPr>
            <w:tcW w:w="937" w:type="dxa"/>
            <w:vMerge w:val="continue"/>
            <w:noWrap w:val="0"/>
            <w:vAlign w:val="center"/>
          </w:tcPr>
          <w:p w14:paraId="244557D3">
            <w:pPr>
              <w:ind w:firstLine="400"/>
              <w:jc w:val="center"/>
              <w:rPr>
                <w:rFonts w:hint="eastAsia" w:ascii="宋体" w:hAnsi="宋体" w:eastAsia="宋体" w:cs="宋体"/>
                <w:color w:val="000000"/>
                <w:szCs w:val="21"/>
                <w:highlight w:val="none"/>
              </w:rPr>
            </w:pPr>
          </w:p>
        </w:tc>
        <w:tc>
          <w:tcPr>
            <w:tcW w:w="1025" w:type="dxa"/>
            <w:noWrap w:val="0"/>
            <w:vAlign w:val="center"/>
          </w:tcPr>
          <w:p w14:paraId="67C44A41">
            <w:pPr>
              <w:pStyle w:val="42"/>
              <w:jc w:val="center"/>
              <w:rPr>
                <w:rFonts w:hint="eastAsia" w:ascii="宋体" w:hAnsi="宋体" w:eastAsia="宋体" w:cs="宋体"/>
                <w:color w:val="000000"/>
                <w:highlight w:val="none"/>
              </w:rPr>
            </w:pPr>
            <w:r>
              <w:rPr>
                <w:rFonts w:hint="eastAsia" w:ascii="宋体" w:hAnsi="宋体" w:eastAsia="宋体" w:cs="宋体"/>
                <w:color w:val="000000"/>
                <w:highlight w:val="none"/>
              </w:rPr>
              <w:t>第三方评价</w:t>
            </w:r>
          </w:p>
        </w:tc>
        <w:tc>
          <w:tcPr>
            <w:tcW w:w="1300" w:type="dxa"/>
            <w:noWrap w:val="0"/>
            <w:vAlign w:val="center"/>
          </w:tcPr>
          <w:p w14:paraId="4C914099">
            <w:pPr>
              <w:pStyle w:val="42"/>
              <w:jc w:val="center"/>
              <w:rPr>
                <w:rFonts w:hint="eastAsia" w:ascii="宋体" w:hAnsi="宋体" w:eastAsia="宋体" w:cs="宋体"/>
                <w:color w:val="000000"/>
                <w:highlight w:val="none"/>
                <w:lang w:eastAsia="zh-CN"/>
              </w:rPr>
            </w:pPr>
            <w:r>
              <w:rPr>
                <w:rFonts w:hint="eastAsia" w:ascii="宋体" w:hAnsi="宋体" w:eastAsia="宋体" w:cs="宋体"/>
                <w:color w:val="000000"/>
                <w:highlight w:val="none"/>
                <w:lang w:val="en-US" w:eastAsia="zh-CN"/>
              </w:rPr>
              <w:t>4</w:t>
            </w:r>
          </w:p>
        </w:tc>
        <w:tc>
          <w:tcPr>
            <w:tcW w:w="10912" w:type="dxa"/>
            <w:gridSpan w:val="4"/>
            <w:noWrap w:val="0"/>
            <w:vAlign w:val="center"/>
          </w:tcPr>
          <w:p w14:paraId="4F267328">
            <w:pPr>
              <w:ind w:firstLine="420"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投标人（若为联合体，由联合体主办方提供）自2022年至今获得过税务机关评定的“A级纳税人”称号得4分；获得过税务机关评定的“B级纳税人”称号得2分；获得过税务机关评定的“M级纳税人”称号得1分。最多得4分。</w:t>
            </w:r>
          </w:p>
        </w:tc>
      </w:tr>
      <w:tr w14:paraId="17363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blHeader/>
          <w:jc w:val="center"/>
        </w:trPr>
        <w:tc>
          <w:tcPr>
            <w:tcW w:w="937" w:type="dxa"/>
            <w:vMerge w:val="restart"/>
            <w:noWrap w:val="0"/>
            <w:vAlign w:val="center"/>
          </w:tcPr>
          <w:p w14:paraId="380511C6">
            <w:pPr>
              <w:spacing w:line="360" w:lineRule="auto"/>
              <w:rPr>
                <w:rFonts w:hint="eastAsia" w:ascii="宋体" w:hAnsi="宋体" w:cs="宋体"/>
                <w:color w:val="auto"/>
                <w:szCs w:val="21"/>
                <w:highlight w:val="none"/>
              </w:rPr>
            </w:pPr>
          </w:p>
          <w:p w14:paraId="4BCBFC71">
            <w:pPr>
              <w:spacing w:line="360" w:lineRule="auto"/>
              <w:rPr>
                <w:rFonts w:hint="eastAsia" w:ascii="宋体" w:hAnsi="宋体" w:cs="宋体"/>
                <w:color w:val="auto"/>
                <w:szCs w:val="21"/>
                <w:highlight w:val="none"/>
              </w:rPr>
            </w:pPr>
          </w:p>
          <w:p w14:paraId="03C890BC">
            <w:pPr>
              <w:spacing w:line="360" w:lineRule="auto"/>
              <w:rPr>
                <w:rFonts w:hint="eastAsia" w:ascii="宋体" w:hAnsi="宋体" w:cs="宋体"/>
                <w:color w:val="auto"/>
                <w:szCs w:val="21"/>
                <w:highlight w:val="none"/>
              </w:rPr>
            </w:pPr>
          </w:p>
          <w:p w14:paraId="6FF5EF4D">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项目组织管理机构能力（</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0分）</w:t>
            </w:r>
          </w:p>
          <w:p w14:paraId="63A65EB6">
            <w:pPr>
              <w:pStyle w:val="42"/>
              <w:jc w:val="center"/>
              <w:rPr>
                <w:rFonts w:hint="eastAsia" w:ascii="宋体" w:hAnsi="宋体" w:eastAsia="宋体" w:cs="宋体"/>
                <w:color w:val="000000"/>
                <w:highlight w:val="none"/>
              </w:rPr>
            </w:pPr>
          </w:p>
        </w:tc>
        <w:tc>
          <w:tcPr>
            <w:tcW w:w="1025" w:type="dxa"/>
            <w:noWrap w:val="0"/>
            <w:vAlign w:val="center"/>
          </w:tcPr>
          <w:p w14:paraId="4EBD0182">
            <w:pPr>
              <w:widowControl/>
              <w:spacing w:line="360" w:lineRule="auto"/>
              <w:jc w:val="center"/>
              <w:rPr>
                <w:rFonts w:hint="eastAsia" w:ascii="宋体" w:hAnsi="宋体" w:eastAsia="宋体" w:cs="宋体"/>
                <w:color w:val="000000"/>
                <w:highlight w:val="none"/>
              </w:rPr>
            </w:pPr>
            <w:r>
              <w:rPr>
                <w:rFonts w:hint="eastAsia" w:ascii="宋体" w:hAnsi="宋体" w:eastAsia="宋体" w:cs="宋体"/>
                <w:color w:val="auto"/>
                <w:szCs w:val="21"/>
                <w:highlight w:val="none"/>
                <w:lang w:val="en-US" w:eastAsia="zh-CN"/>
              </w:rPr>
              <w:t>项目负责人</w:t>
            </w:r>
          </w:p>
        </w:tc>
        <w:tc>
          <w:tcPr>
            <w:tcW w:w="1300" w:type="dxa"/>
            <w:noWrap w:val="0"/>
            <w:vAlign w:val="center"/>
          </w:tcPr>
          <w:p w14:paraId="6127EC75">
            <w:pPr>
              <w:widowControl/>
              <w:spacing w:line="360" w:lineRule="auto"/>
              <w:jc w:val="center"/>
              <w:rPr>
                <w:rFonts w:hint="default"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4</w:t>
            </w:r>
          </w:p>
        </w:tc>
        <w:tc>
          <w:tcPr>
            <w:tcW w:w="10912" w:type="dxa"/>
            <w:gridSpan w:val="4"/>
            <w:noWrap w:val="0"/>
            <w:vAlign w:val="center"/>
          </w:tcPr>
          <w:p w14:paraId="24E98BE8">
            <w:pPr>
              <w:ind w:firstLine="420" w:firstLineChars="20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①从业能力：具有建筑工程类专业副高级或以上技术职称，得</w:t>
            </w:r>
            <w:r>
              <w:rPr>
                <w:rFonts w:hint="eastAsia" w:ascii="宋体" w:hAnsi="宋体" w:eastAsia="宋体" w:cs="宋体"/>
                <w:color w:val="000000"/>
                <w:szCs w:val="21"/>
                <w:highlight w:val="none"/>
                <w:lang w:val="en-US" w:eastAsia="zh-CN"/>
              </w:rPr>
              <w:t>2</w:t>
            </w:r>
            <w:r>
              <w:rPr>
                <w:rFonts w:hint="eastAsia" w:ascii="宋体" w:hAnsi="宋体" w:eastAsia="宋体" w:cs="宋体"/>
                <w:color w:val="000000"/>
                <w:szCs w:val="21"/>
                <w:highlight w:val="none"/>
              </w:rPr>
              <w:t>分；具有建筑工程类专业中级技术职称，得1分；本项最多得</w:t>
            </w:r>
            <w:r>
              <w:rPr>
                <w:rFonts w:hint="eastAsia" w:ascii="宋体" w:hAnsi="宋体" w:eastAsia="宋体" w:cs="宋体"/>
                <w:color w:val="000000"/>
                <w:szCs w:val="21"/>
                <w:highlight w:val="none"/>
                <w:lang w:val="en-US" w:eastAsia="zh-CN"/>
              </w:rPr>
              <w:t>2</w:t>
            </w:r>
            <w:r>
              <w:rPr>
                <w:rFonts w:hint="eastAsia" w:ascii="宋体" w:hAnsi="宋体" w:eastAsia="宋体" w:cs="宋体"/>
                <w:color w:val="000000"/>
                <w:szCs w:val="21"/>
                <w:highlight w:val="none"/>
              </w:rPr>
              <w:t>分。</w:t>
            </w:r>
          </w:p>
          <w:p w14:paraId="32B79D1E">
            <w:pPr>
              <w:ind w:firstLine="420" w:firstLineChars="200"/>
              <w:jc w:val="left"/>
              <w:rPr>
                <w:rFonts w:hint="eastAsia" w:ascii="宋体" w:hAnsi="宋体" w:eastAsia="宋体" w:cs="宋体"/>
                <w:color w:val="000000"/>
                <w:highlight w:val="none"/>
              </w:rPr>
            </w:pPr>
            <w:r>
              <w:rPr>
                <w:rFonts w:hint="eastAsia" w:ascii="宋体" w:hAnsi="宋体" w:eastAsia="宋体" w:cs="宋体"/>
                <w:color w:val="000000"/>
                <w:szCs w:val="21"/>
                <w:highlight w:val="none"/>
              </w:rPr>
              <w:t>②经历：具有10年或以上（含10年）施工管理工作经验，得2分；具有5年（含5年）至10年（不含10年）施工管理工作经验，得1分；本项最多得2分。</w:t>
            </w:r>
          </w:p>
        </w:tc>
      </w:tr>
      <w:tr w14:paraId="2D9A0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blHeader/>
          <w:jc w:val="center"/>
        </w:trPr>
        <w:tc>
          <w:tcPr>
            <w:tcW w:w="937" w:type="dxa"/>
            <w:vMerge w:val="continue"/>
            <w:noWrap w:val="0"/>
            <w:vAlign w:val="center"/>
          </w:tcPr>
          <w:p w14:paraId="3B43899C">
            <w:pPr>
              <w:pStyle w:val="42"/>
              <w:jc w:val="center"/>
              <w:rPr>
                <w:rFonts w:hint="eastAsia" w:ascii="宋体" w:hAnsi="宋体" w:eastAsia="宋体" w:cs="宋体"/>
                <w:color w:val="000000"/>
                <w:highlight w:val="none"/>
              </w:rPr>
            </w:pPr>
          </w:p>
        </w:tc>
        <w:tc>
          <w:tcPr>
            <w:tcW w:w="1025" w:type="dxa"/>
            <w:noWrap w:val="0"/>
            <w:vAlign w:val="center"/>
          </w:tcPr>
          <w:p w14:paraId="138C21A7">
            <w:pPr>
              <w:widowControl/>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技术负责人</w:t>
            </w:r>
          </w:p>
        </w:tc>
        <w:tc>
          <w:tcPr>
            <w:tcW w:w="1300" w:type="dxa"/>
            <w:noWrap w:val="0"/>
            <w:vAlign w:val="center"/>
          </w:tcPr>
          <w:p w14:paraId="51D43D46">
            <w:pPr>
              <w:widowControl/>
              <w:spacing w:line="360" w:lineRule="auto"/>
              <w:jc w:val="center"/>
              <w:rPr>
                <w:rFonts w:hint="eastAsia" w:ascii="宋体" w:hAnsi="宋体" w:eastAsia="宋体" w:cs="宋体"/>
                <w:color w:val="000000"/>
                <w:highlight w:val="none"/>
                <w:lang w:val="en-US" w:eastAsia="zh-CN"/>
              </w:rPr>
            </w:pPr>
            <w:r>
              <w:rPr>
                <w:rFonts w:hint="eastAsia" w:ascii="宋体" w:hAnsi="宋体" w:cs="宋体"/>
                <w:color w:val="000000"/>
                <w:highlight w:val="none"/>
                <w:lang w:val="en-US" w:eastAsia="zh-CN"/>
              </w:rPr>
              <w:t>4</w:t>
            </w:r>
          </w:p>
        </w:tc>
        <w:tc>
          <w:tcPr>
            <w:tcW w:w="10912" w:type="dxa"/>
            <w:gridSpan w:val="4"/>
            <w:noWrap w:val="0"/>
            <w:vAlign w:val="center"/>
          </w:tcPr>
          <w:p w14:paraId="0E39885C">
            <w:pPr>
              <w:ind w:firstLine="420" w:firstLineChars="20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经历：具有10年或以上（含10年）施工管理工作经验，得</w:t>
            </w:r>
            <w:r>
              <w:rPr>
                <w:rFonts w:hint="eastAsia" w:ascii="宋体" w:hAnsi="宋体" w:cs="宋体"/>
                <w:color w:val="000000"/>
                <w:szCs w:val="21"/>
                <w:highlight w:val="none"/>
                <w:lang w:val="en-US" w:eastAsia="zh-CN"/>
              </w:rPr>
              <w:t>4</w:t>
            </w:r>
            <w:r>
              <w:rPr>
                <w:rFonts w:hint="eastAsia" w:ascii="宋体" w:hAnsi="宋体" w:eastAsia="宋体" w:cs="宋体"/>
                <w:color w:val="000000"/>
                <w:szCs w:val="21"/>
                <w:highlight w:val="none"/>
              </w:rPr>
              <w:t>分；具有5年（含5年）至10年（不含10年）施工管理工作经验，得</w:t>
            </w:r>
            <w:r>
              <w:rPr>
                <w:rFonts w:hint="eastAsia" w:ascii="宋体" w:hAnsi="宋体" w:cs="宋体"/>
                <w:color w:val="000000"/>
                <w:szCs w:val="21"/>
                <w:highlight w:val="none"/>
                <w:lang w:val="en-US" w:eastAsia="zh-CN"/>
              </w:rPr>
              <w:t>2</w:t>
            </w:r>
            <w:r>
              <w:rPr>
                <w:rFonts w:hint="eastAsia" w:ascii="宋体" w:hAnsi="宋体" w:eastAsia="宋体" w:cs="宋体"/>
                <w:color w:val="000000"/>
                <w:szCs w:val="21"/>
                <w:highlight w:val="none"/>
              </w:rPr>
              <w:t>分；本项最多得</w:t>
            </w:r>
            <w:r>
              <w:rPr>
                <w:rFonts w:hint="eastAsia" w:ascii="宋体" w:hAnsi="宋体" w:cs="宋体"/>
                <w:color w:val="000000"/>
                <w:szCs w:val="21"/>
                <w:highlight w:val="none"/>
                <w:lang w:val="en-US" w:eastAsia="zh-CN"/>
              </w:rPr>
              <w:t>4</w:t>
            </w:r>
            <w:r>
              <w:rPr>
                <w:rFonts w:hint="eastAsia" w:ascii="宋体" w:hAnsi="宋体" w:eastAsia="宋体" w:cs="宋体"/>
                <w:color w:val="000000"/>
                <w:szCs w:val="21"/>
                <w:highlight w:val="none"/>
              </w:rPr>
              <w:t>分。</w:t>
            </w:r>
          </w:p>
        </w:tc>
      </w:tr>
      <w:tr w14:paraId="38093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7" w:hRule="atLeast"/>
          <w:tblHeader/>
          <w:jc w:val="center"/>
        </w:trPr>
        <w:tc>
          <w:tcPr>
            <w:tcW w:w="937" w:type="dxa"/>
            <w:vMerge w:val="continue"/>
            <w:noWrap w:val="0"/>
            <w:vAlign w:val="center"/>
          </w:tcPr>
          <w:p w14:paraId="0BACF356">
            <w:pPr>
              <w:pStyle w:val="42"/>
              <w:jc w:val="center"/>
              <w:rPr>
                <w:rFonts w:hint="eastAsia" w:ascii="宋体" w:hAnsi="宋体" w:eastAsia="宋体" w:cs="宋体"/>
                <w:color w:val="000000"/>
                <w:highlight w:val="none"/>
              </w:rPr>
            </w:pPr>
          </w:p>
        </w:tc>
        <w:tc>
          <w:tcPr>
            <w:tcW w:w="1025" w:type="dxa"/>
            <w:noWrap w:val="0"/>
            <w:vAlign w:val="center"/>
          </w:tcPr>
          <w:p w14:paraId="284F56E8">
            <w:pPr>
              <w:widowControl/>
              <w:spacing w:line="360" w:lineRule="auto"/>
              <w:jc w:val="center"/>
              <w:rPr>
                <w:rFonts w:hint="eastAsia" w:ascii="宋体" w:hAnsi="宋体" w:eastAsia="宋体" w:cs="宋体"/>
                <w:color w:val="000000"/>
                <w:highlight w:val="none"/>
              </w:rPr>
            </w:pPr>
            <w:r>
              <w:rPr>
                <w:rFonts w:hint="eastAsia" w:ascii="宋体" w:hAnsi="宋体" w:eastAsia="宋体" w:cs="宋体"/>
                <w:color w:val="auto"/>
                <w:szCs w:val="21"/>
                <w:highlight w:val="none"/>
              </w:rPr>
              <w:t>质量负责人</w:t>
            </w:r>
          </w:p>
        </w:tc>
        <w:tc>
          <w:tcPr>
            <w:tcW w:w="1300" w:type="dxa"/>
            <w:noWrap w:val="0"/>
            <w:vAlign w:val="center"/>
          </w:tcPr>
          <w:p w14:paraId="755B42D8">
            <w:pPr>
              <w:widowControl/>
              <w:spacing w:line="360" w:lineRule="auto"/>
              <w:jc w:val="center"/>
              <w:rPr>
                <w:rFonts w:hint="default" w:ascii="宋体" w:hAnsi="宋体" w:eastAsia="宋体" w:cs="宋体"/>
                <w:color w:val="000000"/>
                <w:highlight w:val="none"/>
                <w:lang w:val="en-US" w:eastAsia="zh-CN"/>
              </w:rPr>
            </w:pPr>
            <w:r>
              <w:rPr>
                <w:rFonts w:hint="eastAsia" w:ascii="宋体" w:hAnsi="宋体" w:cs="宋体"/>
                <w:color w:val="000000"/>
                <w:highlight w:val="none"/>
                <w:lang w:val="en-US" w:eastAsia="zh-CN"/>
              </w:rPr>
              <w:t>4</w:t>
            </w:r>
          </w:p>
        </w:tc>
        <w:tc>
          <w:tcPr>
            <w:tcW w:w="10912" w:type="dxa"/>
            <w:gridSpan w:val="4"/>
            <w:noWrap w:val="0"/>
            <w:vAlign w:val="center"/>
          </w:tcPr>
          <w:p w14:paraId="572EC525">
            <w:pPr>
              <w:ind w:firstLine="420" w:firstLineChars="20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①从业能力：具有建筑工程类专业副高级或以上技术职称，得</w:t>
            </w:r>
            <w:r>
              <w:rPr>
                <w:rFonts w:hint="eastAsia" w:ascii="宋体" w:hAnsi="宋体" w:cs="宋体"/>
                <w:color w:val="000000"/>
                <w:szCs w:val="21"/>
                <w:highlight w:val="none"/>
                <w:lang w:val="en-US" w:eastAsia="zh-CN"/>
              </w:rPr>
              <w:t>2</w:t>
            </w:r>
            <w:r>
              <w:rPr>
                <w:rFonts w:hint="eastAsia" w:ascii="宋体" w:hAnsi="宋体" w:eastAsia="宋体" w:cs="宋体"/>
                <w:color w:val="000000"/>
                <w:szCs w:val="21"/>
                <w:highlight w:val="none"/>
              </w:rPr>
              <w:t>分；具有建筑工程类专业中级技术职称，得1分；本项最多得</w:t>
            </w:r>
            <w:r>
              <w:rPr>
                <w:rFonts w:hint="eastAsia" w:ascii="宋体" w:hAnsi="宋体" w:cs="宋体"/>
                <w:color w:val="000000"/>
                <w:szCs w:val="21"/>
                <w:highlight w:val="none"/>
                <w:lang w:val="en-US" w:eastAsia="zh-CN"/>
              </w:rPr>
              <w:t>2</w:t>
            </w:r>
            <w:r>
              <w:rPr>
                <w:rFonts w:hint="eastAsia" w:ascii="宋体" w:hAnsi="宋体" w:eastAsia="宋体" w:cs="宋体"/>
                <w:color w:val="000000"/>
                <w:szCs w:val="21"/>
                <w:highlight w:val="none"/>
              </w:rPr>
              <w:t>分。</w:t>
            </w:r>
          </w:p>
          <w:p w14:paraId="5CCDEB1A">
            <w:pPr>
              <w:ind w:firstLine="420" w:firstLineChars="200"/>
              <w:jc w:val="left"/>
              <w:rPr>
                <w:rFonts w:hint="eastAsia" w:ascii="宋体" w:hAnsi="宋体" w:eastAsia="宋体" w:cs="宋体"/>
                <w:color w:val="000000"/>
                <w:highlight w:val="none"/>
              </w:rPr>
            </w:pPr>
            <w:r>
              <w:rPr>
                <w:rFonts w:hint="eastAsia" w:ascii="宋体" w:hAnsi="宋体" w:eastAsia="宋体" w:cs="宋体"/>
                <w:color w:val="000000"/>
                <w:szCs w:val="21"/>
                <w:highlight w:val="none"/>
              </w:rPr>
              <w:t>②经历：具有10年或以上（含10年）施工管理工作经验，得2分；具有5年（含5年）至10年（不含10年）施工管理工作经验，得1分；本项最多得2分。</w:t>
            </w:r>
          </w:p>
        </w:tc>
      </w:tr>
      <w:tr w14:paraId="0C0CA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blHeader/>
          <w:jc w:val="center"/>
        </w:trPr>
        <w:tc>
          <w:tcPr>
            <w:tcW w:w="937" w:type="dxa"/>
            <w:vMerge w:val="continue"/>
            <w:noWrap w:val="0"/>
            <w:vAlign w:val="center"/>
          </w:tcPr>
          <w:p w14:paraId="2CB860D7">
            <w:pPr>
              <w:pStyle w:val="42"/>
              <w:jc w:val="center"/>
              <w:rPr>
                <w:rFonts w:hint="eastAsia" w:ascii="宋体" w:hAnsi="宋体" w:eastAsia="宋体" w:cs="宋体"/>
                <w:color w:val="000000"/>
                <w:highlight w:val="none"/>
              </w:rPr>
            </w:pPr>
          </w:p>
        </w:tc>
        <w:tc>
          <w:tcPr>
            <w:tcW w:w="1025" w:type="dxa"/>
            <w:noWrap w:val="0"/>
            <w:vAlign w:val="center"/>
          </w:tcPr>
          <w:p w14:paraId="2A53F84E">
            <w:pPr>
              <w:widowControl/>
              <w:spacing w:line="360" w:lineRule="auto"/>
              <w:jc w:val="center"/>
              <w:rPr>
                <w:rFonts w:hint="eastAsia" w:ascii="宋体" w:hAnsi="宋体" w:eastAsia="宋体" w:cs="宋体"/>
                <w:color w:val="000000"/>
                <w:highlight w:val="none"/>
              </w:rPr>
            </w:pPr>
            <w:r>
              <w:rPr>
                <w:rFonts w:hint="eastAsia" w:ascii="宋体" w:hAnsi="宋体" w:eastAsia="宋体" w:cs="宋体"/>
                <w:color w:val="auto"/>
                <w:szCs w:val="21"/>
                <w:highlight w:val="none"/>
              </w:rPr>
              <w:t>安全负责人</w:t>
            </w:r>
          </w:p>
        </w:tc>
        <w:tc>
          <w:tcPr>
            <w:tcW w:w="1300" w:type="dxa"/>
            <w:noWrap w:val="0"/>
            <w:vAlign w:val="center"/>
          </w:tcPr>
          <w:p w14:paraId="750F7887">
            <w:pPr>
              <w:widowControl/>
              <w:spacing w:line="360" w:lineRule="auto"/>
              <w:jc w:val="center"/>
              <w:rPr>
                <w:rFonts w:hint="default" w:ascii="宋体" w:hAnsi="宋体" w:eastAsia="宋体" w:cs="宋体"/>
                <w:color w:val="000000"/>
                <w:highlight w:val="none"/>
                <w:lang w:val="en-US" w:eastAsia="zh-CN"/>
              </w:rPr>
            </w:pPr>
            <w:r>
              <w:rPr>
                <w:rFonts w:hint="eastAsia" w:ascii="宋体" w:hAnsi="宋体" w:cs="宋体"/>
                <w:color w:val="000000"/>
                <w:highlight w:val="none"/>
                <w:lang w:val="en-US" w:eastAsia="zh-CN"/>
              </w:rPr>
              <w:t>4</w:t>
            </w:r>
          </w:p>
        </w:tc>
        <w:tc>
          <w:tcPr>
            <w:tcW w:w="10912" w:type="dxa"/>
            <w:gridSpan w:val="4"/>
            <w:noWrap w:val="0"/>
            <w:vAlign w:val="center"/>
          </w:tcPr>
          <w:p w14:paraId="15306171">
            <w:pPr>
              <w:ind w:firstLine="420" w:firstLineChars="20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①从业能力：具有安全工程专业副高级或以上技术职称、或建筑工程类专业副高级或以上技术职称，且具有安全生产考核合格证（B类）或安全生产考核合格证（C类）或建筑施工企业项目负责人安全生产考核合格证书或建筑施工企业专职安全生产管理人员安全生产考核合格证书（C3），得</w:t>
            </w:r>
            <w:r>
              <w:rPr>
                <w:rFonts w:hint="eastAsia" w:ascii="宋体" w:hAnsi="宋体" w:cs="宋体"/>
                <w:color w:val="000000"/>
                <w:szCs w:val="21"/>
                <w:highlight w:val="none"/>
                <w:lang w:val="en-US" w:eastAsia="zh-CN"/>
              </w:rPr>
              <w:t>2</w:t>
            </w:r>
            <w:r>
              <w:rPr>
                <w:rFonts w:hint="eastAsia" w:ascii="宋体" w:hAnsi="宋体" w:eastAsia="宋体" w:cs="宋体"/>
                <w:color w:val="000000"/>
                <w:szCs w:val="21"/>
                <w:highlight w:val="none"/>
              </w:rPr>
              <w:t>分；</w:t>
            </w:r>
          </w:p>
          <w:p w14:paraId="08E9CEC3">
            <w:pPr>
              <w:ind w:firstLine="420" w:firstLineChars="20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具有安全工程专业中级技术职称或建筑工程类专业中级技术职称，且具有安全生产考核合格证（B类）或安全生产考核合格证（C类）或建筑施工企业项目负责人安全生产考核合格证书或建筑施工企业专职安全生产管理人员安全生产考核合格证书（C3），得1分；</w:t>
            </w:r>
          </w:p>
          <w:p w14:paraId="5E9E1D92">
            <w:pPr>
              <w:ind w:firstLine="420" w:firstLineChars="20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本</w:t>
            </w:r>
            <w:r>
              <w:rPr>
                <w:rFonts w:hint="eastAsia" w:ascii="宋体" w:hAnsi="宋体" w:cs="宋体"/>
                <w:color w:val="000000"/>
                <w:szCs w:val="21"/>
                <w:highlight w:val="none"/>
                <w:lang w:val="en-US" w:eastAsia="zh-CN"/>
              </w:rPr>
              <w:t>小</w:t>
            </w:r>
            <w:r>
              <w:rPr>
                <w:rFonts w:hint="eastAsia" w:ascii="宋体" w:hAnsi="宋体" w:eastAsia="宋体" w:cs="宋体"/>
                <w:color w:val="000000"/>
                <w:szCs w:val="21"/>
                <w:highlight w:val="none"/>
              </w:rPr>
              <w:t>项最多得</w:t>
            </w:r>
            <w:r>
              <w:rPr>
                <w:rFonts w:hint="eastAsia" w:ascii="宋体" w:hAnsi="宋体" w:cs="宋体"/>
                <w:color w:val="000000"/>
                <w:szCs w:val="21"/>
                <w:highlight w:val="none"/>
                <w:lang w:val="en-US" w:eastAsia="zh-CN"/>
              </w:rPr>
              <w:t>2</w:t>
            </w:r>
            <w:r>
              <w:rPr>
                <w:rFonts w:hint="eastAsia" w:ascii="宋体" w:hAnsi="宋体" w:eastAsia="宋体" w:cs="宋体"/>
                <w:color w:val="000000"/>
                <w:szCs w:val="21"/>
                <w:highlight w:val="none"/>
              </w:rPr>
              <w:t>分。</w:t>
            </w:r>
          </w:p>
          <w:p w14:paraId="34EE2B46">
            <w:pPr>
              <w:ind w:firstLine="420" w:firstLineChars="20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②经历：具有10年或以上（含10年）施工管理工作经验，得2分；具有5年（含5年）至10年（不含10年）施工管理工作经验，得1分；本项最多得2分。</w:t>
            </w:r>
          </w:p>
          <w:p w14:paraId="5D168A95">
            <w:pPr>
              <w:ind w:firstLine="420" w:firstLineChars="200"/>
              <w:jc w:val="left"/>
              <w:rPr>
                <w:rFonts w:hint="eastAsia" w:ascii="宋体" w:hAnsi="宋体" w:eastAsia="宋体" w:cs="宋体"/>
                <w:color w:val="000000"/>
                <w:highlight w:val="none"/>
              </w:rPr>
            </w:pPr>
            <w:r>
              <w:rPr>
                <w:rFonts w:hint="eastAsia" w:ascii="宋体" w:hAnsi="宋体" w:eastAsia="宋体" w:cs="宋体"/>
                <w:color w:val="000000"/>
                <w:szCs w:val="21"/>
                <w:highlight w:val="none"/>
              </w:rPr>
              <w:t>注：广东省建筑施工企业安全生产管理人员执行《广东省住房和城乡建设厅关于加快推进建筑施工企业安全生产管理人员考核合格证书电子证照办理相关工作的通知》（粤建质函〔2023〕754号），在10月底前完成换证业务，从2023年11月1日起，旧版电子证照停止使用。其他地区建筑施工企业安全生产管理人员执行属地安全生产管理人员考核合格证书电子证照相关规定。</w:t>
            </w:r>
          </w:p>
        </w:tc>
      </w:tr>
      <w:tr w14:paraId="63A55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blHeader/>
          <w:jc w:val="center"/>
        </w:trPr>
        <w:tc>
          <w:tcPr>
            <w:tcW w:w="937" w:type="dxa"/>
            <w:vMerge w:val="continue"/>
            <w:noWrap w:val="0"/>
            <w:vAlign w:val="center"/>
          </w:tcPr>
          <w:p w14:paraId="4D54131E">
            <w:pPr>
              <w:pStyle w:val="42"/>
              <w:jc w:val="center"/>
              <w:rPr>
                <w:rFonts w:hint="eastAsia" w:ascii="宋体" w:hAnsi="宋体" w:eastAsia="宋体" w:cs="宋体"/>
                <w:color w:val="000000"/>
                <w:highlight w:val="none"/>
              </w:rPr>
            </w:pPr>
          </w:p>
        </w:tc>
        <w:tc>
          <w:tcPr>
            <w:tcW w:w="1025" w:type="dxa"/>
            <w:noWrap w:val="0"/>
            <w:vAlign w:val="center"/>
          </w:tcPr>
          <w:p w14:paraId="3C79B64B">
            <w:pPr>
              <w:widowControl/>
              <w:spacing w:line="360" w:lineRule="auto"/>
              <w:jc w:val="center"/>
              <w:rPr>
                <w:rFonts w:hint="eastAsia" w:ascii="宋体" w:hAnsi="宋体" w:eastAsia="宋体" w:cs="宋体"/>
                <w:color w:val="000000"/>
                <w:highlight w:val="none"/>
              </w:rPr>
            </w:pPr>
            <w:r>
              <w:rPr>
                <w:rFonts w:hint="eastAsia" w:ascii="宋体" w:hAnsi="宋体" w:eastAsia="宋体" w:cs="宋体"/>
                <w:color w:val="auto"/>
                <w:szCs w:val="21"/>
                <w:highlight w:val="none"/>
              </w:rPr>
              <w:t>造价负责人</w:t>
            </w:r>
          </w:p>
        </w:tc>
        <w:tc>
          <w:tcPr>
            <w:tcW w:w="1300" w:type="dxa"/>
            <w:noWrap w:val="0"/>
            <w:vAlign w:val="center"/>
          </w:tcPr>
          <w:p w14:paraId="29583032">
            <w:pPr>
              <w:widowControl/>
              <w:spacing w:line="360" w:lineRule="auto"/>
              <w:jc w:val="center"/>
              <w:rPr>
                <w:rFonts w:hint="default" w:ascii="宋体" w:hAnsi="宋体" w:eastAsia="宋体" w:cs="宋体"/>
                <w:color w:val="000000"/>
                <w:highlight w:val="none"/>
                <w:lang w:val="en-US" w:eastAsia="zh-CN"/>
              </w:rPr>
            </w:pPr>
            <w:r>
              <w:rPr>
                <w:rFonts w:hint="eastAsia" w:ascii="宋体" w:hAnsi="宋体" w:cs="宋体"/>
                <w:color w:val="000000"/>
                <w:highlight w:val="none"/>
                <w:lang w:val="en-US" w:eastAsia="zh-CN"/>
              </w:rPr>
              <w:t>4</w:t>
            </w:r>
          </w:p>
        </w:tc>
        <w:tc>
          <w:tcPr>
            <w:tcW w:w="10912" w:type="dxa"/>
            <w:gridSpan w:val="4"/>
            <w:noWrap w:val="0"/>
            <w:vAlign w:val="center"/>
          </w:tcPr>
          <w:p w14:paraId="14DE5EA7">
            <w:pPr>
              <w:ind w:firstLine="420" w:firstLineChars="200"/>
              <w:jc w:val="left"/>
              <w:rPr>
                <w:rFonts w:hint="eastAsia" w:ascii="宋体" w:hAnsi="宋体" w:eastAsia="宋体" w:cs="宋体"/>
                <w:color w:val="000000"/>
                <w:szCs w:val="21"/>
                <w:highlight w:val="none"/>
                <w:lang w:eastAsia="zh-CN"/>
              </w:rPr>
            </w:pPr>
            <w:r>
              <w:rPr>
                <w:rFonts w:hint="eastAsia" w:ascii="宋体" w:hAnsi="宋体" w:eastAsia="宋体" w:cs="宋体"/>
                <w:color w:val="000000"/>
                <w:szCs w:val="21"/>
                <w:highlight w:val="none"/>
              </w:rPr>
              <w:t>①从业能力：</w:t>
            </w:r>
            <w:r>
              <w:rPr>
                <w:rFonts w:hint="eastAsia" w:ascii="宋体" w:hAnsi="宋体" w:cs="宋体"/>
                <w:color w:val="000000"/>
                <w:szCs w:val="21"/>
                <w:highlight w:val="none"/>
                <w:lang w:eastAsia="zh-CN"/>
              </w:rPr>
              <w:t>（</w:t>
            </w:r>
            <w:r>
              <w:rPr>
                <w:rFonts w:hint="eastAsia" w:ascii="宋体" w:hAnsi="宋体" w:cs="宋体"/>
                <w:color w:val="000000"/>
                <w:szCs w:val="21"/>
                <w:highlight w:val="none"/>
                <w:lang w:val="en-US" w:eastAsia="zh-CN"/>
              </w:rPr>
              <w:t>1</w:t>
            </w:r>
            <w:r>
              <w:rPr>
                <w:rFonts w:hint="eastAsia" w:ascii="宋体" w:hAnsi="宋体" w:cs="宋体"/>
                <w:color w:val="000000"/>
                <w:szCs w:val="21"/>
                <w:highlight w:val="none"/>
                <w:lang w:eastAsia="zh-CN"/>
              </w:rPr>
              <w:t>）</w:t>
            </w:r>
            <w:r>
              <w:rPr>
                <w:rFonts w:hint="eastAsia" w:ascii="宋体" w:hAnsi="宋体" w:eastAsia="宋体" w:cs="宋体"/>
                <w:color w:val="000000"/>
                <w:szCs w:val="21"/>
                <w:highlight w:val="none"/>
              </w:rPr>
              <w:t>具有有效的注册造价工程师（或一级注册造价工程师）证书，得</w:t>
            </w:r>
            <w:r>
              <w:rPr>
                <w:rFonts w:hint="eastAsia" w:ascii="宋体" w:hAnsi="宋体" w:cs="宋体"/>
                <w:color w:val="000000"/>
                <w:szCs w:val="21"/>
                <w:highlight w:val="none"/>
                <w:lang w:val="en-US" w:eastAsia="zh-CN"/>
              </w:rPr>
              <w:t>1</w:t>
            </w:r>
            <w:r>
              <w:rPr>
                <w:rFonts w:hint="eastAsia" w:ascii="宋体" w:hAnsi="宋体" w:eastAsia="宋体" w:cs="宋体"/>
                <w:color w:val="000000"/>
                <w:szCs w:val="21"/>
                <w:highlight w:val="none"/>
              </w:rPr>
              <w:t>分</w:t>
            </w:r>
            <w:r>
              <w:rPr>
                <w:rFonts w:hint="eastAsia" w:ascii="宋体" w:hAnsi="宋体" w:eastAsia="宋体" w:cs="宋体"/>
                <w:color w:val="000000"/>
                <w:szCs w:val="21"/>
                <w:highlight w:val="none"/>
                <w:lang w:eastAsia="zh-CN"/>
              </w:rPr>
              <w:t>；</w:t>
            </w:r>
            <w:r>
              <w:rPr>
                <w:rFonts w:hint="eastAsia" w:ascii="宋体" w:hAnsi="宋体" w:cs="宋体"/>
                <w:color w:val="000000"/>
                <w:szCs w:val="21"/>
                <w:highlight w:val="none"/>
                <w:lang w:eastAsia="zh-CN"/>
              </w:rPr>
              <w:t>（</w:t>
            </w:r>
            <w:r>
              <w:rPr>
                <w:rFonts w:hint="eastAsia" w:ascii="宋体" w:hAnsi="宋体" w:cs="宋体"/>
                <w:color w:val="000000"/>
                <w:szCs w:val="21"/>
                <w:highlight w:val="none"/>
                <w:lang w:val="en-US" w:eastAsia="zh-CN"/>
              </w:rPr>
              <w:t>2</w:t>
            </w:r>
            <w:r>
              <w:rPr>
                <w:rFonts w:hint="eastAsia" w:ascii="宋体" w:hAnsi="宋体" w:cs="宋体"/>
                <w:color w:val="000000"/>
                <w:szCs w:val="21"/>
                <w:highlight w:val="none"/>
                <w:lang w:eastAsia="zh-CN"/>
              </w:rPr>
              <w:t>）</w:t>
            </w:r>
            <w:r>
              <w:rPr>
                <w:rFonts w:hint="eastAsia" w:ascii="宋体" w:hAnsi="宋体" w:eastAsia="宋体" w:cs="宋体"/>
                <w:color w:val="000000"/>
                <w:szCs w:val="21"/>
                <w:highlight w:val="none"/>
              </w:rPr>
              <w:t>具有工程造价类专业</w:t>
            </w:r>
            <w:r>
              <w:rPr>
                <w:rFonts w:hint="eastAsia" w:ascii="宋体" w:hAnsi="宋体" w:cs="宋体"/>
                <w:color w:val="000000"/>
                <w:szCs w:val="21"/>
                <w:highlight w:val="none"/>
                <w:lang w:val="en-US" w:eastAsia="zh-CN"/>
              </w:rPr>
              <w:t>工程师</w:t>
            </w:r>
            <w:r>
              <w:rPr>
                <w:rFonts w:hint="eastAsia" w:ascii="宋体" w:hAnsi="宋体" w:eastAsia="宋体" w:cs="宋体"/>
                <w:color w:val="000000"/>
                <w:szCs w:val="21"/>
                <w:highlight w:val="none"/>
              </w:rPr>
              <w:t>副高级或以上技术职称，得</w:t>
            </w:r>
            <w:r>
              <w:rPr>
                <w:rFonts w:hint="eastAsia" w:ascii="宋体" w:hAnsi="宋体" w:cs="宋体"/>
                <w:color w:val="000000"/>
                <w:szCs w:val="21"/>
                <w:highlight w:val="none"/>
                <w:lang w:val="en-US" w:eastAsia="zh-CN"/>
              </w:rPr>
              <w:t>1</w:t>
            </w:r>
            <w:r>
              <w:rPr>
                <w:rFonts w:hint="eastAsia" w:ascii="宋体" w:hAnsi="宋体" w:eastAsia="宋体" w:cs="宋体"/>
                <w:color w:val="000000"/>
                <w:szCs w:val="21"/>
                <w:highlight w:val="none"/>
              </w:rPr>
              <w:t>分</w:t>
            </w:r>
            <w:r>
              <w:rPr>
                <w:rFonts w:hint="eastAsia" w:ascii="宋体" w:hAnsi="宋体" w:eastAsia="宋体" w:cs="宋体"/>
                <w:color w:val="000000"/>
                <w:szCs w:val="21"/>
                <w:highlight w:val="none"/>
                <w:lang w:eastAsia="zh-CN"/>
              </w:rPr>
              <w:t>；具有工程造价类专业工程师中级技术职称，得</w:t>
            </w:r>
            <w:r>
              <w:rPr>
                <w:rFonts w:hint="eastAsia" w:ascii="宋体" w:hAnsi="宋体" w:cs="宋体"/>
                <w:color w:val="000000"/>
                <w:szCs w:val="21"/>
                <w:highlight w:val="none"/>
                <w:lang w:val="en-US" w:eastAsia="zh-CN"/>
              </w:rPr>
              <w:t>0.5</w:t>
            </w:r>
            <w:r>
              <w:rPr>
                <w:rFonts w:hint="eastAsia" w:ascii="宋体" w:hAnsi="宋体" w:eastAsia="宋体" w:cs="宋体"/>
                <w:color w:val="000000"/>
                <w:szCs w:val="21"/>
                <w:highlight w:val="none"/>
                <w:lang w:eastAsia="zh-CN"/>
              </w:rPr>
              <w:t>分</w:t>
            </w:r>
            <w:r>
              <w:rPr>
                <w:rFonts w:hint="eastAsia" w:ascii="宋体" w:hAnsi="宋体" w:cs="宋体"/>
                <w:color w:val="000000"/>
                <w:szCs w:val="21"/>
                <w:highlight w:val="none"/>
                <w:lang w:eastAsia="zh-CN"/>
              </w:rPr>
              <w:t>；</w:t>
            </w:r>
          </w:p>
          <w:p w14:paraId="67B32152">
            <w:pPr>
              <w:ind w:firstLine="420" w:firstLineChars="20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②经历：具有10年或以上（含10年）工程管理工作经验，得2分；具有5年（含5年）至10年（不含10年）工程管理工作经验，得1分；本项最多得2分。</w:t>
            </w:r>
          </w:p>
          <w:p w14:paraId="6E827857">
            <w:pPr>
              <w:ind w:firstLine="420" w:firstLineChars="200"/>
              <w:jc w:val="left"/>
              <w:rPr>
                <w:rFonts w:hint="eastAsia" w:ascii="宋体" w:hAnsi="宋体" w:eastAsia="宋体" w:cs="宋体"/>
                <w:color w:val="000000"/>
                <w:highlight w:val="none"/>
              </w:rPr>
            </w:pPr>
            <w:r>
              <w:rPr>
                <w:rFonts w:hint="eastAsia" w:ascii="宋体" w:hAnsi="宋体" w:eastAsia="宋体" w:cs="宋体"/>
                <w:color w:val="000000"/>
                <w:szCs w:val="21"/>
                <w:highlight w:val="none"/>
              </w:rPr>
              <w:t>注：有效的注册造价工程师指根据原人事部、原建设部发布的《造价工程师执业资格制度暂行规定》（人发〔1996〕77号）取得的造价工程师执业资格，并经注册且在有效期内；有效的注册一级造价工程师资格指根据住房城乡建设部、交通运输部、水利部、人力资源社会保障部发布的《造价工程师职业资格制度规定》《造价工程师职业资格考试实施办法》（建人〔2018〕67号）取得的一级造价工程师职业资格，并经注册且在有效期内。</w:t>
            </w:r>
          </w:p>
        </w:tc>
      </w:tr>
      <w:tr w14:paraId="5F3D6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blHeader/>
          <w:jc w:val="center"/>
        </w:trPr>
        <w:tc>
          <w:tcPr>
            <w:tcW w:w="3262" w:type="dxa"/>
            <w:gridSpan w:val="3"/>
            <w:noWrap w:val="0"/>
            <w:vAlign w:val="center"/>
          </w:tcPr>
          <w:p w14:paraId="63E2A1B3">
            <w:pPr>
              <w:widowControl/>
              <w:spacing w:line="360" w:lineRule="auto"/>
              <w:jc w:val="center"/>
              <w:rPr>
                <w:rFonts w:hint="eastAsia" w:ascii="宋体" w:hAnsi="宋体" w:eastAsia="宋体" w:cs="宋体"/>
                <w:color w:val="000000"/>
                <w:highlight w:val="none"/>
                <w:lang w:val="en-US" w:eastAsia="zh-CN"/>
              </w:rPr>
            </w:pPr>
          </w:p>
        </w:tc>
        <w:tc>
          <w:tcPr>
            <w:tcW w:w="10912" w:type="dxa"/>
            <w:gridSpan w:val="4"/>
            <w:noWrap w:val="0"/>
            <w:vAlign w:val="center"/>
          </w:tcPr>
          <w:p w14:paraId="23E34556">
            <w:pPr>
              <w:pStyle w:val="42"/>
              <w:jc w:val="left"/>
              <w:rPr>
                <w:rFonts w:ascii="宋体" w:hAnsi="宋体" w:eastAsia="宋体"/>
                <w:color w:val="000000"/>
                <w:sz w:val="20"/>
                <w:szCs w:val="20"/>
                <w:highlight w:val="none"/>
              </w:rPr>
            </w:pPr>
            <w:r>
              <w:rPr>
                <w:rFonts w:hint="eastAsia" w:ascii="宋体" w:hAnsi="宋体" w:eastAsia="宋体"/>
                <w:color w:val="000000"/>
                <w:sz w:val="20"/>
                <w:szCs w:val="20"/>
                <w:highlight w:val="none"/>
              </w:rPr>
              <w:t>注：①上述人员须提供身份证、毕业证书（大学专科（或以上）学历）及投标截止前一个月（</w:t>
            </w:r>
            <w:r>
              <w:rPr>
                <w:rFonts w:hint="eastAsia" w:ascii="宋体" w:hAnsi="宋体" w:eastAsia="宋体"/>
                <w:color w:val="000000"/>
                <w:sz w:val="20"/>
                <w:szCs w:val="20"/>
                <w:highlight w:val="none"/>
                <w:u w:val="single"/>
              </w:rPr>
              <w:t>2025</w:t>
            </w:r>
            <w:r>
              <w:rPr>
                <w:rFonts w:hint="eastAsia" w:ascii="宋体" w:hAnsi="宋体" w:eastAsia="宋体"/>
                <w:color w:val="000000"/>
                <w:sz w:val="20"/>
                <w:szCs w:val="20"/>
                <w:highlight w:val="none"/>
              </w:rPr>
              <w:t>年</w:t>
            </w:r>
            <w:r>
              <w:rPr>
                <w:rFonts w:hint="eastAsia" w:ascii="宋体" w:hAnsi="宋体" w:eastAsia="宋体"/>
                <w:color w:val="000000"/>
                <w:sz w:val="20"/>
                <w:szCs w:val="20"/>
                <w:highlight w:val="none"/>
                <w:u w:val="single"/>
                <w:lang w:val="en-US" w:eastAsia="zh-CN"/>
              </w:rPr>
              <w:t>10</w:t>
            </w:r>
            <w:r>
              <w:rPr>
                <w:rFonts w:hint="eastAsia" w:ascii="宋体" w:hAnsi="宋体" w:eastAsia="宋体"/>
                <w:color w:val="000000"/>
                <w:sz w:val="20"/>
                <w:szCs w:val="20"/>
                <w:highlight w:val="none"/>
                <w:u w:val="single"/>
              </w:rPr>
              <w:t>月或</w:t>
            </w:r>
            <w:r>
              <w:rPr>
                <w:rFonts w:hint="eastAsia" w:ascii="宋体" w:hAnsi="宋体" w:eastAsia="宋体"/>
                <w:color w:val="000000"/>
                <w:sz w:val="20"/>
                <w:szCs w:val="20"/>
                <w:highlight w:val="none"/>
                <w:u w:val="single"/>
                <w:lang w:val="en-US" w:eastAsia="zh-CN"/>
              </w:rPr>
              <w:t>11</w:t>
            </w:r>
            <w:r>
              <w:rPr>
                <w:rFonts w:hint="eastAsia" w:ascii="宋体" w:hAnsi="宋体" w:eastAsia="宋体"/>
                <w:color w:val="000000"/>
                <w:sz w:val="20"/>
                <w:szCs w:val="20"/>
                <w:highlight w:val="none"/>
                <w:u w:val="single"/>
              </w:rPr>
              <w:t>月</w:t>
            </w:r>
            <w:r>
              <w:rPr>
                <w:rFonts w:hint="eastAsia" w:ascii="宋体" w:hAnsi="宋体" w:eastAsia="宋体"/>
                <w:color w:val="000000"/>
                <w:sz w:val="20"/>
                <w:szCs w:val="20"/>
                <w:highlight w:val="none"/>
              </w:rPr>
              <w:t>）有效社保证明，且须按相应要求提供职称证</w:t>
            </w:r>
            <w:r>
              <w:rPr>
                <w:rFonts w:hint="eastAsia" w:ascii="宋体" w:hAnsi="宋体" w:eastAsia="宋体"/>
                <w:color w:val="000000"/>
                <w:sz w:val="20"/>
                <w:szCs w:val="20"/>
                <w:highlight w:val="none"/>
                <w:u w:val="single"/>
              </w:rPr>
              <w:t>（若证书无法明确为相应专业，则需同时提供职称证书发证单位出具的证明材料，否则投标人需承担评委认定职称专业不符合评审标准的风险）</w:t>
            </w:r>
            <w:r>
              <w:rPr>
                <w:rFonts w:hint="eastAsia" w:ascii="宋体" w:hAnsi="宋体" w:eastAsia="宋体"/>
                <w:color w:val="000000"/>
                <w:sz w:val="20"/>
                <w:szCs w:val="20"/>
                <w:highlight w:val="none"/>
              </w:rPr>
              <w:t>、有效期内的注册证及有效期内的安全生产考核合格证（B类）或安全生产考核合格证（C类）或建筑施工企业项目负责人安全生产考核合格证书或建筑施工企业专职安全生产管理人员安全生产考核合格证书（C3），所有资料为扫描件或电子证书并加盖投标人电子公章；</w:t>
            </w:r>
          </w:p>
          <w:p w14:paraId="2B425747">
            <w:pPr>
              <w:ind w:firstLine="400" w:firstLineChars="200"/>
              <w:jc w:val="left"/>
              <w:rPr>
                <w:rFonts w:hint="eastAsia" w:ascii="宋体" w:hAnsi="宋体" w:eastAsia="宋体" w:cs="宋体"/>
                <w:color w:val="000000"/>
                <w:sz w:val="20"/>
                <w:szCs w:val="20"/>
                <w:highlight w:val="none"/>
              </w:rPr>
            </w:pPr>
            <w:r>
              <w:rPr>
                <w:rFonts w:hint="eastAsia" w:ascii="宋体" w:hAnsi="宋体" w:eastAsia="宋体" w:cs="宋体"/>
                <w:color w:val="000000"/>
                <w:sz w:val="20"/>
                <w:szCs w:val="20"/>
                <w:highlight w:val="none"/>
              </w:rPr>
              <w:t>②工作经验年限从毕业证书的核发时间（大学专科（或以上）学历）起计；</w:t>
            </w:r>
          </w:p>
          <w:p w14:paraId="354187C3">
            <w:pPr>
              <w:pStyle w:val="42"/>
              <w:ind w:firstLine="400" w:firstLineChars="200"/>
              <w:jc w:val="left"/>
              <w:rPr>
                <w:rFonts w:hint="eastAsia" w:ascii="宋体" w:hAnsi="宋体" w:eastAsia="宋体" w:cs="宋体"/>
                <w:color w:val="000000"/>
                <w:sz w:val="20"/>
                <w:szCs w:val="20"/>
                <w:highlight w:val="none"/>
              </w:rPr>
            </w:pPr>
            <w:r>
              <w:rPr>
                <w:rFonts w:hint="eastAsia" w:ascii="宋体" w:hAnsi="宋体" w:eastAsia="宋体" w:cs="宋体"/>
                <w:color w:val="000000"/>
                <w:sz w:val="20"/>
                <w:szCs w:val="20"/>
                <w:highlight w:val="none"/>
              </w:rPr>
              <w:t>③项目负责人、技术负责人、质量负责人、安全负责人、造价负责人、其他专业工程师不得兼任，且安全负责人不能同时兼任专职安全员。</w:t>
            </w:r>
          </w:p>
          <w:p w14:paraId="0BBE8F9B">
            <w:pPr>
              <w:adjustRightInd w:val="0"/>
              <w:snapToGrid w:val="0"/>
              <w:spacing w:before="78" w:beforeLines="25" w:line="240" w:lineRule="exact"/>
              <w:ind w:firstLine="400" w:firstLineChars="200"/>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④若投标人为联合体，拟任本工程项目负责人、技术负责人、质量负责人、安全负责人、造价负责人须为联合体主办方人员。</w:t>
            </w:r>
          </w:p>
          <w:p w14:paraId="27A297BC">
            <w:pPr>
              <w:ind w:firstLine="400" w:firstLineChars="200"/>
              <w:jc w:val="left"/>
              <w:rPr>
                <w:rFonts w:hint="eastAsia" w:ascii="宋体" w:hAnsi="宋体" w:eastAsia="宋体" w:cs="宋体"/>
                <w:color w:val="000000"/>
                <w:szCs w:val="21"/>
                <w:highlight w:val="none"/>
              </w:rPr>
            </w:pPr>
            <w:r>
              <w:rPr>
                <w:rFonts w:hint="eastAsia" w:ascii="宋体" w:hAnsi="宋体" w:eastAsia="宋体" w:cs="宋体"/>
                <w:color w:val="000000"/>
                <w:kern w:val="0"/>
                <w:sz w:val="20"/>
                <w:szCs w:val="20"/>
                <w:highlight w:val="none"/>
              </w:rPr>
              <w:t>⑤不符合评审标准或不符合上述要求或未提供上述资料的人员不得分。</w:t>
            </w:r>
          </w:p>
        </w:tc>
      </w:tr>
      <w:tr w14:paraId="42A47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blHeader/>
          <w:jc w:val="center"/>
        </w:trPr>
        <w:tc>
          <w:tcPr>
            <w:tcW w:w="1962" w:type="dxa"/>
            <w:gridSpan w:val="2"/>
            <w:noWrap w:val="0"/>
            <w:vAlign w:val="center"/>
          </w:tcPr>
          <w:p w14:paraId="74AF8E43">
            <w:pPr>
              <w:pStyle w:val="42"/>
              <w:jc w:val="center"/>
              <w:rPr>
                <w:rFonts w:hint="eastAsia" w:ascii="宋体" w:hAnsi="宋体" w:eastAsia="宋体" w:cs="宋体"/>
                <w:color w:val="000000"/>
                <w:highlight w:val="none"/>
              </w:rPr>
            </w:pPr>
            <w:r>
              <w:rPr>
                <w:rFonts w:hint="eastAsia" w:ascii="宋体" w:hAnsi="宋体" w:eastAsia="宋体" w:cs="宋体"/>
                <w:color w:val="000000"/>
                <w:highlight w:val="none"/>
              </w:rPr>
              <w:t>合计（一+二+三）</w:t>
            </w:r>
          </w:p>
        </w:tc>
        <w:tc>
          <w:tcPr>
            <w:tcW w:w="1300" w:type="dxa"/>
            <w:noWrap w:val="0"/>
            <w:vAlign w:val="center"/>
          </w:tcPr>
          <w:p w14:paraId="494B226F">
            <w:pPr>
              <w:pStyle w:val="42"/>
              <w:jc w:val="center"/>
              <w:rPr>
                <w:rFonts w:hint="default"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100</w:t>
            </w:r>
          </w:p>
        </w:tc>
        <w:tc>
          <w:tcPr>
            <w:tcW w:w="10912" w:type="dxa"/>
            <w:gridSpan w:val="4"/>
            <w:noWrap w:val="0"/>
            <w:vAlign w:val="center"/>
          </w:tcPr>
          <w:p w14:paraId="2F346702">
            <w:pPr>
              <w:pStyle w:val="42"/>
              <w:ind w:firstLine="400" w:firstLineChars="200"/>
              <w:jc w:val="center"/>
              <w:rPr>
                <w:rFonts w:hint="eastAsia" w:ascii="宋体" w:hAnsi="宋体" w:eastAsia="宋体" w:cs="宋体"/>
                <w:color w:val="000000"/>
                <w:highlight w:val="none"/>
              </w:rPr>
            </w:pPr>
          </w:p>
        </w:tc>
      </w:tr>
    </w:tbl>
    <w:p w14:paraId="6F8E1ACF">
      <w:pPr>
        <w:widowControl/>
        <w:wordWrap w:val="0"/>
        <w:snapToGrid w:val="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shd w:val="clear" w:color="auto" w:fill="FFFFFF"/>
        </w:rPr>
        <w:t>注：</w:t>
      </w:r>
    </w:p>
    <w:p w14:paraId="625CE050">
      <w:pPr>
        <w:widowControl/>
        <w:numPr>
          <w:ilvl w:val="0"/>
          <w:numId w:val="2"/>
        </w:numPr>
        <w:wordWrap w:val="0"/>
        <w:ind w:firstLine="422"/>
        <w:rPr>
          <w:rFonts w:hint="eastAsia" w:ascii="宋体" w:hAnsi="宋体" w:eastAsia="宋体" w:cs="宋体"/>
          <w:b/>
          <w:bCs/>
          <w:color w:val="auto"/>
          <w:kern w:val="0"/>
          <w:szCs w:val="21"/>
          <w:highlight w:val="none"/>
          <w:shd w:val="clear" w:color="auto" w:fill="FFFFFF"/>
        </w:rPr>
      </w:pPr>
      <w:r>
        <w:rPr>
          <w:rFonts w:hint="eastAsia" w:ascii="宋体" w:hAnsi="宋体" w:cs="宋体"/>
          <w:b/>
          <w:bCs/>
          <w:color w:val="auto"/>
          <w:szCs w:val="21"/>
          <w:highlight w:val="none"/>
          <w:shd w:val="clear" w:color="auto" w:fill="FFFFFF"/>
          <w:lang w:val="en-US" w:eastAsia="zh-CN"/>
        </w:rPr>
        <w:t>企业</w:t>
      </w:r>
      <w:r>
        <w:rPr>
          <w:rFonts w:hint="eastAsia" w:ascii="宋体" w:hAnsi="宋体" w:eastAsia="宋体" w:cs="宋体"/>
          <w:b/>
          <w:bCs/>
          <w:color w:val="auto"/>
          <w:kern w:val="0"/>
          <w:szCs w:val="21"/>
          <w:highlight w:val="none"/>
          <w:shd w:val="clear" w:color="auto" w:fill="FFFFFF"/>
        </w:rPr>
        <w:t>类似工程业绩：</w:t>
      </w:r>
    </w:p>
    <w:p w14:paraId="37F6555C">
      <w:pPr>
        <w:widowControl/>
        <w:numPr>
          <w:ilvl w:val="0"/>
          <w:numId w:val="0"/>
        </w:numPr>
        <w:wordWrap w:val="0"/>
        <w:ind w:firstLine="420" w:firstLineChars="200"/>
        <w:rPr>
          <w:rFonts w:hint="eastAsia" w:ascii="宋体" w:hAnsi="宋体" w:eastAsia="宋体" w:cs="宋体"/>
          <w:color w:val="auto"/>
          <w:szCs w:val="21"/>
          <w:highlight w:val="none"/>
          <w:shd w:val="clear" w:color="auto" w:fill="FFFFFF"/>
          <w:lang w:val="zh-TW"/>
        </w:rPr>
      </w:pPr>
      <w:r>
        <w:rPr>
          <w:rFonts w:hint="eastAsia" w:ascii="宋体" w:hAnsi="宋体" w:eastAsia="宋体" w:cs="宋体"/>
          <w:color w:val="auto"/>
          <w:szCs w:val="21"/>
          <w:highlight w:val="none"/>
          <w:shd w:val="clear" w:color="auto" w:fill="FFFFFF"/>
          <w:lang w:val="zh-TW"/>
        </w:rPr>
        <w:t>（1）业绩取自广州市住建行业信用管理平台，投标人须提供类似工程业绩的项目名称及业绩在广州市住建行业信用管理平台中项目编号及业绩在广州市住建行业信用管理平台的网页信息截图（网页信息截图须能清晰显示带有“住建行业信用管理平台”名称，并至少包含“项目基本信息”等信息的页面）以供核对（业绩相关附件的上传件可不提交），不提供项目名称及项目编号的业绩不予评审。若投标人提供的项目名称与项目编号不一致：①项目名称和项目编号在平台内分别对应不同业绩的，以项目名称对应的业绩为准；②项目名称存在对应业绩的，项目编号在平台内不存在对应业绩，以项目名称对应的业绩为准；③项目名称在平台内不存在对应业绩，项目编号存在对应业绩的，以项目编号对应的业绩为准。评标委员会对业绩的评审以投标截止时间在平台内业绩上传件为依据。</w:t>
      </w:r>
    </w:p>
    <w:p w14:paraId="5673D33F">
      <w:pPr>
        <w:widowControl/>
        <w:wordWrap w:val="0"/>
        <w:ind w:firstLine="422"/>
        <w:rPr>
          <w:rFonts w:hint="eastAsia" w:ascii="宋体" w:hAnsi="宋体" w:eastAsia="宋体" w:cs="宋体"/>
          <w:color w:val="auto"/>
          <w:szCs w:val="21"/>
          <w:highlight w:val="none"/>
          <w:shd w:val="clear" w:color="auto" w:fill="FFFFFF"/>
          <w:lang w:val="zh-TW"/>
        </w:rPr>
      </w:pPr>
      <w:r>
        <w:rPr>
          <w:rFonts w:hint="eastAsia" w:ascii="宋体" w:hAnsi="宋体" w:eastAsia="宋体" w:cs="宋体"/>
          <w:color w:val="auto"/>
          <w:szCs w:val="21"/>
          <w:highlight w:val="none"/>
          <w:shd w:val="clear" w:color="auto" w:fill="FFFFFF"/>
          <w:lang w:val="zh-TW"/>
        </w:rPr>
        <w:t>（2）建设面积以合同描述为准（不含补充合同），合同上没有体现建筑面积的，以业主盖章确认的文件为准。</w:t>
      </w:r>
    </w:p>
    <w:p w14:paraId="19AF4F28">
      <w:pPr>
        <w:widowControl/>
        <w:wordWrap w:val="0"/>
        <w:ind w:firstLine="422"/>
        <w:rPr>
          <w:rFonts w:hint="eastAsia" w:ascii="宋体" w:hAnsi="宋体" w:eastAsia="宋体" w:cs="宋体"/>
          <w:color w:val="auto"/>
          <w:szCs w:val="21"/>
          <w:highlight w:val="none"/>
          <w:shd w:val="clear" w:color="auto" w:fill="FFFFFF"/>
          <w:lang w:val="zh-TW"/>
        </w:rPr>
      </w:pPr>
      <w:r>
        <w:rPr>
          <w:rFonts w:hint="eastAsia" w:ascii="宋体" w:hAnsi="宋体" w:eastAsia="宋体" w:cs="宋体"/>
          <w:color w:val="auto"/>
          <w:szCs w:val="21"/>
          <w:highlight w:val="none"/>
          <w:shd w:val="clear" w:color="auto" w:fill="FFFFFF"/>
          <w:lang w:val="zh-TW"/>
        </w:rPr>
        <w:t>（3）完成时间以竣工验收报告为准。验收文件应当具有建设单位、设计、施工和监理单位盖章。</w:t>
      </w:r>
    </w:p>
    <w:p w14:paraId="16929BC9">
      <w:pPr>
        <w:widowControl/>
        <w:wordWrap w:val="0"/>
        <w:ind w:firstLine="422"/>
        <w:rPr>
          <w:rFonts w:hint="eastAsia" w:ascii="宋体" w:hAnsi="宋体" w:eastAsia="宋体" w:cs="宋体"/>
          <w:color w:val="auto"/>
          <w:szCs w:val="21"/>
          <w:highlight w:val="none"/>
          <w:shd w:val="clear" w:color="auto" w:fill="FFFFFF"/>
          <w:lang w:val="zh-TW"/>
        </w:rPr>
      </w:pPr>
      <w:r>
        <w:rPr>
          <w:rFonts w:hint="eastAsia" w:ascii="宋体" w:hAnsi="宋体" w:eastAsia="宋体" w:cs="宋体"/>
          <w:color w:val="auto"/>
          <w:szCs w:val="21"/>
          <w:highlight w:val="none"/>
          <w:shd w:val="clear" w:color="auto" w:fill="FFFFFF"/>
          <w:lang w:val="zh-TW"/>
        </w:rPr>
        <w:t>（4）库内业绩上传件不符合上述要求的或登记的工程内容与施工合同（或工程总承包合同）等业绩证明资料不相符的，该项业绩不予评审。</w:t>
      </w:r>
    </w:p>
    <w:p w14:paraId="0B4797CF">
      <w:pPr>
        <w:wordWrap w:val="0"/>
        <w:ind w:firstLine="360"/>
        <w:rPr>
          <w:rFonts w:hint="eastAsia" w:ascii="宋体" w:hAnsi="宋体" w:eastAsia="宋体" w:cs="宋体"/>
          <w:b/>
          <w:bCs/>
          <w:color w:val="auto"/>
          <w:szCs w:val="21"/>
          <w:highlight w:val="none"/>
          <w:shd w:val="clear" w:color="auto" w:fill="FFFFFF"/>
          <w:lang w:val="zh-TW"/>
        </w:rPr>
      </w:pPr>
      <w:r>
        <w:rPr>
          <w:rFonts w:hint="eastAsia" w:ascii="宋体" w:hAnsi="宋体" w:eastAsia="宋体" w:cs="宋体"/>
          <w:b/>
          <w:bCs/>
          <w:color w:val="auto"/>
          <w:szCs w:val="21"/>
          <w:highlight w:val="none"/>
          <w:shd w:val="clear" w:color="auto" w:fill="FFFFFF"/>
          <w:lang w:val="zh-TW"/>
        </w:rPr>
        <w:t>2、工程获奖：</w:t>
      </w:r>
    </w:p>
    <w:p w14:paraId="775C914D">
      <w:pPr>
        <w:wordWrap w:val="0"/>
        <w:ind w:firstLine="360"/>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只评质量奖项。</w:t>
      </w:r>
    </w:p>
    <w:p w14:paraId="21059B13">
      <w:pPr>
        <w:wordWrap w:val="0"/>
        <w:ind w:firstLine="360"/>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①工程获奖可取自广州市住建行业信用管理平台或提供获奖证书。a.国家级奖项包括中国建设工程鲁班奖、国家优质工程金奖、国家优质工程奖、中国土木工程詹天佑奖；省（含自治区、直辖市）或市级奖项包括：由省（含自治区、直辖市）、市级建设行政主管部门或行业协会（行业协会须在民政管理部门登记备案）颁发的质量类工程奖项，其它如装修类、幕墙类、安全文明、绿色施工、技术创新、QC成果、钢结构、机电安装、科技进步及技术应用类奖项不参与计分；b.只计算建筑工程类获得的质量奖项，其他非建筑工程类，如：路桥、铁路、水利、电力、化工、冶金、市政等获奖不参与计分。同一项目获得多个奖项的，该项目获奖只按其中一个奖项所在最高级别计算一次分数，不得重复计算。</w:t>
      </w:r>
    </w:p>
    <w:p w14:paraId="6427F002">
      <w:pPr>
        <w:wordWrap w:val="0"/>
        <w:ind w:firstLine="360"/>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②如取信用自平台的：投标人须提供广州市住建行业信用管理平台的网页信息截图（网页信息截图须能清晰显示带有“住建行业信用管理平台”名称，并至少包含“项目基本信息”、“奖项信息”等信息），时间以获奖证书颁发时间为准，并加盖投标人电子印章。</w:t>
      </w:r>
    </w:p>
    <w:p w14:paraId="2268CC9F">
      <w:pPr>
        <w:wordWrap w:val="0"/>
        <w:ind w:firstLine="360"/>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③如提供获奖证书的：投标人须提供获奖证书扫描件，时间以获奖证书颁发时间为准，并加盖投标人电子印章。</w:t>
      </w:r>
    </w:p>
    <w:p w14:paraId="60F99A3A">
      <w:pPr>
        <w:wordWrap w:val="0"/>
        <w:ind w:firstLine="360"/>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④投标人须为该获奖项目的施工总承包单位，须提供相关证明材料（如施工合同或竣工验收文件等）体现其为施工总承包单位身份，否则不予计分</w:t>
      </w:r>
    </w:p>
    <w:p w14:paraId="0916D248">
      <w:pPr>
        <w:wordWrap w:val="0"/>
        <w:ind w:firstLine="360"/>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⑤若奖项颁发机构非政府相关部门，还需提供该组织在</w:t>
      </w:r>
      <w:bookmarkStart w:id="34" w:name="_Hlk193047656"/>
      <w:r>
        <w:rPr>
          <w:rFonts w:hint="eastAsia" w:ascii="宋体" w:hAnsi="宋体" w:eastAsia="宋体" w:cs="宋体"/>
          <w:color w:val="000000"/>
          <w:kern w:val="0"/>
          <w:szCs w:val="21"/>
          <w:highlight w:val="none"/>
        </w:rPr>
        <w:t>“中国社会组织政务服务平台（全国社会组织信用信息公示平台）”网站（https://xxgs.chinanpo.mca.gov.cn/gsxt/newList）（注：平台名称及网址若有更新，以最新发布的为准。）</w:t>
      </w:r>
      <w:bookmarkEnd w:id="34"/>
      <w:r>
        <w:rPr>
          <w:rFonts w:hint="eastAsia" w:ascii="宋体" w:hAnsi="宋体" w:eastAsia="宋体" w:cs="宋体"/>
          <w:color w:val="000000"/>
          <w:kern w:val="0"/>
          <w:szCs w:val="21"/>
          <w:highlight w:val="none"/>
        </w:rPr>
        <w:t>“社会组织”栏查询结果网页截图（需显示网址），同时须提供其查询结果必须为“正常”，证明其有登记备案。</w:t>
      </w:r>
    </w:p>
    <w:p w14:paraId="465867A5">
      <w:pPr>
        <w:wordWrap w:val="0"/>
        <w:ind w:firstLine="360"/>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⑥不符合上述要求的或未按要求提供上述资料的奖项不计分。</w:t>
      </w:r>
    </w:p>
    <w:p w14:paraId="7C30B29A">
      <w:pPr>
        <w:spacing w:line="360" w:lineRule="auto"/>
        <w:ind w:firstLine="422" w:firstLineChars="200"/>
        <w:rPr>
          <w:rFonts w:hint="eastAsia" w:ascii="宋体" w:hAnsi="宋体" w:eastAsia="宋体" w:cs="宋体"/>
          <w:b/>
          <w:bCs/>
          <w:color w:val="auto"/>
          <w:szCs w:val="21"/>
          <w:highlight w:val="none"/>
          <w:shd w:val="clear" w:color="auto" w:fill="FFFFFF"/>
        </w:rPr>
      </w:pPr>
      <w:r>
        <w:rPr>
          <w:rFonts w:hint="eastAsia" w:ascii="宋体" w:hAnsi="宋体" w:eastAsia="宋体" w:cs="宋体"/>
          <w:b/>
          <w:bCs/>
          <w:color w:val="auto"/>
          <w:szCs w:val="21"/>
          <w:highlight w:val="none"/>
          <w:shd w:val="clear" w:color="auto" w:fill="FFFFFF"/>
          <w:lang w:val="en-US" w:eastAsia="zh-CN"/>
        </w:rPr>
        <w:t>3、企业工程研发能力：</w:t>
      </w:r>
      <w:r>
        <w:rPr>
          <w:rFonts w:hint="eastAsia" w:ascii="宋体" w:hAnsi="宋体" w:eastAsia="宋体" w:cs="宋体"/>
          <w:color w:val="000000"/>
          <w:kern w:val="0"/>
          <w:szCs w:val="21"/>
          <w:highlight w:val="none"/>
        </w:rPr>
        <w:t>工程建设(指房建工程领域)科技类技术奖指科学技术奖、自然科学奖、科学技术进步奖、国际科学技术合作奖、突出贡献奖、技术发明奖、科技进步奖、科技合作奖、青年科技创新奖、科技成果推广奖等。需提供省级（或以上）人民政府或建设行政主管部门或协会或学会颁发的为准，市级证书需提供市级人民政府或建设行政主管部门或协会或学会颁发的为准；获奖单位必须与投标单位名称一致，子、分公司获奖均不予计算。时间以证书颁发时间为准，不符合上述条件或无法提供证书扫描件的不予计分。如颁发单位为协会或学会的，还须提供该协会或学会在“全国社会组织信用信息公示平台”己登记备案的查询信息截图页（网址：https://xxgs.chinanpo.mca.gov.cn/gsxt/newList），不提交获奖扫描件及网址查询页截图的不得分。</w:t>
      </w:r>
    </w:p>
    <w:p w14:paraId="68CC016B">
      <w:pPr>
        <w:widowControl/>
        <w:tabs>
          <w:tab w:val="center" w:pos="4153"/>
          <w:tab w:val="right" w:pos="8306"/>
        </w:tabs>
        <w:wordWrap w:val="0"/>
        <w:ind w:firstLine="422" w:firstLineChars="200"/>
        <w:jc w:val="left"/>
        <w:rPr>
          <w:rFonts w:hint="eastAsia" w:ascii="宋体" w:hAnsi="宋体" w:eastAsia="宋体" w:cs="宋体"/>
          <w:b/>
          <w:bCs/>
          <w:color w:val="auto"/>
          <w:szCs w:val="21"/>
          <w:highlight w:val="none"/>
          <w:shd w:val="clear" w:color="auto" w:fill="FFFFFF"/>
          <w:lang w:val="zh-TW"/>
        </w:rPr>
      </w:pPr>
      <w:r>
        <w:rPr>
          <w:rFonts w:hint="eastAsia" w:ascii="宋体" w:hAnsi="宋体" w:eastAsia="宋体" w:cs="宋体"/>
          <w:b/>
          <w:bCs/>
          <w:color w:val="auto"/>
          <w:szCs w:val="21"/>
          <w:highlight w:val="none"/>
          <w:shd w:val="clear" w:color="auto" w:fill="FFFFFF"/>
          <w:lang w:val="en-US" w:eastAsia="zh-CN"/>
        </w:rPr>
        <w:t>4</w:t>
      </w:r>
      <w:r>
        <w:rPr>
          <w:rFonts w:hint="eastAsia" w:ascii="宋体" w:hAnsi="宋体" w:eastAsia="宋体" w:cs="宋体"/>
          <w:b/>
          <w:bCs/>
          <w:color w:val="auto"/>
          <w:szCs w:val="21"/>
          <w:highlight w:val="none"/>
          <w:shd w:val="clear" w:color="auto" w:fill="FFFFFF"/>
        </w:rPr>
        <w:t>、</w:t>
      </w:r>
      <w:r>
        <w:rPr>
          <w:rFonts w:hint="eastAsia" w:ascii="宋体" w:hAnsi="宋体" w:eastAsia="宋体" w:cs="宋体"/>
          <w:b/>
          <w:bCs/>
          <w:color w:val="auto"/>
          <w:szCs w:val="21"/>
          <w:highlight w:val="none"/>
          <w:shd w:val="clear" w:color="auto" w:fill="FFFFFF"/>
          <w:lang w:val="zh-TW"/>
        </w:rPr>
        <w:t>第三方评价：</w:t>
      </w:r>
    </w:p>
    <w:p w14:paraId="7C389B77">
      <w:pPr>
        <w:pStyle w:val="42"/>
        <w:wordWrap w:val="0"/>
        <w:ind w:firstLine="420" w:firstLineChars="200"/>
        <w:rPr>
          <w:rFonts w:ascii="宋体" w:hAnsi="宋体" w:eastAsia="宋体"/>
          <w:color w:val="000000"/>
          <w:sz w:val="21"/>
          <w:szCs w:val="21"/>
          <w:highlight w:val="none"/>
        </w:rPr>
      </w:pPr>
      <w:r>
        <w:rPr>
          <w:rFonts w:hint="eastAsia" w:ascii="宋体" w:hAnsi="宋体" w:eastAsia="宋体"/>
          <w:color w:val="000000"/>
          <w:sz w:val="21"/>
          <w:szCs w:val="21"/>
          <w:highlight w:val="none"/>
        </w:rPr>
        <w:t>“纳税信用A级纳税人”须提供国家税务总局官网（http://www.chinatax.gov.cn/）“纳税信用A级纳税人名单公布栏”查询结果网页截图或其省级（含自治区、直辖市）税务局官网“纳税信用A级纳税人名单公布栏”查询结果网页截图。时间以国家税务总局或其省级（含自治区、直辖市）税务局网站纳税信用信息查询结果的网页截图公布的评价年度为准。“B级纳税人”和“M级纳税人”须提供证书扫描件或须提供在电子税务局系统上查询的年度纳税信用证明信息扫描件。时间以证书或网页截图公布的评价年度为准。若投标人满足多个档次的，按最高档计分一次，不累计。上述资料显示的纳税人全称须与投标人名称一致，否则不得分。不满足上述要求或无提交上述资料不得分。</w:t>
      </w:r>
    </w:p>
    <w:p w14:paraId="04BD41DF">
      <w:pPr>
        <w:widowControl/>
        <w:tabs>
          <w:tab w:val="center" w:pos="4153"/>
          <w:tab w:val="right" w:pos="8306"/>
        </w:tabs>
        <w:wordWrap w:val="0"/>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shd w:val="clear" w:color="auto" w:fill="FFFFFF"/>
          <w:lang w:val="en-US" w:eastAsia="zh-CN"/>
        </w:rPr>
        <w:t>5</w:t>
      </w:r>
      <w:r>
        <w:rPr>
          <w:rFonts w:hint="eastAsia" w:ascii="宋体" w:hAnsi="宋体" w:eastAsia="宋体" w:cs="宋体"/>
          <w:b/>
          <w:bCs/>
          <w:color w:val="auto"/>
          <w:szCs w:val="21"/>
          <w:highlight w:val="none"/>
          <w:shd w:val="clear" w:color="auto" w:fill="FFFFFF"/>
        </w:rPr>
        <w:t>、</w:t>
      </w:r>
      <w:r>
        <w:rPr>
          <w:rFonts w:hint="eastAsia" w:ascii="宋体" w:hAnsi="宋体" w:eastAsia="宋体" w:cs="宋体"/>
          <w:b/>
          <w:bCs/>
          <w:color w:val="auto"/>
          <w:szCs w:val="21"/>
          <w:highlight w:val="none"/>
        </w:rPr>
        <w:t>所有证明文件均需加盖投标单位电子印章，不符合上述条件的或证书不在有效期内的或上述资料相关信息不一致的或提供的资料不齐全的或未加盖投标单位电子印章的不予计分。</w:t>
      </w:r>
    </w:p>
    <w:p w14:paraId="56B43DE8">
      <w:pPr>
        <w:pStyle w:val="2"/>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rPr>
        <w:t>、投标人提供的扫描件及网页信息打印页内容必须清晰可辨，并加盖公章</w:t>
      </w:r>
      <w:r>
        <w:rPr>
          <w:rFonts w:hint="eastAsia" w:ascii="宋体" w:hAnsi="宋体" w:eastAsia="宋体" w:cs="宋体"/>
          <w:color w:val="auto"/>
          <w:highlight w:val="none"/>
          <w:lang w:val="en-US" w:eastAsia="zh-CN"/>
        </w:rPr>
        <w:t>或电子签章</w:t>
      </w:r>
      <w:r>
        <w:rPr>
          <w:rFonts w:hint="eastAsia" w:ascii="宋体" w:hAnsi="宋体" w:eastAsia="宋体" w:cs="宋体"/>
          <w:color w:val="auto"/>
          <w:highlight w:val="none"/>
        </w:rPr>
        <w:t>，如因扫描件或网页信息打印页内容模糊导致评标时无法判断的，后果由投标人自负。上述证明资料不提供或提供不完整或提供不符合要求的不得分。</w:t>
      </w:r>
    </w:p>
    <w:p w14:paraId="7ED6E4EE">
      <w:pPr>
        <w:pStyle w:val="2"/>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7</w:t>
      </w:r>
      <w:r>
        <w:rPr>
          <w:rFonts w:hint="eastAsia" w:ascii="宋体" w:hAnsi="宋体" w:eastAsia="宋体" w:cs="宋体"/>
          <w:color w:val="auto"/>
          <w:highlight w:val="none"/>
        </w:rPr>
        <w:t>、所有评委分数汇总后的算术平均值为投标人的最终得分。分数出现小数点，保留小数点后二位小数，第三位小数四舍五入。投标人满足多个档次的，按最高档得分。</w:t>
      </w:r>
    </w:p>
    <w:p w14:paraId="4F27CC2E">
      <w:pPr>
        <w:pStyle w:val="2"/>
        <w:rPr>
          <w:rFonts w:hint="eastAsia"/>
          <w:highlight w:val="none"/>
        </w:rPr>
      </w:pPr>
      <w:r>
        <w:rPr>
          <w:rFonts w:hint="eastAsia" w:ascii="宋体" w:hAnsi="宋体" w:eastAsia="宋体" w:cs="宋体"/>
          <w:color w:val="auto"/>
          <w:highlight w:val="none"/>
          <w:lang w:val="en-US" w:eastAsia="zh-CN"/>
        </w:rPr>
        <w:t>8</w:t>
      </w:r>
      <w:r>
        <w:rPr>
          <w:rFonts w:hint="eastAsia" w:ascii="宋体" w:hAnsi="宋体" w:eastAsia="宋体" w:cs="宋体"/>
          <w:color w:val="auto"/>
          <w:highlight w:val="none"/>
        </w:rPr>
        <w:t>、上表中的人员还需提供自2025年</w:t>
      </w:r>
      <w:r>
        <w:rPr>
          <w:rFonts w:hint="eastAsia" w:ascii="宋体" w:hAnsi="宋体" w:eastAsia="宋体" w:cs="宋体"/>
          <w:color w:val="auto"/>
          <w:highlight w:val="none"/>
          <w:lang w:val="en-US" w:eastAsia="zh-CN"/>
        </w:rPr>
        <w:t>1</w:t>
      </w:r>
      <w:r>
        <w:rPr>
          <w:rFonts w:hint="eastAsia" w:ascii="宋体" w:hAnsi="宋体" w:cs="宋体"/>
          <w:color w:val="auto"/>
          <w:highlight w:val="none"/>
          <w:lang w:val="en-US" w:eastAsia="zh-CN"/>
        </w:rPr>
        <w:t>0</w:t>
      </w:r>
      <w:r>
        <w:rPr>
          <w:rFonts w:hint="eastAsia" w:ascii="宋体" w:hAnsi="宋体" w:eastAsia="宋体" w:cs="宋体"/>
          <w:color w:val="auto"/>
          <w:highlight w:val="none"/>
        </w:rPr>
        <w:t>月份</w:t>
      </w:r>
      <w:r>
        <w:rPr>
          <w:rFonts w:hint="eastAsia" w:ascii="宋体" w:hAnsi="宋体" w:eastAsia="宋体" w:cs="宋体"/>
          <w:color w:val="auto"/>
          <w:highlight w:val="none"/>
          <w:lang w:val="en-US" w:eastAsia="zh-CN"/>
        </w:rPr>
        <w:t>或1</w:t>
      </w:r>
      <w:r>
        <w:rPr>
          <w:rFonts w:hint="eastAsia" w:ascii="宋体" w:hAnsi="宋体" w:cs="宋体"/>
          <w:color w:val="auto"/>
          <w:highlight w:val="none"/>
          <w:lang w:val="en-US" w:eastAsia="zh-CN"/>
        </w:rPr>
        <w:t>1</w:t>
      </w:r>
      <w:r>
        <w:rPr>
          <w:rFonts w:hint="eastAsia" w:ascii="宋体" w:hAnsi="宋体" w:eastAsia="宋体" w:cs="宋体"/>
          <w:color w:val="auto"/>
          <w:highlight w:val="none"/>
          <w:lang w:val="en-US" w:eastAsia="zh-CN"/>
        </w:rPr>
        <w:t>月份</w:t>
      </w:r>
      <w:r>
        <w:rPr>
          <w:rFonts w:hint="eastAsia" w:ascii="宋体" w:hAnsi="宋体" w:eastAsia="宋体" w:cs="宋体"/>
          <w:color w:val="auto"/>
          <w:highlight w:val="none"/>
        </w:rPr>
        <w:t>在本单位（不含投标人的子公司，含分公司或分支机构）购买社保的缴费记录；因改制或重组的企业或事业单位人员社保由上级主管部门缴纳的，除提供上级主管部门缴纳社保证明扫描件外，需由上级主管部门出具证明说明。否则不予计分。</w:t>
      </w:r>
    </w:p>
    <w:p w14:paraId="1AA55CCA">
      <w:pPr>
        <w:pStyle w:val="2"/>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9</w:t>
      </w:r>
      <w:r>
        <w:rPr>
          <w:rFonts w:hint="eastAsia" w:ascii="宋体" w:hAnsi="宋体" w:eastAsia="宋体" w:cs="宋体"/>
          <w:color w:val="auto"/>
          <w:highlight w:val="none"/>
        </w:rPr>
        <w:t>、表中“[ ]”代表闭区间，如[1，0]代表该分数段范围为大于等于0且小于等于1。表中“（  ）”代表开区间，如（2，1）代表该分数段范围为大于1且小于2。</w:t>
      </w:r>
    </w:p>
    <w:p w14:paraId="4D9F1097">
      <w:pPr>
        <w:widowControl/>
        <w:tabs>
          <w:tab w:val="center" w:pos="4153"/>
          <w:tab w:val="right" w:pos="8306"/>
        </w:tabs>
        <w:wordWrap w:val="0"/>
        <w:ind w:firstLine="420" w:firstLineChars="200"/>
        <w:jc w:val="left"/>
        <w:rPr>
          <w:rFonts w:hint="eastAsia" w:ascii="宋体" w:hAnsi="宋体" w:eastAsia="宋体" w:cs="宋体"/>
          <w:color w:val="auto"/>
          <w:szCs w:val="21"/>
          <w:highlight w:val="none"/>
          <w:shd w:val="clear" w:color="auto" w:fill="FFFFFF"/>
          <w:lang w:val="zh-TW"/>
        </w:rPr>
      </w:pPr>
    </w:p>
    <w:p w14:paraId="7C19F61F">
      <w:pPr>
        <w:widowControl/>
        <w:tabs>
          <w:tab w:val="center" w:pos="4153"/>
          <w:tab w:val="right" w:pos="8306"/>
        </w:tabs>
        <w:wordWrap w:val="0"/>
        <w:ind w:firstLine="420" w:firstLineChars="200"/>
        <w:jc w:val="left"/>
        <w:rPr>
          <w:rFonts w:hint="default" w:eastAsia="等线"/>
          <w:highlight w:val="none"/>
          <w:lang w:val="en-US" w:eastAsia="zh-CN"/>
        </w:rPr>
      </w:pPr>
      <w:r>
        <w:rPr>
          <w:rFonts w:hint="eastAsia" w:ascii="宋体" w:hAnsi="宋体" w:eastAsia="宋体" w:cs="宋体"/>
          <w:color w:val="auto"/>
          <w:szCs w:val="21"/>
          <w:highlight w:val="none"/>
          <w:shd w:val="clear" w:color="auto" w:fill="FFFFFF"/>
          <w:lang w:val="zh-TW"/>
        </w:rPr>
        <w:t>评委签名：                              日期</w:t>
      </w:r>
      <w:r>
        <w:rPr>
          <w:rFonts w:hint="eastAsia" w:ascii="宋体" w:hAnsi="宋体" w:eastAsia="宋体" w:cs="宋体"/>
          <w:color w:val="auto"/>
          <w:szCs w:val="21"/>
          <w:highlight w:val="none"/>
          <w:shd w:val="clear" w:color="auto" w:fill="FFFFFF"/>
          <w:lang w:val="en-US" w:eastAsia="zh-CN"/>
        </w:rPr>
        <w:t>;</w:t>
      </w:r>
    </w:p>
    <w:p w14:paraId="17F3E086">
      <w:pPr>
        <w:keepNext w:val="0"/>
        <w:keepLines w:val="0"/>
        <w:pageBreakBefore w:val="0"/>
        <w:widowControl w:val="0"/>
        <w:tabs>
          <w:tab w:val="right" w:leader="dot" w:pos="9060"/>
        </w:tabs>
        <w:kinsoku/>
        <w:wordWrap/>
        <w:overflowPunct/>
        <w:topLinePunct w:val="0"/>
        <w:autoSpaceDE/>
        <w:autoSpaceDN/>
        <w:bidi w:val="0"/>
        <w:adjustRightInd/>
        <w:snapToGrid/>
        <w:spacing w:line="240" w:lineRule="auto"/>
        <w:ind w:firstLine="420"/>
        <w:jc w:val="left"/>
        <w:textAlignment w:val="auto"/>
        <w:rPr>
          <w:b/>
          <w:color w:val="auto"/>
          <w:highlight w:val="none"/>
        </w:rPr>
        <w:sectPr>
          <w:headerReference r:id="rId11" w:type="default"/>
          <w:footerReference r:id="rId12" w:type="default"/>
          <w:pgSz w:w="16838" w:h="11906" w:orient="landscape"/>
          <w:pgMar w:top="1083" w:right="1440" w:bottom="1083" w:left="1440" w:header="850" w:footer="992" w:gutter="0"/>
          <w:cols w:space="0" w:num="1"/>
          <w:docGrid w:type="lines" w:linePitch="324" w:charSpace="0"/>
        </w:sectPr>
      </w:pPr>
    </w:p>
    <w:p w14:paraId="1AA4F0F5">
      <w:pPr>
        <w:pStyle w:val="4"/>
        <w:tabs>
          <w:tab w:val="right" w:leader="dot" w:pos="9060"/>
        </w:tabs>
        <w:spacing w:line="360" w:lineRule="auto"/>
        <w:jc w:val="left"/>
        <w:rPr>
          <w:rFonts w:hint="eastAsia"/>
          <w:color w:val="auto"/>
          <w:highlight w:val="none"/>
        </w:rPr>
      </w:pPr>
      <w:r>
        <w:rPr>
          <w:rFonts w:hint="eastAsia"/>
          <w:color w:val="auto"/>
          <w:highlight w:val="none"/>
        </w:rPr>
        <w:t>附表五</w:t>
      </w:r>
      <w:bookmarkEnd w:id="27"/>
      <w:bookmarkEnd w:id="28"/>
      <w:bookmarkEnd w:id="29"/>
      <w:bookmarkEnd w:id="30"/>
      <w:bookmarkEnd w:id="31"/>
      <w:bookmarkEnd w:id="32"/>
      <w:bookmarkEnd w:id="33"/>
    </w:p>
    <w:p w14:paraId="44BCB4A1">
      <w:pPr>
        <w:jc w:val="center"/>
        <w:rPr>
          <w:rFonts w:hint="eastAsia" w:ascii="宋体" w:hAnsi="宋体" w:cs="宋体"/>
          <w:b/>
          <w:color w:val="auto"/>
          <w:sz w:val="36"/>
          <w:szCs w:val="36"/>
          <w:highlight w:val="none"/>
        </w:rPr>
      </w:pPr>
      <w:bookmarkStart w:id="35" w:name="_Toc8824"/>
      <w:bookmarkStart w:id="36" w:name="_Toc4523"/>
      <w:bookmarkStart w:id="37" w:name="_Toc2589"/>
      <w:bookmarkStart w:id="38" w:name="_Toc10172"/>
      <w:bookmarkStart w:id="39" w:name="_Toc7490"/>
      <w:r>
        <w:rPr>
          <w:rFonts w:hint="eastAsia" w:ascii="宋体" w:hAnsi="宋体" w:cs="宋体"/>
          <w:b/>
          <w:color w:val="auto"/>
          <w:sz w:val="36"/>
          <w:szCs w:val="36"/>
          <w:highlight w:val="none"/>
        </w:rPr>
        <w:t>经济标评分表</w:t>
      </w:r>
    </w:p>
    <w:p w14:paraId="166A6539">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工程名称：</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6"/>
        <w:gridCol w:w="1037"/>
        <w:gridCol w:w="1051"/>
        <w:gridCol w:w="1050"/>
        <w:gridCol w:w="1050"/>
        <w:gridCol w:w="1050"/>
        <w:gridCol w:w="1050"/>
        <w:gridCol w:w="1050"/>
        <w:gridCol w:w="1050"/>
        <w:gridCol w:w="1050"/>
        <w:gridCol w:w="1050"/>
        <w:gridCol w:w="1050"/>
        <w:gridCol w:w="1049"/>
      </w:tblGrid>
      <w:tr w14:paraId="40C27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2086" w:type="dxa"/>
            <w:tcBorders>
              <w:top w:val="single" w:color="auto" w:sz="4" w:space="0"/>
              <w:left w:val="single" w:color="auto" w:sz="4" w:space="0"/>
              <w:bottom w:val="single" w:color="auto" w:sz="4" w:space="0"/>
              <w:right w:val="single" w:color="auto" w:sz="4" w:space="0"/>
            </w:tcBorders>
            <w:vAlign w:val="center"/>
          </w:tcPr>
          <w:p w14:paraId="0ABA024B">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投标人名称</w:t>
            </w:r>
          </w:p>
        </w:tc>
        <w:tc>
          <w:tcPr>
            <w:tcW w:w="1037" w:type="dxa"/>
            <w:tcBorders>
              <w:top w:val="single" w:color="auto" w:sz="4" w:space="0"/>
              <w:left w:val="single" w:color="auto" w:sz="4" w:space="0"/>
              <w:bottom w:val="single" w:color="auto" w:sz="4" w:space="0"/>
              <w:right w:val="single" w:color="auto" w:sz="4" w:space="0"/>
            </w:tcBorders>
            <w:vAlign w:val="center"/>
          </w:tcPr>
          <w:p w14:paraId="1CF6AEC5">
            <w:pPr>
              <w:spacing w:line="360" w:lineRule="auto"/>
              <w:rPr>
                <w:rFonts w:hint="eastAsia" w:ascii="宋体" w:hAnsi="宋体" w:cs="宋体"/>
                <w:color w:val="auto"/>
                <w:szCs w:val="21"/>
                <w:highlight w:val="none"/>
              </w:rPr>
            </w:pPr>
          </w:p>
        </w:tc>
        <w:tc>
          <w:tcPr>
            <w:tcW w:w="1051" w:type="dxa"/>
            <w:tcBorders>
              <w:top w:val="single" w:color="auto" w:sz="4" w:space="0"/>
              <w:left w:val="single" w:color="auto" w:sz="4" w:space="0"/>
              <w:bottom w:val="single" w:color="auto" w:sz="4" w:space="0"/>
              <w:right w:val="single" w:color="auto" w:sz="4" w:space="0"/>
            </w:tcBorders>
            <w:vAlign w:val="center"/>
          </w:tcPr>
          <w:p w14:paraId="3E9B85E5">
            <w:pPr>
              <w:spacing w:line="360" w:lineRule="auto"/>
              <w:rPr>
                <w:rFonts w:hint="eastAsia" w:ascii="宋体" w:hAnsi="宋体" w:cs="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14:paraId="6F6C8339">
            <w:pPr>
              <w:spacing w:line="360" w:lineRule="auto"/>
              <w:rPr>
                <w:rFonts w:hint="eastAsia" w:ascii="宋体" w:hAnsi="宋体" w:cs="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14:paraId="30F3042A">
            <w:pPr>
              <w:spacing w:line="360" w:lineRule="auto"/>
              <w:rPr>
                <w:rFonts w:hint="eastAsia" w:ascii="宋体" w:hAnsi="宋体" w:cs="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14:paraId="75F38CCE">
            <w:pPr>
              <w:spacing w:line="360" w:lineRule="auto"/>
              <w:rPr>
                <w:rFonts w:hint="eastAsia" w:ascii="宋体" w:hAnsi="宋体" w:cs="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14:paraId="1B6DBAF7">
            <w:pPr>
              <w:spacing w:line="360" w:lineRule="auto"/>
              <w:rPr>
                <w:rFonts w:hint="eastAsia" w:ascii="宋体" w:hAnsi="宋体" w:cs="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14:paraId="5BAA6095">
            <w:pPr>
              <w:spacing w:line="360" w:lineRule="auto"/>
              <w:rPr>
                <w:rFonts w:hint="eastAsia" w:ascii="宋体" w:hAnsi="宋体" w:cs="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14:paraId="32481F94">
            <w:pPr>
              <w:spacing w:line="360" w:lineRule="auto"/>
              <w:rPr>
                <w:rFonts w:hint="eastAsia" w:ascii="宋体" w:hAnsi="宋体" w:cs="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14:paraId="13F03661">
            <w:pPr>
              <w:spacing w:line="360" w:lineRule="auto"/>
              <w:rPr>
                <w:rFonts w:hint="eastAsia" w:ascii="宋体" w:hAnsi="宋体" w:cs="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14:paraId="0162D0E7">
            <w:pPr>
              <w:spacing w:line="360" w:lineRule="auto"/>
              <w:rPr>
                <w:rFonts w:hint="eastAsia" w:ascii="宋体" w:hAnsi="宋体" w:cs="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14:paraId="46F4E118">
            <w:pPr>
              <w:spacing w:line="360" w:lineRule="auto"/>
              <w:rPr>
                <w:rFonts w:hint="eastAsia" w:ascii="宋体" w:hAnsi="宋体" w:cs="宋体"/>
                <w:color w:val="auto"/>
                <w:szCs w:val="21"/>
                <w:highlight w:val="none"/>
              </w:rPr>
            </w:pPr>
          </w:p>
        </w:tc>
        <w:tc>
          <w:tcPr>
            <w:tcW w:w="1049" w:type="dxa"/>
            <w:tcBorders>
              <w:top w:val="single" w:color="auto" w:sz="4" w:space="0"/>
              <w:left w:val="single" w:color="auto" w:sz="4" w:space="0"/>
              <w:bottom w:val="single" w:color="auto" w:sz="4" w:space="0"/>
              <w:right w:val="single" w:color="auto" w:sz="4" w:space="0"/>
            </w:tcBorders>
            <w:vAlign w:val="center"/>
          </w:tcPr>
          <w:p w14:paraId="3B6C31E2">
            <w:pPr>
              <w:spacing w:line="360" w:lineRule="auto"/>
              <w:rPr>
                <w:rFonts w:hint="eastAsia" w:ascii="宋体" w:hAnsi="宋体" w:cs="宋体"/>
                <w:color w:val="auto"/>
                <w:szCs w:val="21"/>
                <w:highlight w:val="none"/>
              </w:rPr>
            </w:pPr>
          </w:p>
        </w:tc>
      </w:tr>
      <w:tr w14:paraId="2BE58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086" w:type="dxa"/>
            <w:tcBorders>
              <w:top w:val="single" w:color="auto" w:sz="4" w:space="0"/>
              <w:left w:val="single" w:color="auto" w:sz="4" w:space="0"/>
              <w:bottom w:val="single" w:color="auto" w:sz="4" w:space="0"/>
              <w:right w:val="single" w:color="auto" w:sz="4" w:space="0"/>
            </w:tcBorders>
            <w:vAlign w:val="center"/>
          </w:tcPr>
          <w:p w14:paraId="7FD215F9">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投标报价PT（元）</w:t>
            </w:r>
          </w:p>
        </w:tc>
        <w:tc>
          <w:tcPr>
            <w:tcW w:w="1037" w:type="dxa"/>
            <w:tcBorders>
              <w:top w:val="single" w:color="auto" w:sz="4" w:space="0"/>
              <w:left w:val="single" w:color="auto" w:sz="4" w:space="0"/>
              <w:bottom w:val="single" w:color="auto" w:sz="4" w:space="0"/>
              <w:right w:val="single" w:color="auto" w:sz="4" w:space="0"/>
            </w:tcBorders>
            <w:vAlign w:val="center"/>
          </w:tcPr>
          <w:p w14:paraId="39A1E0F3">
            <w:pPr>
              <w:spacing w:line="360" w:lineRule="auto"/>
              <w:rPr>
                <w:rFonts w:hint="eastAsia" w:ascii="宋体" w:hAnsi="宋体" w:cs="宋体"/>
                <w:color w:val="auto"/>
                <w:szCs w:val="21"/>
                <w:highlight w:val="none"/>
              </w:rPr>
            </w:pPr>
          </w:p>
        </w:tc>
        <w:tc>
          <w:tcPr>
            <w:tcW w:w="1051" w:type="dxa"/>
            <w:tcBorders>
              <w:top w:val="single" w:color="auto" w:sz="4" w:space="0"/>
              <w:left w:val="single" w:color="auto" w:sz="4" w:space="0"/>
              <w:bottom w:val="single" w:color="auto" w:sz="4" w:space="0"/>
              <w:right w:val="single" w:color="auto" w:sz="4" w:space="0"/>
            </w:tcBorders>
            <w:vAlign w:val="center"/>
          </w:tcPr>
          <w:p w14:paraId="123FAEE9">
            <w:pPr>
              <w:spacing w:line="360" w:lineRule="auto"/>
              <w:rPr>
                <w:rFonts w:hint="eastAsia" w:ascii="宋体" w:hAnsi="宋体" w:cs="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14:paraId="3025D1F3">
            <w:pPr>
              <w:spacing w:line="360" w:lineRule="auto"/>
              <w:rPr>
                <w:rFonts w:hint="eastAsia" w:ascii="宋体" w:hAnsi="宋体" w:cs="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14:paraId="35F41EAF">
            <w:pPr>
              <w:spacing w:line="360" w:lineRule="auto"/>
              <w:rPr>
                <w:rFonts w:hint="eastAsia" w:ascii="宋体" w:hAnsi="宋体" w:cs="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14:paraId="7149FD62">
            <w:pPr>
              <w:spacing w:line="360" w:lineRule="auto"/>
              <w:rPr>
                <w:rFonts w:hint="eastAsia" w:ascii="宋体" w:hAnsi="宋体" w:cs="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14:paraId="3E8A8253">
            <w:pPr>
              <w:spacing w:line="360" w:lineRule="auto"/>
              <w:rPr>
                <w:rFonts w:hint="eastAsia" w:ascii="宋体" w:hAnsi="宋体" w:cs="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14:paraId="62B68F61">
            <w:pPr>
              <w:spacing w:line="360" w:lineRule="auto"/>
              <w:rPr>
                <w:rFonts w:hint="eastAsia" w:ascii="宋体" w:hAnsi="宋体" w:cs="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14:paraId="10A7654A">
            <w:pPr>
              <w:spacing w:line="360" w:lineRule="auto"/>
              <w:rPr>
                <w:rFonts w:hint="eastAsia" w:ascii="宋体" w:hAnsi="宋体" w:cs="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14:paraId="00E594B0">
            <w:pPr>
              <w:spacing w:line="360" w:lineRule="auto"/>
              <w:rPr>
                <w:rFonts w:hint="eastAsia" w:ascii="宋体" w:hAnsi="宋体" w:cs="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14:paraId="0285DE63">
            <w:pPr>
              <w:spacing w:line="360" w:lineRule="auto"/>
              <w:rPr>
                <w:rFonts w:hint="eastAsia" w:ascii="宋体" w:hAnsi="宋体" w:cs="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14:paraId="64B12327">
            <w:pPr>
              <w:spacing w:line="360" w:lineRule="auto"/>
              <w:rPr>
                <w:rFonts w:hint="eastAsia" w:ascii="宋体" w:hAnsi="宋体" w:cs="宋体"/>
                <w:color w:val="auto"/>
                <w:szCs w:val="21"/>
                <w:highlight w:val="none"/>
              </w:rPr>
            </w:pPr>
          </w:p>
        </w:tc>
        <w:tc>
          <w:tcPr>
            <w:tcW w:w="1049" w:type="dxa"/>
            <w:tcBorders>
              <w:top w:val="single" w:color="auto" w:sz="4" w:space="0"/>
              <w:left w:val="single" w:color="auto" w:sz="4" w:space="0"/>
              <w:bottom w:val="single" w:color="auto" w:sz="4" w:space="0"/>
              <w:right w:val="single" w:color="auto" w:sz="4" w:space="0"/>
            </w:tcBorders>
            <w:vAlign w:val="center"/>
          </w:tcPr>
          <w:p w14:paraId="7A9E746E">
            <w:pPr>
              <w:spacing w:line="360" w:lineRule="auto"/>
              <w:rPr>
                <w:rFonts w:hint="eastAsia" w:ascii="宋体" w:hAnsi="宋体" w:cs="宋体"/>
                <w:color w:val="auto"/>
                <w:szCs w:val="21"/>
                <w:highlight w:val="none"/>
              </w:rPr>
            </w:pPr>
          </w:p>
        </w:tc>
      </w:tr>
      <w:tr w14:paraId="4B863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086" w:type="dxa"/>
            <w:tcBorders>
              <w:top w:val="single" w:color="auto" w:sz="4" w:space="0"/>
              <w:left w:val="single" w:color="auto" w:sz="4" w:space="0"/>
              <w:bottom w:val="single" w:color="auto" w:sz="4" w:space="0"/>
              <w:right w:val="single" w:color="auto" w:sz="4" w:space="0"/>
            </w:tcBorders>
            <w:vAlign w:val="center"/>
          </w:tcPr>
          <w:p w14:paraId="1FBA8590">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[成本警戒价，招标控制价×95%]区间的投标报价数量G</w:t>
            </w:r>
          </w:p>
        </w:tc>
        <w:tc>
          <w:tcPr>
            <w:tcW w:w="1037" w:type="dxa"/>
            <w:tcBorders>
              <w:top w:val="single" w:color="auto" w:sz="4" w:space="0"/>
              <w:left w:val="single" w:color="auto" w:sz="4" w:space="0"/>
              <w:bottom w:val="single" w:color="auto" w:sz="4" w:space="0"/>
              <w:right w:val="single" w:color="auto" w:sz="4" w:space="0"/>
            </w:tcBorders>
            <w:vAlign w:val="center"/>
          </w:tcPr>
          <w:p w14:paraId="51A297D0">
            <w:pPr>
              <w:spacing w:line="360" w:lineRule="auto"/>
              <w:rPr>
                <w:rFonts w:hint="eastAsia" w:ascii="宋体" w:hAnsi="宋体" w:cs="宋体"/>
                <w:color w:val="auto"/>
                <w:szCs w:val="21"/>
                <w:highlight w:val="none"/>
              </w:rPr>
            </w:pPr>
          </w:p>
        </w:tc>
        <w:tc>
          <w:tcPr>
            <w:tcW w:w="1051" w:type="dxa"/>
            <w:tcBorders>
              <w:top w:val="single" w:color="auto" w:sz="4" w:space="0"/>
              <w:left w:val="single" w:color="auto" w:sz="4" w:space="0"/>
              <w:bottom w:val="single" w:color="auto" w:sz="4" w:space="0"/>
              <w:right w:val="single" w:color="auto" w:sz="4" w:space="0"/>
            </w:tcBorders>
            <w:vAlign w:val="center"/>
          </w:tcPr>
          <w:p w14:paraId="65A6F0BC">
            <w:pPr>
              <w:spacing w:line="360" w:lineRule="auto"/>
              <w:rPr>
                <w:rFonts w:hint="eastAsia" w:ascii="宋体" w:hAnsi="宋体" w:cs="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14:paraId="506E44E5">
            <w:pPr>
              <w:spacing w:line="360" w:lineRule="auto"/>
              <w:rPr>
                <w:rFonts w:hint="eastAsia" w:ascii="宋体" w:hAnsi="宋体" w:cs="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14:paraId="3155F4E9">
            <w:pPr>
              <w:spacing w:line="360" w:lineRule="auto"/>
              <w:rPr>
                <w:rFonts w:hint="eastAsia" w:ascii="宋体" w:hAnsi="宋体" w:cs="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14:paraId="49A161D1">
            <w:pPr>
              <w:spacing w:line="360" w:lineRule="auto"/>
              <w:rPr>
                <w:rFonts w:hint="eastAsia" w:ascii="宋体" w:hAnsi="宋体" w:cs="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14:paraId="4F325A3A">
            <w:pPr>
              <w:spacing w:line="360" w:lineRule="auto"/>
              <w:rPr>
                <w:rFonts w:hint="eastAsia" w:ascii="宋体" w:hAnsi="宋体" w:cs="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14:paraId="59BC51F7">
            <w:pPr>
              <w:spacing w:line="360" w:lineRule="auto"/>
              <w:rPr>
                <w:rFonts w:hint="eastAsia" w:ascii="宋体" w:hAnsi="宋体" w:cs="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14:paraId="28A143FA">
            <w:pPr>
              <w:spacing w:line="360" w:lineRule="auto"/>
              <w:rPr>
                <w:rFonts w:hint="eastAsia" w:ascii="宋体" w:hAnsi="宋体" w:cs="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14:paraId="4DB9A017">
            <w:pPr>
              <w:spacing w:line="360" w:lineRule="auto"/>
              <w:rPr>
                <w:rFonts w:hint="eastAsia" w:ascii="宋体" w:hAnsi="宋体" w:cs="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14:paraId="653F7D20">
            <w:pPr>
              <w:spacing w:line="360" w:lineRule="auto"/>
              <w:rPr>
                <w:rFonts w:hint="eastAsia" w:ascii="宋体" w:hAnsi="宋体" w:cs="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14:paraId="4FB02E9C">
            <w:pPr>
              <w:spacing w:line="360" w:lineRule="auto"/>
              <w:rPr>
                <w:rFonts w:hint="eastAsia" w:ascii="宋体" w:hAnsi="宋体" w:cs="宋体"/>
                <w:color w:val="auto"/>
                <w:szCs w:val="21"/>
                <w:highlight w:val="none"/>
              </w:rPr>
            </w:pPr>
          </w:p>
        </w:tc>
        <w:tc>
          <w:tcPr>
            <w:tcW w:w="1049" w:type="dxa"/>
            <w:tcBorders>
              <w:top w:val="single" w:color="auto" w:sz="4" w:space="0"/>
              <w:left w:val="single" w:color="auto" w:sz="4" w:space="0"/>
              <w:bottom w:val="single" w:color="auto" w:sz="4" w:space="0"/>
              <w:right w:val="single" w:color="auto" w:sz="4" w:space="0"/>
            </w:tcBorders>
            <w:vAlign w:val="center"/>
          </w:tcPr>
          <w:p w14:paraId="34F8E56C">
            <w:pPr>
              <w:spacing w:line="360" w:lineRule="auto"/>
              <w:rPr>
                <w:rFonts w:hint="eastAsia" w:ascii="宋体" w:hAnsi="宋体" w:cs="宋体"/>
                <w:color w:val="auto"/>
                <w:szCs w:val="21"/>
                <w:highlight w:val="none"/>
              </w:rPr>
            </w:pPr>
          </w:p>
        </w:tc>
      </w:tr>
      <w:tr w14:paraId="4D38D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86" w:type="dxa"/>
            <w:tcBorders>
              <w:top w:val="single" w:color="auto" w:sz="4" w:space="0"/>
              <w:left w:val="single" w:color="auto" w:sz="4" w:space="0"/>
              <w:bottom w:val="single" w:color="auto" w:sz="4" w:space="0"/>
              <w:right w:val="single" w:color="auto" w:sz="4" w:space="0"/>
            </w:tcBorders>
            <w:vAlign w:val="center"/>
          </w:tcPr>
          <w:p w14:paraId="76E1E2E8">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参与计算评标参考价H</w:t>
            </w:r>
          </w:p>
        </w:tc>
        <w:tc>
          <w:tcPr>
            <w:tcW w:w="12587" w:type="dxa"/>
            <w:gridSpan w:val="12"/>
            <w:tcBorders>
              <w:top w:val="single" w:color="auto" w:sz="4" w:space="0"/>
              <w:left w:val="single" w:color="auto" w:sz="4" w:space="0"/>
              <w:bottom w:val="single" w:color="auto" w:sz="4" w:space="0"/>
              <w:right w:val="single" w:color="auto" w:sz="4" w:space="0"/>
            </w:tcBorders>
            <w:vAlign w:val="center"/>
          </w:tcPr>
          <w:p w14:paraId="52CAE826">
            <w:pPr>
              <w:spacing w:line="360" w:lineRule="auto"/>
              <w:rPr>
                <w:rFonts w:hint="eastAsia" w:ascii="宋体" w:hAnsi="宋体" w:cs="宋体"/>
                <w:color w:val="auto"/>
                <w:szCs w:val="21"/>
                <w:highlight w:val="none"/>
              </w:rPr>
            </w:pPr>
          </w:p>
        </w:tc>
      </w:tr>
      <w:tr w14:paraId="28E21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86" w:type="dxa"/>
            <w:tcBorders>
              <w:top w:val="single" w:color="auto" w:sz="4" w:space="0"/>
              <w:left w:val="single" w:color="auto" w:sz="4" w:space="0"/>
              <w:bottom w:val="single" w:color="auto" w:sz="4" w:space="0"/>
              <w:right w:val="single" w:color="auto" w:sz="4" w:space="0"/>
            </w:tcBorders>
            <w:vAlign w:val="center"/>
          </w:tcPr>
          <w:p w14:paraId="195E2422">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偏差（（PT-PC）/PC）（%）</w:t>
            </w:r>
          </w:p>
        </w:tc>
        <w:tc>
          <w:tcPr>
            <w:tcW w:w="1037" w:type="dxa"/>
            <w:tcBorders>
              <w:top w:val="single" w:color="auto" w:sz="4" w:space="0"/>
              <w:left w:val="single" w:color="auto" w:sz="4" w:space="0"/>
              <w:bottom w:val="single" w:color="auto" w:sz="4" w:space="0"/>
              <w:right w:val="single" w:color="auto" w:sz="4" w:space="0"/>
            </w:tcBorders>
            <w:vAlign w:val="center"/>
          </w:tcPr>
          <w:p w14:paraId="4B9CDE2E">
            <w:pPr>
              <w:spacing w:line="360" w:lineRule="auto"/>
              <w:rPr>
                <w:rFonts w:hint="eastAsia" w:ascii="宋体" w:hAnsi="宋体" w:cs="宋体"/>
                <w:color w:val="auto"/>
                <w:szCs w:val="21"/>
                <w:highlight w:val="none"/>
              </w:rPr>
            </w:pPr>
          </w:p>
        </w:tc>
        <w:tc>
          <w:tcPr>
            <w:tcW w:w="1051" w:type="dxa"/>
            <w:tcBorders>
              <w:top w:val="single" w:color="auto" w:sz="4" w:space="0"/>
              <w:left w:val="single" w:color="auto" w:sz="4" w:space="0"/>
              <w:bottom w:val="single" w:color="auto" w:sz="4" w:space="0"/>
              <w:right w:val="single" w:color="auto" w:sz="4" w:space="0"/>
            </w:tcBorders>
            <w:vAlign w:val="center"/>
          </w:tcPr>
          <w:p w14:paraId="5C045C88">
            <w:pPr>
              <w:spacing w:line="360" w:lineRule="auto"/>
              <w:rPr>
                <w:rFonts w:hint="eastAsia" w:ascii="宋体" w:hAnsi="宋体" w:cs="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14:paraId="2E5EB4BC">
            <w:pPr>
              <w:spacing w:line="360" w:lineRule="auto"/>
              <w:rPr>
                <w:rFonts w:hint="eastAsia" w:ascii="宋体" w:hAnsi="宋体" w:cs="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14:paraId="02485649">
            <w:pPr>
              <w:spacing w:line="360" w:lineRule="auto"/>
              <w:rPr>
                <w:rFonts w:hint="eastAsia" w:ascii="宋体" w:hAnsi="宋体" w:cs="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14:paraId="2C22D4A9">
            <w:pPr>
              <w:spacing w:line="360" w:lineRule="auto"/>
              <w:rPr>
                <w:rFonts w:hint="eastAsia" w:ascii="宋体" w:hAnsi="宋体" w:cs="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14:paraId="4F451C55">
            <w:pPr>
              <w:spacing w:line="360" w:lineRule="auto"/>
              <w:rPr>
                <w:rFonts w:hint="eastAsia" w:ascii="宋体" w:hAnsi="宋体" w:cs="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14:paraId="295CB78E">
            <w:pPr>
              <w:spacing w:line="360" w:lineRule="auto"/>
              <w:rPr>
                <w:rFonts w:hint="eastAsia" w:ascii="宋体" w:hAnsi="宋体" w:cs="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14:paraId="64FA91C9">
            <w:pPr>
              <w:spacing w:line="360" w:lineRule="auto"/>
              <w:rPr>
                <w:rFonts w:hint="eastAsia" w:ascii="宋体" w:hAnsi="宋体" w:cs="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14:paraId="7BB7A5A1">
            <w:pPr>
              <w:spacing w:line="360" w:lineRule="auto"/>
              <w:rPr>
                <w:rFonts w:hint="eastAsia" w:ascii="宋体" w:hAnsi="宋体" w:cs="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14:paraId="4F5A1AFB">
            <w:pPr>
              <w:spacing w:line="360" w:lineRule="auto"/>
              <w:rPr>
                <w:rFonts w:hint="eastAsia" w:ascii="宋体" w:hAnsi="宋体" w:cs="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14:paraId="4EC9F503">
            <w:pPr>
              <w:spacing w:line="360" w:lineRule="auto"/>
              <w:rPr>
                <w:rFonts w:hint="eastAsia" w:ascii="宋体" w:hAnsi="宋体" w:cs="宋体"/>
                <w:color w:val="auto"/>
                <w:szCs w:val="21"/>
                <w:highlight w:val="none"/>
              </w:rPr>
            </w:pPr>
          </w:p>
        </w:tc>
        <w:tc>
          <w:tcPr>
            <w:tcW w:w="1049" w:type="dxa"/>
            <w:tcBorders>
              <w:top w:val="single" w:color="auto" w:sz="4" w:space="0"/>
              <w:left w:val="single" w:color="auto" w:sz="4" w:space="0"/>
              <w:bottom w:val="single" w:color="auto" w:sz="4" w:space="0"/>
              <w:right w:val="single" w:color="auto" w:sz="4" w:space="0"/>
            </w:tcBorders>
            <w:vAlign w:val="center"/>
          </w:tcPr>
          <w:p w14:paraId="34C94829">
            <w:pPr>
              <w:spacing w:line="360" w:lineRule="auto"/>
              <w:rPr>
                <w:rFonts w:hint="eastAsia" w:ascii="宋体" w:hAnsi="宋体" w:cs="宋体"/>
                <w:color w:val="auto"/>
                <w:szCs w:val="21"/>
                <w:highlight w:val="none"/>
              </w:rPr>
            </w:pPr>
          </w:p>
        </w:tc>
      </w:tr>
      <w:tr w14:paraId="7A0BB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086" w:type="dxa"/>
            <w:tcBorders>
              <w:top w:val="single" w:color="auto" w:sz="4" w:space="0"/>
              <w:left w:val="single" w:color="auto" w:sz="4" w:space="0"/>
              <w:bottom w:val="single" w:color="auto" w:sz="4" w:space="0"/>
              <w:right w:val="single" w:color="auto" w:sz="4" w:space="0"/>
            </w:tcBorders>
            <w:vAlign w:val="center"/>
          </w:tcPr>
          <w:p w14:paraId="05CF992A">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减分（A）</w:t>
            </w:r>
          </w:p>
        </w:tc>
        <w:tc>
          <w:tcPr>
            <w:tcW w:w="1037" w:type="dxa"/>
            <w:tcBorders>
              <w:top w:val="single" w:color="auto" w:sz="4" w:space="0"/>
              <w:left w:val="single" w:color="auto" w:sz="4" w:space="0"/>
              <w:bottom w:val="single" w:color="auto" w:sz="4" w:space="0"/>
              <w:right w:val="single" w:color="auto" w:sz="4" w:space="0"/>
            </w:tcBorders>
            <w:vAlign w:val="center"/>
          </w:tcPr>
          <w:p w14:paraId="083391A4">
            <w:pPr>
              <w:spacing w:line="360" w:lineRule="auto"/>
              <w:rPr>
                <w:rFonts w:hint="eastAsia" w:ascii="宋体" w:hAnsi="宋体" w:cs="宋体"/>
                <w:color w:val="auto"/>
                <w:szCs w:val="21"/>
                <w:highlight w:val="none"/>
              </w:rPr>
            </w:pPr>
          </w:p>
        </w:tc>
        <w:tc>
          <w:tcPr>
            <w:tcW w:w="1051" w:type="dxa"/>
            <w:tcBorders>
              <w:top w:val="single" w:color="auto" w:sz="4" w:space="0"/>
              <w:left w:val="single" w:color="auto" w:sz="4" w:space="0"/>
              <w:bottom w:val="single" w:color="auto" w:sz="4" w:space="0"/>
              <w:right w:val="single" w:color="auto" w:sz="4" w:space="0"/>
            </w:tcBorders>
            <w:vAlign w:val="center"/>
          </w:tcPr>
          <w:p w14:paraId="3D66E897">
            <w:pPr>
              <w:spacing w:line="360" w:lineRule="auto"/>
              <w:rPr>
                <w:rFonts w:hint="eastAsia" w:ascii="宋体" w:hAnsi="宋体" w:cs="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14:paraId="2FF5C28C">
            <w:pPr>
              <w:spacing w:line="360" w:lineRule="auto"/>
              <w:rPr>
                <w:rFonts w:hint="eastAsia" w:ascii="宋体" w:hAnsi="宋体" w:cs="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14:paraId="02353899">
            <w:pPr>
              <w:spacing w:line="360" w:lineRule="auto"/>
              <w:rPr>
                <w:rFonts w:hint="eastAsia" w:ascii="宋体" w:hAnsi="宋体" w:cs="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14:paraId="4EC900DA">
            <w:pPr>
              <w:spacing w:line="360" w:lineRule="auto"/>
              <w:rPr>
                <w:rFonts w:hint="eastAsia" w:ascii="宋体" w:hAnsi="宋体" w:cs="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14:paraId="103278AD">
            <w:pPr>
              <w:spacing w:line="360" w:lineRule="auto"/>
              <w:rPr>
                <w:rFonts w:hint="eastAsia" w:ascii="宋体" w:hAnsi="宋体" w:cs="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14:paraId="7B4C4848">
            <w:pPr>
              <w:spacing w:line="360" w:lineRule="auto"/>
              <w:rPr>
                <w:rFonts w:hint="eastAsia" w:ascii="宋体" w:hAnsi="宋体" w:cs="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14:paraId="387DDE47">
            <w:pPr>
              <w:spacing w:line="360" w:lineRule="auto"/>
              <w:rPr>
                <w:rFonts w:hint="eastAsia" w:ascii="宋体" w:hAnsi="宋体" w:cs="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14:paraId="4FC527D4">
            <w:pPr>
              <w:spacing w:line="360" w:lineRule="auto"/>
              <w:rPr>
                <w:rFonts w:hint="eastAsia" w:ascii="宋体" w:hAnsi="宋体" w:cs="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14:paraId="5995C848">
            <w:pPr>
              <w:spacing w:line="360" w:lineRule="auto"/>
              <w:rPr>
                <w:rFonts w:hint="eastAsia" w:ascii="宋体" w:hAnsi="宋体" w:cs="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14:paraId="62314AF2">
            <w:pPr>
              <w:spacing w:line="360" w:lineRule="auto"/>
              <w:rPr>
                <w:rFonts w:hint="eastAsia" w:ascii="宋体" w:hAnsi="宋体" w:cs="宋体"/>
                <w:color w:val="auto"/>
                <w:szCs w:val="21"/>
                <w:highlight w:val="none"/>
              </w:rPr>
            </w:pPr>
          </w:p>
        </w:tc>
        <w:tc>
          <w:tcPr>
            <w:tcW w:w="1049" w:type="dxa"/>
            <w:tcBorders>
              <w:top w:val="single" w:color="auto" w:sz="4" w:space="0"/>
              <w:left w:val="single" w:color="auto" w:sz="4" w:space="0"/>
              <w:bottom w:val="single" w:color="auto" w:sz="4" w:space="0"/>
              <w:right w:val="single" w:color="auto" w:sz="4" w:space="0"/>
            </w:tcBorders>
            <w:vAlign w:val="center"/>
          </w:tcPr>
          <w:p w14:paraId="1815091F">
            <w:pPr>
              <w:spacing w:line="360" w:lineRule="auto"/>
              <w:rPr>
                <w:rFonts w:hint="eastAsia" w:ascii="宋体" w:hAnsi="宋体" w:cs="宋体"/>
                <w:color w:val="auto"/>
                <w:szCs w:val="21"/>
                <w:highlight w:val="none"/>
              </w:rPr>
            </w:pPr>
          </w:p>
        </w:tc>
      </w:tr>
      <w:tr w14:paraId="78C24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86" w:type="dxa"/>
            <w:tcBorders>
              <w:top w:val="single" w:color="auto" w:sz="4" w:space="0"/>
              <w:left w:val="single" w:color="auto" w:sz="4" w:space="0"/>
              <w:bottom w:val="single" w:color="auto" w:sz="4" w:space="0"/>
              <w:right w:val="single" w:color="auto" w:sz="4" w:space="0"/>
            </w:tcBorders>
            <w:vAlign w:val="center"/>
          </w:tcPr>
          <w:p w14:paraId="2D838CBE">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得分(I=100-A)</w:t>
            </w:r>
          </w:p>
        </w:tc>
        <w:tc>
          <w:tcPr>
            <w:tcW w:w="1037" w:type="dxa"/>
            <w:tcBorders>
              <w:top w:val="single" w:color="auto" w:sz="4" w:space="0"/>
              <w:left w:val="single" w:color="auto" w:sz="4" w:space="0"/>
              <w:bottom w:val="single" w:color="auto" w:sz="4" w:space="0"/>
              <w:right w:val="single" w:color="auto" w:sz="4" w:space="0"/>
            </w:tcBorders>
            <w:vAlign w:val="center"/>
          </w:tcPr>
          <w:p w14:paraId="2ABB2BDE">
            <w:pPr>
              <w:spacing w:line="360" w:lineRule="auto"/>
              <w:rPr>
                <w:rFonts w:hint="eastAsia" w:ascii="宋体" w:hAnsi="宋体" w:cs="宋体"/>
                <w:color w:val="auto"/>
                <w:szCs w:val="21"/>
                <w:highlight w:val="none"/>
              </w:rPr>
            </w:pPr>
          </w:p>
        </w:tc>
        <w:tc>
          <w:tcPr>
            <w:tcW w:w="1051" w:type="dxa"/>
            <w:tcBorders>
              <w:top w:val="single" w:color="auto" w:sz="4" w:space="0"/>
              <w:left w:val="single" w:color="auto" w:sz="4" w:space="0"/>
              <w:bottom w:val="single" w:color="auto" w:sz="4" w:space="0"/>
              <w:right w:val="single" w:color="auto" w:sz="4" w:space="0"/>
            </w:tcBorders>
            <w:vAlign w:val="center"/>
          </w:tcPr>
          <w:p w14:paraId="698EAB21">
            <w:pPr>
              <w:spacing w:line="360" w:lineRule="auto"/>
              <w:rPr>
                <w:rFonts w:hint="eastAsia" w:ascii="宋体" w:hAnsi="宋体" w:cs="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14:paraId="2147F5C5">
            <w:pPr>
              <w:spacing w:line="360" w:lineRule="auto"/>
              <w:rPr>
                <w:rFonts w:hint="eastAsia" w:ascii="宋体" w:hAnsi="宋体" w:cs="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14:paraId="60AC45CE">
            <w:pPr>
              <w:spacing w:line="360" w:lineRule="auto"/>
              <w:rPr>
                <w:rFonts w:hint="eastAsia" w:ascii="宋体" w:hAnsi="宋体" w:cs="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14:paraId="4BFED55D">
            <w:pPr>
              <w:spacing w:line="360" w:lineRule="auto"/>
              <w:rPr>
                <w:rFonts w:hint="eastAsia" w:ascii="宋体" w:hAnsi="宋体" w:cs="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14:paraId="0A4C2F59">
            <w:pPr>
              <w:spacing w:line="360" w:lineRule="auto"/>
              <w:rPr>
                <w:rFonts w:hint="eastAsia" w:ascii="宋体" w:hAnsi="宋体" w:cs="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14:paraId="27C125A7">
            <w:pPr>
              <w:spacing w:line="360" w:lineRule="auto"/>
              <w:rPr>
                <w:rFonts w:hint="eastAsia" w:ascii="宋体" w:hAnsi="宋体" w:cs="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14:paraId="37CE339D">
            <w:pPr>
              <w:spacing w:line="360" w:lineRule="auto"/>
              <w:rPr>
                <w:rFonts w:hint="eastAsia" w:ascii="宋体" w:hAnsi="宋体" w:cs="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14:paraId="7C9ECD7F">
            <w:pPr>
              <w:spacing w:line="360" w:lineRule="auto"/>
              <w:rPr>
                <w:rFonts w:hint="eastAsia" w:ascii="宋体" w:hAnsi="宋体" w:cs="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14:paraId="733E7B91">
            <w:pPr>
              <w:spacing w:line="360" w:lineRule="auto"/>
              <w:rPr>
                <w:rFonts w:hint="eastAsia" w:ascii="宋体" w:hAnsi="宋体" w:cs="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14:paraId="3F176263">
            <w:pPr>
              <w:spacing w:line="360" w:lineRule="auto"/>
              <w:rPr>
                <w:rFonts w:hint="eastAsia" w:ascii="宋体" w:hAnsi="宋体" w:cs="宋体"/>
                <w:color w:val="auto"/>
                <w:szCs w:val="21"/>
                <w:highlight w:val="none"/>
              </w:rPr>
            </w:pPr>
          </w:p>
        </w:tc>
        <w:tc>
          <w:tcPr>
            <w:tcW w:w="1049" w:type="dxa"/>
            <w:tcBorders>
              <w:top w:val="single" w:color="auto" w:sz="4" w:space="0"/>
              <w:left w:val="single" w:color="auto" w:sz="4" w:space="0"/>
              <w:bottom w:val="single" w:color="auto" w:sz="4" w:space="0"/>
              <w:right w:val="single" w:color="auto" w:sz="4" w:space="0"/>
            </w:tcBorders>
            <w:vAlign w:val="center"/>
          </w:tcPr>
          <w:p w14:paraId="7F263B6A">
            <w:pPr>
              <w:spacing w:line="360" w:lineRule="auto"/>
              <w:rPr>
                <w:rFonts w:hint="eastAsia" w:ascii="宋体" w:hAnsi="宋体" w:cs="宋体"/>
                <w:color w:val="auto"/>
                <w:szCs w:val="21"/>
                <w:highlight w:val="none"/>
              </w:rPr>
            </w:pPr>
          </w:p>
        </w:tc>
      </w:tr>
      <w:tr w14:paraId="27911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86" w:type="dxa"/>
            <w:tcBorders>
              <w:top w:val="single" w:color="auto" w:sz="4" w:space="0"/>
              <w:left w:val="single" w:color="auto" w:sz="4" w:space="0"/>
              <w:bottom w:val="single" w:color="auto" w:sz="4" w:space="0"/>
              <w:right w:val="single" w:color="auto" w:sz="4" w:space="0"/>
            </w:tcBorders>
            <w:vAlign w:val="center"/>
          </w:tcPr>
          <w:p w14:paraId="51442AC2">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得分排名次序</w:t>
            </w:r>
          </w:p>
        </w:tc>
        <w:tc>
          <w:tcPr>
            <w:tcW w:w="1037" w:type="dxa"/>
            <w:tcBorders>
              <w:top w:val="single" w:color="auto" w:sz="4" w:space="0"/>
              <w:left w:val="single" w:color="auto" w:sz="4" w:space="0"/>
              <w:bottom w:val="single" w:color="auto" w:sz="4" w:space="0"/>
              <w:right w:val="single" w:color="auto" w:sz="4" w:space="0"/>
            </w:tcBorders>
            <w:vAlign w:val="center"/>
          </w:tcPr>
          <w:p w14:paraId="3F293582">
            <w:pPr>
              <w:spacing w:line="360" w:lineRule="auto"/>
              <w:rPr>
                <w:rFonts w:hint="eastAsia" w:ascii="宋体" w:hAnsi="宋体" w:cs="宋体"/>
                <w:color w:val="auto"/>
                <w:szCs w:val="21"/>
                <w:highlight w:val="none"/>
              </w:rPr>
            </w:pPr>
          </w:p>
        </w:tc>
        <w:tc>
          <w:tcPr>
            <w:tcW w:w="1051" w:type="dxa"/>
            <w:tcBorders>
              <w:top w:val="single" w:color="auto" w:sz="4" w:space="0"/>
              <w:left w:val="single" w:color="auto" w:sz="4" w:space="0"/>
              <w:bottom w:val="single" w:color="auto" w:sz="4" w:space="0"/>
              <w:right w:val="single" w:color="auto" w:sz="4" w:space="0"/>
            </w:tcBorders>
            <w:vAlign w:val="center"/>
          </w:tcPr>
          <w:p w14:paraId="2AF69EAF">
            <w:pPr>
              <w:spacing w:line="360" w:lineRule="auto"/>
              <w:rPr>
                <w:rFonts w:hint="eastAsia" w:ascii="宋体" w:hAnsi="宋体" w:cs="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14:paraId="52326CF9">
            <w:pPr>
              <w:spacing w:line="360" w:lineRule="auto"/>
              <w:rPr>
                <w:rFonts w:hint="eastAsia" w:ascii="宋体" w:hAnsi="宋体" w:cs="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14:paraId="738B7EA5">
            <w:pPr>
              <w:spacing w:line="360" w:lineRule="auto"/>
              <w:rPr>
                <w:rFonts w:hint="eastAsia" w:ascii="宋体" w:hAnsi="宋体" w:cs="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14:paraId="49867940">
            <w:pPr>
              <w:spacing w:line="360" w:lineRule="auto"/>
              <w:rPr>
                <w:rFonts w:hint="eastAsia" w:ascii="宋体" w:hAnsi="宋体" w:cs="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14:paraId="46E66916">
            <w:pPr>
              <w:spacing w:line="360" w:lineRule="auto"/>
              <w:rPr>
                <w:rFonts w:hint="eastAsia" w:ascii="宋体" w:hAnsi="宋体" w:cs="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14:paraId="105A4CDC">
            <w:pPr>
              <w:spacing w:line="360" w:lineRule="auto"/>
              <w:rPr>
                <w:rFonts w:hint="eastAsia" w:ascii="宋体" w:hAnsi="宋体" w:cs="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14:paraId="73433B8E">
            <w:pPr>
              <w:spacing w:line="360" w:lineRule="auto"/>
              <w:rPr>
                <w:rFonts w:hint="eastAsia" w:ascii="宋体" w:hAnsi="宋体" w:cs="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14:paraId="7550BA28">
            <w:pPr>
              <w:spacing w:line="360" w:lineRule="auto"/>
              <w:rPr>
                <w:rFonts w:hint="eastAsia" w:ascii="宋体" w:hAnsi="宋体" w:cs="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14:paraId="35028F3C">
            <w:pPr>
              <w:spacing w:line="360" w:lineRule="auto"/>
              <w:rPr>
                <w:rFonts w:hint="eastAsia" w:ascii="宋体" w:hAnsi="宋体" w:cs="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14:paraId="3E3DD0A1">
            <w:pPr>
              <w:spacing w:line="360" w:lineRule="auto"/>
              <w:rPr>
                <w:rFonts w:hint="eastAsia" w:ascii="宋体" w:hAnsi="宋体" w:cs="宋体"/>
                <w:color w:val="auto"/>
                <w:szCs w:val="21"/>
                <w:highlight w:val="none"/>
              </w:rPr>
            </w:pPr>
          </w:p>
        </w:tc>
        <w:tc>
          <w:tcPr>
            <w:tcW w:w="1049" w:type="dxa"/>
            <w:tcBorders>
              <w:top w:val="single" w:color="auto" w:sz="4" w:space="0"/>
              <w:left w:val="single" w:color="auto" w:sz="4" w:space="0"/>
              <w:bottom w:val="single" w:color="auto" w:sz="4" w:space="0"/>
              <w:right w:val="single" w:color="auto" w:sz="4" w:space="0"/>
            </w:tcBorders>
            <w:vAlign w:val="center"/>
          </w:tcPr>
          <w:p w14:paraId="6479968A">
            <w:pPr>
              <w:spacing w:line="360" w:lineRule="auto"/>
              <w:rPr>
                <w:rFonts w:hint="eastAsia" w:ascii="宋体" w:hAnsi="宋体" w:cs="宋体"/>
                <w:color w:val="auto"/>
                <w:szCs w:val="21"/>
                <w:highlight w:val="none"/>
              </w:rPr>
            </w:pPr>
          </w:p>
        </w:tc>
      </w:tr>
    </w:tbl>
    <w:p w14:paraId="03E39902">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评委签名：</w:t>
      </w:r>
    </w:p>
    <w:p w14:paraId="4D71A04B">
      <w:pPr>
        <w:pStyle w:val="4"/>
        <w:tabs>
          <w:tab w:val="right" w:leader="dot" w:pos="9060"/>
        </w:tabs>
        <w:spacing w:line="360" w:lineRule="auto"/>
        <w:jc w:val="left"/>
        <w:rPr>
          <w:rFonts w:hint="eastAsia"/>
          <w:color w:val="auto"/>
          <w:sz w:val="36"/>
          <w:szCs w:val="36"/>
          <w:highlight w:val="none"/>
        </w:rPr>
        <w:sectPr>
          <w:pgSz w:w="16838" w:h="11906" w:orient="landscape"/>
          <w:pgMar w:top="1080" w:right="1440" w:bottom="1080" w:left="1440" w:header="850" w:footer="992" w:gutter="0"/>
          <w:cols w:space="0" w:num="1"/>
          <w:docGrid w:type="lines" w:linePitch="317" w:charSpace="0"/>
        </w:sectPr>
      </w:pPr>
      <w:bookmarkStart w:id="40" w:name="_Toc22004"/>
    </w:p>
    <w:p w14:paraId="1B1F2A6D">
      <w:pPr>
        <w:pStyle w:val="4"/>
        <w:tabs>
          <w:tab w:val="right" w:leader="dot" w:pos="9060"/>
        </w:tabs>
        <w:spacing w:line="360" w:lineRule="auto"/>
        <w:jc w:val="left"/>
        <w:rPr>
          <w:rFonts w:hint="eastAsia"/>
          <w:b w:val="0"/>
          <w:color w:val="auto"/>
          <w:szCs w:val="18"/>
          <w:highlight w:val="none"/>
        </w:rPr>
      </w:pPr>
      <w:bookmarkStart w:id="41" w:name="_Toc1155"/>
      <w:r>
        <w:rPr>
          <w:rFonts w:hint="eastAsia"/>
          <w:color w:val="auto"/>
          <w:highlight w:val="none"/>
        </w:rPr>
        <w:t>附表六</w:t>
      </w:r>
      <w:bookmarkEnd w:id="35"/>
      <w:bookmarkEnd w:id="36"/>
      <w:bookmarkEnd w:id="37"/>
      <w:bookmarkEnd w:id="38"/>
      <w:bookmarkEnd w:id="39"/>
      <w:bookmarkEnd w:id="40"/>
      <w:bookmarkEnd w:id="41"/>
    </w:p>
    <w:p w14:paraId="15AB4E86">
      <w:pPr>
        <w:spacing w:line="360" w:lineRule="auto"/>
        <w:jc w:val="center"/>
        <w:rPr>
          <w:rFonts w:hint="eastAsia" w:ascii="宋体" w:hAnsi="宋体" w:cs="宋体"/>
          <w:b/>
          <w:color w:val="auto"/>
          <w:sz w:val="36"/>
          <w:szCs w:val="36"/>
          <w:highlight w:val="none"/>
        </w:rPr>
      </w:pPr>
      <w:r>
        <w:rPr>
          <w:rFonts w:hint="eastAsia" w:ascii="宋体" w:hAnsi="宋体" w:cs="宋体"/>
          <w:b/>
          <w:color w:val="auto"/>
          <w:sz w:val="36"/>
          <w:szCs w:val="36"/>
          <w:highlight w:val="none"/>
        </w:rPr>
        <w:t>算术复核表</w:t>
      </w:r>
    </w:p>
    <w:p w14:paraId="67F023A0">
      <w:pPr>
        <w:spacing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工程名称：投标人:                                                  单位：元</w:t>
      </w:r>
    </w:p>
    <w:tbl>
      <w:tblPr>
        <w:tblStyle w:val="33"/>
        <w:tblW w:w="4997" w:type="pct"/>
        <w:tblInd w:w="0" w:type="dxa"/>
        <w:tblLayout w:type="autofit"/>
        <w:tblCellMar>
          <w:top w:w="0" w:type="dxa"/>
          <w:left w:w="108" w:type="dxa"/>
          <w:bottom w:w="0" w:type="dxa"/>
          <w:right w:w="108" w:type="dxa"/>
        </w:tblCellMar>
      </w:tblPr>
      <w:tblGrid>
        <w:gridCol w:w="456"/>
        <w:gridCol w:w="2662"/>
        <w:gridCol w:w="828"/>
        <w:gridCol w:w="810"/>
        <w:gridCol w:w="1896"/>
        <w:gridCol w:w="742"/>
        <w:gridCol w:w="2013"/>
      </w:tblGrid>
      <w:tr w14:paraId="3C5476B0">
        <w:tblPrEx>
          <w:tblCellMar>
            <w:top w:w="0" w:type="dxa"/>
            <w:left w:w="108" w:type="dxa"/>
            <w:bottom w:w="0" w:type="dxa"/>
            <w:right w:w="108" w:type="dxa"/>
          </w:tblCellMar>
        </w:tblPrEx>
        <w:trPr>
          <w:trHeight w:val="705" w:hRule="atLeast"/>
        </w:trPr>
        <w:tc>
          <w:tcPr>
            <w:tcW w:w="242" w:type="pct"/>
            <w:tcBorders>
              <w:top w:val="single" w:color="auto" w:sz="4" w:space="0"/>
              <w:left w:val="single" w:color="auto" w:sz="4" w:space="0"/>
              <w:bottom w:val="single" w:color="auto" w:sz="4" w:space="0"/>
              <w:right w:val="single" w:color="auto" w:sz="4" w:space="0"/>
            </w:tcBorders>
            <w:vAlign w:val="center"/>
          </w:tcPr>
          <w:p w14:paraId="02938CC4">
            <w:pPr>
              <w:spacing w:line="360" w:lineRule="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编号</w:t>
            </w:r>
          </w:p>
        </w:tc>
        <w:tc>
          <w:tcPr>
            <w:tcW w:w="1414" w:type="pct"/>
            <w:tcBorders>
              <w:top w:val="single" w:color="auto" w:sz="4" w:space="0"/>
              <w:left w:val="nil"/>
              <w:bottom w:val="single" w:color="auto" w:sz="4" w:space="0"/>
              <w:right w:val="single" w:color="auto" w:sz="4" w:space="0"/>
            </w:tcBorders>
            <w:vAlign w:val="center"/>
          </w:tcPr>
          <w:p w14:paraId="718BF44C">
            <w:pPr>
              <w:spacing w:line="360" w:lineRule="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算术校核项目</w:t>
            </w:r>
          </w:p>
        </w:tc>
        <w:tc>
          <w:tcPr>
            <w:tcW w:w="440" w:type="pct"/>
            <w:tcBorders>
              <w:top w:val="single" w:color="auto" w:sz="4" w:space="0"/>
              <w:left w:val="nil"/>
              <w:bottom w:val="single" w:color="auto" w:sz="4" w:space="0"/>
              <w:right w:val="single" w:color="auto" w:sz="4" w:space="0"/>
            </w:tcBorders>
            <w:vAlign w:val="center"/>
          </w:tcPr>
          <w:p w14:paraId="2127F130">
            <w:pPr>
              <w:spacing w:line="360" w:lineRule="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修正前投标</w:t>
            </w:r>
          </w:p>
          <w:p w14:paraId="145C864C">
            <w:pPr>
              <w:spacing w:line="360" w:lineRule="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报价A</w:t>
            </w:r>
          </w:p>
        </w:tc>
        <w:tc>
          <w:tcPr>
            <w:tcW w:w="430" w:type="pct"/>
            <w:tcBorders>
              <w:top w:val="single" w:color="auto" w:sz="4" w:space="0"/>
              <w:left w:val="nil"/>
              <w:bottom w:val="single" w:color="auto" w:sz="4" w:space="0"/>
              <w:right w:val="single" w:color="auto" w:sz="4" w:space="0"/>
            </w:tcBorders>
            <w:vAlign w:val="center"/>
          </w:tcPr>
          <w:p w14:paraId="3C98CC81">
            <w:pPr>
              <w:spacing w:line="360" w:lineRule="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修正后投标</w:t>
            </w:r>
          </w:p>
          <w:p w14:paraId="4CEA41DC">
            <w:pPr>
              <w:spacing w:line="360" w:lineRule="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报价B</w:t>
            </w:r>
          </w:p>
        </w:tc>
        <w:tc>
          <w:tcPr>
            <w:tcW w:w="1007" w:type="pct"/>
            <w:tcBorders>
              <w:top w:val="single" w:color="auto" w:sz="4" w:space="0"/>
              <w:left w:val="nil"/>
              <w:bottom w:val="single" w:color="auto" w:sz="4" w:space="0"/>
              <w:right w:val="single" w:color="auto" w:sz="4" w:space="0"/>
            </w:tcBorders>
            <w:vAlign w:val="center"/>
          </w:tcPr>
          <w:p w14:paraId="51ED7C52">
            <w:pPr>
              <w:spacing w:line="360" w:lineRule="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修正率</w:t>
            </w:r>
          </w:p>
          <w:p w14:paraId="1EC7491B">
            <w:pPr>
              <w:spacing w:line="360" w:lineRule="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r=|A-B|/A*100%</w:t>
            </w:r>
          </w:p>
        </w:tc>
        <w:tc>
          <w:tcPr>
            <w:tcW w:w="394" w:type="pct"/>
            <w:tcBorders>
              <w:top w:val="single" w:color="auto" w:sz="4" w:space="0"/>
              <w:left w:val="nil"/>
              <w:bottom w:val="single" w:color="auto" w:sz="4" w:space="0"/>
              <w:right w:val="single" w:color="auto" w:sz="4" w:space="0"/>
            </w:tcBorders>
            <w:vAlign w:val="center"/>
          </w:tcPr>
          <w:p w14:paraId="5E4C5930">
            <w:pPr>
              <w:spacing w:line="360" w:lineRule="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经评审的最终投标报价</w:t>
            </w:r>
          </w:p>
        </w:tc>
        <w:tc>
          <w:tcPr>
            <w:tcW w:w="1069" w:type="pct"/>
            <w:tcBorders>
              <w:top w:val="single" w:color="auto" w:sz="4" w:space="0"/>
              <w:left w:val="nil"/>
              <w:bottom w:val="single" w:color="auto" w:sz="4" w:space="0"/>
              <w:right w:val="single" w:color="auto" w:sz="4" w:space="0"/>
            </w:tcBorders>
            <w:vAlign w:val="center"/>
          </w:tcPr>
          <w:p w14:paraId="3206721C">
            <w:pPr>
              <w:spacing w:line="360" w:lineRule="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当B&gt;A时，修正后报价与原报价的差额；当B≤A时,R=0</w:t>
            </w:r>
          </w:p>
        </w:tc>
      </w:tr>
      <w:tr w14:paraId="620A987D">
        <w:tblPrEx>
          <w:tblCellMar>
            <w:top w:w="0" w:type="dxa"/>
            <w:left w:w="108" w:type="dxa"/>
            <w:bottom w:w="0" w:type="dxa"/>
            <w:right w:w="108" w:type="dxa"/>
          </w:tblCellMar>
        </w:tblPrEx>
        <w:trPr>
          <w:trHeight w:val="600" w:hRule="atLeast"/>
        </w:trPr>
        <w:tc>
          <w:tcPr>
            <w:tcW w:w="242" w:type="pct"/>
            <w:tcBorders>
              <w:top w:val="nil"/>
              <w:left w:val="single" w:color="auto" w:sz="4" w:space="0"/>
              <w:bottom w:val="single" w:color="auto" w:sz="4" w:space="0"/>
              <w:right w:val="single" w:color="auto" w:sz="4" w:space="0"/>
            </w:tcBorders>
            <w:vAlign w:val="center"/>
          </w:tcPr>
          <w:p w14:paraId="0F5A019A">
            <w:pPr>
              <w:spacing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1</w:t>
            </w:r>
          </w:p>
        </w:tc>
        <w:tc>
          <w:tcPr>
            <w:tcW w:w="1414" w:type="pct"/>
            <w:tcBorders>
              <w:top w:val="nil"/>
              <w:left w:val="nil"/>
              <w:bottom w:val="single" w:color="auto" w:sz="4" w:space="0"/>
              <w:right w:val="single" w:color="auto" w:sz="4" w:space="0"/>
            </w:tcBorders>
            <w:vAlign w:val="center"/>
          </w:tcPr>
          <w:p w14:paraId="0AFC2540">
            <w:pPr>
              <w:spacing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[单位工程1]</w:t>
            </w:r>
          </w:p>
        </w:tc>
        <w:tc>
          <w:tcPr>
            <w:tcW w:w="440" w:type="pct"/>
            <w:tcBorders>
              <w:top w:val="nil"/>
              <w:left w:val="nil"/>
              <w:bottom w:val="single" w:color="auto" w:sz="4" w:space="0"/>
              <w:right w:val="single" w:color="auto" w:sz="4" w:space="0"/>
            </w:tcBorders>
            <w:vAlign w:val="center"/>
          </w:tcPr>
          <w:p w14:paraId="062DB37D">
            <w:pPr>
              <w:spacing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430" w:type="pct"/>
            <w:tcBorders>
              <w:top w:val="nil"/>
              <w:left w:val="nil"/>
              <w:bottom w:val="single" w:color="auto" w:sz="4" w:space="0"/>
              <w:right w:val="single" w:color="auto" w:sz="4" w:space="0"/>
            </w:tcBorders>
            <w:vAlign w:val="center"/>
          </w:tcPr>
          <w:p w14:paraId="224B6E78">
            <w:pPr>
              <w:spacing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007" w:type="pct"/>
            <w:tcBorders>
              <w:top w:val="nil"/>
              <w:left w:val="nil"/>
              <w:bottom w:val="single" w:color="auto" w:sz="4" w:space="0"/>
              <w:right w:val="single" w:color="auto" w:sz="4" w:space="0"/>
            </w:tcBorders>
            <w:vAlign w:val="center"/>
          </w:tcPr>
          <w:p w14:paraId="42D9C3F1">
            <w:pPr>
              <w:spacing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394" w:type="pct"/>
            <w:tcBorders>
              <w:top w:val="nil"/>
              <w:left w:val="nil"/>
              <w:bottom w:val="single" w:color="auto" w:sz="4" w:space="0"/>
              <w:right w:val="single" w:color="auto" w:sz="4" w:space="0"/>
            </w:tcBorders>
            <w:vAlign w:val="center"/>
          </w:tcPr>
          <w:p w14:paraId="373EBFEE">
            <w:pPr>
              <w:spacing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069" w:type="pct"/>
            <w:tcBorders>
              <w:top w:val="single" w:color="auto" w:sz="4" w:space="0"/>
              <w:left w:val="nil"/>
              <w:bottom w:val="single" w:color="auto" w:sz="4" w:space="0"/>
              <w:right w:val="single" w:color="auto" w:sz="4" w:space="0"/>
            </w:tcBorders>
            <w:vAlign w:val="center"/>
          </w:tcPr>
          <w:p w14:paraId="7D55DCF5">
            <w:pPr>
              <w:spacing w:line="360" w:lineRule="auto"/>
              <w:rPr>
                <w:rFonts w:hint="eastAsia" w:ascii="宋体" w:hAnsi="宋体" w:cs="宋体"/>
                <w:color w:val="auto"/>
                <w:kern w:val="0"/>
                <w:szCs w:val="21"/>
                <w:highlight w:val="none"/>
              </w:rPr>
            </w:pPr>
          </w:p>
        </w:tc>
      </w:tr>
      <w:tr w14:paraId="1CF8C3AB">
        <w:tblPrEx>
          <w:tblCellMar>
            <w:top w:w="0" w:type="dxa"/>
            <w:left w:w="108" w:type="dxa"/>
            <w:bottom w:w="0" w:type="dxa"/>
            <w:right w:w="108" w:type="dxa"/>
          </w:tblCellMar>
        </w:tblPrEx>
        <w:trPr>
          <w:trHeight w:val="600" w:hRule="atLeast"/>
        </w:trPr>
        <w:tc>
          <w:tcPr>
            <w:tcW w:w="242" w:type="pct"/>
            <w:tcBorders>
              <w:top w:val="nil"/>
              <w:left w:val="single" w:color="auto" w:sz="4" w:space="0"/>
              <w:bottom w:val="single" w:color="auto" w:sz="4" w:space="0"/>
              <w:right w:val="single" w:color="auto" w:sz="4" w:space="0"/>
            </w:tcBorders>
            <w:vAlign w:val="center"/>
          </w:tcPr>
          <w:p w14:paraId="4B88EC6B">
            <w:pPr>
              <w:spacing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2</w:t>
            </w:r>
          </w:p>
        </w:tc>
        <w:tc>
          <w:tcPr>
            <w:tcW w:w="1414" w:type="pct"/>
            <w:tcBorders>
              <w:top w:val="nil"/>
              <w:left w:val="nil"/>
              <w:bottom w:val="single" w:color="auto" w:sz="4" w:space="0"/>
              <w:right w:val="single" w:color="auto" w:sz="4" w:space="0"/>
            </w:tcBorders>
            <w:vAlign w:val="center"/>
          </w:tcPr>
          <w:p w14:paraId="5EE2AC1F">
            <w:pPr>
              <w:spacing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[单位工程2]</w:t>
            </w:r>
          </w:p>
        </w:tc>
        <w:tc>
          <w:tcPr>
            <w:tcW w:w="440" w:type="pct"/>
            <w:tcBorders>
              <w:top w:val="nil"/>
              <w:left w:val="nil"/>
              <w:bottom w:val="single" w:color="auto" w:sz="4" w:space="0"/>
              <w:right w:val="single" w:color="auto" w:sz="4" w:space="0"/>
            </w:tcBorders>
            <w:vAlign w:val="center"/>
          </w:tcPr>
          <w:p w14:paraId="38F206A4">
            <w:pPr>
              <w:spacing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430" w:type="pct"/>
            <w:tcBorders>
              <w:top w:val="nil"/>
              <w:left w:val="nil"/>
              <w:bottom w:val="single" w:color="auto" w:sz="4" w:space="0"/>
              <w:right w:val="single" w:color="auto" w:sz="4" w:space="0"/>
            </w:tcBorders>
            <w:vAlign w:val="center"/>
          </w:tcPr>
          <w:p w14:paraId="37F59234">
            <w:pPr>
              <w:spacing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007" w:type="pct"/>
            <w:tcBorders>
              <w:top w:val="nil"/>
              <w:left w:val="nil"/>
              <w:bottom w:val="single" w:color="auto" w:sz="4" w:space="0"/>
              <w:right w:val="single" w:color="auto" w:sz="4" w:space="0"/>
            </w:tcBorders>
            <w:vAlign w:val="center"/>
          </w:tcPr>
          <w:p w14:paraId="62F69973">
            <w:pPr>
              <w:spacing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394" w:type="pct"/>
            <w:tcBorders>
              <w:top w:val="nil"/>
              <w:left w:val="nil"/>
              <w:bottom w:val="single" w:color="auto" w:sz="4" w:space="0"/>
              <w:right w:val="single" w:color="auto" w:sz="4" w:space="0"/>
            </w:tcBorders>
            <w:vAlign w:val="center"/>
          </w:tcPr>
          <w:p w14:paraId="2969B256">
            <w:pPr>
              <w:spacing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069" w:type="pct"/>
            <w:tcBorders>
              <w:top w:val="single" w:color="auto" w:sz="4" w:space="0"/>
              <w:left w:val="nil"/>
              <w:bottom w:val="single" w:color="auto" w:sz="4" w:space="0"/>
              <w:right w:val="single" w:color="auto" w:sz="4" w:space="0"/>
            </w:tcBorders>
            <w:vAlign w:val="center"/>
          </w:tcPr>
          <w:p w14:paraId="56EB53C0">
            <w:pPr>
              <w:spacing w:line="360" w:lineRule="auto"/>
              <w:rPr>
                <w:rFonts w:hint="eastAsia" w:ascii="宋体" w:hAnsi="宋体" w:cs="宋体"/>
                <w:color w:val="auto"/>
                <w:kern w:val="0"/>
                <w:szCs w:val="21"/>
                <w:highlight w:val="none"/>
              </w:rPr>
            </w:pPr>
          </w:p>
        </w:tc>
      </w:tr>
      <w:tr w14:paraId="2B670F47">
        <w:tblPrEx>
          <w:tblCellMar>
            <w:top w:w="0" w:type="dxa"/>
            <w:left w:w="108" w:type="dxa"/>
            <w:bottom w:w="0" w:type="dxa"/>
            <w:right w:w="108" w:type="dxa"/>
          </w:tblCellMar>
        </w:tblPrEx>
        <w:trPr>
          <w:trHeight w:val="600" w:hRule="atLeast"/>
        </w:trPr>
        <w:tc>
          <w:tcPr>
            <w:tcW w:w="242" w:type="pct"/>
            <w:tcBorders>
              <w:top w:val="nil"/>
              <w:left w:val="single" w:color="auto" w:sz="4" w:space="0"/>
              <w:bottom w:val="single" w:color="auto" w:sz="4" w:space="0"/>
              <w:right w:val="single" w:color="auto" w:sz="4" w:space="0"/>
            </w:tcBorders>
            <w:vAlign w:val="center"/>
          </w:tcPr>
          <w:p w14:paraId="0E774593">
            <w:pPr>
              <w:spacing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w:t>
            </w:r>
          </w:p>
        </w:tc>
        <w:tc>
          <w:tcPr>
            <w:tcW w:w="1414" w:type="pct"/>
            <w:tcBorders>
              <w:top w:val="nil"/>
              <w:left w:val="nil"/>
              <w:bottom w:val="single" w:color="auto" w:sz="4" w:space="0"/>
              <w:right w:val="single" w:color="auto" w:sz="4" w:space="0"/>
            </w:tcBorders>
            <w:vAlign w:val="center"/>
          </w:tcPr>
          <w:p w14:paraId="10B4D2B3">
            <w:pPr>
              <w:spacing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w:t>
            </w:r>
          </w:p>
        </w:tc>
        <w:tc>
          <w:tcPr>
            <w:tcW w:w="440" w:type="pct"/>
            <w:tcBorders>
              <w:top w:val="nil"/>
              <w:left w:val="nil"/>
              <w:bottom w:val="single" w:color="auto" w:sz="4" w:space="0"/>
              <w:right w:val="single" w:color="auto" w:sz="4" w:space="0"/>
            </w:tcBorders>
            <w:vAlign w:val="center"/>
          </w:tcPr>
          <w:p w14:paraId="0403DCA5">
            <w:pPr>
              <w:spacing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430" w:type="pct"/>
            <w:tcBorders>
              <w:top w:val="nil"/>
              <w:left w:val="nil"/>
              <w:bottom w:val="single" w:color="auto" w:sz="4" w:space="0"/>
              <w:right w:val="single" w:color="auto" w:sz="4" w:space="0"/>
            </w:tcBorders>
            <w:vAlign w:val="center"/>
          </w:tcPr>
          <w:p w14:paraId="23346196">
            <w:pPr>
              <w:spacing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007" w:type="pct"/>
            <w:tcBorders>
              <w:top w:val="nil"/>
              <w:left w:val="nil"/>
              <w:bottom w:val="single" w:color="auto" w:sz="4" w:space="0"/>
              <w:right w:val="single" w:color="auto" w:sz="4" w:space="0"/>
            </w:tcBorders>
            <w:vAlign w:val="center"/>
          </w:tcPr>
          <w:p w14:paraId="2B908173">
            <w:pPr>
              <w:spacing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394" w:type="pct"/>
            <w:tcBorders>
              <w:top w:val="nil"/>
              <w:left w:val="nil"/>
              <w:bottom w:val="single" w:color="auto" w:sz="4" w:space="0"/>
              <w:right w:val="single" w:color="auto" w:sz="4" w:space="0"/>
            </w:tcBorders>
            <w:vAlign w:val="center"/>
          </w:tcPr>
          <w:p w14:paraId="61C2D6F7">
            <w:pPr>
              <w:spacing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069" w:type="pct"/>
            <w:tcBorders>
              <w:top w:val="single" w:color="auto" w:sz="4" w:space="0"/>
              <w:left w:val="nil"/>
              <w:bottom w:val="single" w:color="auto" w:sz="4" w:space="0"/>
              <w:right w:val="single" w:color="auto" w:sz="4" w:space="0"/>
            </w:tcBorders>
            <w:vAlign w:val="center"/>
          </w:tcPr>
          <w:p w14:paraId="0ABDB8CC">
            <w:pPr>
              <w:spacing w:line="360" w:lineRule="auto"/>
              <w:rPr>
                <w:rFonts w:hint="eastAsia" w:ascii="宋体" w:hAnsi="宋体" w:cs="宋体"/>
                <w:color w:val="auto"/>
                <w:kern w:val="0"/>
                <w:szCs w:val="21"/>
                <w:highlight w:val="none"/>
              </w:rPr>
            </w:pPr>
          </w:p>
        </w:tc>
      </w:tr>
      <w:tr w14:paraId="00B73C1F">
        <w:tblPrEx>
          <w:tblCellMar>
            <w:top w:w="0" w:type="dxa"/>
            <w:left w:w="108" w:type="dxa"/>
            <w:bottom w:w="0" w:type="dxa"/>
            <w:right w:w="108" w:type="dxa"/>
          </w:tblCellMar>
        </w:tblPrEx>
        <w:trPr>
          <w:trHeight w:val="600" w:hRule="atLeast"/>
        </w:trPr>
        <w:tc>
          <w:tcPr>
            <w:tcW w:w="242" w:type="pct"/>
            <w:tcBorders>
              <w:top w:val="nil"/>
              <w:left w:val="single" w:color="auto" w:sz="4" w:space="0"/>
              <w:bottom w:val="single" w:color="auto" w:sz="4" w:space="0"/>
              <w:right w:val="single" w:color="auto" w:sz="4" w:space="0"/>
            </w:tcBorders>
            <w:vAlign w:val="center"/>
          </w:tcPr>
          <w:p w14:paraId="2BC1CDDE">
            <w:pPr>
              <w:spacing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w:t>
            </w:r>
          </w:p>
        </w:tc>
        <w:tc>
          <w:tcPr>
            <w:tcW w:w="1414" w:type="pct"/>
            <w:tcBorders>
              <w:top w:val="nil"/>
              <w:left w:val="nil"/>
              <w:bottom w:val="single" w:color="auto" w:sz="4" w:space="0"/>
              <w:right w:val="single" w:color="auto" w:sz="4" w:space="0"/>
            </w:tcBorders>
            <w:vAlign w:val="center"/>
          </w:tcPr>
          <w:p w14:paraId="45038488">
            <w:pPr>
              <w:spacing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w:t>
            </w:r>
          </w:p>
        </w:tc>
        <w:tc>
          <w:tcPr>
            <w:tcW w:w="440" w:type="pct"/>
            <w:tcBorders>
              <w:top w:val="nil"/>
              <w:left w:val="nil"/>
              <w:bottom w:val="single" w:color="auto" w:sz="4" w:space="0"/>
              <w:right w:val="single" w:color="auto" w:sz="4" w:space="0"/>
            </w:tcBorders>
            <w:vAlign w:val="center"/>
          </w:tcPr>
          <w:p w14:paraId="330028CD">
            <w:pPr>
              <w:spacing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430" w:type="pct"/>
            <w:tcBorders>
              <w:top w:val="nil"/>
              <w:left w:val="nil"/>
              <w:bottom w:val="single" w:color="auto" w:sz="4" w:space="0"/>
              <w:right w:val="single" w:color="auto" w:sz="4" w:space="0"/>
            </w:tcBorders>
            <w:vAlign w:val="center"/>
          </w:tcPr>
          <w:p w14:paraId="282A20AF">
            <w:pPr>
              <w:spacing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007" w:type="pct"/>
            <w:tcBorders>
              <w:top w:val="nil"/>
              <w:left w:val="nil"/>
              <w:bottom w:val="single" w:color="auto" w:sz="4" w:space="0"/>
              <w:right w:val="single" w:color="auto" w:sz="4" w:space="0"/>
            </w:tcBorders>
            <w:vAlign w:val="center"/>
          </w:tcPr>
          <w:p w14:paraId="733495BD">
            <w:pPr>
              <w:spacing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394" w:type="pct"/>
            <w:tcBorders>
              <w:top w:val="nil"/>
              <w:left w:val="nil"/>
              <w:bottom w:val="single" w:color="auto" w:sz="4" w:space="0"/>
              <w:right w:val="single" w:color="auto" w:sz="4" w:space="0"/>
            </w:tcBorders>
            <w:vAlign w:val="center"/>
          </w:tcPr>
          <w:p w14:paraId="43616E65">
            <w:pPr>
              <w:spacing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069" w:type="pct"/>
            <w:tcBorders>
              <w:top w:val="single" w:color="auto" w:sz="4" w:space="0"/>
              <w:left w:val="nil"/>
              <w:bottom w:val="single" w:color="auto" w:sz="4" w:space="0"/>
              <w:right w:val="single" w:color="auto" w:sz="4" w:space="0"/>
            </w:tcBorders>
            <w:vAlign w:val="center"/>
          </w:tcPr>
          <w:p w14:paraId="0BD4E08D">
            <w:pPr>
              <w:spacing w:line="360" w:lineRule="auto"/>
              <w:rPr>
                <w:rFonts w:hint="eastAsia" w:ascii="宋体" w:hAnsi="宋体" w:cs="宋体"/>
                <w:color w:val="auto"/>
                <w:kern w:val="0"/>
                <w:szCs w:val="21"/>
                <w:highlight w:val="none"/>
              </w:rPr>
            </w:pPr>
          </w:p>
        </w:tc>
      </w:tr>
      <w:tr w14:paraId="01562226">
        <w:tblPrEx>
          <w:tblCellMar>
            <w:top w:w="0" w:type="dxa"/>
            <w:left w:w="108" w:type="dxa"/>
            <w:bottom w:w="0" w:type="dxa"/>
            <w:right w:w="108" w:type="dxa"/>
          </w:tblCellMar>
        </w:tblPrEx>
        <w:trPr>
          <w:trHeight w:val="600" w:hRule="atLeast"/>
        </w:trPr>
        <w:tc>
          <w:tcPr>
            <w:tcW w:w="242" w:type="pct"/>
            <w:tcBorders>
              <w:top w:val="nil"/>
              <w:left w:val="single" w:color="auto" w:sz="4" w:space="0"/>
              <w:bottom w:val="single" w:color="auto" w:sz="4" w:space="0"/>
              <w:right w:val="single" w:color="auto" w:sz="4" w:space="0"/>
            </w:tcBorders>
            <w:vAlign w:val="center"/>
          </w:tcPr>
          <w:p w14:paraId="108A1BE6">
            <w:pPr>
              <w:spacing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w:t>
            </w:r>
          </w:p>
        </w:tc>
        <w:tc>
          <w:tcPr>
            <w:tcW w:w="1414" w:type="pct"/>
            <w:tcBorders>
              <w:top w:val="nil"/>
              <w:left w:val="nil"/>
              <w:bottom w:val="single" w:color="auto" w:sz="4" w:space="0"/>
              <w:right w:val="single" w:color="auto" w:sz="4" w:space="0"/>
            </w:tcBorders>
            <w:vAlign w:val="center"/>
          </w:tcPr>
          <w:p w14:paraId="1D5D0799">
            <w:pPr>
              <w:spacing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w:t>
            </w:r>
          </w:p>
        </w:tc>
        <w:tc>
          <w:tcPr>
            <w:tcW w:w="440" w:type="pct"/>
            <w:tcBorders>
              <w:top w:val="nil"/>
              <w:left w:val="nil"/>
              <w:bottom w:val="single" w:color="auto" w:sz="4" w:space="0"/>
              <w:right w:val="single" w:color="auto" w:sz="4" w:space="0"/>
            </w:tcBorders>
            <w:vAlign w:val="center"/>
          </w:tcPr>
          <w:p w14:paraId="14F92AAD">
            <w:pPr>
              <w:spacing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430" w:type="pct"/>
            <w:tcBorders>
              <w:top w:val="nil"/>
              <w:left w:val="nil"/>
              <w:bottom w:val="single" w:color="auto" w:sz="4" w:space="0"/>
              <w:right w:val="single" w:color="auto" w:sz="4" w:space="0"/>
            </w:tcBorders>
            <w:vAlign w:val="center"/>
          </w:tcPr>
          <w:p w14:paraId="35E6DF84">
            <w:pPr>
              <w:spacing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007" w:type="pct"/>
            <w:tcBorders>
              <w:top w:val="nil"/>
              <w:left w:val="nil"/>
              <w:bottom w:val="single" w:color="auto" w:sz="4" w:space="0"/>
              <w:right w:val="single" w:color="auto" w:sz="4" w:space="0"/>
            </w:tcBorders>
            <w:vAlign w:val="center"/>
          </w:tcPr>
          <w:p w14:paraId="751990AC">
            <w:pPr>
              <w:spacing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394" w:type="pct"/>
            <w:tcBorders>
              <w:top w:val="nil"/>
              <w:left w:val="nil"/>
              <w:bottom w:val="single" w:color="auto" w:sz="4" w:space="0"/>
              <w:right w:val="single" w:color="auto" w:sz="4" w:space="0"/>
            </w:tcBorders>
            <w:vAlign w:val="center"/>
          </w:tcPr>
          <w:p w14:paraId="70D0042D">
            <w:pPr>
              <w:spacing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069" w:type="pct"/>
            <w:tcBorders>
              <w:top w:val="single" w:color="auto" w:sz="4" w:space="0"/>
              <w:left w:val="nil"/>
              <w:bottom w:val="single" w:color="auto" w:sz="4" w:space="0"/>
              <w:right w:val="single" w:color="auto" w:sz="4" w:space="0"/>
            </w:tcBorders>
            <w:vAlign w:val="center"/>
          </w:tcPr>
          <w:p w14:paraId="773D2F8D">
            <w:pPr>
              <w:spacing w:line="360" w:lineRule="auto"/>
              <w:rPr>
                <w:rFonts w:hint="eastAsia" w:ascii="宋体" w:hAnsi="宋体" w:cs="宋体"/>
                <w:color w:val="auto"/>
                <w:kern w:val="0"/>
                <w:szCs w:val="21"/>
                <w:highlight w:val="none"/>
              </w:rPr>
            </w:pPr>
          </w:p>
        </w:tc>
      </w:tr>
      <w:tr w14:paraId="460557EA">
        <w:tblPrEx>
          <w:tblCellMar>
            <w:top w:w="0" w:type="dxa"/>
            <w:left w:w="108" w:type="dxa"/>
            <w:bottom w:w="0" w:type="dxa"/>
            <w:right w:w="108" w:type="dxa"/>
          </w:tblCellMar>
        </w:tblPrEx>
        <w:trPr>
          <w:trHeight w:val="600" w:hRule="atLeast"/>
        </w:trPr>
        <w:tc>
          <w:tcPr>
            <w:tcW w:w="242" w:type="pct"/>
            <w:tcBorders>
              <w:top w:val="nil"/>
              <w:left w:val="single" w:color="auto" w:sz="4" w:space="0"/>
              <w:bottom w:val="single" w:color="auto" w:sz="4" w:space="0"/>
              <w:right w:val="single" w:color="auto" w:sz="4" w:space="0"/>
            </w:tcBorders>
            <w:vAlign w:val="center"/>
          </w:tcPr>
          <w:p w14:paraId="6068AAE6">
            <w:pPr>
              <w:spacing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n</w:t>
            </w:r>
          </w:p>
        </w:tc>
        <w:tc>
          <w:tcPr>
            <w:tcW w:w="1414" w:type="pct"/>
            <w:tcBorders>
              <w:top w:val="nil"/>
              <w:left w:val="nil"/>
              <w:bottom w:val="single" w:color="auto" w:sz="4" w:space="0"/>
              <w:right w:val="single" w:color="auto" w:sz="4" w:space="0"/>
            </w:tcBorders>
            <w:vAlign w:val="center"/>
          </w:tcPr>
          <w:p w14:paraId="2A712202">
            <w:pPr>
              <w:spacing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[单位工程n]</w:t>
            </w:r>
          </w:p>
        </w:tc>
        <w:tc>
          <w:tcPr>
            <w:tcW w:w="440" w:type="pct"/>
            <w:tcBorders>
              <w:top w:val="nil"/>
              <w:left w:val="nil"/>
              <w:bottom w:val="single" w:color="auto" w:sz="4" w:space="0"/>
              <w:right w:val="single" w:color="auto" w:sz="4" w:space="0"/>
            </w:tcBorders>
            <w:vAlign w:val="center"/>
          </w:tcPr>
          <w:p w14:paraId="51326D9C">
            <w:pPr>
              <w:spacing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430" w:type="pct"/>
            <w:tcBorders>
              <w:top w:val="nil"/>
              <w:left w:val="nil"/>
              <w:bottom w:val="single" w:color="auto" w:sz="4" w:space="0"/>
              <w:right w:val="single" w:color="auto" w:sz="4" w:space="0"/>
            </w:tcBorders>
            <w:vAlign w:val="center"/>
          </w:tcPr>
          <w:p w14:paraId="16A3CD12">
            <w:pPr>
              <w:spacing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007" w:type="pct"/>
            <w:tcBorders>
              <w:top w:val="nil"/>
              <w:left w:val="nil"/>
              <w:bottom w:val="single" w:color="auto" w:sz="4" w:space="0"/>
              <w:right w:val="single" w:color="auto" w:sz="4" w:space="0"/>
            </w:tcBorders>
            <w:vAlign w:val="center"/>
          </w:tcPr>
          <w:p w14:paraId="24FEE563">
            <w:pPr>
              <w:spacing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394" w:type="pct"/>
            <w:tcBorders>
              <w:top w:val="nil"/>
              <w:left w:val="nil"/>
              <w:bottom w:val="single" w:color="auto" w:sz="4" w:space="0"/>
              <w:right w:val="single" w:color="auto" w:sz="4" w:space="0"/>
            </w:tcBorders>
            <w:vAlign w:val="center"/>
          </w:tcPr>
          <w:p w14:paraId="61B2C321">
            <w:pPr>
              <w:spacing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069" w:type="pct"/>
            <w:tcBorders>
              <w:top w:val="single" w:color="auto" w:sz="4" w:space="0"/>
              <w:left w:val="nil"/>
              <w:bottom w:val="single" w:color="auto" w:sz="4" w:space="0"/>
              <w:right w:val="single" w:color="auto" w:sz="4" w:space="0"/>
            </w:tcBorders>
            <w:vAlign w:val="center"/>
          </w:tcPr>
          <w:p w14:paraId="21F4C3B9">
            <w:pPr>
              <w:spacing w:line="360" w:lineRule="auto"/>
              <w:rPr>
                <w:rFonts w:hint="eastAsia" w:ascii="宋体" w:hAnsi="宋体" w:cs="宋体"/>
                <w:color w:val="auto"/>
                <w:kern w:val="0"/>
                <w:szCs w:val="21"/>
                <w:highlight w:val="none"/>
              </w:rPr>
            </w:pPr>
          </w:p>
        </w:tc>
      </w:tr>
      <w:tr w14:paraId="608909A2">
        <w:tblPrEx>
          <w:tblCellMar>
            <w:top w:w="0" w:type="dxa"/>
            <w:left w:w="108" w:type="dxa"/>
            <w:bottom w:w="0" w:type="dxa"/>
            <w:right w:w="108" w:type="dxa"/>
          </w:tblCellMar>
        </w:tblPrEx>
        <w:trPr>
          <w:trHeight w:val="600" w:hRule="atLeast"/>
        </w:trPr>
        <w:tc>
          <w:tcPr>
            <w:tcW w:w="242" w:type="pct"/>
            <w:tcBorders>
              <w:top w:val="nil"/>
              <w:left w:val="single" w:color="auto" w:sz="4" w:space="0"/>
              <w:bottom w:val="single" w:color="auto" w:sz="4" w:space="0"/>
              <w:right w:val="single" w:color="auto" w:sz="4" w:space="0"/>
            </w:tcBorders>
            <w:vAlign w:val="center"/>
          </w:tcPr>
          <w:p w14:paraId="560A7F54">
            <w:pPr>
              <w:spacing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w:t>
            </w:r>
          </w:p>
        </w:tc>
        <w:tc>
          <w:tcPr>
            <w:tcW w:w="1414" w:type="pct"/>
            <w:tcBorders>
              <w:top w:val="nil"/>
              <w:left w:val="nil"/>
              <w:bottom w:val="single" w:color="auto" w:sz="4" w:space="0"/>
              <w:right w:val="single" w:color="auto" w:sz="4" w:space="0"/>
            </w:tcBorders>
            <w:vAlign w:val="center"/>
          </w:tcPr>
          <w:p w14:paraId="6BC392C1">
            <w:pPr>
              <w:spacing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投标总报价</w:t>
            </w:r>
          </w:p>
        </w:tc>
        <w:tc>
          <w:tcPr>
            <w:tcW w:w="440" w:type="pct"/>
            <w:tcBorders>
              <w:top w:val="nil"/>
              <w:left w:val="nil"/>
              <w:bottom w:val="single" w:color="auto" w:sz="4" w:space="0"/>
              <w:right w:val="single" w:color="auto" w:sz="4" w:space="0"/>
            </w:tcBorders>
            <w:vAlign w:val="center"/>
          </w:tcPr>
          <w:p w14:paraId="48E1DCC4">
            <w:pPr>
              <w:spacing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430" w:type="pct"/>
            <w:tcBorders>
              <w:top w:val="nil"/>
              <w:left w:val="nil"/>
              <w:bottom w:val="single" w:color="auto" w:sz="4" w:space="0"/>
              <w:right w:val="single" w:color="auto" w:sz="4" w:space="0"/>
            </w:tcBorders>
            <w:vAlign w:val="center"/>
          </w:tcPr>
          <w:p w14:paraId="1BDF1F5A">
            <w:pPr>
              <w:spacing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007" w:type="pct"/>
            <w:tcBorders>
              <w:top w:val="nil"/>
              <w:left w:val="nil"/>
              <w:bottom w:val="single" w:color="auto" w:sz="4" w:space="0"/>
              <w:right w:val="single" w:color="auto" w:sz="4" w:space="0"/>
              <w:tr2bl w:val="single" w:color="auto" w:sz="4" w:space="0"/>
            </w:tcBorders>
            <w:vAlign w:val="center"/>
          </w:tcPr>
          <w:p w14:paraId="59C2727F">
            <w:pPr>
              <w:spacing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394" w:type="pct"/>
            <w:tcBorders>
              <w:top w:val="nil"/>
              <w:left w:val="nil"/>
              <w:bottom w:val="single" w:color="auto" w:sz="4" w:space="0"/>
              <w:right w:val="single" w:color="auto" w:sz="4" w:space="0"/>
            </w:tcBorders>
            <w:vAlign w:val="center"/>
          </w:tcPr>
          <w:p w14:paraId="13AF51D3">
            <w:pPr>
              <w:spacing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069" w:type="pct"/>
            <w:tcBorders>
              <w:top w:val="single" w:color="auto" w:sz="4" w:space="0"/>
              <w:left w:val="nil"/>
              <w:bottom w:val="single" w:color="auto" w:sz="4" w:space="0"/>
              <w:right w:val="single" w:color="auto" w:sz="4" w:space="0"/>
            </w:tcBorders>
            <w:vAlign w:val="center"/>
          </w:tcPr>
          <w:p w14:paraId="47E2BD68">
            <w:pPr>
              <w:spacing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∑A=A</w:t>
            </w:r>
            <w:r>
              <w:rPr>
                <w:rFonts w:hint="eastAsia" w:ascii="宋体" w:hAnsi="宋体" w:cs="宋体"/>
                <w:color w:val="auto"/>
                <w:kern w:val="0"/>
                <w:szCs w:val="21"/>
                <w:highlight w:val="none"/>
                <w:vertAlign w:val="subscript"/>
              </w:rPr>
              <w:t>1</w:t>
            </w:r>
            <w:r>
              <w:rPr>
                <w:rFonts w:hint="eastAsia" w:ascii="宋体" w:hAnsi="宋体" w:cs="宋体"/>
                <w:color w:val="auto"/>
                <w:kern w:val="0"/>
                <w:szCs w:val="21"/>
                <w:highlight w:val="none"/>
              </w:rPr>
              <w:t>+A</w:t>
            </w:r>
            <w:r>
              <w:rPr>
                <w:rFonts w:hint="eastAsia" w:ascii="宋体" w:hAnsi="宋体" w:cs="宋体"/>
                <w:color w:val="auto"/>
                <w:kern w:val="0"/>
                <w:szCs w:val="21"/>
                <w:highlight w:val="none"/>
                <w:vertAlign w:val="subscript"/>
              </w:rPr>
              <w:t>2</w:t>
            </w:r>
            <w:r>
              <w:rPr>
                <w:rFonts w:hint="eastAsia" w:ascii="宋体" w:hAnsi="宋体" w:cs="宋体"/>
                <w:color w:val="auto"/>
                <w:kern w:val="0"/>
                <w:szCs w:val="21"/>
                <w:highlight w:val="none"/>
              </w:rPr>
              <w:t>+…An；∑B=B</w:t>
            </w:r>
            <w:r>
              <w:rPr>
                <w:rFonts w:hint="eastAsia" w:ascii="宋体" w:hAnsi="宋体" w:cs="宋体"/>
                <w:color w:val="auto"/>
                <w:kern w:val="0"/>
                <w:szCs w:val="21"/>
                <w:highlight w:val="none"/>
                <w:vertAlign w:val="subscript"/>
              </w:rPr>
              <w:t>1</w:t>
            </w:r>
            <w:r>
              <w:rPr>
                <w:rFonts w:hint="eastAsia" w:ascii="宋体" w:hAnsi="宋体" w:cs="宋体"/>
                <w:color w:val="auto"/>
                <w:kern w:val="0"/>
                <w:szCs w:val="21"/>
                <w:highlight w:val="none"/>
              </w:rPr>
              <w:t>+B</w:t>
            </w:r>
            <w:r>
              <w:rPr>
                <w:rFonts w:hint="eastAsia" w:ascii="宋体" w:hAnsi="宋体" w:cs="宋体"/>
                <w:color w:val="auto"/>
                <w:kern w:val="0"/>
                <w:szCs w:val="21"/>
                <w:highlight w:val="none"/>
                <w:vertAlign w:val="subscript"/>
              </w:rPr>
              <w:t>2</w:t>
            </w:r>
            <w:r>
              <w:rPr>
                <w:rFonts w:hint="eastAsia" w:ascii="宋体" w:hAnsi="宋体" w:cs="宋体"/>
                <w:color w:val="auto"/>
                <w:kern w:val="0"/>
                <w:szCs w:val="21"/>
                <w:highlight w:val="none"/>
              </w:rPr>
              <w:t>+…Bn</w:t>
            </w:r>
          </w:p>
        </w:tc>
      </w:tr>
    </w:tbl>
    <w:p w14:paraId="0443774D">
      <w:pPr>
        <w:spacing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修正原则：</w:t>
      </w:r>
      <w:r>
        <w:rPr>
          <w:rFonts w:hint="eastAsia" w:ascii="宋体" w:hAnsi="宋体" w:cs="宋体"/>
          <w:color w:val="auto"/>
          <w:szCs w:val="21"/>
          <w:highlight w:val="none"/>
        </w:rPr>
        <w:t>按就低不就高原则，当修正后报价小于原报价，总价按修正后报价；当修正后报价大于原报价，总价按原报价，并在签订合同时载明在结算价中扣除修正报价与原报价的差额。</w:t>
      </w:r>
      <w:r>
        <w:rPr>
          <w:rFonts w:hint="eastAsia" w:ascii="宋体" w:hAnsi="宋体" w:cs="宋体"/>
          <w:color w:val="auto"/>
          <w:kern w:val="0"/>
          <w:szCs w:val="21"/>
          <w:highlight w:val="none"/>
        </w:rPr>
        <w:tab/>
      </w:r>
    </w:p>
    <w:p w14:paraId="2B448A95">
      <w:pPr>
        <w:spacing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评委签名：</w:t>
      </w:r>
    </w:p>
    <w:p w14:paraId="7F854626">
      <w:pPr>
        <w:spacing w:line="360" w:lineRule="auto"/>
        <w:rPr>
          <w:rFonts w:hint="eastAsia" w:ascii="宋体" w:hAnsi="宋体" w:cs="宋体"/>
          <w:color w:val="auto"/>
          <w:highlight w:val="none"/>
        </w:rPr>
      </w:pPr>
    </w:p>
    <w:p w14:paraId="36E11FB5">
      <w:pPr>
        <w:spacing w:line="360" w:lineRule="auto"/>
        <w:rPr>
          <w:rFonts w:hint="eastAsia" w:ascii="宋体" w:hAnsi="宋体" w:cs="宋体"/>
          <w:color w:val="auto"/>
          <w:highlight w:val="none"/>
        </w:rPr>
      </w:pPr>
      <w:r>
        <w:rPr>
          <w:rFonts w:hint="eastAsia" w:ascii="宋体" w:hAnsi="宋体" w:cs="宋体"/>
          <w:color w:val="auto"/>
          <w:highlight w:val="none"/>
        </w:rPr>
        <w:br w:type="page"/>
      </w:r>
    </w:p>
    <w:p w14:paraId="758A3EFD">
      <w:pPr>
        <w:spacing w:line="360" w:lineRule="auto"/>
        <w:jc w:val="center"/>
        <w:rPr>
          <w:rFonts w:hint="eastAsia" w:ascii="宋体" w:hAnsi="宋体" w:cs="宋体"/>
          <w:b/>
          <w:color w:val="auto"/>
          <w:sz w:val="36"/>
          <w:szCs w:val="36"/>
          <w:highlight w:val="none"/>
        </w:rPr>
      </w:pPr>
      <w:r>
        <w:rPr>
          <w:rFonts w:hint="eastAsia" w:ascii="宋体" w:hAnsi="宋体" w:cs="宋体"/>
          <w:b/>
          <w:color w:val="auto"/>
          <w:sz w:val="36"/>
          <w:szCs w:val="36"/>
          <w:highlight w:val="none"/>
        </w:rPr>
        <w:t>算术复核表</w:t>
      </w:r>
    </w:p>
    <w:p w14:paraId="539F60C0">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工程名称：</w:t>
      </w:r>
    </w:p>
    <w:tbl>
      <w:tblPr>
        <w:tblStyle w:val="3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8"/>
        <w:gridCol w:w="2825"/>
        <w:gridCol w:w="1516"/>
        <w:gridCol w:w="2028"/>
        <w:gridCol w:w="2392"/>
      </w:tblGrid>
      <w:tr w14:paraId="3DBC3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360" w:type="pct"/>
            <w:tcBorders>
              <w:top w:val="single" w:color="auto" w:sz="4" w:space="0"/>
              <w:left w:val="single" w:color="auto" w:sz="4" w:space="0"/>
              <w:bottom w:val="single" w:color="auto" w:sz="4" w:space="0"/>
              <w:right w:val="single" w:color="auto" w:sz="4" w:space="0"/>
            </w:tcBorders>
            <w:vAlign w:val="center"/>
          </w:tcPr>
          <w:p w14:paraId="244F94DF">
            <w:pPr>
              <w:spacing w:line="360" w:lineRule="auto"/>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rPr>
              <w:t>编号</w:t>
            </w:r>
          </w:p>
        </w:tc>
        <w:tc>
          <w:tcPr>
            <w:tcW w:w="1516" w:type="pct"/>
            <w:tcBorders>
              <w:top w:val="single" w:color="auto" w:sz="4" w:space="0"/>
              <w:left w:val="single" w:color="auto" w:sz="4" w:space="0"/>
              <w:bottom w:val="single" w:color="auto" w:sz="4" w:space="0"/>
              <w:right w:val="single" w:color="auto" w:sz="4" w:space="0"/>
            </w:tcBorders>
            <w:vAlign w:val="center"/>
          </w:tcPr>
          <w:p w14:paraId="1C0EF0CD">
            <w:pPr>
              <w:spacing w:line="360" w:lineRule="auto"/>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rPr>
              <w:t>投标人名称</w:t>
            </w:r>
          </w:p>
        </w:tc>
        <w:tc>
          <w:tcPr>
            <w:tcW w:w="821" w:type="pct"/>
            <w:tcBorders>
              <w:top w:val="single" w:color="auto" w:sz="4" w:space="0"/>
              <w:left w:val="single" w:color="auto" w:sz="4" w:space="0"/>
              <w:bottom w:val="single" w:color="auto" w:sz="4" w:space="0"/>
              <w:right w:val="single" w:color="auto" w:sz="4" w:space="0"/>
            </w:tcBorders>
            <w:vAlign w:val="center"/>
          </w:tcPr>
          <w:p w14:paraId="0438AE62">
            <w:pPr>
              <w:spacing w:line="360" w:lineRule="auto"/>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rPr>
              <w:t>原投标报价（A）</w:t>
            </w:r>
          </w:p>
        </w:tc>
        <w:tc>
          <w:tcPr>
            <w:tcW w:w="1093" w:type="pct"/>
            <w:tcBorders>
              <w:top w:val="single" w:color="auto" w:sz="4" w:space="0"/>
              <w:left w:val="single" w:color="auto" w:sz="4" w:space="0"/>
              <w:bottom w:val="single" w:color="auto" w:sz="4" w:space="0"/>
              <w:right w:val="single" w:color="auto" w:sz="4" w:space="0"/>
            </w:tcBorders>
            <w:vAlign w:val="center"/>
          </w:tcPr>
          <w:p w14:paraId="0D86AB23">
            <w:pPr>
              <w:spacing w:line="360" w:lineRule="auto"/>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rPr>
              <w:t>算数复核后投标报价（B）</w:t>
            </w:r>
          </w:p>
        </w:tc>
        <w:tc>
          <w:tcPr>
            <w:tcW w:w="1207" w:type="pct"/>
            <w:tcBorders>
              <w:top w:val="single" w:color="auto" w:sz="4" w:space="0"/>
              <w:left w:val="single" w:color="auto" w:sz="4" w:space="0"/>
              <w:bottom w:val="single" w:color="auto" w:sz="4" w:space="0"/>
              <w:right w:val="single" w:color="auto" w:sz="4" w:space="0"/>
            </w:tcBorders>
            <w:vAlign w:val="center"/>
          </w:tcPr>
          <w:p w14:paraId="026026C6">
            <w:pPr>
              <w:spacing w:line="360" w:lineRule="auto"/>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rPr>
              <w:t>误差率（r=|A-B|/A*100%）</w:t>
            </w:r>
          </w:p>
        </w:tc>
      </w:tr>
      <w:tr w14:paraId="0A70D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 w:type="pct"/>
            <w:tcBorders>
              <w:top w:val="single" w:color="auto" w:sz="4" w:space="0"/>
              <w:left w:val="single" w:color="auto" w:sz="4" w:space="0"/>
              <w:bottom w:val="single" w:color="auto" w:sz="4" w:space="0"/>
              <w:right w:val="single" w:color="auto" w:sz="4" w:space="0"/>
            </w:tcBorders>
          </w:tcPr>
          <w:p w14:paraId="77B959DB">
            <w:pPr>
              <w:spacing w:line="360" w:lineRule="auto"/>
              <w:rPr>
                <w:rFonts w:hint="eastAsia" w:ascii="宋体" w:hAnsi="宋体" w:cs="宋体"/>
                <w:color w:val="auto"/>
                <w:sz w:val="36"/>
                <w:szCs w:val="36"/>
                <w:highlight w:val="none"/>
              </w:rPr>
            </w:pPr>
          </w:p>
        </w:tc>
        <w:tc>
          <w:tcPr>
            <w:tcW w:w="1516" w:type="pct"/>
            <w:tcBorders>
              <w:top w:val="single" w:color="auto" w:sz="4" w:space="0"/>
              <w:left w:val="single" w:color="auto" w:sz="4" w:space="0"/>
              <w:bottom w:val="single" w:color="auto" w:sz="4" w:space="0"/>
              <w:right w:val="single" w:color="auto" w:sz="4" w:space="0"/>
            </w:tcBorders>
          </w:tcPr>
          <w:p w14:paraId="1CB92AF6">
            <w:pPr>
              <w:spacing w:line="360" w:lineRule="auto"/>
              <w:rPr>
                <w:rFonts w:hint="eastAsia" w:ascii="宋体" w:hAnsi="宋体" w:cs="宋体"/>
                <w:color w:val="auto"/>
                <w:sz w:val="36"/>
                <w:szCs w:val="36"/>
                <w:highlight w:val="none"/>
              </w:rPr>
            </w:pPr>
          </w:p>
        </w:tc>
        <w:tc>
          <w:tcPr>
            <w:tcW w:w="821" w:type="pct"/>
            <w:tcBorders>
              <w:top w:val="single" w:color="auto" w:sz="4" w:space="0"/>
              <w:left w:val="single" w:color="auto" w:sz="4" w:space="0"/>
              <w:bottom w:val="single" w:color="auto" w:sz="4" w:space="0"/>
              <w:right w:val="single" w:color="auto" w:sz="4" w:space="0"/>
            </w:tcBorders>
          </w:tcPr>
          <w:p w14:paraId="06B1D159">
            <w:pPr>
              <w:spacing w:line="360" w:lineRule="auto"/>
              <w:rPr>
                <w:rFonts w:hint="eastAsia" w:ascii="宋体" w:hAnsi="宋体" w:cs="宋体"/>
                <w:color w:val="auto"/>
                <w:sz w:val="36"/>
                <w:szCs w:val="36"/>
                <w:highlight w:val="none"/>
              </w:rPr>
            </w:pPr>
          </w:p>
        </w:tc>
        <w:tc>
          <w:tcPr>
            <w:tcW w:w="1093" w:type="pct"/>
            <w:tcBorders>
              <w:top w:val="single" w:color="auto" w:sz="4" w:space="0"/>
              <w:left w:val="single" w:color="auto" w:sz="4" w:space="0"/>
              <w:bottom w:val="single" w:color="auto" w:sz="4" w:space="0"/>
              <w:right w:val="single" w:color="auto" w:sz="4" w:space="0"/>
            </w:tcBorders>
          </w:tcPr>
          <w:p w14:paraId="6EB8FCB9">
            <w:pPr>
              <w:spacing w:line="360" w:lineRule="auto"/>
              <w:rPr>
                <w:rFonts w:hint="eastAsia" w:ascii="宋体" w:hAnsi="宋体" w:cs="宋体"/>
                <w:color w:val="auto"/>
                <w:sz w:val="36"/>
                <w:szCs w:val="36"/>
                <w:highlight w:val="none"/>
              </w:rPr>
            </w:pPr>
          </w:p>
        </w:tc>
        <w:tc>
          <w:tcPr>
            <w:tcW w:w="1207" w:type="pct"/>
            <w:tcBorders>
              <w:top w:val="single" w:color="auto" w:sz="4" w:space="0"/>
              <w:left w:val="single" w:color="auto" w:sz="4" w:space="0"/>
              <w:bottom w:val="single" w:color="auto" w:sz="4" w:space="0"/>
              <w:right w:val="single" w:color="auto" w:sz="4" w:space="0"/>
            </w:tcBorders>
          </w:tcPr>
          <w:p w14:paraId="49C44AA7">
            <w:pPr>
              <w:spacing w:line="360" w:lineRule="auto"/>
              <w:rPr>
                <w:rFonts w:hint="eastAsia" w:ascii="宋体" w:hAnsi="宋体" w:cs="宋体"/>
                <w:color w:val="auto"/>
                <w:sz w:val="36"/>
                <w:szCs w:val="36"/>
                <w:highlight w:val="none"/>
              </w:rPr>
            </w:pPr>
          </w:p>
        </w:tc>
      </w:tr>
      <w:tr w14:paraId="7F534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 w:type="pct"/>
            <w:tcBorders>
              <w:top w:val="single" w:color="auto" w:sz="4" w:space="0"/>
              <w:left w:val="single" w:color="auto" w:sz="4" w:space="0"/>
              <w:bottom w:val="single" w:color="auto" w:sz="4" w:space="0"/>
              <w:right w:val="single" w:color="auto" w:sz="4" w:space="0"/>
            </w:tcBorders>
          </w:tcPr>
          <w:p w14:paraId="25C86589">
            <w:pPr>
              <w:spacing w:line="360" w:lineRule="auto"/>
              <w:rPr>
                <w:rFonts w:hint="eastAsia" w:ascii="宋体" w:hAnsi="宋体" w:cs="宋体"/>
                <w:color w:val="auto"/>
                <w:sz w:val="36"/>
                <w:szCs w:val="36"/>
                <w:highlight w:val="none"/>
              </w:rPr>
            </w:pPr>
          </w:p>
        </w:tc>
        <w:tc>
          <w:tcPr>
            <w:tcW w:w="1516" w:type="pct"/>
            <w:tcBorders>
              <w:top w:val="single" w:color="auto" w:sz="4" w:space="0"/>
              <w:left w:val="single" w:color="auto" w:sz="4" w:space="0"/>
              <w:bottom w:val="single" w:color="auto" w:sz="4" w:space="0"/>
              <w:right w:val="single" w:color="auto" w:sz="4" w:space="0"/>
            </w:tcBorders>
          </w:tcPr>
          <w:p w14:paraId="13EBF6BD">
            <w:pPr>
              <w:spacing w:line="360" w:lineRule="auto"/>
              <w:rPr>
                <w:rFonts w:hint="eastAsia" w:ascii="宋体" w:hAnsi="宋体" w:cs="宋体"/>
                <w:color w:val="auto"/>
                <w:sz w:val="36"/>
                <w:szCs w:val="36"/>
                <w:highlight w:val="none"/>
              </w:rPr>
            </w:pPr>
          </w:p>
        </w:tc>
        <w:tc>
          <w:tcPr>
            <w:tcW w:w="821" w:type="pct"/>
            <w:tcBorders>
              <w:top w:val="single" w:color="auto" w:sz="4" w:space="0"/>
              <w:left w:val="single" w:color="auto" w:sz="4" w:space="0"/>
              <w:bottom w:val="single" w:color="auto" w:sz="4" w:space="0"/>
              <w:right w:val="single" w:color="auto" w:sz="4" w:space="0"/>
            </w:tcBorders>
          </w:tcPr>
          <w:p w14:paraId="5E656C74">
            <w:pPr>
              <w:spacing w:line="360" w:lineRule="auto"/>
              <w:rPr>
                <w:rFonts w:hint="eastAsia" w:ascii="宋体" w:hAnsi="宋体" w:cs="宋体"/>
                <w:color w:val="auto"/>
                <w:sz w:val="36"/>
                <w:szCs w:val="36"/>
                <w:highlight w:val="none"/>
              </w:rPr>
            </w:pPr>
          </w:p>
        </w:tc>
        <w:tc>
          <w:tcPr>
            <w:tcW w:w="1093" w:type="pct"/>
            <w:tcBorders>
              <w:top w:val="single" w:color="auto" w:sz="4" w:space="0"/>
              <w:left w:val="single" w:color="auto" w:sz="4" w:space="0"/>
              <w:bottom w:val="single" w:color="auto" w:sz="4" w:space="0"/>
              <w:right w:val="single" w:color="auto" w:sz="4" w:space="0"/>
            </w:tcBorders>
          </w:tcPr>
          <w:p w14:paraId="73FE7607">
            <w:pPr>
              <w:spacing w:line="360" w:lineRule="auto"/>
              <w:rPr>
                <w:rFonts w:hint="eastAsia" w:ascii="宋体" w:hAnsi="宋体" w:cs="宋体"/>
                <w:color w:val="auto"/>
                <w:sz w:val="36"/>
                <w:szCs w:val="36"/>
                <w:highlight w:val="none"/>
              </w:rPr>
            </w:pPr>
          </w:p>
        </w:tc>
        <w:tc>
          <w:tcPr>
            <w:tcW w:w="1207" w:type="pct"/>
            <w:tcBorders>
              <w:top w:val="single" w:color="auto" w:sz="4" w:space="0"/>
              <w:left w:val="single" w:color="auto" w:sz="4" w:space="0"/>
              <w:bottom w:val="single" w:color="auto" w:sz="4" w:space="0"/>
              <w:right w:val="single" w:color="auto" w:sz="4" w:space="0"/>
            </w:tcBorders>
          </w:tcPr>
          <w:p w14:paraId="0402ED39">
            <w:pPr>
              <w:spacing w:line="360" w:lineRule="auto"/>
              <w:rPr>
                <w:rFonts w:hint="eastAsia" w:ascii="宋体" w:hAnsi="宋体" w:cs="宋体"/>
                <w:color w:val="auto"/>
                <w:sz w:val="36"/>
                <w:szCs w:val="36"/>
                <w:highlight w:val="none"/>
              </w:rPr>
            </w:pPr>
          </w:p>
        </w:tc>
      </w:tr>
      <w:tr w14:paraId="45655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 w:type="pct"/>
            <w:tcBorders>
              <w:top w:val="single" w:color="auto" w:sz="4" w:space="0"/>
              <w:left w:val="single" w:color="auto" w:sz="4" w:space="0"/>
              <w:bottom w:val="single" w:color="auto" w:sz="4" w:space="0"/>
              <w:right w:val="single" w:color="auto" w:sz="4" w:space="0"/>
            </w:tcBorders>
          </w:tcPr>
          <w:p w14:paraId="3A02863B">
            <w:pPr>
              <w:spacing w:line="360" w:lineRule="auto"/>
              <w:rPr>
                <w:rFonts w:hint="eastAsia" w:ascii="宋体" w:hAnsi="宋体" w:cs="宋体"/>
                <w:color w:val="auto"/>
                <w:sz w:val="36"/>
                <w:szCs w:val="36"/>
                <w:highlight w:val="none"/>
              </w:rPr>
            </w:pPr>
          </w:p>
        </w:tc>
        <w:tc>
          <w:tcPr>
            <w:tcW w:w="1516" w:type="pct"/>
            <w:tcBorders>
              <w:top w:val="single" w:color="auto" w:sz="4" w:space="0"/>
              <w:left w:val="single" w:color="auto" w:sz="4" w:space="0"/>
              <w:bottom w:val="single" w:color="auto" w:sz="4" w:space="0"/>
              <w:right w:val="single" w:color="auto" w:sz="4" w:space="0"/>
            </w:tcBorders>
          </w:tcPr>
          <w:p w14:paraId="0DE4602D">
            <w:pPr>
              <w:spacing w:line="360" w:lineRule="auto"/>
              <w:rPr>
                <w:rFonts w:hint="eastAsia" w:ascii="宋体" w:hAnsi="宋体" w:cs="宋体"/>
                <w:color w:val="auto"/>
                <w:sz w:val="36"/>
                <w:szCs w:val="36"/>
                <w:highlight w:val="none"/>
              </w:rPr>
            </w:pPr>
          </w:p>
        </w:tc>
        <w:tc>
          <w:tcPr>
            <w:tcW w:w="821" w:type="pct"/>
            <w:tcBorders>
              <w:top w:val="single" w:color="auto" w:sz="4" w:space="0"/>
              <w:left w:val="single" w:color="auto" w:sz="4" w:space="0"/>
              <w:bottom w:val="single" w:color="auto" w:sz="4" w:space="0"/>
              <w:right w:val="single" w:color="auto" w:sz="4" w:space="0"/>
            </w:tcBorders>
          </w:tcPr>
          <w:p w14:paraId="0D4A508E">
            <w:pPr>
              <w:spacing w:line="360" w:lineRule="auto"/>
              <w:rPr>
                <w:rFonts w:hint="eastAsia" w:ascii="宋体" w:hAnsi="宋体" w:cs="宋体"/>
                <w:color w:val="auto"/>
                <w:sz w:val="36"/>
                <w:szCs w:val="36"/>
                <w:highlight w:val="none"/>
              </w:rPr>
            </w:pPr>
          </w:p>
        </w:tc>
        <w:tc>
          <w:tcPr>
            <w:tcW w:w="1093" w:type="pct"/>
            <w:tcBorders>
              <w:top w:val="single" w:color="auto" w:sz="4" w:space="0"/>
              <w:left w:val="single" w:color="auto" w:sz="4" w:space="0"/>
              <w:bottom w:val="single" w:color="auto" w:sz="4" w:space="0"/>
              <w:right w:val="single" w:color="auto" w:sz="4" w:space="0"/>
            </w:tcBorders>
          </w:tcPr>
          <w:p w14:paraId="7700FF85">
            <w:pPr>
              <w:spacing w:line="360" w:lineRule="auto"/>
              <w:rPr>
                <w:rFonts w:hint="eastAsia" w:ascii="宋体" w:hAnsi="宋体" w:cs="宋体"/>
                <w:color w:val="auto"/>
                <w:sz w:val="36"/>
                <w:szCs w:val="36"/>
                <w:highlight w:val="none"/>
              </w:rPr>
            </w:pPr>
          </w:p>
        </w:tc>
        <w:tc>
          <w:tcPr>
            <w:tcW w:w="1207" w:type="pct"/>
            <w:tcBorders>
              <w:top w:val="single" w:color="auto" w:sz="4" w:space="0"/>
              <w:left w:val="single" w:color="auto" w:sz="4" w:space="0"/>
              <w:bottom w:val="single" w:color="auto" w:sz="4" w:space="0"/>
              <w:right w:val="single" w:color="auto" w:sz="4" w:space="0"/>
            </w:tcBorders>
          </w:tcPr>
          <w:p w14:paraId="7C578A66">
            <w:pPr>
              <w:spacing w:line="360" w:lineRule="auto"/>
              <w:rPr>
                <w:rFonts w:hint="eastAsia" w:ascii="宋体" w:hAnsi="宋体" w:cs="宋体"/>
                <w:color w:val="auto"/>
                <w:sz w:val="36"/>
                <w:szCs w:val="36"/>
                <w:highlight w:val="none"/>
              </w:rPr>
            </w:pPr>
          </w:p>
        </w:tc>
      </w:tr>
      <w:tr w14:paraId="101C3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60" w:type="pct"/>
            <w:tcBorders>
              <w:top w:val="single" w:color="auto" w:sz="4" w:space="0"/>
              <w:left w:val="single" w:color="auto" w:sz="4" w:space="0"/>
              <w:bottom w:val="single" w:color="auto" w:sz="4" w:space="0"/>
              <w:right w:val="single" w:color="auto" w:sz="4" w:space="0"/>
            </w:tcBorders>
          </w:tcPr>
          <w:p w14:paraId="5C1EB3C3">
            <w:pPr>
              <w:spacing w:line="360" w:lineRule="auto"/>
              <w:rPr>
                <w:rFonts w:hint="eastAsia" w:ascii="宋体" w:hAnsi="宋体" w:cs="宋体"/>
                <w:color w:val="auto"/>
                <w:sz w:val="36"/>
                <w:szCs w:val="36"/>
                <w:highlight w:val="none"/>
              </w:rPr>
            </w:pPr>
          </w:p>
        </w:tc>
        <w:tc>
          <w:tcPr>
            <w:tcW w:w="1516" w:type="pct"/>
            <w:tcBorders>
              <w:top w:val="single" w:color="auto" w:sz="4" w:space="0"/>
              <w:left w:val="single" w:color="auto" w:sz="4" w:space="0"/>
              <w:bottom w:val="single" w:color="auto" w:sz="4" w:space="0"/>
              <w:right w:val="single" w:color="auto" w:sz="4" w:space="0"/>
            </w:tcBorders>
          </w:tcPr>
          <w:p w14:paraId="20E317CF">
            <w:pPr>
              <w:spacing w:line="360" w:lineRule="auto"/>
              <w:rPr>
                <w:rFonts w:hint="eastAsia" w:ascii="宋体" w:hAnsi="宋体" w:cs="宋体"/>
                <w:color w:val="auto"/>
                <w:sz w:val="36"/>
                <w:szCs w:val="36"/>
                <w:highlight w:val="none"/>
              </w:rPr>
            </w:pPr>
          </w:p>
        </w:tc>
        <w:tc>
          <w:tcPr>
            <w:tcW w:w="821" w:type="pct"/>
            <w:tcBorders>
              <w:top w:val="single" w:color="auto" w:sz="4" w:space="0"/>
              <w:left w:val="single" w:color="auto" w:sz="4" w:space="0"/>
              <w:bottom w:val="single" w:color="auto" w:sz="4" w:space="0"/>
              <w:right w:val="single" w:color="auto" w:sz="4" w:space="0"/>
            </w:tcBorders>
          </w:tcPr>
          <w:p w14:paraId="43151D1E">
            <w:pPr>
              <w:spacing w:line="360" w:lineRule="auto"/>
              <w:rPr>
                <w:rFonts w:hint="eastAsia" w:ascii="宋体" w:hAnsi="宋体" w:cs="宋体"/>
                <w:color w:val="auto"/>
                <w:sz w:val="36"/>
                <w:szCs w:val="36"/>
                <w:highlight w:val="none"/>
              </w:rPr>
            </w:pPr>
          </w:p>
        </w:tc>
        <w:tc>
          <w:tcPr>
            <w:tcW w:w="1093" w:type="pct"/>
            <w:tcBorders>
              <w:top w:val="single" w:color="auto" w:sz="4" w:space="0"/>
              <w:left w:val="single" w:color="auto" w:sz="4" w:space="0"/>
              <w:bottom w:val="single" w:color="auto" w:sz="4" w:space="0"/>
              <w:right w:val="single" w:color="auto" w:sz="4" w:space="0"/>
            </w:tcBorders>
          </w:tcPr>
          <w:p w14:paraId="1C0AD53A">
            <w:pPr>
              <w:spacing w:line="360" w:lineRule="auto"/>
              <w:rPr>
                <w:rFonts w:hint="eastAsia" w:ascii="宋体" w:hAnsi="宋体" w:cs="宋体"/>
                <w:color w:val="auto"/>
                <w:sz w:val="36"/>
                <w:szCs w:val="36"/>
                <w:highlight w:val="none"/>
              </w:rPr>
            </w:pPr>
          </w:p>
        </w:tc>
        <w:tc>
          <w:tcPr>
            <w:tcW w:w="1207" w:type="pct"/>
            <w:tcBorders>
              <w:top w:val="single" w:color="auto" w:sz="4" w:space="0"/>
              <w:left w:val="single" w:color="auto" w:sz="4" w:space="0"/>
              <w:bottom w:val="single" w:color="auto" w:sz="4" w:space="0"/>
              <w:right w:val="single" w:color="auto" w:sz="4" w:space="0"/>
            </w:tcBorders>
          </w:tcPr>
          <w:p w14:paraId="66A2D6ED">
            <w:pPr>
              <w:spacing w:line="360" w:lineRule="auto"/>
              <w:rPr>
                <w:rFonts w:hint="eastAsia" w:ascii="宋体" w:hAnsi="宋体" w:cs="宋体"/>
                <w:color w:val="auto"/>
                <w:sz w:val="36"/>
                <w:szCs w:val="36"/>
                <w:highlight w:val="none"/>
              </w:rPr>
            </w:pPr>
          </w:p>
        </w:tc>
      </w:tr>
      <w:tr w14:paraId="38756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 w:type="pct"/>
            <w:tcBorders>
              <w:top w:val="single" w:color="auto" w:sz="4" w:space="0"/>
              <w:left w:val="single" w:color="auto" w:sz="4" w:space="0"/>
              <w:bottom w:val="single" w:color="auto" w:sz="4" w:space="0"/>
              <w:right w:val="single" w:color="auto" w:sz="4" w:space="0"/>
            </w:tcBorders>
          </w:tcPr>
          <w:p w14:paraId="26BDFA6E">
            <w:pPr>
              <w:spacing w:line="360" w:lineRule="auto"/>
              <w:rPr>
                <w:rFonts w:hint="eastAsia" w:ascii="宋体" w:hAnsi="宋体" w:cs="宋体"/>
                <w:color w:val="auto"/>
                <w:sz w:val="36"/>
                <w:szCs w:val="36"/>
                <w:highlight w:val="none"/>
              </w:rPr>
            </w:pPr>
          </w:p>
        </w:tc>
        <w:tc>
          <w:tcPr>
            <w:tcW w:w="1516" w:type="pct"/>
            <w:tcBorders>
              <w:top w:val="single" w:color="auto" w:sz="4" w:space="0"/>
              <w:left w:val="single" w:color="auto" w:sz="4" w:space="0"/>
              <w:bottom w:val="single" w:color="auto" w:sz="4" w:space="0"/>
              <w:right w:val="single" w:color="auto" w:sz="4" w:space="0"/>
            </w:tcBorders>
          </w:tcPr>
          <w:p w14:paraId="613D2660">
            <w:pPr>
              <w:spacing w:line="360" w:lineRule="auto"/>
              <w:rPr>
                <w:rFonts w:hint="eastAsia" w:ascii="宋体" w:hAnsi="宋体" w:cs="宋体"/>
                <w:color w:val="auto"/>
                <w:sz w:val="36"/>
                <w:szCs w:val="36"/>
                <w:highlight w:val="none"/>
              </w:rPr>
            </w:pPr>
          </w:p>
        </w:tc>
        <w:tc>
          <w:tcPr>
            <w:tcW w:w="821" w:type="pct"/>
            <w:tcBorders>
              <w:top w:val="single" w:color="auto" w:sz="4" w:space="0"/>
              <w:left w:val="single" w:color="auto" w:sz="4" w:space="0"/>
              <w:bottom w:val="single" w:color="auto" w:sz="4" w:space="0"/>
              <w:right w:val="single" w:color="auto" w:sz="4" w:space="0"/>
            </w:tcBorders>
          </w:tcPr>
          <w:p w14:paraId="01F6179B">
            <w:pPr>
              <w:spacing w:line="360" w:lineRule="auto"/>
              <w:rPr>
                <w:rFonts w:hint="eastAsia" w:ascii="宋体" w:hAnsi="宋体" w:cs="宋体"/>
                <w:color w:val="auto"/>
                <w:sz w:val="36"/>
                <w:szCs w:val="36"/>
                <w:highlight w:val="none"/>
              </w:rPr>
            </w:pPr>
          </w:p>
        </w:tc>
        <w:tc>
          <w:tcPr>
            <w:tcW w:w="1093" w:type="pct"/>
            <w:tcBorders>
              <w:top w:val="single" w:color="auto" w:sz="4" w:space="0"/>
              <w:left w:val="single" w:color="auto" w:sz="4" w:space="0"/>
              <w:bottom w:val="single" w:color="auto" w:sz="4" w:space="0"/>
              <w:right w:val="single" w:color="auto" w:sz="4" w:space="0"/>
            </w:tcBorders>
          </w:tcPr>
          <w:p w14:paraId="58F449E8">
            <w:pPr>
              <w:spacing w:line="360" w:lineRule="auto"/>
              <w:rPr>
                <w:rFonts w:hint="eastAsia" w:ascii="宋体" w:hAnsi="宋体" w:cs="宋体"/>
                <w:color w:val="auto"/>
                <w:sz w:val="36"/>
                <w:szCs w:val="36"/>
                <w:highlight w:val="none"/>
              </w:rPr>
            </w:pPr>
          </w:p>
        </w:tc>
        <w:tc>
          <w:tcPr>
            <w:tcW w:w="1207" w:type="pct"/>
            <w:tcBorders>
              <w:top w:val="single" w:color="auto" w:sz="4" w:space="0"/>
              <w:left w:val="single" w:color="auto" w:sz="4" w:space="0"/>
              <w:bottom w:val="single" w:color="auto" w:sz="4" w:space="0"/>
              <w:right w:val="single" w:color="auto" w:sz="4" w:space="0"/>
            </w:tcBorders>
          </w:tcPr>
          <w:p w14:paraId="2EC436C1">
            <w:pPr>
              <w:spacing w:line="360" w:lineRule="auto"/>
              <w:rPr>
                <w:rFonts w:hint="eastAsia" w:ascii="宋体" w:hAnsi="宋体" w:cs="宋体"/>
                <w:color w:val="auto"/>
                <w:sz w:val="36"/>
                <w:szCs w:val="36"/>
                <w:highlight w:val="none"/>
              </w:rPr>
            </w:pPr>
          </w:p>
        </w:tc>
      </w:tr>
      <w:tr w14:paraId="2B02D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 w:type="pct"/>
            <w:tcBorders>
              <w:top w:val="single" w:color="auto" w:sz="4" w:space="0"/>
              <w:left w:val="single" w:color="auto" w:sz="4" w:space="0"/>
              <w:bottom w:val="single" w:color="auto" w:sz="4" w:space="0"/>
              <w:right w:val="single" w:color="auto" w:sz="4" w:space="0"/>
            </w:tcBorders>
          </w:tcPr>
          <w:p w14:paraId="0A65DADE">
            <w:pPr>
              <w:spacing w:line="360" w:lineRule="auto"/>
              <w:rPr>
                <w:rFonts w:hint="eastAsia" w:ascii="宋体" w:hAnsi="宋体" w:cs="宋体"/>
                <w:color w:val="auto"/>
                <w:sz w:val="36"/>
                <w:szCs w:val="36"/>
                <w:highlight w:val="none"/>
              </w:rPr>
            </w:pPr>
          </w:p>
        </w:tc>
        <w:tc>
          <w:tcPr>
            <w:tcW w:w="1516" w:type="pct"/>
            <w:tcBorders>
              <w:top w:val="single" w:color="auto" w:sz="4" w:space="0"/>
              <w:left w:val="single" w:color="auto" w:sz="4" w:space="0"/>
              <w:bottom w:val="single" w:color="auto" w:sz="4" w:space="0"/>
              <w:right w:val="single" w:color="auto" w:sz="4" w:space="0"/>
            </w:tcBorders>
          </w:tcPr>
          <w:p w14:paraId="008A34C5">
            <w:pPr>
              <w:spacing w:line="360" w:lineRule="auto"/>
              <w:rPr>
                <w:rFonts w:hint="eastAsia" w:ascii="宋体" w:hAnsi="宋体" w:cs="宋体"/>
                <w:color w:val="auto"/>
                <w:sz w:val="36"/>
                <w:szCs w:val="36"/>
                <w:highlight w:val="none"/>
              </w:rPr>
            </w:pPr>
          </w:p>
        </w:tc>
        <w:tc>
          <w:tcPr>
            <w:tcW w:w="821" w:type="pct"/>
            <w:tcBorders>
              <w:top w:val="single" w:color="auto" w:sz="4" w:space="0"/>
              <w:left w:val="single" w:color="auto" w:sz="4" w:space="0"/>
              <w:bottom w:val="single" w:color="auto" w:sz="4" w:space="0"/>
              <w:right w:val="single" w:color="auto" w:sz="4" w:space="0"/>
            </w:tcBorders>
          </w:tcPr>
          <w:p w14:paraId="51170CEF">
            <w:pPr>
              <w:spacing w:line="360" w:lineRule="auto"/>
              <w:rPr>
                <w:rFonts w:hint="eastAsia" w:ascii="宋体" w:hAnsi="宋体" w:cs="宋体"/>
                <w:color w:val="auto"/>
                <w:sz w:val="36"/>
                <w:szCs w:val="36"/>
                <w:highlight w:val="none"/>
              </w:rPr>
            </w:pPr>
          </w:p>
        </w:tc>
        <w:tc>
          <w:tcPr>
            <w:tcW w:w="1093" w:type="pct"/>
            <w:tcBorders>
              <w:top w:val="single" w:color="auto" w:sz="4" w:space="0"/>
              <w:left w:val="single" w:color="auto" w:sz="4" w:space="0"/>
              <w:bottom w:val="single" w:color="auto" w:sz="4" w:space="0"/>
              <w:right w:val="single" w:color="auto" w:sz="4" w:space="0"/>
            </w:tcBorders>
          </w:tcPr>
          <w:p w14:paraId="7C57FC79">
            <w:pPr>
              <w:spacing w:line="360" w:lineRule="auto"/>
              <w:rPr>
                <w:rFonts w:hint="eastAsia" w:ascii="宋体" w:hAnsi="宋体" w:cs="宋体"/>
                <w:color w:val="auto"/>
                <w:sz w:val="36"/>
                <w:szCs w:val="36"/>
                <w:highlight w:val="none"/>
              </w:rPr>
            </w:pPr>
          </w:p>
        </w:tc>
        <w:tc>
          <w:tcPr>
            <w:tcW w:w="1207" w:type="pct"/>
            <w:tcBorders>
              <w:top w:val="single" w:color="auto" w:sz="4" w:space="0"/>
              <w:left w:val="single" w:color="auto" w:sz="4" w:space="0"/>
              <w:bottom w:val="single" w:color="auto" w:sz="4" w:space="0"/>
              <w:right w:val="single" w:color="auto" w:sz="4" w:space="0"/>
            </w:tcBorders>
          </w:tcPr>
          <w:p w14:paraId="567D967B">
            <w:pPr>
              <w:spacing w:line="360" w:lineRule="auto"/>
              <w:rPr>
                <w:rFonts w:hint="eastAsia" w:ascii="宋体" w:hAnsi="宋体" w:cs="宋体"/>
                <w:color w:val="auto"/>
                <w:sz w:val="36"/>
                <w:szCs w:val="36"/>
                <w:highlight w:val="none"/>
              </w:rPr>
            </w:pPr>
          </w:p>
        </w:tc>
      </w:tr>
      <w:tr w14:paraId="34396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 w:type="pct"/>
            <w:tcBorders>
              <w:top w:val="single" w:color="auto" w:sz="4" w:space="0"/>
              <w:left w:val="single" w:color="auto" w:sz="4" w:space="0"/>
              <w:bottom w:val="single" w:color="auto" w:sz="4" w:space="0"/>
              <w:right w:val="single" w:color="auto" w:sz="4" w:space="0"/>
            </w:tcBorders>
          </w:tcPr>
          <w:p w14:paraId="26C5BA7D">
            <w:pPr>
              <w:spacing w:line="360" w:lineRule="auto"/>
              <w:rPr>
                <w:rFonts w:hint="eastAsia" w:ascii="宋体" w:hAnsi="宋体" w:cs="宋体"/>
                <w:color w:val="auto"/>
                <w:sz w:val="36"/>
                <w:szCs w:val="36"/>
                <w:highlight w:val="none"/>
              </w:rPr>
            </w:pPr>
          </w:p>
        </w:tc>
        <w:tc>
          <w:tcPr>
            <w:tcW w:w="1516" w:type="pct"/>
            <w:tcBorders>
              <w:top w:val="single" w:color="auto" w:sz="4" w:space="0"/>
              <w:left w:val="single" w:color="auto" w:sz="4" w:space="0"/>
              <w:bottom w:val="single" w:color="auto" w:sz="4" w:space="0"/>
              <w:right w:val="single" w:color="auto" w:sz="4" w:space="0"/>
            </w:tcBorders>
          </w:tcPr>
          <w:p w14:paraId="0A901439">
            <w:pPr>
              <w:spacing w:line="360" w:lineRule="auto"/>
              <w:rPr>
                <w:rFonts w:hint="eastAsia" w:ascii="宋体" w:hAnsi="宋体" w:cs="宋体"/>
                <w:color w:val="auto"/>
                <w:sz w:val="36"/>
                <w:szCs w:val="36"/>
                <w:highlight w:val="none"/>
              </w:rPr>
            </w:pPr>
          </w:p>
        </w:tc>
        <w:tc>
          <w:tcPr>
            <w:tcW w:w="821" w:type="pct"/>
            <w:tcBorders>
              <w:top w:val="single" w:color="auto" w:sz="4" w:space="0"/>
              <w:left w:val="single" w:color="auto" w:sz="4" w:space="0"/>
              <w:bottom w:val="single" w:color="auto" w:sz="4" w:space="0"/>
              <w:right w:val="single" w:color="auto" w:sz="4" w:space="0"/>
            </w:tcBorders>
          </w:tcPr>
          <w:p w14:paraId="546474C5">
            <w:pPr>
              <w:spacing w:line="360" w:lineRule="auto"/>
              <w:rPr>
                <w:rFonts w:hint="eastAsia" w:ascii="宋体" w:hAnsi="宋体" w:cs="宋体"/>
                <w:color w:val="auto"/>
                <w:sz w:val="36"/>
                <w:szCs w:val="36"/>
                <w:highlight w:val="none"/>
              </w:rPr>
            </w:pPr>
          </w:p>
        </w:tc>
        <w:tc>
          <w:tcPr>
            <w:tcW w:w="1093" w:type="pct"/>
            <w:tcBorders>
              <w:top w:val="single" w:color="auto" w:sz="4" w:space="0"/>
              <w:left w:val="single" w:color="auto" w:sz="4" w:space="0"/>
              <w:bottom w:val="single" w:color="auto" w:sz="4" w:space="0"/>
              <w:right w:val="single" w:color="auto" w:sz="4" w:space="0"/>
            </w:tcBorders>
          </w:tcPr>
          <w:p w14:paraId="2CE08DE6">
            <w:pPr>
              <w:spacing w:line="360" w:lineRule="auto"/>
              <w:rPr>
                <w:rFonts w:hint="eastAsia" w:ascii="宋体" w:hAnsi="宋体" w:cs="宋体"/>
                <w:color w:val="auto"/>
                <w:sz w:val="36"/>
                <w:szCs w:val="36"/>
                <w:highlight w:val="none"/>
              </w:rPr>
            </w:pPr>
          </w:p>
        </w:tc>
        <w:tc>
          <w:tcPr>
            <w:tcW w:w="1207" w:type="pct"/>
            <w:tcBorders>
              <w:top w:val="single" w:color="auto" w:sz="4" w:space="0"/>
              <w:left w:val="single" w:color="auto" w:sz="4" w:space="0"/>
              <w:bottom w:val="single" w:color="auto" w:sz="4" w:space="0"/>
              <w:right w:val="single" w:color="auto" w:sz="4" w:space="0"/>
            </w:tcBorders>
          </w:tcPr>
          <w:p w14:paraId="3DB06C59">
            <w:pPr>
              <w:spacing w:line="360" w:lineRule="auto"/>
              <w:rPr>
                <w:rFonts w:hint="eastAsia" w:ascii="宋体" w:hAnsi="宋体" w:cs="宋体"/>
                <w:color w:val="auto"/>
                <w:sz w:val="36"/>
                <w:szCs w:val="36"/>
                <w:highlight w:val="none"/>
              </w:rPr>
            </w:pPr>
          </w:p>
        </w:tc>
      </w:tr>
      <w:tr w14:paraId="3012D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 w:type="pct"/>
            <w:tcBorders>
              <w:top w:val="single" w:color="auto" w:sz="4" w:space="0"/>
              <w:left w:val="single" w:color="auto" w:sz="4" w:space="0"/>
              <w:bottom w:val="single" w:color="auto" w:sz="4" w:space="0"/>
              <w:right w:val="single" w:color="auto" w:sz="4" w:space="0"/>
            </w:tcBorders>
          </w:tcPr>
          <w:p w14:paraId="19ACE905">
            <w:pPr>
              <w:spacing w:line="360" w:lineRule="auto"/>
              <w:rPr>
                <w:rFonts w:hint="eastAsia" w:ascii="宋体" w:hAnsi="宋体" w:cs="宋体"/>
                <w:color w:val="auto"/>
                <w:sz w:val="36"/>
                <w:szCs w:val="36"/>
                <w:highlight w:val="none"/>
              </w:rPr>
            </w:pPr>
          </w:p>
        </w:tc>
        <w:tc>
          <w:tcPr>
            <w:tcW w:w="1516" w:type="pct"/>
            <w:tcBorders>
              <w:top w:val="single" w:color="auto" w:sz="4" w:space="0"/>
              <w:left w:val="single" w:color="auto" w:sz="4" w:space="0"/>
              <w:bottom w:val="single" w:color="auto" w:sz="4" w:space="0"/>
              <w:right w:val="single" w:color="auto" w:sz="4" w:space="0"/>
            </w:tcBorders>
          </w:tcPr>
          <w:p w14:paraId="19743644">
            <w:pPr>
              <w:spacing w:line="360" w:lineRule="auto"/>
              <w:rPr>
                <w:rFonts w:hint="eastAsia" w:ascii="宋体" w:hAnsi="宋体" w:cs="宋体"/>
                <w:color w:val="auto"/>
                <w:sz w:val="36"/>
                <w:szCs w:val="36"/>
                <w:highlight w:val="none"/>
              </w:rPr>
            </w:pPr>
          </w:p>
        </w:tc>
        <w:tc>
          <w:tcPr>
            <w:tcW w:w="821" w:type="pct"/>
            <w:tcBorders>
              <w:top w:val="single" w:color="auto" w:sz="4" w:space="0"/>
              <w:left w:val="single" w:color="auto" w:sz="4" w:space="0"/>
              <w:bottom w:val="single" w:color="auto" w:sz="4" w:space="0"/>
              <w:right w:val="single" w:color="auto" w:sz="4" w:space="0"/>
            </w:tcBorders>
          </w:tcPr>
          <w:p w14:paraId="1A529331">
            <w:pPr>
              <w:spacing w:line="360" w:lineRule="auto"/>
              <w:rPr>
                <w:rFonts w:hint="eastAsia" w:ascii="宋体" w:hAnsi="宋体" w:cs="宋体"/>
                <w:color w:val="auto"/>
                <w:sz w:val="36"/>
                <w:szCs w:val="36"/>
                <w:highlight w:val="none"/>
              </w:rPr>
            </w:pPr>
          </w:p>
        </w:tc>
        <w:tc>
          <w:tcPr>
            <w:tcW w:w="1093" w:type="pct"/>
            <w:tcBorders>
              <w:top w:val="single" w:color="auto" w:sz="4" w:space="0"/>
              <w:left w:val="single" w:color="auto" w:sz="4" w:space="0"/>
              <w:bottom w:val="single" w:color="auto" w:sz="4" w:space="0"/>
              <w:right w:val="single" w:color="auto" w:sz="4" w:space="0"/>
            </w:tcBorders>
          </w:tcPr>
          <w:p w14:paraId="6CE57306">
            <w:pPr>
              <w:spacing w:line="360" w:lineRule="auto"/>
              <w:rPr>
                <w:rFonts w:hint="eastAsia" w:ascii="宋体" w:hAnsi="宋体" w:cs="宋体"/>
                <w:color w:val="auto"/>
                <w:sz w:val="36"/>
                <w:szCs w:val="36"/>
                <w:highlight w:val="none"/>
              </w:rPr>
            </w:pPr>
          </w:p>
        </w:tc>
        <w:tc>
          <w:tcPr>
            <w:tcW w:w="1207" w:type="pct"/>
            <w:tcBorders>
              <w:top w:val="single" w:color="auto" w:sz="4" w:space="0"/>
              <w:left w:val="single" w:color="auto" w:sz="4" w:space="0"/>
              <w:bottom w:val="single" w:color="auto" w:sz="4" w:space="0"/>
              <w:right w:val="single" w:color="auto" w:sz="4" w:space="0"/>
            </w:tcBorders>
          </w:tcPr>
          <w:p w14:paraId="397A9E2C">
            <w:pPr>
              <w:spacing w:line="360" w:lineRule="auto"/>
              <w:rPr>
                <w:rFonts w:hint="eastAsia" w:ascii="宋体" w:hAnsi="宋体" w:cs="宋体"/>
                <w:color w:val="auto"/>
                <w:sz w:val="36"/>
                <w:szCs w:val="36"/>
                <w:highlight w:val="none"/>
              </w:rPr>
            </w:pPr>
          </w:p>
        </w:tc>
      </w:tr>
    </w:tbl>
    <w:p w14:paraId="5D701103">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评委签名：</w:t>
      </w:r>
    </w:p>
    <w:p w14:paraId="42F0878F">
      <w:pPr>
        <w:ind w:firstLine="420"/>
        <w:rPr>
          <w:rFonts w:hint="eastAsia" w:ascii="宋体" w:hAnsi="宋体" w:cs="宋体"/>
          <w:color w:val="auto"/>
          <w:sz w:val="24"/>
          <w:szCs w:val="24"/>
          <w:highlight w:val="none"/>
        </w:rPr>
        <w:sectPr>
          <w:footerReference r:id="rId13" w:type="default"/>
          <w:pgSz w:w="11907" w:h="16840"/>
          <w:pgMar w:top="1440" w:right="1270" w:bottom="1440" w:left="1440" w:header="851" w:footer="992" w:gutter="0"/>
          <w:cols w:space="720" w:num="1"/>
          <w:docGrid w:type="lines" w:linePitch="312" w:charSpace="0"/>
        </w:sectPr>
      </w:pPr>
    </w:p>
    <w:p w14:paraId="34F381CD">
      <w:pPr>
        <w:pStyle w:val="4"/>
        <w:tabs>
          <w:tab w:val="right" w:leader="dot" w:pos="9060"/>
        </w:tabs>
        <w:spacing w:line="360" w:lineRule="auto"/>
        <w:jc w:val="left"/>
        <w:rPr>
          <w:rFonts w:hint="eastAsia" w:eastAsia="宋体" w:cs="Times New Roman"/>
          <w:color w:val="auto"/>
          <w:highlight w:val="none"/>
        </w:rPr>
      </w:pPr>
      <w:r>
        <w:rPr>
          <w:rFonts w:hint="eastAsia" w:eastAsia="宋体" w:cs="Times New Roman"/>
          <w:color w:val="auto"/>
          <w:highlight w:val="none"/>
        </w:rPr>
        <w:t>附表七</w:t>
      </w:r>
    </w:p>
    <w:p w14:paraId="7CC762B8">
      <w:pPr>
        <w:jc w:val="center"/>
        <w:rPr>
          <w:rFonts w:hint="eastAsia" w:ascii="宋体" w:hAnsi="宋体" w:cs="宋体"/>
          <w:b/>
          <w:color w:val="auto"/>
          <w:sz w:val="28"/>
          <w:szCs w:val="28"/>
          <w:highlight w:val="none"/>
        </w:rPr>
      </w:pPr>
      <w:r>
        <w:rPr>
          <w:rFonts w:hint="eastAsia" w:ascii="宋体" w:hAnsi="宋体" w:cs="宋体"/>
          <w:b/>
          <w:color w:val="auto"/>
          <w:sz w:val="28"/>
          <w:szCs w:val="28"/>
          <w:highlight w:val="none"/>
        </w:rPr>
        <w:t>定标因素表（定标阶段用表）</w:t>
      </w:r>
    </w:p>
    <w:p w14:paraId="2343F38C">
      <w:pPr>
        <w:jc w:val="left"/>
        <w:rPr>
          <w:rFonts w:hint="eastAsia" w:ascii="宋体" w:hAnsi="宋体" w:eastAsia="宋体" w:cs="宋体"/>
          <w:b/>
          <w:color w:val="auto"/>
          <w:highlight w:val="none"/>
        </w:rPr>
      </w:pPr>
      <w:r>
        <w:rPr>
          <w:rFonts w:hint="eastAsia" w:ascii="宋体" w:hAnsi="宋体" w:eastAsia="宋体" w:cs="宋体"/>
          <w:b/>
          <w:color w:val="auto"/>
          <w:highlight w:val="none"/>
        </w:rPr>
        <w:t>项目名称：</w:t>
      </w:r>
    </w:p>
    <w:tbl>
      <w:tblPr>
        <w:tblStyle w:val="33"/>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0"/>
        <w:gridCol w:w="3197"/>
        <w:gridCol w:w="9970"/>
      </w:tblGrid>
      <w:tr w14:paraId="69404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353" w:type="pct"/>
            <w:tcBorders>
              <w:top w:val="single" w:color="auto" w:sz="4" w:space="0"/>
              <w:left w:val="single" w:color="auto" w:sz="4" w:space="0"/>
              <w:bottom w:val="single" w:color="auto" w:sz="4" w:space="0"/>
              <w:right w:val="single" w:color="auto" w:sz="4" w:space="0"/>
            </w:tcBorders>
            <w:noWrap w:val="0"/>
            <w:vAlign w:val="center"/>
          </w:tcPr>
          <w:p w14:paraId="6F0E5237">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auto"/>
                <w:szCs w:val="21"/>
                <w:highlight w:val="none"/>
                <w:lang w:val="en-US"/>
              </w:rPr>
            </w:pPr>
            <w:r>
              <w:rPr>
                <w:rFonts w:hint="eastAsia" w:ascii="宋体" w:hAnsi="宋体" w:eastAsia="宋体" w:cs="宋体"/>
                <w:b/>
                <w:bCs/>
                <w:color w:val="auto"/>
                <w:kern w:val="2"/>
                <w:sz w:val="21"/>
                <w:szCs w:val="21"/>
                <w:highlight w:val="none"/>
                <w:lang w:val="en-US" w:eastAsia="zh-CN" w:bidi="ar"/>
              </w:rPr>
              <w:t>序号</w:t>
            </w:r>
          </w:p>
        </w:tc>
        <w:tc>
          <w:tcPr>
            <w:tcW w:w="1128" w:type="pct"/>
            <w:tcBorders>
              <w:top w:val="single" w:color="auto" w:sz="4" w:space="0"/>
              <w:left w:val="single" w:color="auto" w:sz="4" w:space="0"/>
              <w:bottom w:val="single" w:color="auto" w:sz="4" w:space="0"/>
              <w:right w:val="single" w:color="auto" w:sz="4" w:space="0"/>
            </w:tcBorders>
            <w:noWrap w:val="0"/>
            <w:vAlign w:val="center"/>
          </w:tcPr>
          <w:p w14:paraId="00C589D4">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auto"/>
                <w:szCs w:val="21"/>
                <w:highlight w:val="none"/>
                <w:lang w:val="en-US"/>
              </w:rPr>
            </w:pPr>
            <w:r>
              <w:rPr>
                <w:rFonts w:hint="eastAsia" w:ascii="宋体" w:hAnsi="宋体" w:eastAsia="宋体" w:cs="宋体"/>
                <w:b/>
                <w:bCs/>
                <w:color w:val="auto"/>
                <w:kern w:val="2"/>
                <w:sz w:val="21"/>
                <w:szCs w:val="21"/>
                <w:highlight w:val="none"/>
                <w:lang w:val="en-US" w:eastAsia="zh-CN" w:bidi="ar"/>
              </w:rPr>
              <w:t>评价项目</w:t>
            </w:r>
          </w:p>
        </w:tc>
        <w:tc>
          <w:tcPr>
            <w:tcW w:w="3518" w:type="pct"/>
            <w:tcBorders>
              <w:top w:val="single" w:color="auto" w:sz="4" w:space="0"/>
              <w:left w:val="single" w:color="auto" w:sz="4" w:space="0"/>
              <w:bottom w:val="single" w:color="auto" w:sz="4" w:space="0"/>
              <w:right w:val="single" w:color="auto" w:sz="4" w:space="0"/>
            </w:tcBorders>
            <w:noWrap w:val="0"/>
            <w:vAlign w:val="center"/>
          </w:tcPr>
          <w:p w14:paraId="61DC2490">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auto"/>
                <w:szCs w:val="21"/>
                <w:highlight w:val="none"/>
                <w:lang w:val="en-US"/>
              </w:rPr>
            </w:pPr>
            <w:r>
              <w:rPr>
                <w:rFonts w:hint="eastAsia" w:ascii="宋体" w:hAnsi="宋体" w:eastAsia="宋体" w:cs="宋体"/>
                <w:b/>
                <w:bCs/>
                <w:color w:val="auto"/>
                <w:kern w:val="2"/>
                <w:sz w:val="21"/>
                <w:szCs w:val="21"/>
                <w:highlight w:val="none"/>
                <w:lang w:val="en-US" w:eastAsia="zh-CN" w:bidi="ar"/>
              </w:rPr>
              <w:t>定标评价的内容</w:t>
            </w:r>
          </w:p>
        </w:tc>
      </w:tr>
      <w:tr w14:paraId="2DFF3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3" w:hRule="atLeast"/>
          <w:jc w:val="center"/>
        </w:trPr>
        <w:tc>
          <w:tcPr>
            <w:tcW w:w="353" w:type="pct"/>
            <w:tcBorders>
              <w:top w:val="single" w:color="auto" w:sz="4" w:space="0"/>
              <w:left w:val="single" w:color="auto" w:sz="4" w:space="0"/>
              <w:bottom w:val="single" w:color="auto" w:sz="4" w:space="0"/>
              <w:right w:val="single" w:color="auto" w:sz="4" w:space="0"/>
            </w:tcBorders>
            <w:noWrap w:val="0"/>
            <w:vAlign w:val="center"/>
          </w:tcPr>
          <w:p w14:paraId="155494AA">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w:t>
            </w:r>
          </w:p>
        </w:tc>
        <w:tc>
          <w:tcPr>
            <w:tcW w:w="1128" w:type="pct"/>
            <w:tcBorders>
              <w:top w:val="single" w:color="auto" w:sz="4" w:space="0"/>
              <w:left w:val="single" w:color="auto" w:sz="4" w:space="0"/>
              <w:bottom w:val="single" w:color="auto" w:sz="4" w:space="0"/>
              <w:right w:val="single" w:color="auto" w:sz="4" w:space="0"/>
            </w:tcBorders>
            <w:noWrap w:val="0"/>
            <w:vAlign w:val="center"/>
          </w:tcPr>
          <w:p w14:paraId="335C7A21">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lang w:val="en-US"/>
              </w:rPr>
            </w:pPr>
            <w:r>
              <w:rPr>
                <w:rFonts w:hint="eastAsia" w:ascii="宋体" w:hAnsi="宋体" w:eastAsia="宋体" w:cs="宋体"/>
                <w:strike w:val="0"/>
                <w:dstrike w:val="0"/>
                <w:color w:val="auto"/>
                <w:sz w:val="21"/>
                <w:szCs w:val="21"/>
                <w:highlight w:val="none"/>
                <w:lang w:val="en-US" w:eastAsia="zh-CN"/>
              </w:rPr>
              <w:t>方案因素</w:t>
            </w:r>
          </w:p>
        </w:tc>
        <w:tc>
          <w:tcPr>
            <w:tcW w:w="3518" w:type="pct"/>
            <w:tcBorders>
              <w:top w:val="single" w:color="auto" w:sz="4" w:space="0"/>
              <w:left w:val="single" w:color="auto" w:sz="4" w:space="0"/>
              <w:bottom w:val="single" w:color="auto" w:sz="4" w:space="0"/>
              <w:right w:val="single" w:color="auto" w:sz="4" w:space="0"/>
            </w:tcBorders>
            <w:noWrap w:val="0"/>
            <w:vAlign w:val="center"/>
          </w:tcPr>
          <w:p w14:paraId="6654F41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定标委员会对合格中标候选人的投标文件施工组织设计进行评审，包括：施工组织方案、科技创新及保证措施、质量控制措施、BIM信息化技术应用方案等，鼓励将建筑业科技创新应用在项目中。</w:t>
            </w:r>
          </w:p>
        </w:tc>
      </w:tr>
      <w:tr w14:paraId="3119E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jc w:val="center"/>
        </w:trPr>
        <w:tc>
          <w:tcPr>
            <w:tcW w:w="353" w:type="pct"/>
            <w:tcBorders>
              <w:top w:val="single" w:color="auto" w:sz="4" w:space="0"/>
              <w:left w:val="single" w:color="auto" w:sz="4" w:space="0"/>
              <w:bottom w:val="single" w:color="auto" w:sz="4" w:space="0"/>
              <w:right w:val="single" w:color="auto" w:sz="4" w:space="0"/>
            </w:tcBorders>
            <w:noWrap w:val="0"/>
            <w:vAlign w:val="center"/>
          </w:tcPr>
          <w:p w14:paraId="52E175EA">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2</w:t>
            </w:r>
          </w:p>
        </w:tc>
        <w:tc>
          <w:tcPr>
            <w:tcW w:w="1128" w:type="pct"/>
            <w:tcBorders>
              <w:top w:val="single" w:color="auto" w:sz="4" w:space="0"/>
              <w:left w:val="single" w:color="auto" w:sz="4" w:space="0"/>
              <w:bottom w:val="single" w:color="auto" w:sz="4" w:space="0"/>
              <w:right w:val="single" w:color="auto" w:sz="4" w:space="0"/>
            </w:tcBorders>
            <w:noWrap w:val="0"/>
            <w:vAlign w:val="center"/>
          </w:tcPr>
          <w:p w14:paraId="107B2EAA">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lang w:val="en-US"/>
              </w:rPr>
            </w:pPr>
            <w:r>
              <w:rPr>
                <w:rFonts w:hint="eastAsia" w:ascii="宋体" w:hAnsi="宋体" w:eastAsia="宋体" w:cs="宋体"/>
                <w:i w:val="0"/>
                <w:iCs w:val="0"/>
                <w:caps w:val="0"/>
                <w:strike w:val="0"/>
                <w:dstrike w:val="0"/>
                <w:color w:val="auto"/>
                <w:spacing w:val="0"/>
                <w:sz w:val="21"/>
                <w:szCs w:val="21"/>
                <w:highlight w:val="none"/>
                <w:shd w:val="clear" w:color="auto" w:fill="FFFFFF"/>
                <w:lang w:val="en-US" w:eastAsia="zh-CN"/>
              </w:rPr>
              <w:t>答辩因素</w:t>
            </w:r>
          </w:p>
        </w:tc>
        <w:tc>
          <w:tcPr>
            <w:tcW w:w="10002" w:type="dxa"/>
            <w:tcBorders>
              <w:top w:val="single" w:color="auto" w:sz="4" w:space="0"/>
              <w:left w:val="single" w:color="auto" w:sz="4" w:space="0"/>
              <w:bottom w:val="single" w:color="auto" w:sz="4" w:space="0"/>
              <w:right w:val="single" w:color="auto" w:sz="4" w:space="0"/>
            </w:tcBorders>
            <w:noWrap w:val="0"/>
            <w:vAlign w:val="center"/>
          </w:tcPr>
          <w:p w14:paraId="6BBB205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textAlignment w:val="auto"/>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SA"/>
              </w:rPr>
              <w:t>答辩人员对本项目履约能力和履约水平</w:t>
            </w:r>
            <w:r>
              <w:rPr>
                <w:rFonts w:hint="eastAsia" w:ascii="宋体" w:hAnsi="宋体" w:eastAsia="宋体" w:cs="宋体"/>
                <w:color w:val="auto"/>
                <w:sz w:val="21"/>
                <w:szCs w:val="21"/>
                <w:highlight w:val="none"/>
                <w:lang w:val="en-US" w:eastAsia="zh-CN"/>
              </w:rPr>
              <w:t>进行</w:t>
            </w:r>
            <w:r>
              <w:rPr>
                <w:rFonts w:hint="eastAsia" w:ascii="宋体" w:hAnsi="宋体" w:eastAsia="宋体" w:cs="宋体"/>
                <w:color w:val="auto"/>
                <w:kern w:val="2"/>
                <w:sz w:val="21"/>
                <w:szCs w:val="21"/>
                <w:highlight w:val="none"/>
                <w:lang w:val="en-US" w:eastAsia="zh-CN" w:bidi="ar-SA"/>
              </w:rPr>
              <w:t>介绍并接受定标委员会提问。</w:t>
            </w:r>
          </w:p>
        </w:tc>
      </w:tr>
    </w:tbl>
    <w:p w14:paraId="1D3BF930">
      <w:pPr>
        <w:pStyle w:val="2"/>
        <w:rPr>
          <w:color w:val="auto"/>
          <w:highlight w:val="none"/>
        </w:rPr>
      </w:pPr>
    </w:p>
    <w:p w14:paraId="15C89134">
      <w:pPr>
        <w:jc w:val="left"/>
        <w:rPr>
          <w:rFonts w:hint="eastAsia" w:ascii="宋体" w:hAnsi="宋体" w:eastAsia="宋体" w:cs="宋体"/>
          <w:highlight w:val="none"/>
        </w:rPr>
      </w:pPr>
      <w:bookmarkStart w:id="42" w:name="_Toc30086"/>
      <w:bookmarkStart w:id="43" w:name="_Toc17136"/>
      <w:bookmarkStart w:id="44" w:name="_Toc18827"/>
      <w:bookmarkStart w:id="45" w:name="_Toc26863"/>
      <w:bookmarkStart w:id="46" w:name="_Toc18258"/>
      <w:bookmarkStart w:id="47" w:name="_Toc14241"/>
      <w:bookmarkStart w:id="48" w:name="_Toc2272566"/>
      <w:bookmarkStart w:id="49" w:name="_Toc14742"/>
      <w:bookmarkStart w:id="50" w:name="_Toc1962"/>
      <w:bookmarkStart w:id="51" w:name="_Toc17243"/>
    </w:p>
    <w:p w14:paraId="70B5917D">
      <w:pPr>
        <w:jc w:val="left"/>
        <w:rPr>
          <w:rFonts w:ascii="宋体" w:hAnsi="宋体" w:eastAsia="宋体" w:cs="宋体"/>
          <w:highlight w:val="none"/>
        </w:rPr>
      </w:pPr>
      <w:r>
        <w:rPr>
          <w:rFonts w:hint="eastAsia" w:ascii="宋体" w:hAnsi="宋体" w:eastAsia="宋体" w:cs="宋体"/>
          <w:highlight w:val="none"/>
        </w:rPr>
        <w:t>注：</w:t>
      </w:r>
    </w:p>
    <w:p w14:paraId="26F0131B">
      <w:pPr>
        <w:jc w:val="left"/>
        <w:rPr>
          <w:rFonts w:ascii="宋体" w:hAnsi="宋体" w:eastAsia="宋体" w:cs="宋体"/>
          <w:highlight w:val="none"/>
        </w:rPr>
      </w:pPr>
      <w:r>
        <w:rPr>
          <w:rFonts w:hint="eastAsia" w:ascii="宋体" w:hAnsi="宋体" w:eastAsia="宋体" w:cs="宋体"/>
          <w:highlight w:val="none"/>
        </w:rPr>
        <w:t>（1）答辩人员的到场要求：项目负责人或技术负责人，最多不超过</w:t>
      </w:r>
      <w:r>
        <w:rPr>
          <w:rFonts w:hint="eastAsia" w:ascii="宋体" w:hAnsi="宋体" w:cs="宋体"/>
          <w:highlight w:val="none"/>
          <w:lang w:val="en-US" w:eastAsia="zh-CN"/>
        </w:rPr>
        <w:t>2</w:t>
      </w:r>
      <w:r>
        <w:rPr>
          <w:rFonts w:hint="eastAsia" w:ascii="宋体" w:hAnsi="宋体" w:eastAsia="宋体" w:cs="宋体"/>
          <w:highlight w:val="none"/>
        </w:rPr>
        <w:t>人，在答辩时须提供答辩人员授权委托书、身份证原件，核对确认身份后方可参加答辩。投标人答辩人未能提供以上材料核对的不予参加答辩环节。</w:t>
      </w:r>
    </w:p>
    <w:p w14:paraId="2592FACF">
      <w:pPr>
        <w:jc w:val="left"/>
        <w:rPr>
          <w:rFonts w:ascii="宋体" w:hAnsi="宋体" w:eastAsia="宋体" w:cs="宋体"/>
          <w:highlight w:val="none"/>
        </w:rPr>
      </w:pPr>
      <w:r>
        <w:rPr>
          <w:rFonts w:hint="eastAsia" w:ascii="宋体" w:hAnsi="宋体" w:eastAsia="宋体" w:cs="宋体"/>
          <w:highlight w:val="none"/>
        </w:rPr>
        <w:t>（2）答辩进场顺序：按拟派人员签到顺序各自抽取答辩顺序号，按答辩顺序号由小至大依次进场答辩。</w:t>
      </w:r>
    </w:p>
    <w:p w14:paraId="76E063EA">
      <w:pPr>
        <w:jc w:val="left"/>
        <w:rPr>
          <w:rFonts w:ascii="宋体" w:hAnsi="宋体" w:eastAsia="宋体" w:cs="宋体"/>
          <w:highlight w:val="none"/>
        </w:rPr>
      </w:pPr>
      <w:r>
        <w:rPr>
          <w:rFonts w:hint="eastAsia" w:ascii="宋体" w:hAnsi="宋体" w:eastAsia="宋体" w:cs="宋体"/>
          <w:highlight w:val="none"/>
        </w:rPr>
        <w:t>（3）答辩形式与要求：答辩人员按要求进入答辩区域；答辩人员先陈述，评委针对陈述内容进行提问，由答辩人员进行解答。答辩时长控制：答辩人介绍陈述时长控制在</w:t>
      </w:r>
      <w:r>
        <w:rPr>
          <w:rFonts w:hint="eastAsia" w:ascii="宋体" w:hAnsi="宋体" w:cs="宋体"/>
          <w:highlight w:val="none"/>
          <w:lang w:val="en-US" w:eastAsia="zh-CN"/>
        </w:rPr>
        <w:t>10</w:t>
      </w:r>
      <w:r>
        <w:rPr>
          <w:rFonts w:hint="eastAsia" w:ascii="宋体" w:hAnsi="宋体" w:eastAsia="宋体" w:cs="宋体"/>
          <w:highlight w:val="none"/>
        </w:rPr>
        <w:t>分钟内。</w:t>
      </w:r>
    </w:p>
    <w:bookmarkEnd w:id="42"/>
    <w:bookmarkEnd w:id="43"/>
    <w:bookmarkEnd w:id="44"/>
    <w:bookmarkEnd w:id="45"/>
    <w:bookmarkEnd w:id="46"/>
    <w:bookmarkEnd w:id="47"/>
    <w:bookmarkEnd w:id="48"/>
    <w:bookmarkEnd w:id="49"/>
    <w:bookmarkEnd w:id="50"/>
    <w:bookmarkEnd w:id="51"/>
    <w:p w14:paraId="3AB51512">
      <w:pPr>
        <w:ind w:firstLine="420"/>
        <w:rPr>
          <w:rFonts w:hint="eastAsia" w:ascii="宋体" w:hAnsi="宋体" w:cs="宋体"/>
          <w:color w:val="auto"/>
          <w:sz w:val="24"/>
          <w:szCs w:val="24"/>
          <w:highlight w:val="none"/>
        </w:rPr>
        <w:sectPr>
          <w:pgSz w:w="16840" w:h="11907" w:orient="landscape"/>
          <w:pgMar w:top="1440" w:right="1440" w:bottom="1270" w:left="1440" w:header="851" w:footer="992" w:gutter="0"/>
          <w:cols w:space="720" w:num="1"/>
          <w:docGrid w:type="lines" w:linePitch="312" w:charSpace="0"/>
        </w:sectPr>
      </w:pPr>
    </w:p>
    <w:p w14:paraId="0943E764">
      <w:pPr>
        <w:ind w:firstLine="420"/>
        <w:rPr>
          <w:rFonts w:hint="eastAsia" w:ascii="宋体" w:hAnsi="宋体" w:eastAsia="宋体" w:cs="宋体"/>
          <w:b/>
          <w:color w:val="auto"/>
          <w:kern w:val="2"/>
          <w:sz w:val="28"/>
          <w:szCs w:val="28"/>
          <w:highlight w:val="none"/>
          <w:lang w:val="en-US" w:eastAsia="zh-CN" w:bidi="ar-SA"/>
        </w:rPr>
      </w:pPr>
      <w:r>
        <w:rPr>
          <w:rFonts w:hint="eastAsia" w:ascii="宋体" w:hAnsi="宋体" w:eastAsia="宋体" w:cs="宋体"/>
          <w:b/>
          <w:color w:val="auto"/>
          <w:kern w:val="2"/>
          <w:sz w:val="28"/>
          <w:szCs w:val="28"/>
          <w:highlight w:val="none"/>
          <w:lang w:val="en-US" w:eastAsia="zh-CN" w:bidi="ar-SA"/>
        </w:rPr>
        <w:t>附表八</w:t>
      </w:r>
    </w:p>
    <w:p w14:paraId="6452C4E0">
      <w:pPr>
        <w:spacing w:line="360" w:lineRule="auto"/>
        <w:jc w:val="center"/>
        <w:rPr>
          <w:rFonts w:ascii="宋体" w:hAnsi="宋体" w:cs="宋体"/>
          <w:b/>
          <w:sz w:val="32"/>
          <w:szCs w:val="32"/>
          <w:highlight w:val="none"/>
        </w:rPr>
      </w:pPr>
      <w:bookmarkStart w:id="52" w:name="_Toc500249621"/>
      <w:bookmarkStart w:id="53" w:name="_Toc504659100"/>
      <w:bookmarkStart w:id="54" w:name="_Toc504053942"/>
      <w:bookmarkStart w:id="55" w:name="_Toc5789"/>
      <w:r>
        <w:rPr>
          <w:rFonts w:hint="eastAsia" w:ascii="宋体" w:hAnsi="宋体" w:cs="宋体"/>
          <w:b/>
          <w:sz w:val="32"/>
          <w:szCs w:val="32"/>
          <w:highlight w:val="none"/>
        </w:rPr>
        <w:t>定标委员会成员声明</w:t>
      </w:r>
    </w:p>
    <w:p w14:paraId="17362B45">
      <w:pPr>
        <w:spacing w:line="360" w:lineRule="auto"/>
        <w:rPr>
          <w:rFonts w:ascii="宋体" w:hAnsi="宋体"/>
          <w:sz w:val="20"/>
          <w:szCs w:val="20"/>
          <w:highlight w:val="none"/>
        </w:rPr>
      </w:pPr>
      <w:r>
        <w:rPr>
          <w:rFonts w:hint="eastAsia" w:ascii="宋体" w:hAnsi="宋体"/>
          <w:sz w:val="20"/>
          <w:szCs w:val="20"/>
          <w:highlight w:val="none"/>
          <w:lang w:eastAsia="zh-CN"/>
        </w:rPr>
        <w:t>广州太平洋马口铁有限公司</w:t>
      </w:r>
      <w:r>
        <w:rPr>
          <w:rFonts w:hint="eastAsia" w:ascii="宋体" w:hAnsi="宋体"/>
          <w:sz w:val="20"/>
          <w:szCs w:val="20"/>
          <w:highlight w:val="none"/>
        </w:rPr>
        <w:t>：</w:t>
      </w:r>
    </w:p>
    <w:p w14:paraId="5997C378">
      <w:pPr>
        <w:spacing w:line="360" w:lineRule="auto"/>
        <w:ind w:firstLine="400" w:firstLineChars="200"/>
        <w:rPr>
          <w:rFonts w:ascii="宋体" w:hAnsi="宋体"/>
          <w:sz w:val="20"/>
          <w:szCs w:val="20"/>
          <w:highlight w:val="none"/>
        </w:rPr>
      </w:pPr>
      <w:r>
        <w:rPr>
          <w:rFonts w:hint="eastAsia" w:ascii="宋体" w:hAnsi="宋体"/>
          <w:sz w:val="20"/>
          <w:szCs w:val="20"/>
          <w:highlight w:val="none"/>
        </w:rPr>
        <w:t>本人就参与</w:t>
      </w:r>
      <w:r>
        <w:rPr>
          <w:rFonts w:hint="eastAsia" w:ascii="宋体" w:hAnsi="宋体"/>
          <w:sz w:val="20"/>
          <w:szCs w:val="20"/>
          <w:highlight w:val="none"/>
          <w:u w:val="single"/>
          <w:lang w:eastAsia="zh-CN"/>
        </w:rPr>
        <w:t>粤港澳大湾区国际智能检测产业园一期项目施工总承包</w:t>
      </w:r>
      <w:r>
        <w:rPr>
          <w:rFonts w:hint="eastAsia" w:ascii="宋体" w:hAnsi="宋体"/>
          <w:sz w:val="20"/>
          <w:szCs w:val="20"/>
          <w:highlight w:val="none"/>
        </w:rPr>
        <w:t>项目的定标工作，作出郑重声明：</w:t>
      </w:r>
    </w:p>
    <w:p w14:paraId="24A23B65">
      <w:pPr>
        <w:spacing w:line="360" w:lineRule="auto"/>
        <w:ind w:firstLine="400" w:firstLineChars="200"/>
        <w:rPr>
          <w:rFonts w:ascii="宋体" w:hAnsi="宋体"/>
          <w:sz w:val="20"/>
          <w:szCs w:val="20"/>
          <w:highlight w:val="none"/>
        </w:rPr>
      </w:pPr>
      <w:r>
        <w:rPr>
          <w:rFonts w:hint="eastAsia" w:ascii="宋体" w:hAnsi="宋体"/>
          <w:sz w:val="20"/>
          <w:szCs w:val="20"/>
          <w:highlight w:val="none"/>
        </w:rPr>
        <w:t>一、本人严格遵守定标场所管理规定，服从定标场所现场管理。本人完全知悉并自愿在评审过程中通过电子手写签名板产生电子形式的签名，并认同由此方式产生的签名与本人手写、电子签名具有同等效力；本人使用该签名所签署的定标（审）材料及内容均为本人充分理解并符合本人真实意思表示。</w:t>
      </w:r>
    </w:p>
    <w:p w14:paraId="46BEF38F">
      <w:pPr>
        <w:spacing w:line="360" w:lineRule="auto"/>
        <w:ind w:firstLine="400" w:firstLineChars="200"/>
        <w:rPr>
          <w:rFonts w:ascii="宋体" w:hAnsi="宋体"/>
          <w:sz w:val="20"/>
          <w:szCs w:val="20"/>
          <w:highlight w:val="none"/>
        </w:rPr>
      </w:pPr>
      <w:r>
        <w:rPr>
          <w:rFonts w:hint="eastAsia" w:ascii="宋体" w:hAnsi="宋体"/>
          <w:sz w:val="20"/>
          <w:szCs w:val="20"/>
          <w:highlight w:val="none"/>
        </w:rPr>
        <w:t>二、在本项目定标开始前，本人不存在以下需要向招标人提出回避的情形：（一）接收到任何单位或者个人授意本人倾向或者排斥本项目特定投标人的电话、短信、微信等；（二）私下接触本项目投标人；（三）收受本项目投标人、中介人、其他利害关系人的财物或者其他好处；（四）法律法规等规定的回避情形。</w:t>
      </w:r>
    </w:p>
    <w:p w14:paraId="0971A1F9">
      <w:pPr>
        <w:spacing w:line="360" w:lineRule="auto"/>
        <w:ind w:firstLine="400" w:firstLineChars="200"/>
        <w:rPr>
          <w:rFonts w:ascii="宋体" w:hAnsi="宋体"/>
          <w:sz w:val="20"/>
          <w:szCs w:val="20"/>
          <w:highlight w:val="none"/>
        </w:rPr>
      </w:pPr>
      <w:r>
        <w:rPr>
          <w:rFonts w:hint="eastAsia" w:ascii="宋体" w:hAnsi="宋体"/>
          <w:sz w:val="20"/>
          <w:szCs w:val="20"/>
          <w:highlight w:val="none"/>
        </w:rPr>
        <w:t>三、本人将按照本项目招标文件规定的定标标准和方法，客观、公正地对投标文件提出评审意见，不故意拖延定标时间，或者敷衍塞责随意定标，不透露本项目定标委员会成员身份，不透露对本项目投标文件的评审和比较、中标人的情况、在定标过程中知悉的国家秘密和商业秘密以及与定标有关的其他情况。在本项目定标过程中，本人不对定标委员会其他成员的独立评审施加不当影响；不接受任何单位或者个人明示或者暗示提出的倾向或者排斥本项目特定投标人的要求；不对定标委员会其他成员或者其他人员发表带有倾向性、误导性的言论或者暗示性的意见建议。</w:t>
      </w:r>
    </w:p>
    <w:p w14:paraId="0CDDE3C7">
      <w:pPr>
        <w:spacing w:line="360" w:lineRule="auto"/>
        <w:ind w:firstLine="400" w:firstLineChars="200"/>
        <w:rPr>
          <w:rFonts w:ascii="宋体" w:hAnsi="宋体"/>
          <w:sz w:val="20"/>
          <w:szCs w:val="20"/>
          <w:highlight w:val="none"/>
        </w:rPr>
      </w:pPr>
      <w:r>
        <w:rPr>
          <w:rFonts w:hint="eastAsia" w:ascii="宋体" w:hAnsi="宋体"/>
          <w:sz w:val="20"/>
          <w:szCs w:val="20"/>
          <w:highlight w:val="none"/>
        </w:rPr>
        <w:t>四、定标结束后，如果本项目需要复核或者存在异议的。本人保证在招标人要求的时间内配合招标人进行复核或者异议处理工作，也保证在规定时间内配合招标监督机构依法对本项目评审情况进行的调查。如果本人存在评审错误的，本人将主动改正错误，配合招标人挽回损失。</w:t>
      </w:r>
    </w:p>
    <w:p w14:paraId="2DA2BC35">
      <w:pPr>
        <w:spacing w:line="360" w:lineRule="auto"/>
        <w:ind w:firstLine="400" w:firstLineChars="200"/>
        <w:rPr>
          <w:rFonts w:ascii="宋体" w:hAnsi="宋体"/>
          <w:sz w:val="20"/>
          <w:szCs w:val="20"/>
          <w:highlight w:val="none"/>
        </w:rPr>
      </w:pPr>
      <w:r>
        <w:rPr>
          <w:rFonts w:hint="eastAsia" w:ascii="宋体" w:hAnsi="宋体"/>
          <w:sz w:val="20"/>
          <w:szCs w:val="20"/>
          <w:highlight w:val="none"/>
        </w:rPr>
        <w:t>五、招标监督机构依法处理本项目投诉、信访或者举报时，经调查后确认本人存在评审错误的，本人接受招标人将本人列入招标人评（定）标专家回避名单等相关处理措施，本人也接受本项目招标监督机构依法对本人进行的处理。</w:t>
      </w:r>
    </w:p>
    <w:p w14:paraId="48370787">
      <w:pPr>
        <w:spacing w:line="360" w:lineRule="auto"/>
        <w:ind w:firstLine="400" w:firstLineChars="200"/>
        <w:rPr>
          <w:rFonts w:ascii="宋体" w:hAnsi="宋体"/>
          <w:sz w:val="20"/>
          <w:szCs w:val="20"/>
          <w:highlight w:val="none"/>
        </w:rPr>
      </w:pPr>
      <w:r>
        <w:rPr>
          <w:rFonts w:hint="eastAsia" w:ascii="宋体" w:hAnsi="宋体"/>
          <w:sz w:val="20"/>
          <w:szCs w:val="20"/>
          <w:highlight w:val="none"/>
        </w:rPr>
        <w:t>如果本人违反上述声明内容，造成的后果由本人自行承担。</w:t>
      </w:r>
    </w:p>
    <w:p w14:paraId="3D288E29">
      <w:pPr>
        <w:spacing w:line="360" w:lineRule="auto"/>
        <w:ind w:firstLine="400" w:firstLineChars="200"/>
        <w:rPr>
          <w:rFonts w:hint="eastAsia" w:ascii="宋体" w:hAnsi="宋体" w:eastAsia="宋体" w:cs="Times New Roman"/>
          <w:sz w:val="20"/>
          <w:szCs w:val="20"/>
          <w:highlight w:val="none"/>
        </w:rPr>
      </w:pPr>
    </w:p>
    <w:p w14:paraId="492CCA02">
      <w:pPr>
        <w:spacing w:line="360" w:lineRule="auto"/>
        <w:ind w:firstLine="400" w:firstLineChars="200"/>
        <w:rPr>
          <w:rFonts w:hint="eastAsia" w:ascii="宋体" w:hAnsi="宋体" w:eastAsia="宋体" w:cs="Times New Roman"/>
          <w:sz w:val="20"/>
          <w:szCs w:val="20"/>
          <w:highlight w:val="none"/>
        </w:rPr>
      </w:pPr>
    </w:p>
    <w:p w14:paraId="7CBCBCED">
      <w:pPr>
        <w:spacing w:line="360" w:lineRule="auto"/>
        <w:ind w:firstLine="5600" w:firstLineChars="2800"/>
        <w:rPr>
          <w:rFonts w:hint="eastAsia" w:ascii="宋体" w:hAnsi="宋体" w:eastAsia="宋体" w:cs="Times New Roman"/>
          <w:sz w:val="20"/>
          <w:szCs w:val="20"/>
          <w:highlight w:val="none"/>
        </w:rPr>
      </w:pPr>
      <w:r>
        <w:rPr>
          <w:rFonts w:hint="eastAsia" w:ascii="宋体" w:hAnsi="宋体" w:eastAsia="宋体" w:cs="Times New Roman"/>
          <w:sz w:val="20"/>
          <w:szCs w:val="20"/>
          <w:highlight w:val="none"/>
        </w:rPr>
        <w:t>声明人：（签名）</w:t>
      </w:r>
    </w:p>
    <w:p w14:paraId="7C32A729">
      <w:pPr>
        <w:spacing w:line="360" w:lineRule="auto"/>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br w:type="page"/>
      </w:r>
    </w:p>
    <w:p w14:paraId="11595D5B">
      <w:pPr>
        <w:pStyle w:val="26"/>
        <w:rPr>
          <w:rFonts w:hint="eastAsia"/>
          <w:color w:val="auto"/>
          <w:sz w:val="24"/>
          <w:szCs w:val="24"/>
          <w:highlight w:val="none"/>
        </w:rPr>
      </w:pPr>
      <w:r>
        <w:rPr>
          <w:rFonts w:hint="eastAsia" w:ascii="宋体" w:hAnsi="宋体" w:eastAsia="宋体" w:cs="宋体"/>
          <w:b/>
          <w:color w:val="auto"/>
          <w:sz w:val="28"/>
          <w:szCs w:val="28"/>
          <w:highlight w:val="none"/>
        </w:rPr>
        <w:t>附表九</w:t>
      </w: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sz w:val="28"/>
          <w:szCs w:val="28"/>
          <w:highlight w:val="none"/>
        </w:rPr>
        <w:t xml:space="preserve">     </w:t>
      </w:r>
      <w:r>
        <w:rPr>
          <w:rFonts w:hint="eastAsia" w:ascii="仿宋" w:hAnsi="仿宋" w:eastAsia="仿宋" w:cs="仿宋"/>
          <w:b/>
          <w:kern w:val="1"/>
          <w:sz w:val="24"/>
          <w:highlight w:val="none"/>
        </w:rPr>
        <w:t xml:space="preserve">    </w:t>
      </w:r>
      <w:r>
        <w:rPr>
          <w:rFonts w:hint="eastAsia" w:ascii="宋体" w:hAnsi="宋体" w:cs="宋体"/>
          <w:b/>
          <w:i w:val="0"/>
          <w:iCs w:val="0"/>
          <w:color w:val="auto"/>
          <w:kern w:val="0"/>
          <w:sz w:val="24"/>
          <w:szCs w:val="24"/>
          <w:highlight w:val="none"/>
        </w:rPr>
        <w:t>（本页发给定标委员会成员，本轮投票结束时收回）</w:t>
      </w:r>
    </w:p>
    <w:p w14:paraId="2E20D9B2">
      <w:pPr>
        <w:snapToGrid w:val="0"/>
        <w:spacing w:line="360" w:lineRule="auto"/>
        <w:jc w:val="center"/>
        <w:outlineLvl w:val="2"/>
        <w:rPr>
          <w:rFonts w:hint="eastAsia" w:ascii="宋体" w:hAnsi="宋体" w:eastAsia="宋体" w:cs="宋体"/>
          <w:b/>
          <w:color w:val="auto"/>
          <w:sz w:val="30"/>
          <w:szCs w:val="30"/>
          <w:highlight w:val="none"/>
        </w:rPr>
      </w:pPr>
    </w:p>
    <w:p w14:paraId="26AF74FE">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outlineLvl w:val="2"/>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定标选票表（定标阶段）</w:t>
      </w:r>
    </w:p>
    <w:p w14:paraId="06A5BB34">
      <w:pPr>
        <w:rPr>
          <w:rFonts w:hint="eastAsia" w:ascii="宋体" w:hAnsi="宋体" w:eastAsia="宋体" w:cs="宋体"/>
          <w:color w:val="auto"/>
          <w:sz w:val="24"/>
          <w:szCs w:val="24"/>
          <w:highlight w:val="none"/>
        </w:rPr>
      </w:pPr>
    </w:p>
    <w:p w14:paraId="79B53521">
      <w:pPr>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项目</w:t>
      </w:r>
      <w:r>
        <w:rPr>
          <w:rFonts w:hint="eastAsia" w:ascii="宋体" w:hAnsi="宋体" w:eastAsia="宋体" w:cs="宋体"/>
          <w:color w:val="auto"/>
          <w:sz w:val="24"/>
          <w:szCs w:val="24"/>
          <w:highlight w:val="none"/>
        </w:rPr>
        <w:t>名称：</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17"/>
        <w:gridCol w:w="4944"/>
      </w:tblGrid>
      <w:tr w14:paraId="01C14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29" w:hRule="atLeast"/>
          <w:jc w:val="center"/>
        </w:trPr>
        <w:tc>
          <w:tcPr>
            <w:tcW w:w="4417" w:type="dxa"/>
            <w:tcBorders>
              <w:top w:val="single" w:color="auto" w:sz="4" w:space="0"/>
              <w:left w:val="single" w:color="auto" w:sz="4" w:space="0"/>
              <w:bottom w:val="single" w:color="auto" w:sz="4" w:space="0"/>
              <w:right w:val="single" w:color="auto" w:sz="4" w:space="0"/>
            </w:tcBorders>
            <w:noWrap w:val="0"/>
            <w:vAlign w:val="center"/>
          </w:tcPr>
          <w:p w14:paraId="5469E15A">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b/>
                <w:color w:val="auto"/>
                <w:kern w:val="0"/>
                <w:sz w:val="24"/>
                <w:szCs w:val="24"/>
                <w:highlight w:val="none"/>
              </w:rPr>
            </w:pPr>
            <w:r>
              <w:rPr>
                <w:rFonts w:hint="eastAsia" w:ascii="宋体" w:hAnsi="宋体" w:cs="宋体"/>
                <w:b/>
                <w:color w:val="auto"/>
                <w:kern w:val="0"/>
                <w:sz w:val="24"/>
                <w:szCs w:val="24"/>
                <w:highlight w:val="none"/>
              </w:rPr>
              <w:t>支持的</w:t>
            </w:r>
            <w:r>
              <w:rPr>
                <w:rFonts w:hint="eastAsia" w:ascii="宋体" w:hAnsi="宋体" w:eastAsia="宋体" w:cs="宋体"/>
                <w:b/>
                <w:color w:val="auto"/>
                <w:kern w:val="0"/>
                <w:sz w:val="24"/>
                <w:szCs w:val="24"/>
                <w:highlight w:val="none"/>
                <w:lang w:val="en-US" w:eastAsia="zh-CN"/>
              </w:rPr>
              <w:t>中标候选人</w:t>
            </w:r>
            <w:r>
              <w:rPr>
                <w:rFonts w:hint="eastAsia" w:ascii="宋体" w:hAnsi="宋体" w:cs="宋体"/>
                <w:b/>
                <w:color w:val="auto"/>
                <w:kern w:val="0"/>
                <w:sz w:val="24"/>
                <w:szCs w:val="24"/>
                <w:highlight w:val="none"/>
              </w:rPr>
              <w:t>名称</w:t>
            </w:r>
          </w:p>
        </w:tc>
        <w:tc>
          <w:tcPr>
            <w:tcW w:w="4944" w:type="dxa"/>
            <w:tcBorders>
              <w:top w:val="single" w:color="auto" w:sz="4" w:space="0"/>
              <w:left w:val="nil"/>
              <w:bottom w:val="single" w:color="auto" w:sz="4" w:space="0"/>
              <w:right w:val="single" w:color="auto" w:sz="4" w:space="0"/>
            </w:tcBorders>
            <w:noWrap w:val="0"/>
            <w:vAlign w:val="center"/>
          </w:tcPr>
          <w:p w14:paraId="02182ADF">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
                <w:color w:val="auto"/>
                <w:kern w:val="0"/>
                <w:sz w:val="24"/>
                <w:szCs w:val="24"/>
                <w:highlight w:val="none"/>
                <w:lang w:eastAsia="zh-CN"/>
              </w:rPr>
            </w:pPr>
            <w:r>
              <w:rPr>
                <w:rFonts w:hint="eastAsia" w:ascii="宋体" w:hAnsi="宋体" w:cs="宋体"/>
                <w:b/>
                <w:color w:val="auto"/>
                <w:kern w:val="0"/>
                <w:sz w:val="24"/>
                <w:szCs w:val="24"/>
                <w:highlight w:val="none"/>
              </w:rPr>
              <w:t>支持理由</w:t>
            </w:r>
          </w:p>
        </w:tc>
      </w:tr>
      <w:tr w14:paraId="4BA64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2" w:hRule="atLeast"/>
          <w:jc w:val="center"/>
        </w:trPr>
        <w:tc>
          <w:tcPr>
            <w:tcW w:w="4417" w:type="dxa"/>
            <w:tcBorders>
              <w:top w:val="single" w:color="auto" w:sz="4" w:space="0"/>
              <w:left w:val="single" w:color="auto" w:sz="4" w:space="0"/>
              <w:bottom w:val="single" w:color="auto" w:sz="4" w:space="0"/>
              <w:right w:val="single" w:color="auto" w:sz="4" w:space="0"/>
            </w:tcBorders>
            <w:noWrap w:val="0"/>
            <w:vAlign w:val="center"/>
          </w:tcPr>
          <w:p w14:paraId="0312A34E">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宋体"/>
                <w:color w:val="auto"/>
                <w:kern w:val="0"/>
                <w:szCs w:val="24"/>
                <w:highlight w:val="none"/>
              </w:rPr>
            </w:pPr>
          </w:p>
        </w:tc>
        <w:tc>
          <w:tcPr>
            <w:tcW w:w="4944" w:type="dxa"/>
            <w:tcBorders>
              <w:top w:val="single" w:color="auto" w:sz="4" w:space="0"/>
              <w:left w:val="nil"/>
              <w:bottom w:val="single" w:color="auto" w:sz="4" w:space="0"/>
              <w:right w:val="single" w:color="auto" w:sz="4" w:space="0"/>
            </w:tcBorders>
            <w:noWrap w:val="0"/>
            <w:vAlign w:val="center"/>
          </w:tcPr>
          <w:p w14:paraId="0CECFB84">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宋体"/>
                <w:color w:val="auto"/>
                <w:kern w:val="0"/>
                <w:szCs w:val="24"/>
                <w:highlight w:val="none"/>
              </w:rPr>
            </w:pPr>
          </w:p>
        </w:tc>
      </w:tr>
    </w:tbl>
    <w:p w14:paraId="6229A0EB">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正式投票规则：</w:t>
      </w:r>
    </w:p>
    <w:p w14:paraId="3C13A138">
      <w:pPr>
        <w:numPr>
          <w:ilvl w:val="0"/>
          <w:numId w:val="0"/>
        </w:num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（1）</w:t>
      </w:r>
      <w:r>
        <w:rPr>
          <w:rFonts w:hint="eastAsia" w:ascii="宋体" w:hAnsi="宋体" w:eastAsia="宋体" w:cs="宋体"/>
          <w:color w:val="auto"/>
          <w:sz w:val="21"/>
          <w:szCs w:val="21"/>
          <w:highlight w:val="none"/>
        </w:rPr>
        <w:t>以上表格用于正式投票，投票时须注明支持的</w:t>
      </w:r>
      <w:r>
        <w:rPr>
          <w:rFonts w:hint="eastAsia" w:ascii="宋体" w:hAnsi="宋体" w:eastAsia="宋体" w:cs="宋体"/>
          <w:b w:val="0"/>
          <w:color w:val="auto"/>
          <w:kern w:val="2"/>
          <w:sz w:val="21"/>
          <w:szCs w:val="21"/>
          <w:highlight w:val="none"/>
          <w:lang w:val="en-US" w:eastAsia="zh-CN"/>
        </w:rPr>
        <w:t>中标候选人</w:t>
      </w:r>
      <w:r>
        <w:rPr>
          <w:rFonts w:hint="eastAsia" w:ascii="宋体" w:hAnsi="宋体" w:eastAsia="宋体" w:cs="宋体"/>
          <w:color w:val="auto"/>
          <w:sz w:val="21"/>
          <w:szCs w:val="21"/>
          <w:highlight w:val="none"/>
        </w:rPr>
        <w:t>及支持理由。</w:t>
      </w:r>
    </w:p>
    <w:p w14:paraId="63C86639">
      <w:pPr>
        <w:numPr>
          <w:ilvl w:val="0"/>
          <w:numId w:val="0"/>
        </w:numPr>
        <w:spacing w:line="360" w:lineRule="auto"/>
        <w:ind w:firstLine="420" w:firstLineChars="200"/>
        <w:rPr>
          <w:rFonts w:hint="eastAsia" w:ascii="宋体" w:hAnsi="宋体" w:eastAsia="宋体" w:cs="宋体"/>
          <w:b w:val="0"/>
          <w:bCs w:val="0"/>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b w:val="0"/>
          <w:bCs w:val="0"/>
          <w:color w:val="auto"/>
          <w:sz w:val="21"/>
          <w:szCs w:val="21"/>
          <w:highlight w:val="none"/>
        </w:rPr>
        <w:t>由定标委员会成员进行投票，各定标委员会成员只能支持一家</w:t>
      </w:r>
      <w:r>
        <w:rPr>
          <w:rFonts w:hint="eastAsia" w:ascii="宋体" w:hAnsi="宋体" w:eastAsia="宋体" w:cs="宋体"/>
          <w:b w:val="0"/>
          <w:bCs w:val="0"/>
          <w:color w:val="auto"/>
          <w:sz w:val="21"/>
          <w:szCs w:val="21"/>
          <w:highlight w:val="none"/>
          <w:lang w:val="en-US" w:eastAsia="zh-CN"/>
        </w:rPr>
        <w:t>中标候选人。</w:t>
      </w:r>
    </w:p>
    <w:p w14:paraId="320F951C">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）投票结束后，点票人员对投票人数、票数和每票对应的合格中标候选人总数加以核对和统计，作废的选票不得统计，并向定标委员会报告。</w:t>
      </w:r>
    </w:p>
    <w:p w14:paraId="3F9F69E2">
      <w:pPr>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）定标委员会成员应当独立投票，自投票开始至最终排名统计结果公布期间，任何人不得非法干预、影响投票过程，不得透露、协商、改变投票结果，不得使用通信联络工具。</w:t>
      </w:r>
    </w:p>
    <w:p w14:paraId="3FB65451">
      <w:pPr>
        <w:spacing w:line="360" w:lineRule="auto"/>
        <w:ind w:firstLine="480"/>
        <w:rPr>
          <w:rFonts w:hint="eastAsia" w:ascii="宋体" w:hAnsi="宋体" w:eastAsia="宋体" w:cs="Times New Roman"/>
          <w:color w:val="auto"/>
          <w:szCs w:val="21"/>
          <w:highlight w:val="none"/>
        </w:rPr>
      </w:pPr>
    </w:p>
    <w:p w14:paraId="63E23A31">
      <w:pPr>
        <w:pStyle w:val="26"/>
        <w:rPr>
          <w:rFonts w:hint="eastAsia"/>
          <w:color w:val="auto"/>
          <w:highlight w:val="none"/>
        </w:rPr>
      </w:pPr>
    </w:p>
    <w:p w14:paraId="5FEAAD1B">
      <w:pPr>
        <w:keepNext w:val="0"/>
        <w:keepLines w:val="0"/>
        <w:pageBreakBefore w:val="0"/>
        <w:widowControl w:val="0"/>
        <w:kinsoku/>
        <w:wordWrap/>
        <w:overflowPunct/>
        <w:topLinePunct w:val="0"/>
        <w:autoSpaceDE/>
        <w:autoSpaceDN/>
        <w:bidi w:val="0"/>
        <w:adjustRightInd/>
        <w:snapToGrid w:val="0"/>
        <w:spacing w:line="360" w:lineRule="auto"/>
        <w:jc w:val="left"/>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定标委员签名：</w:t>
      </w:r>
    </w:p>
    <w:p w14:paraId="5DE189D2">
      <w:pPr>
        <w:keepNext w:val="0"/>
        <w:keepLines w:val="0"/>
        <w:pageBreakBefore w:val="0"/>
        <w:widowControl w:val="0"/>
        <w:kinsoku/>
        <w:wordWrap/>
        <w:overflowPunct/>
        <w:topLinePunct w:val="0"/>
        <w:autoSpaceDE/>
        <w:autoSpaceDN/>
        <w:bidi w:val="0"/>
        <w:adjustRightInd/>
        <w:snapToGrid w:val="0"/>
        <w:spacing w:line="360" w:lineRule="auto"/>
        <w:ind w:firstLine="5250" w:firstLineChars="2500"/>
        <w:jc w:val="left"/>
        <w:textAlignment w:val="auto"/>
        <w:outlineLvl w:val="9"/>
        <w:rPr>
          <w:rFonts w:hint="eastAsia" w:ascii="宋体" w:hAnsi="宋体" w:eastAsia="宋体" w:cs="宋体"/>
          <w:color w:val="auto"/>
          <w:szCs w:val="21"/>
          <w:highlight w:val="none"/>
        </w:rPr>
      </w:pPr>
    </w:p>
    <w:p w14:paraId="127086D7">
      <w:pPr>
        <w:keepNext w:val="0"/>
        <w:keepLines w:val="0"/>
        <w:pageBreakBefore w:val="0"/>
        <w:widowControl w:val="0"/>
        <w:kinsoku/>
        <w:wordWrap/>
        <w:overflowPunct/>
        <w:topLinePunct w:val="0"/>
        <w:autoSpaceDE/>
        <w:autoSpaceDN/>
        <w:bidi w:val="0"/>
        <w:adjustRightInd/>
        <w:snapToGrid w:val="0"/>
        <w:spacing w:line="360" w:lineRule="auto"/>
        <w:ind w:firstLine="5250" w:firstLineChars="2500"/>
        <w:jc w:val="left"/>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     年   月   日</w:t>
      </w:r>
    </w:p>
    <w:p w14:paraId="43193FBF">
      <w:pPr>
        <w:ind w:right="-733" w:rightChars="-349"/>
        <w:rPr>
          <w:rFonts w:hint="eastAsia" w:ascii="宋体" w:hAnsi="宋体" w:eastAsia="宋体" w:cs="宋体"/>
          <w:sz w:val="24"/>
          <w:highlight w:val="none"/>
        </w:rPr>
      </w:pPr>
    </w:p>
    <w:p w14:paraId="6D7586E0">
      <w:pPr>
        <w:spacing w:line="360" w:lineRule="auto"/>
        <w:rPr>
          <w:rFonts w:hint="eastAsia" w:ascii="仿宋" w:hAnsi="仿宋" w:eastAsia="仿宋" w:cs="仿宋"/>
          <w:b/>
          <w:kern w:val="1"/>
          <w:sz w:val="24"/>
          <w:highlight w:val="none"/>
        </w:rPr>
      </w:pPr>
      <w:r>
        <w:rPr>
          <w:rFonts w:hint="eastAsia" w:ascii="仿宋" w:hAnsi="仿宋" w:eastAsia="仿宋" w:cs="仿宋"/>
          <w:highlight w:val="none"/>
        </w:rPr>
        <w:br w:type="page"/>
      </w:r>
      <w:r>
        <w:rPr>
          <w:rFonts w:hint="eastAsia" w:ascii="宋体" w:hAnsi="宋体" w:eastAsia="宋体" w:cs="宋体"/>
          <w:b/>
          <w:color w:val="auto"/>
          <w:sz w:val="28"/>
          <w:szCs w:val="28"/>
          <w:highlight w:val="none"/>
        </w:rPr>
        <w:t>附表十</w:t>
      </w:r>
      <w:r>
        <w:rPr>
          <w:rFonts w:hint="eastAsia" w:ascii="宋体" w:hAnsi="宋体" w:eastAsia="宋体" w:cs="宋体"/>
          <w:b/>
          <w:color w:val="auto"/>
          <w:sz w:val="28"/>
          <w:szCs w:val="28"/>
          <w:highlight w:val="none"/>
          <w:lang w:eastAsia="zh-CN"/>
        </w:rPr>
        <w:t>：</w:t>
      </w:r>
    </w:p>
    <w:p w14:paraId="0AFCF632">
      <w:pPr>
        <w:spacing w:line="360" w:lineRule="auto"/>
        <w:jc w:val="center"/>
        <w:rPr>
          <w:rFonts w:hint="eastAsia" w:ascii="宋体" w:hAnsi="宋体" w:eastAsia="宋体" w:cs="宋体"/>
          <w:b/>
          <w:bCs/>
          <w:strike w:val="0"/>
          <w:dstrike w:val="0"/>
          <w:color w:val="auto"/>
          <w:kern w:val="0"/>
          <w:sz w:val="21"/>
          <w:szCs w:val="21"/>
          <w:highlight w:val="none"/>
        </w:rPr>
      </w:pPr>
      <w:r>
        <w:rPr>
          <w:rFonts w:hint="eastAsia" w:ascii="仿宋" w:hAnsi="仿宋" w:eastAsia="仿宋" w:cs="仿宋"/>
          <w:b/>
          <w:kern w:val="1"/>
          <w:sz w:val="24"/>
          <w:highlight w:val="none"/>
        </w:rPr>
        <w:t xml:space="preserve">    </w:t>
      </w:r>
    </w:p>
    <w:p w14:paraId="46320C78">
      <w:pPr>
        <w:snapToGrid w:val="0"/>
        <w:spacing w:line="360" w:lineRule="auto"/>
        <w:jc w:val="center"/>
        <w:outlineLvl w:val="2"/>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投票汇总表格（定标阶段）</w:t>
      </w:r>
    </w:p>
    <w:p w14:paraId="6AA33D99">
      <w:pPr>
        <w:ind w:left="210"/>
        <w:jc w:val="left"/>
        <w:rPr>
          <w:rFonts w:hint="eastAsia" w:ascii="宋体" w:hAnsi="宋体" w:eastAsia="宋体" w:cs="宋体"/>
          <w:smallCaps/>
          <w:color w:val="auto"/>
          <w:sz w:val="20"/>
          <w:szCs w:val="20"/>
          <w:highlight w:val="none"/>
        </w:rPr>
      </w:pPr>
    </w:p>
    <w:p w14:paraId="5195B442">
      <w:pPr>
        <w:jc w:val="left"/>
        <w:rPr>
          <w:rFonts w:hint="eastAsia" w:ascii="宋体" w:hAnsi="宋体"/>
          <w:color w:val="auto"/>
          <w:szCs w:val="21"/>
          <w:highlight w:val="none"/>
        </w:rPr>
      </w:pPr>
      <w:r>
        <w:rPr>
          <w:rFonts w:hint="eastAsia" w:ascii="宋体" w:hAnsi="宋体" w:cs="宋体"/>
          <w:color w:val="auto"/>
          <w:sz w:val="24"/>
          <w:szCs w:val="24"/>
          <w:highlight w:val="none"/>
          <w:lang w:val="en-US" w:eastAsia="zh-CN"/>
        </w:rPr>
        <w:t>项目</w:t>
      </w:r>
      <w:r>
        <w:rPr>
          <w:rFonts w:hint="eastAsia" w:ascii="宋体" w:hAnsi="宋体" w:eastAsia="宋体" w:cs="宋体"/>
          <w:color w:val="auto"/>
          <w:sz w:val="24"/>
          <w:szCs w:val="24"/>
          <w:highlight w:val="none"/>
        </w:rPr>
        <w:t>名称</w:t>
      </w:r>
      <w:r>
        <w:rPr>
          <w:rFonts w:hint="eastAsia" w:ascii="宋体" w:hAnsi="宋体"/>
          <w:color w:val="auto"/>
          <w:szCs w:val="21"/>
          <w:highlight w:val="none"/>
        </w:rPr>
        <w:t>：</w:t>
      </w:r>
    </w:p>
    <w:tbl>
      <w:tblPr>
        <w:tblStyle w:val="33"/>
        <w:tblW w:w="91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3"/>
        <w:gridCol w:w="5540"/>
        <w:gridCol w:w="2190"/>
      </w:tblGrid>
      <w:tr w14:paraId="32D4B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453" w:type="dxa"/>
            <w:vMerge w:val="restart"/>
            <w:tcBorders>
              <w:top w:val="single" w:color="auto" w:sz="4" w:space="0"/>
              <w:left w:val="single" w:color="auto" w:sz="4" w:space="0"/>
              <w:bottom w:val="single" w:color="auto" w:sz="4" w:space="0"/>
              <w:right w:val="single" w:color="auto" w:sz="4" w:space="0"/>
            </w:tcBorders>
            <w:noWrap w:val="0"/>
            <w:vAlign w:val="center"/>
          </w:tcPr>
          <w:p w14:paraId="22CD8761">
            <w:pPr>
              <w:keepNext w:val="0"/>
              <w:keepLines w:val="0"/>
              <w:suppressLineNumbers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序号</w:t>
            </w:r>
          </w:p>
        </w:tc>
        <w:tc>
          <w:tcPr>
            <w:tcW w:w="5540" w:type="dxa"/>
            <w:vMerge w:val="restart"/>
            <w:tcBorders>
              <w:top w:val="single" w:color="auto" w:sz="4" w:space="0"/>
              <w:left w:val="single" w:color="auto" w:sz="4" w:space="0"/>
              <w:right w:val="single" w:color="auto" w:sz="4" w:space="0"/>
            </w:tcBorders>
            <w:noWrap w:val="0"/>
            <w:vAlign w:val="center"/>
          </w:tcPr>
          <w:p w14:paraId="07982195">
            <w:pPr>
              <w:keepNext w:val="0"/>
              <w:keepLines w:val="0"/>
              <w:suppressLineNumbers w:val="0"/>
              <w:spacing w:before="0" w:beforeAutospacing="0" w:after="0" w:afterAutospacing="0"/>
              <w:ind w:left="0" w:right="0"/>
              <w:jc w:val="center"/>
              <w:rPr>
                <w:rFonts w:hint="eastAsia" w:ascii="宋体" w:hAnsi="宋体"/>
                <w:color w:val="auto"/>
                <w:szCs w:val="21"/>
                <w:highlight w:val="none"/>
              </w:rPr>
            </w:pPr>
            <w:r>
              <w:rPr>
                <w:rFonts w:hint="eastAsia" w:ascii="宋体" w:hAnsi="宋体"/>
                <w:color w:val="auto"/>
                <w:szCs w:val="21"/>
                <w:highlight w:val="none"/>
              </w:rPr>
              <w:t>投标人名称</w:t>
            </w:r>
          </w:p>
        </w:tc>
        <w:tc>
          <w:tcPr>
            <w:tcW w:w="2190" w:type="dxa"/>
            <w:vMerge w:val="restart"/>
            <w:tcBorders>
              <w:top w:val="single" w:color="auto" w:sz="4" w:space="0"/>
              <w:left w:val="single" w:color="auto" w:sz="4" w:space="0"/>
              <w:bottom w:val="single" w:color="auto" w:sz="4" w:space="0"/>
              <w:right w:val="single" w:color="auto" w:sz="4" w:space="0"/>
            </w:tcBorders>
            <w:noWrap w:val="0"/>
            <w:vAlign w:val="center"/>
          </w:tcPr>
          <w:p w14:paraId="4346D380">
            <w:pPr>
              <w:keepNext w:val="0"/>
              <w:keepLines w:val="0"/>
              <w:suppressLineNumbers w:val="0"/>
              <w:spacing w:before="0" w:beforeAutospacing="0" w:after="0" w:afterAutospacing="0"/>
              <w:ind w:left="0" w:right="0"/>
              <w:jc w:val="center"/>
              <w:rPr>
                <w:rFonts w:hint="eastAsia" w:ascii="宋体" w:hAnsi="宋体"/>
                <w:color w:val="auto"/>
                <w:szCs w:val="21"/>
                <w:highlight w:val="none"/>
              </w:rPr>
            </w:pPr>
            <w:r>
              <w:rPr>
                <w:rFonts w:hint="eastAsia" w:ascii="宋体" w:hAnsi="宋体"/>
                <w:color w:val="auto"/>
                <w:szCs w:val="21"/>
                <w:highlight w:val="none"/>
              </w:rPr>
              <w:t>得票数</w:t>
            </w:r>
          </w:p>
        </w:tc>
      </w:tr>
      <w:tr w14:paraId="1CB71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453" w:type="dxa"/>
            <w:vMerge w:val="continue"/>
            <w:tcBorders>
              <w:top w:val="single" w:color="auto" w:sz="4" w:space="0"/>
              <w:left w:val="single" w:color="auto" w:sz="4" w:space="0"/>
              <w:bottom w:val="single" w:color="auto" w:sz="4" w:space="0"/>
              <w:right w:val="single" w:color="auto" w:sz="4" w:space="0"/>
            </w:tcBorders>
            <w:noWrap w:val="0"/>
            <w:vAlign w:val="center"/>
          </w:tcPr>
          <w:p w14:paraId="33B85223">
            <w:pPr>
              <w:keepNext w:val="0"/>
              <w:keepLines w:val="0"/>
              <w:widowControl/>
              <w:suppressLineNumbers w:val="0"/>
              <w:spacing w:before="0" w:beforeAutospacing="0" w:after="0" w:afterAutospacing="0"/>
              <w:ind w:left="0" w:right="0"/>
              <w:jc w:val="center"/>
              <w:rPr>
                <w:rFonts w:hint="default" w:ascii="宋体" w:hAnsi="宋体"/>
                <w:color w:val="auto"/>
                <w:szCs w:val="21"/>
                <w:highlight w:val="none"/>
              </w:rPr>
            </w:pPr>
          </w:p>
        </w:tc>
        <w:tc>
          <w:tcPr>
            <w:tcW w:w="5540" w:type="dxa"/>
            <w:vMerge w:val="continue"/>
            <w:tcBorders>
              <w:left w:val="single" w:color="auto" w:sz="4" w:space="0"/>
              <w:bottom w:val="single" w:color="auto" w:sz="4" w:space="0"/>
              <w:right w:val="single" w:color="auto" w:sz="4" w:space="0"/>
            </w:tcBorders>
            <w:noWrap w:val="0"/>
            <w:vAlign w:val="top"/>
          </w:tcPr>
          <w:p w14:paraId="495C6A54">
            <w:pPr>
              <w:keepNext w:val="0"/>
              <w:keepLines w:val="0"/>
              <w:widowControl/>
              <w:suppressLineNumbers w:val="0"/>
              <w:spacing w:before="0" w:beforeAutospacing="0" w:after="0" w:afterAutospacing="0"/>
              <w:ind w:left="0" w:right="0"/>
              <w:jc w:val="center"/>
              <w:rPr>
                <w:rFonts w:hint="default" w:ascii="宋体" w:hAnsi="宋体"/>
                <w:color w:val="auto"/>
                <w:szCs w:val="21"/>
                <w:highlight w:val="none"/>
              </w:rPr>
            </w:pPr>
          </w:p>
        </w:tc>
        <w:tc>
          <w:tcPr>
            <w:tcW w:w="2190" w:type="dxa"/>
            <w:vMerge w:val="continue"/>
            <w:tcBorders>
              <w:top w:val="single" w:color="auto" w:sz="4" w:space="0"/>
              <w:left w:val="single" w:color="auto" w:sz="4" w:space="0"/>
              <w:bottom w:val="single" w:color="auto" w:sz="4" w:space="0"/>
              <w:right w:val="single" w:color="auto" w:sz="4" w:space="0"/>
            </w:tcBorders>
            <w:noWrap w:val="0"/>
            <w:vAlign w:val="center"/>
          </w:tcPr>
          <w:p w14:paraId="2518C526">
            <w:pPr>
              <w:keepNext w:val="0"/>
              <w:keepLines w:val="0"/>
              <w:widowControl/>
              <w:suppressLineNumbers w:val="0"/>
              <w:spacing w:before="0" w:beforeAutospacing="0" w:after="0" w:afterAutospacing="0"/>
              <w:ind w:left="0" w:right="0"/>
              <w:jc w:val="center"/>
              <w:rPr>
                <w:rFonts w:hint="default" w:ascii="宋体" w:hAnsi="宋体"/>
                <w:color w:val="auto"/>
                <w:szCs w:val="21"/>
                <w:highlight w:val="none"/>
              </w:rPr>
            </w:pPr>
          </w:p>
        </w:tc>
      </w:tr>
      <w:tr w14:paraId="63250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453" w:type="dxa"/>
            <w:tcBorders>
              <w:top w:val="single" w:color="auto" w:sz="4" w:space="0"/>
              <w:left w:val="single" w:color="auto" w:sz="4" w:space="0"/>
              <w:bottom w:val="single" w:color="auto" w:sz="4" w:space="0"/>
              <w:right w:val="single" w:color="auto" w:sz="4" w:space="0"/>
            </w:tcBorders>
            <w:noWrap w:val="0"/>
            <w:vAlign w:val="center"/>
          </w:tcPr>
          <w:p w14:paraId="42626F22">
            <w:pPr>
              <w:keepNext w:val="0"/>
              <w:keepLines w:val="0"/>
              <w:suppressLineNumbers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1</w:t>
            </w:r>
          </w:p>
        </w:tc>
        <w:tc>
          <w:tcPr>
            <w:tcW w:w="5540" w:type="dxa"/>
            <w:tcBorders>
              <w:top w:val="single" w:color="auto" w:sz="4" w:space="0"/>
              <w:left w:val="single" w:color="auto" w:sz="4" w:space="0"/>
              <w:bottom w:val="single" w:color="auto" w:sz="4" w:space="0"/>
              <w:right w:val="single" w:color="auto" w:sz="4" w:space="0"/>
            </w:tcBorders>
            <w:noWrap w:val="0"/>
            <w:vAlign w:val="top"/>
          </w:tcPr>
          <w:p w14:paraId="5EC51561">
            <w:pPr>
              <w:keepNext w:val="0"/>
              <w:keepLines w:val="0"/>
              <w:suppressLineNumbers w:val="0"/>
              <w:spacing w:before="0" w:beforeAutospacing="0" w:after="0" w:afterAutospacing="0"/>
              <w:ind w:left="0" w:right="0"/>
              <w:jc w:val="center"/>
              <w:rPr>
                <w:rFonts w:hint="default" w:ascii="宋体" w:hAnsi="宋体"/>
                <w:color w:val="auto"/>
                <w:szCs w:val="21"/>
                <w:highlight w:val="none"/>
              </w:rPr>
            </w:pPr>
          </w:p>
        </w:tc>
        <w:tc>
          <w:tcPr>
            <w:tcW w:w="2190" w:type="dxa"/>
            <w:tcBorders>
              <w:top w:val="single" w:color="auto" w:sz="4" w:space="0"/>
              <w:left w:val="single" w:color="auto" w:sz="4" w:space="0"/>
              <w:bottom w:val="single" w:color="auto" w:sz="4" w:space="0"/>
              <w:right w:val="single" w:color="auto" w:sz="4" w:space="0"/>
            </w:tcBorders>
            <w:noWrap w:val="0"/>
            <w:vAlign w:val="center"/>
          </w:tcPr>
          <w:p w14:paraId="4BCB7ACD">
            <w:pPr>
              <w:keepNext w:val="0"/>
              <w:keepLines w:val="0"/>
              <w:suppressLineNumbers w:val="0"/>
              <w:spacing w:before="0" w:beforeAutospacing="0" w:after="0" w:afterAutospacing="0"/>
              <w:ind w:left="0" w:right="0"/>
              <w:jc w:val="center"/>
              <w:rPr>
                <w:rFonts w:hint="default" w:ascii="宋体" w:hAnsi="宋体"/>
                <w:color w:val="auto"/>
                <w:szCs w:val="21"/>
                <w:highlight w:val="none"/>
              </w:rPr>
            </w:pPr>
          </w:p>
        </w:tc>
      </w:tr>
      <w:tr w14:paraId="4B3B2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453" w:type="dxa"/>
            <w:tcBorders>
              <w:top w:val="single" w:color="auto" w:sz="4" w:space="0"/>
              <w:left w:val="single" w:color="auto" w:sz="4" w:space="0"/>
              <w:bottom w:val="single" w:color="auto" w:sz="4" w:space="0"/>
              <w:right w:val="single" w:color="auto" w:sz="4" w:space="0"/>
            </w:tcBorders>
            <w:noWrap w:val="0"/>
            <w:vAlign w:val="center"/>
          </w:tcPr>
          <w:p w14:paraId="467A1B71">
            <w:pPr>
              <w:keepNext w:val="0"/>
              <w:keepLines w:val="0"/>
              <w:suppressLineNumbers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2</w:t>
            </w:r>
          </w:p>
        </w:tc>
        <w:tc>
          <w:tcPr>
            <w:tcW w:w="5540" w:type="dxa"/>
            <w:tcBorders>
              <w:top w:val="single" w:color="auto" w:sz="4" w:space="0"/>
              <w:left w:val="single" w:color="auto" w:sz="4" w:space="0"/>
              <w:bottom w:val="single" w:color="auto" w:sz="4" w:space="0"/>
              <w:right w:val="single" w:color="auto" w:sz="4" w:space="0"/>
            </w:tcBorders>
            <w:noWrap w:val="0"/>
            <w:vAlign w:val="top"/>
          </w:tcPr>
          <w:p w14:paraId="5326EB24">
            <w:pPr>
              <w:keepNext w:val="0"/>
              <w:keepLines w:val="0"/>
              <w:suppressLineNumbers w:val="0"/>
              <w:spacing w:before="0" w:beforeAutospacing="0" w:after="0" w:afterAutospacing="0"/>
              <w:ind w:left="0" w:right="0"/>
              <w:jc w:val="center"/>
              <w:rPr>
                <w:rFonts w:hint="default" w:ascii="宋体" w:hAnsi="宋体"/>
                <w:color w:val="auto"/>
                <w:szCs w:val="21"/>
                <w:highlight w:val="none"/>
              </w:rPr>
            </w:pPr>
          </w:p>
        </w:tc>
        <w:tc>
          <w:tcPr>
            <w:tcW w:w="2190" w:type="dxa"/>
            <w:tcBorders>
              <w:top w:val="single" w:color="auto" w:sz="4" w:space="0"/>
              <w:left w:val="single" w:color="auto" w:sz="4" w:space="0"/>
              <w:bottom w:val="single" w:color="auto" w:sz="4" w:space="0"/>
              <w:right w:val="single" w:color="auto" w:sz="4" w:space="0"/>
            </w:tcBorders>
            <w:noWrap w:val="0"/>
            <w:vAlign w:val="center"/>
          </w:tcPr>
          <w:p w14:paraId="117CE69C">
            <w:pPr>
              <w:keepNext w:val="0"/>
              <w:keepLines w:val="0"/>
              <w:suppressLineNumbers w:val="0"/>
              <w:spacing w:before="0" w:beforeAutospacing="0" w:after="0" w:afterAutospacing="0"/>
              <w:ind w:left="0" w:right="0"/>
              <w:jc w:val="center"/>
              <w:rPr>
                <w:rFonts w:hint="default" w:ascii="宋体" w:hAnsi="宋体"/>
                <w:color w:val="auto"/>
                <w:szCs w:val="21"/>
                <w:highlight w:val="none"/>
              </w:rPr>
            </w:pPr>
          </w:p>
        </w:tc>
      </w:tr>
      <w:tr w14:paraId="13F82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453" w:type="dxa"/>
            <w:tcBorders>
              <w:top w:val="single" w:color="auto" w:sz="4" w:space="0"/>
              <w:left w:val="single" w:color="auto" w:sz="4" w:space="0"/>
              <w:bottom w:val="single" w:color="auto" w:sz="4" w:space="0"/>
              <w:right w:val="single" w:color="auto" w:sz="4" w:space="0"/>
            </w:tcBorders>
            <w:noWrap w:val="0"/>
            <w:vAlign w:val="center"/>
          </w:tcPr>
          <w:p w14:paraId="6EACF11F">
            <w:pPr>
              <w:keepNext w:val="0"/>
              <w:keepLines w:val="0"/>
              <w:suppressLineNumbers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3</w:t>
            </w:r>
          </w:p>
        </w:tc>
        <w:tc>
          <w:tcPr>
            <w:tcW w:w="5540" w:type="dxa"/>
            <w:tcBorders>
              <w:top w:val="single" w:color="auto" w:sz="4" w:space="0"/>
              <w:left w:val="single" w:color="auto" w:sz="4" w:space="0"/>
              <w:bottom w:val="single" w:color="auto" w:sz="4" w:space="0"/>
              <w:right w:val="single" w:color="auto" w:sz="4" w:space="0"/>
            </w:tcBorders>
            <w:noWrap w:val="0"/>
            <w:vAlign w:val="top"/>
          </w:tcPr>
          <w:p w14:paraId="6C1A0958">
            <w:pPr>
              <w:keepNext w:val="0"/>
              <w:keepLines w:val="0"/>
              <w:suppressLineNumbers w:val="0"/>
              <w:spacing w:before="0" w:beforeAutospacing="0" w:after="0" w:afterAutospacing="0"/>
              <w:ind w:left="0" w:right="0"/>
              <w:jc w:val="center"/>
              <w:rPr>
                <w:rFonts w:hint="default" w:ascii="宋体" w:hAnsi="宋体"/>
                <w:color w:val="auto"/>
                <w:szCs w:val="21"/>
                <w:highlight w:val="none"/>
              </w:rPr>
            </w:pPr>
          </w:p>
        </w:tc>
        <w:tc>
          <w:tcPr>
            <w:tcW w:w="2190" w:type="dxa"/>
            <w:tcBorders>
              <w:top w:val="single" w:color="auto" w:sz="4" w:space="0"/>
              <w:left w:val="single" w:color="auto" w:sz="4" w:space="0"/>
              <w:bottom w:val="single" w:color="auto" w:sz="4" w:space="0"/>
              <w:right w:val="single" w:color="auto" w:sz="4" w:space="0"/>
            </w:tcBorders>
            <w:noWrap w:val="0"/>
            <w:vAlign w:val="center"/>
          </w:tcPr>
          <w:p w14:paraId="22F51667">
            <w:pPr>
              <w:keepNext w:val="0"/>
              <w:keepLines w:val="0"/>
              <w:suppressLineNumbers w:val="0"/>
              <w:spacing w:before="0" w:beforeAutospacing="0" w:after="0" w:afterAutospacing="0"/>
              <w:ind w:left="0" w:right="0"/>
              <w:jc w:val="center"/>
              <w:rPr>
                <w:rFonts w:hint="default" w:ascii="宋体" w:hAnsi="宋体"/>
                <w:color w:val="auto"/>
                <w:szCs w:val="21"/>
                <w:highlight w:val="none"/>
              </w:rPr>
            </w:pPr>
          </w:p>
        </w:tc>
      </w:tr>
      <w:tr w14:paraId="2535B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0" w:hRule="atLeast"/>
          <w:jc w:val="center"/>
        </w:trPr>
        <w:tc>
          <w:tcPr>
            <w:tcW w:w="1453" w:type="dxa"/>
            <w:tcBorders>
              <w:top w:val="single" w:color="auto" w:sz="4" w:space="0"/>
              <w:left w:val="single" w:color="auto" w:sz="4" w:space="0"/>
              <w:bottom w:val="single" w:color="auto" w:sz="4" w:space="0"/>
              <w:right w:val="single" w:color="auto" w:sz="4" w:space="0"/>
            </w:tcBorders>
            <w:noWrap w:val="0"/>
            <w:vAlign w:val="center"/>
          </w:tcPr>
          <w:p w14:paraId="094C2F50">
            <w:pPr>
              <w:keepNext w:val="0"/>
              <w:keepLines w:val="0"/>
              <w:suppressLineNumbers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4</w:t>
            </w:r>
          </w:p>
        </w:tc>
        <w:tc>
          <w:tcPr>
            <w:tcW w:w="5540" w:type="dxa"/>
            <w:tcBorders>
              <w:top w:val="single" w:color="auto" w:sz="4" w:space="0"/>
              <w:left w:val="single" w:color="auto" w:sz="4" w:space="0"/>
              <w:bottom w:val="single" w:color="auto" w:sz="4" w:space="0"/>
              <w:right w:val="single" w:color="auto" w:sz="4" w:space="0"/>
            </w:tcBorders>
            <w:noWrap w:val="0"/>
            <w:vAlign w:val="top"/>
          </w:tcPr>
          <w:p w14:paraId="603A4DD8">
            <w:pPr>
              <w:keepNext w:val="0"/>
              <w:keepLines w:val="0"/>
              <w:suppressLineNumbers w:val="0"/>
              <w:spacing w:before="0" w:beforeAutospacing="0" w:after="0" w:afterAutospacing="0"/>
              <w:ind w:left="0" w:right="0"/>
              <w:jc w:val="center"/>
              <w:rPr>
                <w:rFonts w:hint="default" w:ascii="宋体" w:hAnsi="宋体"/>
                <w:color w:val="auto"/>
                <w:szCs w:val="21"/>
                <w:highlight w:val="none"/>
              </w:rPr>
            </w:pPr>
          </w:p>
        </w:tc>
        <w:tc>
          <w:tcPr>
            <w:tcW w:w="2190" w:type="dxa"/>
            <w:tcBorders>
              <w:top w:val="single" w:color="auto" w:sz="4" w:space="0"/>
              <w:left w:val="single" w:color="auto" w:sz="4" w:space="0"/>
              <w:bottom w:val="single" w:color="auto" w:sz="4" w:space="0"/>
              <w:right w:val="single" w:color="auto" w:sz="4" w:space="0"/>
            </w:tcBorders>
            <w:noWrap w:val="0"/>
            <w:vAlign w:val="center"/>
          </w:tcPr>
          <w:p w14:paraId="3D7E19D2">
            <w:pPr>
              <w:keepNext w:val="0"/>
              <w:keepLines w:val="0"/>
              <w:suppressLineNumbers w:val="0"/>
              <w:spacing w:before="0" w:beforeAutospacing="0" w:after="0" w:afterAutospacing="0"/>
              <w:ind w:left="0" w:right="0"/>
              <w:jc w:val="center"/>
              <w:rPr>
                <w:rFonts w:hint="default" w:ascii="宋体" w:hAnsi="宋体"/>
                <w:color w:val="auto"/>
                <w:szCs w:val="21"/>
                <w:highlight w:val="none"/>
              </w:rPr>
            </w:pPr>
          </w:p>
        </w:tc>
      </w:tr>
      <w:tr w14:paraId="5EF90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453" w:type="dxa"/>
            <w:tcBorders>
              <w:top w:val="single" w:color="auto" w:sz="4" w:space="0"/>
              <w:left w:val="single" w:color="auto" w:sz="4" w:space="0"/>
              <w:bottom w:val="single" w:color="auto" w:sz="4" w:space="0"/>
              <w:right w:val="single" w:color="auto" w:sz="4" w:space="0"/>
            </w:tcBorders>
            <w:noWrap w:val="0"/>
            <w:vAlign w:val="center"/>
          </w:tcPr>
          <w:p w14:paraId="38CA13E5">
            <w:pPr>
              <w:keepNext w:val="0"/>
              <w:keepLines w:val="0"/>
              <w:suppressLineNumbers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5</w:t>
            </w:r>
          </w:p>
        </w:tc>
        <w:tc>
          <w:tcPr>
            <w:tcW w:w="5540" w:type="dxa"/>
            <w:tcBorders>
              <w:top w:val="single" w:color="auto" w:sz="4" w:space="0"/>
              <w:left w:val="single" w:color="auto" w:sz="4" w:space="0"/>
              <w:bottom w:val="single" w:color="auto" w:sz="4" w:space="0"/>
              <w:right w:val="single" w:color="auto" w:sz="4" w:space="0"/>
            </w:tcBorders>
            <w:noWrap w:val="0"/>
            <w:vAlign w:val="top"/>
          </w:tcPr>
          <w:p w14:paraId="3C16E17E">
            <w:pPr>
              <w:keepNext w:val="0"/>
              <w:keepLines w:val="0"/>
              <w:suppressLineNumbers w:val="0"/>
              <w:spacing w:before="0" w:beforeAutospacing="0" w:after="0" w:afterAutospacing="0"/>
              <w:ind w:left="0" w:right="0"/>
              <w:jc w:val="center"/>
              <w:rPr>
                <w:rFonts w:hint="default" w:ascii="宋体" w:hAnsi="宋体"/>
                <w:color w:val="auto"/>
                <w:szCs w:val="21"/>
                <w:highlight w:val="none"/>
              </w:rPr>
            </w:pPr>
          </w:p>
        </w:tc>
        <w:tc>
          <w:tcPr>
            <w:tcW w:w="2190" w:type="dxa"/>
            <w:tcBorders>
              <w:top w:val="single" w:color="auto" w:sz="4" w:space="0"/>
              <w:left w:val="single" w:color="auto" w:sz="4" w:space="0"/>
              <w:bottom w:val="single" w:color="auto" w:sz="4" w:space="0"/>
              <w:right w:val="single" w:color="auto" w:sz="4" w:space="0"/>
            </w:tcBorders>
            <w:noWrap w:val="0"/>
            <w:vAlign w:val="center"/>
          </w:tcPr>
          <w:p w14:paraId="4748340E">
            <w:pPr>
              <w:keepNext w:val="0"/>
              <w:keepLines w:val="0"/>
              <w:suppressLineNumbers w:val="0"/>
              <w:spacing w:before="0" w:beforeAutospacing="0" w:after="0" w:afterAutospacing="0"/>
              <w:ind w:left="0" w:right="0"/>
              <w:jc w:val="center"/>
              <w:rPr>
                <w:rFonts w:hint="default" w:ascii="宋体" w:hAnsi="宋体"/>
                <w:color w:val="auto"/>
                <w:szCs w:val="21"/>
                <w:highlight w:val="none"/>
              </w:rPr>
            </w:pPr>
          </w:p>
        </w:tc>
      </w:tr>
      <w:tr w14:paraId="0FE66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453" w:type="dxa"/>
            <w:tcBorders>
              <w:top w:val="single" w:color="auto" w:sz="4" w:space="0"/>
              <w:left w:val="single" w:color="auto" w:sz="4" w:space="0"/>
              <w:bottom w:val="single" w:color="auto" w:sz="4" w:space="0"/>
              <w:right w:val="single" w:color="auto" w:sz="4" w:space="0"/>
            </w:tcBorders>
            <w:noWrap w:val="0"/>
            <w:vAlign w:val="center"/>
          </w:tcPr>
          <w:p w14:paraId="230F289B">
            <w:pPr>
              <w:keepNext w:val="0"/>
              <w:keepLines w:val="0"/>
              <w:suppressLineNumbers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6</w:t>
            </w:r>
          </w:p>
        </w:tc>
        <w:tc>
          <w:tcPr>
            <w:tcW w:w="5540" w:type="dxa"/>
            <w:tcBorders>
              <w:top w:val="single" w:color="auto" w:sz="4" w:space="0"/>
              <w:left w:val="single" w:color="auto" w:sz="4" w:space="0"/>
              <w:bottom w:val="single" w:color="auto" w:sz="4" w:space="0"/>
              <w:right w:val="single" w:color="auto" w:sz="4" w:space="0"/>
            </w:tcBorders>
            <w:noWrap w:val="0"/>
            <w:vAlign w:val="top"/>
          </w:tcPr>
          <w:p w14:paraId="62E238F6">
            <w:pPr>
              <w:keepNext w:val="0"/>
              <w:keepLines w:val="0"/>
              <w:suppressLineNumbers w:val="0"/>
              <w:spacing w:before="0" w:beforeAutospacing="0" w:after="0" w:afterAutospacing="0"/>
              <w:ind w:left="0" w:right="0"/>
              <w:jc w:val="center"/>
              <w:rPr>
                <w:rFonts w:hint="default" w:ascii="宋体" w:hAnsi="宋体"/>
                <w:color w:val="auto"/>
                <w:szCs w:val="21"/>
                <w:highlight w:val="none"/>
              </w:rPr>
            </w:pPr>
          </w:p>
        </w:tc>
        <w:tc>
          <w:tcPr>
            <w:tcW w:w="2190" w:type="dxa"/>
            <w:tcBorders>
              <w:top w:val="single" w:color="auto" w:sz="4" w:space="0"/>
              <w:left w:val="single" w:color="auto" w:sz="4" w:space="0"/>
              <w:bottom w:val="single" w:color="auto" w:sz="4" w:space="0"/>
              <w:right w:val="single" w:color="auto" w:sz="4" w:space="0"/>
            </w:tcBorders>
            <w:noWrap w:val="0"/>
            <w:vAlign w:val="center"/>
          </w:tcPr>
          <w:p w14:paraId="5C6F774C">
            <w:pPr>
              <w:keepNext w:val="0"/>
              <w:keepLines w:val="0"/>
              <w:suppressLineNumbers w:val="0"/>
              <w:spacing w:before="0" w:beforeAutospacing="0" w:after="0" w:afterAutospacing="0"/>
              <w:ind w:left="0" w:right="0"/>
              <w:jc w:val="center"/>
              <w:rPr>
                <w:rFonts w:hint="default" w:ascii="宋体" w:hAnsi="宋体"/>
                <w:color w:val="auto"/>
                <w:szCs w:val="21"/>
                <w:highlight w:val="none"/>
              </w:rPr>
            </w:pPr>
          </w:p>
        </w:tc>
      </w:tr>
      <w:tr w14:paraId="6F454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1453" w:type="dxa"/>
            <w:tcBorders>
              <w:top w:val="single" w:color="auto" w:sz="4" w:space="0"/>
              <w:left w:val="single" w:color="auto" w:sz="4" w:space="0"/>
              <w:bottom w:val="single" w:color="auto" w:sz="4" w:space="0"/>
              <w:right w:val="single" w:color="auto" w:sz="4" w:space="0"/>
            </w:tcBorders>
            <w:noWrap w:val="0"/>
            <w:vAlign w:val="center"/>
          </w:tcPr>
          <w:p w14:paraId="3A1FA726">
            <w:pPr>
              <w:keepNext w:val="0"/>
              <w:keepLines w:val="0"/>
              <w:suppressLineNumbers w:val="0"/>
              <w:spacing w:before="0" w:beforeAutospacing="0" w:after="0" w:afterAutospacing="0"/>
              <w:ind w:left="0" w:right="0"/>
              <w:jc w:val="center"/>
              <w:rPr>
                <w:rFonts w:hint="eastAsia" w:ascii="宋体" w:hAnsi="宋体" w:eastAsia="宋体"/>
                <w:color w:val="auto"/>
                <w:szCs w:val="21"/>
                <w:highlight w:val="none"/>
                <w:lang w:eastAsia="zh-CN"/>
              </w:rPr>
            </w:pPr>
            <w:r>
              <w:rPr>
                <w:rFonts w:hint="eastAsia" w:ascii="宋体" w:hAnsi="宋体" w:cs="宋体"/>
                <w:color w:val="auto"/>
                <w:sz w:val="24"/>
                <w:highlight w:val="none"/>
                <w:lang w:val="en-US" w:eastAsia="zh-CN"/>
              </w:rPr>
              <w:t>7</w:t>
            </w:r>
          </w:p>
        </w:tc>
        <w:tc>
          <w:tcPr>
            <w:tcW w:w="5540" w:type="dxa"/>
            <w:tcBorders>
              <w:top w:val="single" w:color="auto" w:sz="4" w:space="0"/>
              <w:left w:val="single" w:color="auto" w:sz="4" w:space="0"/>
              <w:bottom w:val="single" w:color="auto" w:sz="4" w:space="0"/>
              <w:right w:val="single" w:color="auto" w:sz="4" w:space="0"/>
            </w:tcBorders>
            <w:noWrap w:val="0"/>
            <w:vAlign w:val="top"/>
          </w:tcPr>
          <w:p w14:paraId="3F9CF63D">
            <w:pPr>
              <w:keepNext w:val="0"/>
              <w:keepLines w:val="0"/>
              <w:suppressLineNumbers w:val="0"/>
              <w:spacing w:before="0" w:beforeAutospacing="0" w:after="0" w:afterAutospacing="0"/>
              <w:ind w:left="0" w:right="0"/>
              <w:jc w:val="center"/>
              <w:rPr>
                <w:rFonts w:hint="default" w:ascii="宋体" w:hAnsi="宋体"/>
                <w:color w:val="auto"/>
                <w:szCs w:val="21"/>
                <w:highlight w:val="none"/>
              </w:rPr>
            </w:pPr>
          </w:p>
        </w:tc>
        <w:tc>
          <w:tcPr>
            <w:tcW w:w="2190" w:type="dxa"/>
            <w:tcBorders>
              <w:top w:val="single" w:color="auto" w:sz="4" w:space="0"/>
              <w:left w:val="single" w:color="auto" w:sz="4" w:space="0"/>
              <w:bottom w:val="single" w:color="auto" w:sz="4" w:space="0"/>
              <w:right w:val="single" w:color="auto" w:sz="4" w:space="0"/>
            </w:tcBorders>
            <w:noWrap w:val="0"/>
            <w:vAlign w:val="center"/>
          </w:tcPr>
          <w:p w14:paraId="3B5E7CAD">
            <w:pPr>
              <w:keepNext w:val="0"/>
              <w:keepLines w:val="0"/>
              <w:suppressLineNumbers w:val="0"/>
              <w:spacing w:before="0" w:beforeAutospacing="0" w:after="0" w:afterAutospacing="0"/>
              <w:ind w:left="0" w:right="0"/>
              <w:jc w:val="center"/>
              <w:rPr>
                <w:rFonts w:hint="default" w:ascii="宋体" w:hAnsi="宋体"/>
                <w:color w:val="auto"/>
                <w:szCs w:val="21"/>
                <w:highlight w:val="none"/>
              </w:rPr>
            </w:pPr>
          </w:p>
        </w:tc>
      </w:tr>
    </w:tbl>
    <w:p w14:paraId="2129C7B3">
      <w:pPr>
        <w:rPr>
          <w:rFonts w:hint="eastAsia" w:ascii="宋体" w:hAnsi="宋体"/>
          <w:color w:val="auto"/>
          <w:szCs w:val="21"/>
          <w:highlight w:val="none"/>
        </w:rPr>
      </w:pPr>
    </w:p>
    <w:p w14:paraId="3933AD21">
      <w:pPr>
        <w:keepNext w:val="0"/>
        <w:keepLines w:val="0"/>
        <w:pageBreakBefore w:val="0"/>
        <w:widowControl w:val="0"/>
        <w:kinsoku/>
        <w:wordWrap/>
        <w:overflowPunct/>
        <w:topLinePunct w:val="0"/>
        <w:autoSpaceDE/>
        <w:autoSpaceDN/>
        <w:bidi w:val="0"/>
        <w:adjustRightInd/>
        <w:snapToGrid/>
        <w:spacing w:line="360" w:lineRule="auto"/>
        <w:ind w:left="0" w:right="669" w:firstLine="0" w:firstLineChars="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定标委员会全体成员签名：</w:t>
      </w:r>
    </w:p>
    <w:p w14:paraId="538B7780">
      <w:pPr>
        <w:keepNext w:val="0"/>
        <w:keepLines w:val="0"/>
        <w:pageBreakBefore w:val="0"/>
        <w:widowControl w:val="0"/>
        <w:kinsoku/>
        <w:wordWrap/>
        <w:overflowPunct/>
        <w:topLinePunct w:val="0"/>
        <w:autoSpaceDE/>
        <w:autoSpaceDN/>
        <w:bidi w:val="0"/>
        <w:adjustRightInd/>
        <w:snapToGrid/>
        <w:spacing w:line="360" w:lineRule="auto"/>
        <w:ind w:left="0" w:right="669" w:firstLine="0" w:firstLineChars="0"/>
        <w:jc w:val="left"/>
        <w:textAlignment w:val="auto"/>
        <w:rPr>
          <w:rFonts w:hint="eastAsia" w:ascii="宋体" w:hAnsi="宋体" w:eastAsia="宋体" w:cs="宋体"/>
          <w:color w:val="auto"/>
          <w:szCs w:val="21"/>
          <w:highlight w:val="none"/>
        </w:rPr>
      </w:pPr>
    </w:p>
    <w:p w14:paraId="0719BF48">
      <w:pPr>
        <w:keepNext w:val="0"/>
        <w:keepLines w:val="0"/>
        <w:pageBreakBefore w:val="0"/>
        <w:widowControl w:val="0"/>
        <w:kinsoku/>
        <w:wordWrap/>
        <w:overflowPunct/>
        <w:topLinePunct w:val="0"/>
        <w:autoSpaceDE/>
        <w:autoSpaceDN/>
        <w:bidi w:val="0"/>
        <w:adjustRightInd/>
        <w:snapToGrid/>
        <w:spacing w:line="360" w:lineRule="auto"/>
        <w:ind w:left="0" w:right="669" w:firstLine="0" w:firstLineChars="0"/>
        <w:jc w:val="left"/>
        <w:textAlignment w:val="auto"/>
        <w:rPr>
          <w:rFonts w:hint="eastAsia" w:ascii="宋体" w:hAnsi="宋体" w:eastAsia="宋体" w:cs="宋体"/>
          <w:color w:val="auto"/>
          <w:szCs w:val="21"/>
          <w:highlight w:val="none"/>
        </w:rPr>
      </w:pPr>
    </w:p>
    <w:p w14:paraId="17C37C92">
      <w:pPr>
        <w:keepNext w:val="0"/>
        <w:keepLines w:val="0"/>
        <w:pageBreakBefore w:val="0"/>
        <w:widowControl w:val="0"/>
        <w:kinsoku/>
        <w:wordWrap/>
        <w:overflowPunct/>
        <w:topLinePunct w:val="0"/>
        <w:autoSpaceDE/>
        <w:autoSpaceDN/>
        <w:bidi w:val="0"/>
        <w:adjustRightInd/>
        <w:snapToGrid/>
        <w:spacing w:line="360" w:lineRule="auto"/>
        <w:ind w:left="0" w:right="669" w:firstLine="5460" w:firstLineChars="26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Cs w:val="21"/>
          <w:highlight w:val="none"/>
        </w:rPr>
        <w:t>日期：     年   月   日</w:t>
      </w:r>
    </w:p>
    <w:p w14:paraId="6CE63644">
      <w:pPr>
        <w:ind w:right="-733" w:rightChars="-349"/>
        <w:rPr>
          <w:rFonts w:hint="eastAsia" w:ascii="宋体" w:hAnsi="宋体" w:eastAsia="宋体" w:cs="宋体"/>
          <w:sz w:val="24"/>
          <w:highlight w:val="none"/>
        </w:rPr>
      </w:pPr>
    </w:p>
    <w:p w14:paraId="33708B3C">
      <w:pPr>
        <w:pStyle w:val="163"/>
        <w:ind w:firstLine="400"/>
        <w:rPr>
          <w:rFonts w:hint="eastAsia" w:ascii="仿宋" w:hAnsi="仿宋" w:eastAsia="仿宋" w:cs="仿宋"/>
          <w:b/>
          <w:kern w:val="1"/>
          <w:sz w:val="24"/>
          <w:highlight w:val="none"/>
        </w:rPr>
      </w:pPr>
      <w:r>
        <w:rPr>
          <w:rFonts w:hint="eastAsia" w:ascii="仿宋" w:hAnsi="仿宋" w:eastAsia="仿宋" w:cs="仿宋"/>
          <w:highlight w:val="none"/>
        </w:rPr>
        <w:br w:type="page"/>
      </w:r>
      <w:r>
        <w:rPr>
          <w:rFonts w:hint="eastAsia" w:ascii="宋体" w:hAnsi="宋体" w:eastAsia="宋体" w:cs="宋体"/>
          <w:b/>
          <w:color w:val="auto"/>
          <w:sz w:val="28"/>
          <w:szCs w:val="28"/>
          <w:highlight w:val="none"/>
        </w:rPr>
        <w:t>附表十一</w:t>
      </w:r>
      <w:r>
        <w:rPr>
          <w:rFonts w:hint="eastAsia" w:ascii="宋体" w:hAnsi="宋体" w:eastAsia="宋体" w:cs="宋体"/>
          <w:b/>
          <w:color w:val="auto"/>
          <w:sz w:val="28"/>
          <w:szCs w:val="28"/>
          <w:highlight w:val="none"/>
          <w:lang w:eastAsia="zh-CN"/>
        </w:rPr>
        <w:t>：</w:t>
      </w:r>
    </w:p>
    <w:p w14:paraId="37A600CA">
      <w:pPr>
        <w:spacing w:line="360" w:lineRule="auto"/>
        <w:rPr>
          <w:rFonts w:hint="eastAsia" w:ascii="宋体" w:hAnsi="宋体" w:eastAsia="宋体" w:cs="宋体"/>
          <w:strike w:val="0"/>
          <w:dstrike w:val="0"/>
          <w:color w:val="auto"/>
          <w:sz w:val="21"/>
          <w:szCs w:val="21"/>
          <w:highlight w:val="none"/>
        </w:rPr>
      </w:pPr>
    </w:p>
    <w:p w14:paraId="58FC1CDE">
      <w:pPr>
        <w:snapToGrid w:val="0"/>
        <w:spacing w:line="360" w:lineRule="auto"/>
        <w:jc w:val="center"/>
        <w:outlineLvl w:val="2"/>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附加投票的合格中标候选人名单（定标阶段）（如有）</w:t>
      </w:r>
    </w:p>
    <w:p w14:paraId="3A42D62B">
      <w:pPr>
        <w:snapToGrid w:val="0"/>
        <w:spacing w:line="360" w:lineRule="auto"/>
        <w:ind w:left="210"/>
        <w:jc w:val="center"/>
        <w:rPr>
          <w:rFonts w:hint="eastAsia" w:ascii="宋体" w:hAnsi="宋体" w:eastAsia="宋体" w:cs="宋体"/>
          <w:smallCaps/>
          <w:color w:val="auto"/>
          <w:sz w:val="30"/>
          <w:szCs w:val="30"/>
          <w:highlight w:val="none"/>
        </w:rPr>
      </w:pPr>
    </w:p>
    <w:p w14:paraId="4E412D2B">
      <w:pPr>
        <w:rPr>
          <w:rFonts w:ascii="宋体" w:hAnsi="宋体" w:cs="宋体"/>
          <w:color w:val="auto"/>
          <w:szCs w:val="21"/>
          <w:highlight w:val="none"/>
        </w:rPr>
      </w:pPr>
      <w:r>
        <w:rPr>
          <w:rFonts w:hint="eastAsia" w:ascii="宋体" w:hAnsi="宋体" w:cs="宋体"/>
          <w:color w:val="auto"/>
          <w:szCs w:val="21"/>
          <w:highlight w:val="none"/>
        </w:rPr>
        <w:t>项目名称：</w:t>
      </w:r>
    </w:p>
    <w:tbl>
      <w:tblPr>
        <w:tblStyle w:val="33"/>
        <w:tblW w:w="834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52"/>
        <w:gridCol w:w="1932"/>
        <w:gridCol w:w="1932"/>
        <w:gridCol w:w="1933"/>
      </w:tblGrid>
      <w:tr w14:paraId="51354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trPr>
        <w:tc>
          <w:tcPr>
            <w:tcW w:w="2552" w:type="dxa"/>
            <w:tcBorders>
              <w:top w:val="single" w:color="auto" w:sz="4" w:space="0"/>
              <w:left w:val="single" w:color="auto" w:sz="4" w:space="0"/>
              <w:bottom w:val="single" w:color="auto" w:sz="4" w:space="0"/>
              <w:right w:val="single" w:color="auto" w:sz="4" w:space="0"/>
            </w:tcBorders>
            <w:noWrap w:val="0"/>
            <w:vAlign w:val="center"/>
          </w:tcPr>
          <w:p w14:paraId="5915C571">
            <w:pPr>
              <w:keepNext w:val="0"/>
              <w:keepLines w:val="0"/>
              <w:suppressLineNumbers w:val="0"/>
              <w:spacing w:before="0" w:beforeAutospacing="0" w:after="0" w:afterAutospacing="0" w:line="360" w:lineRule="auto"/>
              <w:ind w:left="0" w:right="0"/>
              <w:jc w:val="center"/>
              <w:rPr>
                <w:rFonts w:hint="default" w:ascii="宋体" w:hAnsi="宋体" w:cs="宋体"/>
                <w:b/>
                <w:color w:val="auto"/>
                <w:kern w:val="0"/>
                <w:sz w:val="24"/>
                <w:szCs w:val="24"/>
                <w:highlight w:val="none"/>
              </w:rPr>
            </w:pPr>
            <w:r>
              <w:rPr>
                <w:rFonts w:hint="eastAsia" w:ascii="宋体" w:hAnsi="宋体" w:cs="宋体"/>
                <w:b/>
                <w:color w:val="auto"/>
                <w:kern w:val="0"/>
                <w:sz w:val="24"/>
                <w:szCs w:val="24"/>
                <w:highlight w:val="none"/>
              </w:rPr>
              <w:t>合格中标候选人</w:t>
            </w:r>
          </w:p>
        </w:tc>
        <w:tc>
          <w:tcPr>
            <w:tcW w:w="1932" w:type="dxa"/>
            <w:tcBorders>
              <w:top w:val="single" w:color="auto" w:sz="4" w:space="0"/>
              <w:left w:val="single" w:color="auto" w:sz="4" w:space="0"/>
              <w:bottom w:val="single" w:color="auto" w:sz="4" w:space="0"/>
              <w:right w:val="single" w:color="auto" w:sz="4" w:space="0"/>
            </w:tcBorders>
            <w:noWrap w:val="0"/>
            <w:vAlign w:val="center"/>
          </w:tcPr>
          <w:p w14:paraId="362154D9">
            <w:pPr>
              <w:keepNext w:val="0"/>
              <w:keepLines w:val="0"/>
              <w:suppressLineNumbers w:val="0"/>
              <w:spacing w:before="0" w:beforeAutospacing="0" w:after="0" w:afterAutospacing="0" w:line="360" w:lineRule="auto"/>
              <w:ind w:left="0" w:right="0"/>
              <w:jc w:val="center"/>
              <w:rPr>
                <w:rFonts w:hint="default" w:ascii="宋体" w:hAnsi="宋体" w:cs="宋体"/>
                <w:color w:val="auto"/>
                <w:kern w:val="0"/>
                <w:sz w:val="24"/>
                <w:szCs w:val="24"/>
                <w:highlight w:val="none"/>
              </w:rPr>
            </w:pPr>
          </w:p>
        </w:tc>
        <w:tc>
          <w:tcPr>
            <w:tcW w:w="1932" w:type="dxa"/>
            <w:tcBorders>
              <w:top w:val="single" w:color="auto" w:sz="4" w:space="0"/>
              <w:left w:val="single" w:color="auto" w:sz="4" w:space="0"/>
              <w:bottom w:val="single" w:color="auto" w:sz="4" w:space="0"/>
              <w:right w:val="single" w:color="auto" w:sz="4" w:space="0"/>
            </w:tcBorders>
            <w:noWrap w:val="0"/>
            <w:vAlign w:val="center"/>
          </w:tcPr>
          <w:p w14:paraId="760454A3">
            <w:pPr>
              <w:keepNext w:val="0"/>
              <w:keepLines w:val="0"/>
              <w:suppressLineNumbers w:val="0"/>
              <w:spacing w:before="0" w:beforeAutospacing="0" w:after="0" w:afterAutospacing="0" w:line="360" w:lineRule="auto"/>
              <w:ind w:left="0" w:right="0"/>
              <w:jc w:val="center"/>
              <w:rPr>
                <w:rFonts w:hint="default" w:ascii="宋体" w:hAnsi="宋体" w:cs="宋体"/>
                <w:color w:val="auto"/>
                <w:kern w:val="0"/>
                <w:sz w:val="24"/>
                <w:szCs w:val="24"/>
                <w:highlight w:val="none"/>
              </w:rPr>
            </w:pPr>
          </w:p>
        </w:tc>
        <w:tc>
          <w:tcPr>
            <w:tcW w:w="1933" w:type="dxa"/>
            <w:tcBorders>
              <w:top w:val="single" w:color="auto" w:sz="4" w:space="0"/>
              <w:left w:val="single" w:color="auto" w:sz="4" w:space="0"/>
              <w:bottom w:val="single" w:color="auto" w:sz="4" w:space="0"/>
              <w:right w:val="single" w:color="auto" w:sz="4" w:space="0"/>
            </w:tcBorders>
            <w:noWrap w:val="0"/>
            <w:vAlign w:val="center"/>
          </w:tcPr>
          <w:p w14:paraId="54909994">
            <w:pPr>
              <w:keepNext w:val="0"/>
              <w:keepLines w:val="0"/>
              <w:suppressLineNumbers w:val="0"/>
              <w:spacing w:before="0" w:beforeAutospacing="0" w:after="0" w:afterAutospacing="0" w:line="360" w:lineRule="auto"/>
              <w:ind w:left="0" w:right="0"/>
              <w:jc w:val="center"/>
              <w:rPr>
                <w:rFonts w:hint="default" w:ascii="宋体" w:hAnsi="宋体" w:cs="宋体"/>
                <w:color w:val="auto"/>
                <w:kern w:val="0"/>
                <w:sz w:val="24"/>
                <w:szCs w:val="24"/>
                <w:highlight w:val="none"/>
              </w:rPr>
            </w:pPr>
            <w:r>
              <w:rPr>
                <w:rFonts w:hint="eastAsia" w:ascii="宋体" w:hAnsi="宋体" w:cs="宋体"/>
                <w:color w:val="auto"/>
                <w:sz w:val="24"/>
                <w:szCs w:val="24"/>
                <w:highlight w:val="none"/>
              </w:rPr>
              <w:t>……</w:t>
            </w:r>
          </w:p>
        </w:tc>
      </w:tr>
    </w:tbl>
    <w:p w14:paraId="59483158">
      <w:pPr>
        <w:spacing w:line="360" w:lineRule="auto"/>
        <w:ind w:left="275" w:hanging="275" w:hangingChars="131"/>
        <w:rPr>
          <w:rFonts w:ascii="宋体" w:hAnsi="宋体" w:cs="宋体"/>
          <w:color w:val="auto"/>
          <w:szCs w:val="21"/>
          <w:highlight w:val="none"/>
        </w:rPr>
      </w:pPr>
      <w:r>
        <w:rPr>
          <w:rFonts w:hint="eastAsia" w:ascii="宋体" w:hAnsi="宋体" w:cs="宋体"/>
          <w:color w:val="auto"/>
          <w:szCs w:val="21"/>
          <w:highlight w:val="none"/>
        </w:rPr>
        <w:t>注：本表用于投票出现票数相同的情况。</w:t>
      </w:r>
    </w:p>
    <w:p w14:paraId="3DFE0B56">
      <w:pPr>
        <w:spacing w:line="300" w:lineRule="exact"/>
        <w:ind w:right="-325" w:rightChars="-155" w:firstLine="420" w:firstLineChars="200"/>
        <w:rPr>
          <w:rFonts w:hint="eastAsia" w:ascii="宋体" w:hAnsi="宋体" w:eastAsia="宋体" w:cs="宋体"/>
          <w:color w:val="auto"/>
          <w:szCs w:val="21"/>
          <w:highlight w:val="none"/>
        </w:rPr>
      </w:pPr>
    </w:p>
    <w:p w14:paraId="4426C2A2">
      <w:pPr>
        <w:spacing w:line="300" w:lineRule="exact"/>
        <w:ind w:right="-325" w:rightChars="-155"/>
        <w:rPr>
          <w:rFonts w:hint="eastAsia" w:ascii="宋体" w:hAnsi="宋体" w:eastAsia="宋体" w:cs="宋体"/>
          <w:color w:val="auto"/>
          <w:szCs w:val="21"/>
          <w:highlight w:val="none"/>
        </w:rPr>
      </w:pPr>
    </w:p>
    <w:p w14:paraId="60CA4BA3">
      <w:pPr>
        <w:keepNext w:val="0"/>
        <w:keepLines w:val="0"/>
        <w:pageBreakBefore w:val="0"/>
        <w:widowControl w:val="0"/>
        <w:kinsoku/>
        <w:wordWrap/>
        <w:overflowPunct/>
        <w:topLinePunct w:val="0"/>
        <w:autoSpaceDE/>
        <w:autoSpaceDN/>
        <w:bidi w:val="0"/>
        <w:adjustRightInd/>
        <w:snapToGrid/>
        <w:spacing w:line="360" w:lineRule="auto"/>
        <w:ind w:right="-325" w:rightChars="-155"/>
        <w:jc w:val="left"/>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定标委员会全体成员签名：  </w:t>
      </w:r>
    </w:p>
    <w:p w14:paraId="6FEC7E38">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color w:val="auto"/>
          <w:szCs w:val="21"/>
          <w:highlight w:val="none"/>
        </w:rPr>
      </w:pPr>
    </w:p>
    <w:p w14:paraId="026567AF">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color w:val="auto"/>
          <w:szCs w:val="21"/>
          <w:highlight w:val="none"/>
        </w:rPr>
      </w:pPr>
    </w:p>
    <w:p w14:paraId="71283FC5">
      <w:pPr>
        <w:keepNext w:val="0"/>
        <w:keepLines w:val="0"/>
        <w:pageBreakBefore w:val="0"/>
        <w:widowControl w:val="0"/>
        <w:kinsoku/>
        <w:wordWrap/>
        <w:overflowPunct/>
        <w:topLinePunct w:val="0"/>
        <w:autoSpaceDE/>
        <w:autoSpaceDN/>
        <w:bidi w:val="0"/>
        <w:adjustRightInd/>
        <w:snapToGrid/>
        <w:spacing w:line="360" w:lineRule="auto"/>
        <w:ind w:firstLine="5040" w:firstLineChars="2400"/>
        <w:jc w:val="left"/>
        <w:textAlignment w:val="auto"/>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Cs w:val="21"/>
          <w:highlight w:val="none"/>
        </w:rPr>
        <w:t>日期：     年   月   日</w:t>
      </w:r>
    </w:p>
    <w:p w14:paraId="6D407CA0">
      <w:pPr>
        <w:pStyle w:val="163"/>
        <w:ind w:firstLine="400"/>
        <w:rPr>
          <w:rFonts w:hint="eastAsia" w:ascii="仿宋" w:hAnsi="仿宋" w:eastAsia="仿宋" w:cs="仿宋"/>
          <w:b/>
          <w:kern w:val="1"/>
          <w:sz w:val="24"/>
          <w:highlight w:val="none"/>
        </w:rPr>
      </w:pPr>
      <w:r>
        <w:rPr>
          <w:rFonts w:hint="eastAsia" w:ascii="仿宋" w:hAnsi="仿宋" w:eastAsia="仿宋" w:cs="仿宋"/>
          <w:highlight w:val="none"/>
        </w:rPr>
        <w:br w:type="page"/>
      </w:r>
      <w:r>
        <w:rPr>
          <w:rFonts w:hint="eastAsia" w:ascii="宋体" w:hAnsi="宋体" w:eastAsia="宋体" w:cs="宋体"/>
          <w:b/>
          <w:color w:val="auto"/>
          <w:sz w:val="28"/>
          <w:szCs w:val="28"/>
          <w:highlight w:val="none"/>
        </w:rPr>
        <w:t>附表十</w:t>
      </w:r>
      <w:r>
        <w:rPr>
          <w:rFonts w:hint="eastAsia" w:ascii="宋体" w:hAnsi="宋体" w:eastAsia="宋体" w:cs="宋体"/>
          <w:b/>
          <w:color w:val="auto"/>
          <w:sz w:val="28"/>
          <w:szCs w:val="28"/>
          <w:highlight w:val="none"/>
          <w:lang w:val="en-US" w:eastAsia="zh-CN"/>
        </w:rPr>
        <w:t>二</w:t>
      </w:r>
      <w:r>
        <w:rPr>
          <w:rFonts w:hint="eastAsia" w:ascii="宋体" w:hAnsi="宋体" w:eastAsia="宋体" w:cs="宋体"/>
          <w:b/>
          <w:color w:val="auto"/>
          <w:sz w:val="28"/>
          <w:szCs w:val="28"/>
          <w:highlight w:val="none"/>
          <w:lang w:eastAsia="zh-CN"/>
        </w:rPr>
        <w:t>：</w:t>
      </w:r>
    </w:p>
    <w:p w14:paraId="623C8F7F">
      <w:pPr>
        <w:snapToGrid w:val="0"/>
        <w:spacing w:line="360" w:lineRule="auto"/>
        <w:jc w:val="center"/>
        <w:outlineLvl w:val="2"/>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附加定标选票表（定标阶段）（如有）</w:t>
      </w:r>
    </w:p>
    <w:p w14:paraId="4513EAD7">
      <w:pPr>
        <w:jc w:val="center"/>
        <w:rPr>
          <w:rFonts w:hint="eastAsia" w:ascii="宋体" w:hAnsi="宋体" w:eastAsia="宋体" w:cs="宋体"/>
          <w:b/>
          <w:color w:val="auto"/>
          <w:sz w:val="30"/>
          <w:szCs w:val="30"/>
          <w:highlight w:val="none"/>
        </w:rPr>
      </w:pPr>
    </w:p>
    <w:p w14:paraId="79DC5AB3">
      <w:pPr>
        <w:rPr>
          <w:rFonts w:ascii="宋体" w:hAnsi="宋体" w:cs="宋体"/>
          <w:color w:val="auto"/>
          <w:szCs w:val="21"/>
          <w:highlight w:val="none"/>
        </w:rPr>
      </w:pPr>
      <w:r>
        <w:rPr>
          <w:rFonts w:hint="eastAsia" w:ascii="宋体" w:hAnsi="宋体" w:cs="宋体"/>
          <w:color w:val="auto"/>
          <w:szCs w:val="21"/>
          <w:highlight w:val="none"/>
        </w:rPr>
        <w:t>项目名称：</w:t>
      </w:r>
    </w:p>
    <w:tbl>
      <w:tblPr>
        <w:tblStyle w:val="131"/>
        <w:tblW w:w="483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71"/>
        <w:gridCol w:w="5305"/>
      </w:tblGrid>
      <w:tr w14:paraId="7A43D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2045" w:type="pct"/>
            <w:noWrap w:val="0"/>
            <w:vAlign w:val="center"/>
          </w:tcPr>
          <w:p w14:paraId="1F1E076F">
            <w:pPr>
              <w:keepNext w:val="0"/>
              <w:keepLines w:val="0"/>
              <w:suppressLineNumbers w:val="0"/>
              <w:spacing w:before="0" w:beforeAutospacing="0" w:after="0" w:afterAutospacing="0"/>
              <w:ind w:left="0" w:right="0"/>
              <w:jc w:val="center"/>
              <w:rPr>
                <w:rFonts w:hint="default" w:ascii="宋体" w:hAnsi="宋体"/>
                <w:b/>
                <w:color w:val="auto"/>
                <w:sz w:val="24"/>
                <w:szCs w:val="24"/>
                <w:highlight w:val="none"/>
              </w:rPr>
            </w:pPr>
            <w:r>
              <w:rPr>
                <w:rFonts w:hint="eastAsia" w:ascii="宋体" w:hAnsi="宋体" w:cs="宋体"/>
                <w:b/>
                <w:bCs/>
                <w:color w:val="auto"/>
                <w:sz w:val="24"/>
                <w:szCs w:val="24"/>
                <w:highlight w:val="none"/>
              </w:rPr>
              <w:t>支持的合格中标候选人</w:t>
            </w:r>
          </w:p>
        </w:tc>
        <w:tc>
          <w:tcPr>
            <w:tcW w:w="2955" w:type="pct"/>
            <w:noWrap w:val="0"/>
            <w:vAlign w:val="center"/>
          </w:tcPr>
          <w:p w14:paraId="724A3176">
            <w:pPr>
              <w:keepNext w:val="0"/>
              <w:keepLines w:val="0"/>
              <w:suppressLineNumbers w:val="0"/>
              <w:spacing w:before="0" w:beforeAutospacing="0" w:after="0" w:afterAutospacing="0"/>
              <w:ind w:left="0" w:right="0"/>
              <w:jc w:val="center"/>
              <w:rPr>
                <w:rFonts w:hint="default" w:ascii="宋体" w:hAnsi="宋体" w:cs="宋体"/>
                <w:b/>
                <w:bCs/>
                <w:color w:val="auto"/>
                <w:sz w:val="24"/>
                <w:szCs w:val="24"/>
                <w:highlight w:val="none"/>
              </w:rPr>
            </w:pPr>
            <w:r>
              <w:rPr>
                <w:rFonts w:hint="eastAsia" w:ascii="宋体" w:hAnsi="宋体"/>
                <w:b/>
                <w:color w:val="auto"/>
                <w:sz w:val="24"/>
                <w:szCs w:val="24"/>
                <w:highlight w:val="none"/>
              </w:rPr>
              <w:t>支持理由</w:t>
            </w:r>
          </w:p>
        </w:tc>
      </w:tr>
      <w:tr w14:paraId="5416D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2" w:hRule="atLeast"/>
        </w:trPr>
        <w:tc>
          <w:tcPr>
            <w:tcW w:w="2045" w:type="pct"/>
            <w:noWrap w:val="0"/>
            <w:vAlign w:val="center"/>
          </w:tcPr>
          <w:p w14:paraId="2CB434F6">
            <w:pPr>
              <w:keepNext w:val="0"/>
              <w:keepLines w:val="0"/>
              <w:suppressLineNumbers w:val="0"/>
              <w:spacing w:before="0" w:beforeAutospacing="0" w:after="0" w:afterAutospacing="0"/>
              <w:ind w:left="0" w:right="-162" w:rightChars="-77"/>
              <w:jc w:val="center"/>
              <w:rPr>
                <w:rFonts w:hint="default" w:ascii="宋体" w:hAnsi="宋体" w:cs="宋体"/>
                <w:b/>
                <w:bCs/>
                <w:color w:val="auto"/>
                <w:sz w:val="24"/>
                <w:szCs w:val="24"/>
                <w:highlight w:val="none"/>
              </w:rPr>
            </w:pPr>
          </w:p>
        </w:tc>
        <w:tc>
          <w:tcPr>
            <w:tcW w:w="2955" w:type="pct"/>
            <w:noWrap w:val="0"/>
            <w:vAlign w:val="center"/>
          </w:tcPr>
          <w:p w14:paraId="4960FB3F">
            <w:pPr>
              <w:keepNext w:val="0"/>
              <w:keepLines w:val="0"/>
              <w:suppressLineNumbers w:val="0"/>
              <w:spacing w:before="0" w:beforeAutospacing="0" w:after="0" w:afterAutospacing="0"/>
              <w:ind w:left="0" w:right="0"/>
              <w:jc w:val="center"/>
              <w:rPr>
                <w:rFonts w:hint="default" w:ascii="宋体" w:hAnsi="宋体" w:cs="宋体"/>
                <w:color w:val="auto"/>
                <w:sz w:val="24"/>
                <w:szCs w:val="24"/>
                <w:highlight w:val="none"/>
              </w:rPr>
            </w:pPr>
          </w:p>
        </w:tc>
      </w:tr>
    </w:tbl>
    <w:p w14:paraId="3EF9CC8D">
      <w:pPr>
        <w:keepNext w:val="0"/>
        <w:keepLines w:val="0"/>
        <w:pageBreakBefore w:val="0"/>
        <w:widowControl w:val="0"/>
        <w:kinsoku/>
        <w:wordWrap/>
        <w:overflowPunct/>
        <w:topLinePunct w:val="0"/>
        <w:autoSpaceDE/>
        <w:autoSpaceDN/>
        <w:bidi w:val="0"/>
        <w:adjustRightInd/>
        <w:snapToGrid/>
        <w:textAlignment w:val="auto"/>
        <w:rPr>
          <w:rFonts w:ascii="宋体" w:hAnsi="宋体" w:cs="宋体"/>
          <w:color w:val="auto"/>
          <w:szCs w:val="21"/>
          <w:highlight w:val="none"/>
        </w:rPr>
      </w:pPr>
      <w:r>
        <w:rPr>
          <w:rFonts w:hint="eastAsia" w:ascii="宋体" w:hAnsi="宋体" w:cs="宋体"/>
          <w:color w:val="auto"/>
          <w:szCs w:val="21"/>
          <w:highlight w:val="none"/>
        </w:rPr>
        <w:t>正式投票规则：</w:t>
      </w:r>
    </w:p>
    <w:p w14:paraId="500DC680">
      <w:pPr>
        <w:keepNext w:val="0"/>
        <w:keepLines w:val="0"/>
        <w:pageBreakBefore w:val="0"/>
        <w:widowControl w:val="0"/>
        <w:kinsoku/>
        <w:wordWrap/>
        <w:overflowPunct/>
        <w:topLinePunct w:val="0"/>
        <w:autoSpaceDE/>
        <w:autoSpaceDN/>
        <w:bidi w:val="0"/>
        <w:adjustRightInd/>
        <w:snapToGrid/>
        <w:textAlignment w:val="auto"/>
        <w:rPr>
          <w:rFonts w:ascii="宋体" w:hAnsi="宋体" w:cs="宋体"/>
          <w:color w:val="auto"/>
          <w:szCs w:val="21"/>
          <w:highlight w:val="none"/>
        </w:rPr>
      </w:pPr>
      <w:r>
        <w:rPr>
          <w:rFonts w:hint="eastAsia" w:ascii="宋体" w:hAnsi="宋体" w:cs="宋体"/>
          <w:color w:val="auto"/>
          <w:szCs w:val="21"/>
          <w:highlight w:val="none"/>
        </w:rPr>
        <w:t>（1）以上表格用于正式投票，投票时须注明支持的合格中标候选人及支持理由。</w:t>
      </w:r>
    </w:p>
    <w:p w14:paraId="50D8BEF5">
      <w:pPr>
        <w:keepNext w:val="0"/>
        <w:keepLines w:val="0"/>
        <w:pageBreakBefore w:val="0"/>
        <w:widowControl w:val="0"/>
        <w:kinsoku/>
        <w:wordWrap/>
        <w:overflowPunct/>
        <w:topLinePunct w:val="0"/>
        <w:autoSpaceDE/>
        <w:autoSpaceDN/>
        <w:bidi w:val="0"/>
        <w:adjustRightInd/>
        <w:snapToGrid/>
        <w:textAlignment w:val="auto"/>
        <w:rPr>
          <w:rFonts w:ascii="宋体" w:hAnsi="宋体" w:cs="宋体"/>
          <w:color w:val="auto"/>
          <w:szCs w:val="21"/>
          <w:highlight w:val="none"/>
        </w:rPr>
      </w:pPr>
      <w:r>
        <w:rPr>
          <w:rFonts w:hint="eastAsia" w:ascii="宋体" w:hAnsi="宋体" w:cs="宋体"/>
          <w:color w:val="auto"/>
          <w:szCs w:val="21"/>
          <w:highlight w:val="none"/>
        </w:rPr>
        <w:t>（2）由定标委员会成员进行投票，各定标委员会成员只能支持一家合格中标候选人。</w:t>
      </w:r>
    </w:p>
    <w:p w14:paraId="4E7624CF">
      <w:pPr>
        <w:keepNext w:val="0"/>
        <w:keepLines w:val="0"/>
        <w:pageBreakBefore w:val="0"/>
        <w:widowControl w:val="0"/>
        <w:kinsoku/>
        <w:wordWrap/>
        <w:overflowPunct/>
        <w:topLinePunct w:val="0"/>
        <w:autoSpaceDE/>
        <w:autoSpaceDN/>
        <w:bidi w:val="0"/>
        <w:adjustRightInd/>
        <w:snapToGrid/>
        <w:textAlignment w:val="auto"/>
        <w:rPr>
          <w:rFonts w:ascii="宋体" w:hAnsi="宋体" w:cs="宋体"/>
          <w:color w:val="auto"/>
          <w:szCs w:val="21"/>
          <w:highlight w:val="none"/>
        </w:rPr>
      </w:pPr>
      <w:r>
        <w:rPr>
          <w:rFonts w:hint="eastAsia" w:ascii="宋体" w:hAnsi="宋体" w:cs="宋体"/>
          <w:color w:val="auto"/>
          <w:szCs w:val="21"/>
          <w:highlight w:val="none"/>
        </w:rPr>
        <w:t>（3）投票结束后，点票人员对投票人数、票数和每票对应的合格中标候选人总数加以核对和统计，作废的选票不得统计，并向定标委员会报告。</w:t>
      </w:r>
    </w:p>
    <w:p w14:paraId="6C0E598F">
      <w:pPr>
        <w:keepNext w:val="0"/>
        <w:keepLines w:val="0"/>
        <w:pageBreakBefore w:val="0"/>
        <w:widowControl w:val="0"/>
        <w:kinsoku/>
        <w:wordWrap/>
        <w:overflowPunct/>
        <w:topLinePunct w:val="0"/>
        <w:autoSpaceDE/>
        <w:autoSpaceDN/>
        <w:bidi w:val="0"/>
        <w:adjustRightInd/>
        <w:snapToGrid/>
        <w:textAlignment w:val="auto"/>
        <w:rPr>
          <w:rFonts w:ascii="宋体" w:hAnsi="宋体" w:cs="宋体"/>
          <w:color w:val="auto"/>
          <w:szCs w:val="21"/>
          <w:highlight w:val="none"/>
        </w:rPr>
      </w:pPr>
      <w:r>
        <w:rPr>
          <w:rFonts w:hint="eastAsia" w:ascii="宋体" w:hAnsi="宋体" w:cs="宋体"/>
          <w:color w:val="auto"/>
          <w:szCs w:val="21"/>
          <w:highlight w:val="none"/>
        </w:rPr>
        <w:t>（4）定标委员会成员应当独立投票，自投票开始至最终排名统计结果公布期间，任何人不得非法干预、影响投票过程，不得透露、协商、改变投票结果，不得使用通信联络工具。</w:t>
      </w:r>
    </w:p>
    <w:p w14:paraId="0637AFA5">
      <w:pPr>
        <w:rPr>
          <w:rFonts w:hint="eastAsia" w:ascii="宋体" w:hAnsi="宋体" w:eastAsia="宋体" w:cs="宋体"/>
          <w:color w:val="auto"/>
          <w:sz w:val="24"/>
          <w:szCs w:val="22"/>
          <w:highlight w:val="none"/>
        </w:rPr>
      </w:pPr>
    </w:p>
    <w:p w14:paraId="3D91E0BB">
      <w:pPr>
        <w:rPr>
          <w:rFonts w:hint="eastAsia" w:ascii="宋体" w:hAnsi="宋体" w:eastAsia="宋体" w:cs="宋体"/>
          <w:color w:val="auto"/>
          <w:sz w:val="24"/>
          <w:szCs w:val="22"/>
          <w:highlight w:val="none"/>
        </w:rPr>
      </w:pPr>
    </w:p>
    <w:p w14:paraId="7C283B46">
      <w:pPr>
        <w:rPr>
          <w:rFonts w:hint="eastAsia" w:ascii="宋体" w:hAnsi="宋体" w:eastAsia="宋体" w:cs="宋体"/>
          <w:color w:val="auto"/>
          <w:szCs w:val="22"/>
          <w:highlight w:val="none"/>
        </w:rPr>
      </w:pPr>
    </w:p>
    <w:p w14:paraId="5BFCA749">
      <w:pPr>
        <w:keepNext w:val="0"/>
        <w:keepLines w:val="0"/>
        <w:pageBreakBefore w:val="0"/>
        <w:widowControl w:val="0"/>
        <w:kinsoku/>
        <w:wordWrap/>
        <w:overflowPunct/>
        <w:topLinePunct w:val="0"/>
        <w:autoSpaceDE/>
        <w:autoSpaceDN/>
        <w:bidi w:val="0"/>
        <w:adjustRightInd/>
        <w:snapToGrid w:val="0"/>
        <w:spacing w:line="360" w:lineRule="auto"/>
        <w:jc w:val="left"/>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定标委员签名：</w:t>
      </w:r>
    </w:p>
    <w:p w14:paraId="1F5FDD9D">
      <w:pPr>
        <w:keepNext w:val="0"/>
        <w:keepLines w:val="0"/>
        <w:pageBreakBefore w:val="0"/>
        <w:widowControl w:val="0"/>
        <w:kinsoku/>
        <w:wordWrap/>
        <w:overflowPunct/>
        <w:topLinePunct w:val="0"/>
        <w:autoSpaceDE/>
        <w:autoSpaceDN/>
        <w:bidi w:val="0"/>
        <w:adjustRightInd/>
        <w:spacing w:line="360" w:lineRule="auto"/>
        <w:ind w:left="0" w:right="430" w:firstLine="5250" w:firstLineChars="2500"/>
        <w:jc w:val="left"/>
        <w:textAlignment w:val="auto"/>
        <w:outlineLvl w:val="9"/>
        <w:rPr>
          <w:rFonts w:hint="eastAsia" w:ascii="宋体" w:hAnsi="宋体" w:eastAsia="宋体" w:cs="宋体"/>
          <w:color w:val="auto"/>
          <w:szCs w:val="21"/>
          <w:highlight w:val="none"/>
        </w:rPr>
      </w:pPr>
    </w:p>
    <w:p w14:paraId="7775CB87">
      <w:pPr>
        <w:pStyle w:val="163"/>
        <w:ind w:firstLine="400"/>
        <w:rPr>
          <w:rFonts w:hint="eastAsia" w:ascii="仿宋" w:hAnsi="仿宋" w:eastAsia="仿宋" w:cs="仿宋"/>
          <w:b/>
          <w:kern w:val="1"/>
          <w:sz w:val="24"/>
          <w:highlight w:val="none"/>
        </w:rPr>
      </w:pPr>
      <w:r>
        <w:rPr>
          <w:rFonts w:hint="eastAsia" w:ascii="宋体" w:hAnsi="宋体" w:eastAsia="宋体" w:cs="宋体"/>
          <w:color w:val="auto"/>
          <w:szCs w:val="21"/>
          <w:highlight w:val="none"/>
        </w:rPr>
        <w:t>日期：     年   月   日</w:t>
      </w:r>
      <w:r>
        <w:rPr>
          <w:rFonts w:hint="eastAsia" w:ascii="宋体" w:hAnsi="宋体" w:eastAsia="宋体" w:cs="宋体"/>
          <w:strike w:val="0"/>
          <w:dstrike w:val="0"/>
          <w:color w:val="auto"/>
          <w:sz w:val="21"/>
          <w:szCs w:val="21"/>
          <w:highlight w:val="none"/>
        </w:rPr>
        <w:br w:type="page"/>
      </w:r>
      <w:r>
        <w:rPr>
          <w:rFonts w:hint="eastAsia" w:ascii="宋体" w:hAnsi="宋体" w:eastAsia="宋体" w:cs="宋体"/>
          <w:b/>
          <w:color w:val="auto"/>
          <w:sz w:val="28"/>
          <w:szCs w:val="28"/>
          <w:highlight w:val="none"/>
        </w:rPr>
        <w:t>附表十</w:t>
      </w:r>
      <w:r>
        <w:rPr>
          <w:rFonts w:hint="eastAsia" w:ascii="宋体" w:hAnsi="宋体" w:eastAsia="宋体" w:cs="宋体"/>
          <w:b/>
          <w:color w:val="auto"/>
          <w:sz w:val="28"/>
          <w:szCs w:val="28"/>
          <w:highlight w:val="none"/>
          <w:lang w:val="en-US" w:eastAsia="zh-CN"/>
        </w:rPr>
        <w:t>三</w:t>
      </w:r>
      <w:r>
        <w:rPr>
          <w:rFonts w:hint="eastAsia" w:ascii="宋体" w:hAnsi="宋体" w:eastAsia="宋体" w:cs="宋体"/>
          <w:b/>
          <w:color w:val="auto"/>
          <w:sz w:val="28"/>
          <w:szCs w:val="28"/>
          <w:highlight w:val="none"/>
          <w:lang w:eastAsia="zh-CN"/>
        </w:rPr>
        <w:t>：</w:t>
      </w:r>
    </w:p>
    <w:p w14:paraId="1A85F9DD">
      <w:pPr>
        <w:jc w:val="cente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附加投票汇总表（定标阶段）（如有）</w:t>
      </w:r>
    </w:p>
    <w:p w14:paraId="11A5BD7C">
      <w:pPr>
        <w:ind w:left="210"/>
        <w:jc w:val="center"/>
        <w:rPr>
          <w:rFonts w:hint="eastAsia" w:ascii="宋体" w:hAnsi="宋体" w:eastAsia="宋体" w:cs="宋体"/>
          <w:smallCaps/>
          <w:color w:val="auto"/>
          <w:sz w:val="30"/>
          <w:szCs w:val="30"/>
          <w:highlight w:val="none"/>
        </w:rPr>
      </w:pPr>
    </w:p>
    <w:p w14:paraId="461DD2FB">
      <w:pPr>
        <w:rPr>
          <w:rFonts w:ascii="宋体" w:hAnsi="宋体" w:cs="宋体"/>
          <w:color w:val="auto"/>
          <w:szCs w:val="21"/>
          <w:highlight w:val="none"/>
        </w:rPr>
      </w:pPr>
      <w:r>
        <w:rPr>
          <w:rFonts w:hint="eastAsia" w:ascii="宋体" w:hAnsi="宋体" w:cs="宋体"/>
          <w:color w:val="auto"/>
          <w:szCs w:val="21"/>
          <w:highlight w:val="none"/>
        </w:rPr>
        <w:t>项目名称：</w:t>
      </w:r>
    </w:p>
    <w:tbl>
      <w:tblPr>
        <w:tblStyle w:val="3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5"/>
        <w:gridCol w:w="5622"/>
        <w:gridCol w:w="2479"/>
      </w:tblGrid>
      <w:tr w14:paraId="6F01B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38" w:type="pct"/>
            <w:tcBorders>
              <w:top w:val="single" w:color="auto" w:sz="4" w:space="0"/>
              <w:left w:val="single" w:color="auto" w:sz="4" w:space="0"/>
              <w:bottom w:val="single" w:color="auto" w:sz="4" w:space="0"/>
              <w:right w:val="single" w:color="auto" w:sz="4" w:space="0"/>
            </w:tcBorders>
            <w:noWrap w:val="0"/>
            <w:vAlign w:val="center"/>
          </w:tcPr>
          <w:p w14:paraId="44037357">
            <w:pPr>
              <w:keepNext w:val="0"/>
              <w:keepLines w:val="0"/>
              <w:suppressLineNumbers w:val="0"/>
              <w:spacing w:before="0" w:beforeAutospacing="0" w:after="0" w:afterAutospacing="0"/>
              <w:ind w:left="0" w:right="0"/>
              <w:jc w:val="center"/>
              <w:rPr>
                <w:rFonts w:hint="default" w:ascii="宋体" w:hAnsi="宋体" w:cs="宋体"/>
                <w:b/>
                <w:color w:val="auto"/>
                <w:sz w:val="24"/>
                <w:szCs w:val="24"/>
                <w:highlight w:val="none"/>
              </w:rPr>
            </w:pPr>
            <w:r>
              <w:rPr>
                <w:rFonts w:hint="eastAsia" w:ascii="宋体" w:hAnsi="宋体" w:cs="宋体"/>
                <w:b/>
                <w:color w:val="auto"/>
                <w:sz w:val="24"/>
                <w:szCs w:val="24"/>
                <w:highlight w:val="none"/>
              </w:rPr>
              <w:t>序号</w:t>
            </w:r>
          </w:p>
        </w:tc>
        <w:tc>
          <w:tcPr>
            <w:tcW w:w="3027" w:type="pct"/>
            <w:tcBorders>
              <w:top w:val="single" w:color="auto" w:sz="4" w:space="0"/>
              <w:left w:val="nil"/>
              <w:bottom w:val="single" w:color="auto" w:sz="4" w:space="0"/>
              <w:right w:val="single" w:color="auto" w:sz="4" w:space="0"/>
            </w:tcBorders>
            <w:noWrap w:val="0"/>
            <w:vAlign w:val="center"/>
          </w:tcPr>
          <w:p w14:paraId="35D49856">
            <w:pPr>
              <w:keepNext w:val="0"/>
              <w:keepLines w:val="0"/>
              <w:suppressLineNumbers w:val="0"/>
              <w:spacing w:before="0" w:beforeAutospacing="0" w:after="0" w:afterAutospacing="0"/>
              <w:ind w:left="0" w:right="0"/>
              <w:jc w:val="center"/>
              <w:rPr>
                <w:rFonts w:hint="default" w:ascii="宋体" w:hAnsi="宋体" w:cs="宋体"/>
                <w:b/>
                <w:color w:val="auto"/>
                <w:sz w:val="24"/>
                <w:szCs w:val="24"/>
                <w:highlight w:val="none"/>
              </w:rPr>
            </w:pPr>
            <w:r>
              <w:rPr>
                <w:rFonts w:hint="eastAsia" w:ascii="宋体" w:hAnsi="宋体" w:cs="宋体"/>
                <w:b/>
                <w:color w:val="auto"/>
                <w:sz w:val="24"/>
                <w:szCs w:val="24"/>
                <w:highlight w:val="none"/>
              </w:rPr>
              <w:t>合格中标候选人</w:t>
            </w:r>
          </w:p>
        </w:tc>
        <w:tc>
          <w:tcPr>
            <w:tcW w:w="1335" w:type="pct"/>
            <w:tcBorders>
              <w:top w:val="single" w:color="auto" w:sz="4" w:space="0"/>
              <w:left w:val="nil"/>
              <w:bottom w:val="single" w:color="auto" w:sz="4" w:space="0"/>
              <w:right w:val="single" w:color="auto" w:sz="4" w:space="0"/>
            </w:tcBorders>
            <w:noWrap w:val="0"/>
            <w:vAlign w:val="center"/>
          </w:tcPr>
          <w:p w14:paraId="5D2A706A">
            <w:pPr>
              <w:keepNext w:val="0"/>
              <w:keepLines w:val="0"/>
              <w:suppressLineNumbers w:val="0"/>
              <w:spacing w:before="0" w:beforeAutospacing="0" w:after="0" w:afterAutospacing="0"/>
              <w:ind w:left="0" w:right="0"/>
              <w:jc w:val="center"/>
              <w:rPr>
                <w:rFonts w:hint="default" w:ascii="宋体" w:hAnsi="宋体" w:cs="宋体"/>
                <w:b/>
                <w:color w:val="auto"/>
                <w:sz w:val="24"/>
                <w:szCs w:val="24"/>
                <w:highlight w:val="none"/>
              </w:rPr>
            </w:pPr>
            <w:r>
              <w:rPr>
                <w:rFonts w:hint="eastAsia" w:ascii="宋体" w:hAnsi="宋体" w:cs="宋体"/>
                <w:b/>
                <w:color w:val="auto"/>
                <w:sz w:val="24"/>
                <w:szCs w:val="24"/>
                <w:highlight w:val="none"/>
              </w:rPr>
              <w:t>得票数</w:t>
            </w:r>
          </w:p>
        </w:tc>
      </w:tr>
      <w:tr w14:paraId="118CA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38" w:type="pct"/>
            <w:tcBorders>
              <w:top w:val="single" w:color="auto" w:sz="4" w:space="0"/>
              <w:left w:val="single" w:color="auto" w:sz="4" w:space="0"/>
              <w:bottom w:val="single" w:color="auto" w:sz="4" w:space="0"/>
              <w:right w:val="single" w:color="auto" w:sz="4" w:space="0"/>
            </w:tcBorders>
            <w:noWrap w:val="0"/>
            <w:vAlign w:val="center"/>
          </w:tcPr>
          <w:p w14:paraId="169F8DB7">
            <w:pPr>
              <w:keepNext w:val="0"/>
              <w:keepLines w:val="0"/>
              <w:suppressLineNumbers w:val="0"/>
              <w:spacing w:before="0" w:beforeAutospacing="0" w:after="0" w:afterAutospacing="0"/>
              <w:ind w:left="0" w:right="0"/>
              <w:jc w:val="center"/>
              <w:rPr>
                <w:rFonts w:hint="default" w:ascii="宋体" w:hAnsi="宋体" w:cs="宋体"/>
                <w:color w:val="auto"/>
                <w:sz w:val="24"/>
                <w:szCs w:val="24"/>
                <w:highlight w:val="none"/>
              </w:rPr>
            </w:pPr>
            <w:r>
              <w:rPr>
                <w:rFonts w:hint="default" w:ascii="宋体" w:hAnsi="宋体" w:cs="宋体"/>
                <w:color w:val="auto"/>
                <w:sz w:val="24"/>
                <w:szCs w:val="24"/>
                <w:highlight w:val="none"/>
              </w:rPr>
              <w:t>1</w:t>
            </w:r>
          </w:p>
        </w:tc>
        <w:tc>
          <w:tcPr>
            <w:tcW w:w="3027" w:type="pct"/>
            <w:tcBorders>
              <w:top w:val="single" w:color="auto" w:sz="4" w:space="0"/>
              <w:left w:val="nil"/>
              <w:bottom w:val="single" w:color="auto" w:sz="4" w:space="0"/>
              <w:right w:val="single" w:color="auto" w:sz="4" w:space="0"/>
            </w:tcBorders>
            <w:noWrap w:val="0"/>
            <w:vAlign w:val="center"/>
          </w:tcPr>
          <w:p w14:paraId="229BEADF">
            <w:pPr>
              <w:keepNext w:val="0"/>
              <w:keepLines w:val="0"/>
              <w:suppressLineNumbers w:val="0"/>
              <w:spacing w:before="0" w:beforeAutospacing="0" w:after="0" w:afterAutospacing="0"/>
              <w:ind w:left="0" w:right="0"/>
              <w:jc w:val="center"/>
              <w:rPr>
                <w:rFonts w:hint="default" w:ascii="宋体" w:hAnsi="宋体" w:cs="宋体"/>
                <w:color w:val="auto"/>
                <w:sz w:val="24"/>
                <w:szCs w:val="24"/>
                <w:highlight w:val="none"/>
              </w:rPr>
            </w:pPr>
          </w:p>
        </w:tc>
        <w:tc>
          <w:tcPr>
            <w:tcW w:w="1335" w:type="pct"/>
            <w:tcBorders>
              <w:top w:val="single" w:color="auto" w:sz="4" w:space="0"/>
              <w:left w:val="nil"/>
              <w:bottom w:val="single" w:color="auto" w:sz="4" w:space="0"/>
              <w:right w:val="single" w:color="auto" w:sz="4" w:space="0"/>
            </w:tcBorders>
            <w:noWrap w:val="0"/>
            <w:vAlign w:val="center"/>
          </w:tcPr>
          <w:p w14:paraId="39291979">
            <w:pPr>
              <w:keepNext w:val="0"/>
              <w:keepLines w:val="0"/>
              <w:suppressLineNumbers w:val="0"/>
              <w:spacing w:before="0" w:beforeAutospacing="0" w:after="0" w:afterAutospacing="0"/>
              <w:ind w:left="0" w:right="0"/>
              <w:jc w:val="center"/>
              <w:rPr>
                <w:rFonts w:hint="default" w:ascii="宋体" w:hAnsi="宋体" w:cs="宋体"/>
                <w:color w:val="auto"/>
                <w:sz w:val="24"/>
                <w:szCs w:val="24"/>
                <w:highlight w:val="none"/>
              </w:rPr>
            </w:pPr>
          </w:p>
        </w:tc>
      </w:tr>
      <w:tr w14:paraId="2E3FC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38" w:type="pct"/>
            <w:tcBorders>
              <w:top w:val="single" w:color="auto" w:sz="4" w:space="0"/>
              <w:left w:val="single" w:color="auto" w:sz="4" w:space="0"/>
              <w:bottom w:val="single" w:color="auto" w:sz="4" w:space="0"/>
              <w:right w:val="single" w:color="auto" w:sz="4" w:space="0"/>
            </w:tcBorders>
            <w:noWrap w:val="0"/>
            <w:vAlign w:val="center"/>
          </w:tcPr>
          <w:p w14:paraId="228ECC4F">
            <w:pPr>
              <w:keepNext w:val="0"/>
              <w:keepLines w:val="0"/>
              <w:suppressLineNumbers w:val="0"/>
              <w:spacing w:before="0" w:beforeAutospacing="0" w:after="0" w:afterAutospacing="0"/>
              <w:ind w:left="0" w:right="0"/>
              <w:jc w:val="center"/>
              <w:rPr>
                <w:rFonts w:hint="default" w:ascii="宋体" w:hAnsi="宋体" w:cs="宋体"/>
                <w:color w:val="auto"/>
                <w:sz w:val="24"/>
                <w:szCs w:val="24"/>
                <w:highlight w:val="none"/>
              </w:rPr>
            </w:pPr>
            <w:r>
              <w:rPr>
                <w:rFonts w:hint="default" w:ascii="宋体" w:hAnsi="宋体" w:cs="宋体"/>
                <w:color w:val="auto"/>
                <w:sz w:val="24"/>
                <w:szCs w:val="24"/>
                <w:highlight w:val="none"/>
              </w:rPr>
              <w:t>2</w:t>
            </w:r>
          </w:p>
        </w:tc>
        <w:tc>
          <w:tcPr>
            <w:tcW w:w="3027" w:type="pct"/>
            <w:tcBorders>
              <w:top w:val="single" w:color="auto" w:sz="4" w:space="0"/>
              <w:left w:val="nil"/>
              <w:bottom w:val="single" w:color="auto" w:sz="4" w:space="0"/>
              <w:right w:val="single" w:color="auto" w:sz="4" w:space="0"/>
            </w:tcBorders>
            <w:noWrap w:val="0"/>
            <w:vAlign w:val="center"/>
          </w:tcPr>
          <w:p w14:paraId="50A1EE1A">
            <w:pPr>
              <w:keepNext w:val="0"/>
              <w:keepLines w:val="0"/>
              <w:suppressLineNumbers w:val="0"/>
              <w:spacing w:before="0" w:beforeAutospacing="0" w:after="0" w:afterAutospacing="0"/>
              <w:ind w:left="0" w:right="0"/>
              <w:jc w:val="center"/>
              <w:rPr>
                <w:rFonts w:hint="default" w:ascii="宋体" w:hAnsi="宋体" w:cs="宋体"/>
                <w:color w:val="auto"/>
                <w:sz w:val="24"/>
                <w:szCs w:val="24"/>
                <w:highlight w:val="none"/>
              </w:rPr>
            </w:pPr>
          </w:p>
        </w:tc>
        <w:tc>
          <w:tcPr>
            <w:tcW w:w="1335" w:type="pct"/>
            <w:tcBorders>
              <w:top w:val="single" w:color="auto" w:sz="4" w:space="0"/>
              <w:left w:val="nil"/>
              <w:bottom w:val="single" w:color="auto" w:sz="4" w:space="0"/>
              <w:right w:val="single" w:color="auto" w:sz="4" w:space="0"/>
            </w:tcBorders>
            <w:noWrap w:val="0"/>
            <w:vAlign w:val="center"/>
          </w:tcPr>
          <w:p w14:paraId="708FF561">
            <w:pPr>
              <w:keepNext w:val="0"/>
              <w:keepLines w:val="0"/>
              <w:suppressLineNumbers w:val="0"/>
              <w:spacing w:before="0" w:beforeAutospacing="0" w:after="0" w:afterAutospacing="0"/>
              <w:ind w:left="0" w:right="0"/>
              <w:jc w:val="center"/>
              <w:rPr>
                <w:rFonts w:hint="default" w:ascii="宋体" w:hAnsi="宋体" w:cs="宋体"/>
                <w:color w:val="auto"/>
                <w:sz w:val="24"/>
                <w:szCs w:val="24"/>
                <w:highlight w:val="none"/>
              </w:rPr>
            </w:pPr>
          </w:p>
        </w:tc>
      </w:tr>
      <w:tr w14:paraId="42C3F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38" w:type="pct"/>
            <w:tcBorders>
              <w:top w:val="single" w:color="auto" w:sz="4" w:space="0"/>
              <w:left w:val="single" w:color="auto" w:sz="4" w:space="0"/>
              <w:bottom w:val="single" w:color="auto" w:sz="4" w:space="0"/>
              <w:right w:val="single" w:color="auto" w:sz="4" w:space="0"/>
            </w:tcBorders>
            <w:noWrap w:val="0"/>
            <w:vAlign w:val="center"/>
          </w:tcPr>
          <w:p w14:paraId="095CF214">
            <w:pPr>
              <w:keepNext w:val="0"/>
              <w:keepLines w:val="0"/>
              <w:suppressLineNumbers w:val="0"/>
              <w:spacing w:before="0" w:beforeAutospacing="0" w:after="0" w:afterAutospacing="0"/>
              <w:ind w:left="0" w:right="0"/>
              <w:jc w:val="center"/>
              <w:rPr>
                <w:rFonts w:hint="default" w:ascii="宋体" w:hAnsi="宋体" w:cs="宋体"/>
                <w:color w:val="auto"/>
                <w:sz w:val="24"/>
                <w:szCs w:val="24"/>
                <w:highlight w:val="none"/>
              </w:rPr>
            </w:pPr>
            <w:r>
              <w:rPr>
                <w:rFonts w:hint="eastAsia" w:ascii="宋体" w:hAnsi="宋体" w:eastAsia="宋体" w:cs="宋体"/>
                <w:color w:val="auto"/>
                <w:sz w:val="24"/>
                <w:szCs w:val="24"/>
                <w:highlight w:val="none"/>
              </w:rPr>
              <w:t>……</w:t>
            </w:r>
          </w:p>
        </w:tc>
        <w:tc>
          <w:tcPr>
            <w:tcW w:w="3027" w:type="pct"/>
            <w:tcBorders>
              <w:top w:val="single" w:color="auto" w:sz="4" w:space="0"/>
              <w:left w:val="nil"/>
              <w:bottom w:val="single" w:color="auto" w:sz="4" w:space="0"/>
              <w:right w:val="single" w:color="auto" w:sz="4" w:space="0"/>
            </w:tcBorders>
            <w:noWrap w:val="0"/>
            <w:vAlign w:val="center"/>
          </w:tcPr>
          <w:p w14:paraId="74D0EA18">
            <w:pPr>
              <w:keepNext w:val="0"/>
              <w:keepLines w:val="0"/>
              <w:suppressLineNumbers w:val="0"/>
              <w:spacing w:before="0" w:beforeAutospacing="0" w:after="0" w:afterAutospacing="0"/>
              <w:ind w:left="0" w:right="0"/>
              <w:jc w:val="center"/>
              <w:rPr>
                <w:rFonts w:hint="default" w:ascii="宋体" w:hAnsi="宋体" w:cs="宋体"/>
                <w:color w:val="auto"/>
                <w:sz w:val="24"/>
                <w:szCs w:val="24"/>
                <w:highlight w:val="none"/>
              </w:rPr>
            </w:pPr>
          </w:p>
        </w:tc>
        <w:tc>
          <w:tcPr>
            <w:tcW w:w="1335" w:type="pct"/>
            <w:tcBorders>
              <w:top w:val="single" w:color="auto" w:sz="4" w:space="0"/>
              <w:left w:val="nil"/>
              <w:bottom w:val="single" w:color="auto" w:sz="4" w:space="0"/>
              <w:right w:val="single" w:color="auto" w:sz="4" w:space="0"/>
            </w:tcBorders>
            <w:noWrap w:val="0"/>
            <w:vAlign w:val="center"/>
          </w:tcPr>
          <w:p w14:paraId="7E0B4607">
            <w:pPr>
              <w:keepNext w:val="0"/>
              <w:keepLines w:val="0"/>
              <w:suppressLineNumbers w:val="0"/>
              <w:spacing w:before="0" w:beforeAutospacing="0" w:after="0" w:afterAutospacing="0"/>
              <w:ind w:left="0" w:right="0"/>
              <w:jc w:val="center"/>
              <w:rPr>
                <w:rFonts w:hint="default" w:ascii="宋体" w:hAnsi="宋体" w:cs="宋体"/>
                <w:color w:val="auto"/>
                <w:sz w:val="24"/>
                <w:szCs w:val="24"/>
                <w:highlight w:val="none"/>
              </w:rPr>
            </w:pPr>
          </w:p>
        </w:tc>
      </w:tr>
    </w:tbl>
    <w:p w14:paraId="5BCE7CAA">
      <w:pPr>
        <w:spacing w:line="360" w:lineRule="atLeast"/>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备注：本表用于投票出现票数相同的情况，票数多的排序靠前，得票数相同的合格中标候选人进行再次票决确定排序。</w:t>
      </w:r>
    </w:p>
    <w:p w14:paraId="3CB414BD">
      <w:pPr>
        <w:spacing w:line="360" w:lineRule="auto"/>
        <w:ind w:right="420"/>
        <w:rPr>
          <w:rFonts w:hint="eastAsia" w:ascii="宋体" w:hAnsi="宋体" w:eastAsia="宋体" w:cs="宋体"/>
          <w:color w:val="auto"/>
          <w:szCs w:val="22"/>
          <w:highlight w:val="none"/>
        </w:rPr>
      </w:pPr>
    </w:p>
    <w:p w14:paraId="748BC125">
      <w:pPr>
        <w:keepNext w:val="0"/>
        <w:keepLines w:val="0"/>
        <w:pageBreakBefore w:val="0"/>
        <w:widowControl w:val="0"/>
        <w:kinsoku/>
        <w:wordWrap/>
        <w:overflowPunct/>
        <w:topLinePunct w:val="0"/>
        <w:autoSpaceDE/>
        <w:autoSpaceDN/>
        <w:bidi w:val="0"/>
        <w:adjustRightInd/>
        <w:snapToGrid/>
        <w:spacing w:line="360" w:lineRule="auto"/>
        <w:ind w:right="0" w:rightChars="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定标委员会全体成员签名：</w:t>
      </w:r>
    </w:p>
    <w:p w14:paraId="766E52C4">
      <w:pPr>
        <w:keepNext w:val="0"/>
        <w:keepLines w:val="0"/>
        <w:pageBreakBefore w:val="0"/>
        <w:widowControl w:val="0"/>
        <w:kinsoku/>
        <w:wordWrap/>
        <w:overflowPunct/>
        <w:topLinePunct w:val="0"/>
        <w:autoSpaceDE/>
        <w:autoSpaceDN/>
        <w:bidi w:val="0"/>
        <w:adjustRightInd/>
        <w:snapToGrid/>
        <w:spacing w:line="360" w:lineRule="auto"/>
        <w:ind w:right="0" w:rightChars="0"/>
        <w:jc w:val="left"/>
        <w:textAlignment w:val="auto"/>
        <w:rPr>
          <w:rFonts w:hint="eastAsia" w:ascii="宋体" w:hAnsi="宋体" w:eastAsia="宋体" w:cs="宋体"/>
          <w:color w:val="auto"/>
          <w:szCs w:val="21"/>
          <w:highlight w:val="none"/>
        </w:rPr>
      </w:pPr>
    </w:p>
    <w:p w14:paraId="5B392484">
      <w:pPr>
        <w:keepNext w:val="0"/>
        <w:keepLines w:val="0"/>
        <w:pageBreakBefore w:val="0"/>
        <w:widowControl w:val="0"/>
        <w:kinsoku/>
        <w:wordWrap/>
        <w:overflowPunct/>
        <w:topLinePunct w:val="0"/>
        <w:autoSpaceDE/>
        <w:autoSpaceDN/>
        <w:bidi w:val="0"/>
        <w:adjustRightInd/>
        <w:snapToGrid/>
        <w:spacing w:line="360" w:lineRule="auto"/>
        <w:ind w:right="0" w:rightChars="0"/>
        <w:jc w:val="left"/>
        <w:textAlignment w:val="auto"/>
        <w:rPr>
          <w:rFonts w:hint="eastAsia" w:ascii="宋体" w:hAnsi="宋体" w:eastAsia="宋体" w:cs="宋体"/>
          <w:color w:val="auto"/>
          <w:szCs w:val="21"/>
          <w:highlight w:val="none"/>
        </w:rPr>
      </w:pPr>
    </w:p>
    <w:p w14:paraId="09414884">
      <w:pPr>
        <w:keepNext w:val="0"/>
        <w:keepLines w:val="0"/>
        <w:pageBreakBefore w:val="0"/>
        <w:widowControl w:val="0"/>
        <w:kinsoku/>
        <w:wordWrap/>
        <w:overflowPunct/>
        <w:topLinePunct w:val="0"/>
        <w:autoSpaceDE/>
        <w:autoSpaceDN/>
        <w:bidi w:val="0"/>
        <w:adjustRightInd/>
        <w:snapToGrid/>
        <w:spacing w:line="360" w:lineRule="auto"/>
        <w:ind w:right="0" w:rightChars="0" w:firstLine="5250" w:firstLineChars="25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Cs w:val="21"/>
          <w:highlight w:val="none"/>
        </w:rPr>
        <w:t>日期：     年   月   日</w:t>
      </w:r>
    </w:p>
    <w:p w14:paraId="09FC102E">
      <w:pPr>
        <w:rPr>
          <w:rFonts w:hint="eastAsia" w:ascii="宋体" w:hAnsi="宋体" w:cs="宋体"/>
          <w:b/>
          <w:bCs/>
          <w:color w:val="auto"/>
          <w:sz w:val="32"/>
          <w:szCs w:val="32"/>
          <w:highlight w:val="none"/>
        </w:rPr>
      </w:pPr>
    </w:p>
    <w:p w14:paraId="0F7B43C8">
      <w:pPr>
        <w:rPr>
          <w:rFonts w:hint="eastAsia" w:ascii="宋体" w:hAnsi="宋体" w:cs="宋体"/>
          <w:b/>
          <w:bCs/>
          <w:color w:val="auto"/>
          <w:sz w:val="32"/>
          <w:szCs w:val="32"/>
          <w:highlight w:val="none"/>
        </w:rPr>
      </w:pPr>
    </w:p>
    <w:p w14:paraId="2BD9783F">
      <w:pPr>
        <w:rPr>
          <w:rFonts w:hint="eastAsia" w:ascii="宋体" w:hAnsi="宋体" w:cs="宋体"/>
          <w:b/>
          <w:bCs/>
          <w:color w:val="auto"/>
          <w:sz w:val="32"/>
          <w:szCs w:val="32"/>
          <w:highlight w:val="none"/>
        </w:rPr>
      </w:pPr>
    </w:p>
    <w:p w14:paraId="744FC034">
      <w:pPr>
        <w:rPr>
          <w:rFonts w:hint="eastAsia" w:ascii="宋体" w:hAnsi="宋体" w:cs="宋体"/>
          <w:b/>
          <w:bCs/>
          <w:color w:val="auto"/>
          <w:sz w:val="32"/>
          <w:szCs w:val="32"/>
          <w:highlight w:val="none"/>
        </w:rPr>
      </w:pPr>
    </w:p>
    <w:p w14:paraId="63E589D0">
      <w:pPr>
        <w:rPr>
          <w:rFonts w:hint="eastAsia" w:ascii="宋体" w:hAnsi="宋体" w:cs="宋体"/>
          <w:b/>
          <w:bCs/>
          <w:color w:val="auto"/>
          <w:sz w:val="32"/>
          <w:szCs w:val="32"/>
          <w:highlight w:val="none"/>
        </w:rPr>
      </w:pPr>
    </w:p>
    <w:p w14:paraId="21B0998A">
      <w:pPr>
        <w:rPr>
          <w:rFonts w:hint="eastAsia" w:ascii="宋体" w:hAnsi="宋体" w:cs="宋体"/>
          <w:b/>
          <w:bCs/>
          <w:color w:val="auto"/>
          <w:sz w:val="32"/>
          <w:szCs w:val="32"/>
          <w:highlight w:val="none"/>
        </w:rPr>
      </w:pPr>
    </w:p>
    <w:p w14:paraId="34C6D0C4">
      <w:pPr>
        <w:rPr>
          <w:rFonts w:hint="eastAsia" w:ascii="宋体" w:hAnsi="宋体" w:cs="宋体"/>
          <w:b/>
          <w:bCs/>
          <w:color w:val="auto"/>
          <w:sz w:val="32"/>
          <w:szCs w:val="32"/>
          <w:highlight w:val="none"/>
        </w:rPr>
      </w:pPr>
    </w:p>
    <w:p w14:paraId="530C75ED">
      <w:pPr>
        <w:rPr>
          <w:rFonts w:hint="eastAsia" w:ascii="宋体" w:hAnsi="宋体" w:cs="宋体"/>
          <w:b/>
          <w:bCs/>
          <w:color w:val="auto"/>
          <w:sz w:val="32"/>
          <w:szCs w:val="32"/>
          <w:highlight w:val="none"/>
        </w:rPr>
      </w:pPr>
    </w:p>
    <w:p w14:paraId="5610C461">
      <w:pPr>
        <w:rPr>
          <w:rFonts w:hint="eastAsia" w:ascii="宋体" w:hAnsi="宋体" w:cs="宋体"/>
          <w:b/>
          <w:bCs/>
          <w:color w:val="auto"/>
          <w:sz w:val="32"/>
          <w:szCs w:val="32"/>
          <w:highlight w:val="none"/>
        </w:rPr>
      </w:pPr>
    </w:p>
    <w:p w14:paraId="7B6E7DAE">
      <w:pPr>
        <w:rPr>
          <w:rFonts w:hint="eastAsia" w:ascii="宋体" w:hAnsi="宋体" w:cs="宋体"/>
          <w:b/>
          <w:bCs/>
          <w:color w:val="auto"/>
          <w:sz w:val="32"/>
          <w:szCs w:val="32"/>
          <w:highlight w:val="none"/>
        </w:rPr>
      </w:pPr>
    </w:p>
    <w:p w14:paraId="0B1BA42F">
      <w:pPr>
        <w:rPr>
          <w:rFonts w:hint="eastAsia" w:ascii="宋体" w:hAnsi="宋体" w:cs="宋体"/>
          <w:b/>
          <w:bCs/>
          <w:color w:val="auto"/>
          <w:sz w:val="32"/>
          <w:szCs w:val="32"/>
          <w:highlight w:val="none"/>
        </w:rPr>
      </w:pPr>
    </w:p>
    <w:p w14:paraId="371924AB">
      <w:pPr>
        <w:rPr>
          <w:rFonts w:hint="eastAsia" w:ascii="宋体" w:hAnsi="宋体" w:eastAsia="宋体" w:cs="宋体"/>
          <w:b/>
          <w:color w:val="auto"/>
          <w:sz w:val="28"/>
          <w:szCs w:val="28"/>
          <w:highlight w:val="none"/>
          <w:lang w:eastAsia="zh-CN"/>
        </w:rPr>
      </w:pPr>
      <w:r>
        <w:rPr>
          <w:rFonts w:hint="eastAsia" w:ascii="宋体" w:hAnsi="宋体" w:eastAsia="宋体" w:cs="宋体"/>
          <w:b/>
          <w:color w:val="auto"/>
          <w:sz w:val="28"/>
          <w:szCs w:val="28"/>
          <w:highlight w:val="none"/>
        </w:rPr>
        <w:t>附表十</w:t>
      </w:r>
      <w:r>
        <w:rPr>
          <w:rFonts w:hint="eastAsia" w:ascii="宋体" w:hAnsi="宋体" w:eastAsia="宋体" w:cs="宋体"/>
          <w:b/>
          <w:color w:val="auto"/>
          <w:sz w:val="28"/>
          <w:szCs w:val="28"/>
          <w:highlight w:val="none"/>
          <w:lang w:val="en-US" w:eastAsia="zh-CN"/>
        </w:rPr>
        <w:t>四</w:t>
      </w:r>
      <w:r>
        <w:rPr>
          <w:rFonts w:hint="eastAsia" w:ascii="宋体" w:hAnsi="宋体" w:eastAsia="宋体" w:cs="宋体"/>
          <w:b/>
          <w:color w:val="auto"/>
          <w:sz w:val="28"/>
          <w:szCs w:val="28"/>
          <w:highlight w:val="none"/>
          <w:lang w:eastAsia="zh-CN"/>
        </w:rPr>
        <w:t>：</w:t>
      </w:r>
    </w:p>
    <w:p w14:paraId="487A4F21">
      <w:pPr>
        <w:spacing w:line="360" w:lineRule="auto"/>
        <w:rPr>
          <w:rFonts w:hint="eastAsia" w:ascii="宋体" w:hAnsi="宋体" w:eastAsia="宋体" w:cs="宋体"/>
          <w:strike w:val="0"/>
          <w:dstrike w:val="0"/>
          <w:color w:val="auto"/>
          <w:sz w:val="21"/>
          <w:szCs w:val="21"/>
          <w:highlight w:val="none"/>
        </w:rPr>
      </w:pPr>
    </w:p>
    <w:p w14:paraId="10253F96">
      <w:pPr>
        <w:jc w:val="cente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定标投票情况汇总表（定标阶段）</w:t>
      </w:r>
    </w:p>
    <w:p w14:paraId="73941F1D">
      <w:pPr>
        <w:ind w:left="210"/>
        <w:jc w:val="left"/>
        <w:rPr>
          <w:rFonts w:hint="eastAsia" w:ascii="宋体" w:hAnsi="宋体" w:eastAsia="宋体" w:cs="宋体"/>
          <w:smallCaps/>
          <w:color w:val="auto"/>
          <w:sz w:val="20"/>
          <w:szCs w:val="20"/>
          <w:highlight w:val="none"/>
        </w:rPr>
      </w:pPr>
    </w:p>
    <w:p w14:paraId="02736383">
      <w:pPr>
        <w:rPr>
          <w:rFonts w:hint="eastAsia" w:ascii="宋体" w:hAnsi="宋体" w:eastAsia="宋体" w:cs="宋体"/>
          <w:color w:val="auto"/>
          <w:sz w:val="24"/>
          <w:szCs w:val="22"/>
          <w:highlight w:val="none"/>
        </w:rPr>
      </w:pPr>
      <w:r>
        <w:rPr>
          <w:rFonts w:hint="eastAsia" w:ascii="宋体" w:hAnsi="宋体" w:cs="宋体"/>
          <w:color w:val="auto"/>
          <w:sz w:val="24"/>
          <w:szCs w:val="22"/>
          <w:highlight w:val="none"/>
          <w:lang w:eastAsia="zh-CN"/>
        </w:rPr>
        <w:t>项目</w:t>
      </w:r>
      <w:r>
        <w:rPr>
          <w:rFonts w:hint="eastAsia" w:ascii="宋体" w:hAnsi="宋体" w:eastAsia="宋体" w:cs="宋体"/>
          <w:color w:val="auto"/>
          <w:sz w:val="24"/>
          <w:szCs w:val="22"/>
          <w:highlight w:val="none"/>
        </w:rPr>
        <w:t>名称：</w:t>
      </w:r>
    </w:p>
    <w:tbl>
      <w:tblPr>
        <w:tblStyle w:val="33"/>
        <w:tblW w:w="484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1"/>
        <w:gridCol w:w="4175"/>
        <w:gridCol w:w="1252"/>
        <w:gridCol w:w="1263"/>
        <w:gridCol w:w="1588"/>
      </w:tblGrid>
      <w:tr w14:paraId="4AE01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396" w:type="pct"/>
            <w:tcBorders>
              <w:top w:val="single" w:color="auto" w:sz="4" w:space="0"/>
              <w:left w:val="single" w:color="auto" w:sz="4" w:space="0"/>
              <w:bottom w:val="single" w:color="auto" w:sz="4" w:space="0"/>
              <w:right w:val="single" w:color="auto" w:sz="4" w:space="0"/>
            </w:tcBorders>
            <w:noWrap w:val="0"/>
            <w:vAlign w:val="center"/>
          </w:tcPr>
          <w:p w14:paraId="0A4F3050">
            <w:pPr>
              <w:keepNext w:val="0"/>
              <w:keepLines w:val="0"/>
              <w:suppressLineNumbers w:val="0"/>
              <w:spacing w:before="0" w:beforeAutospacing="0" w:after="0" w:afterAutospacing="0"/>
              <w:ind w:left="0" w:right="0"/>
              <w:jc w:val="center"/>
              <w:rPr>
                <w:rFonts w:hint="eastAsia" w:ascii="宋体" w:hAnsi="宋体" w:cs="宋体"/>
                <w:b/>
                <w:color w:val="auto"/>
                <w:kern w:val="0"/>
                <w:sz w:val="24"/>
                <w:highlight w:val="none"/>
              </w:rPr>
            </w:pPr>
            <w:r>
              <w:rPr>
                <w:rFonts w:hint="eastAsia" w:ascii="宋体" w:hAnsi="宋体" w:cs="宋体"/>
                <w:b/>
                <w:color w:val="auto"/>
                <w:kern w:val="0"/>
                <w:sz w:val="24"/>
                <w:highlight w:val="none"/>
              </w:rPr>
              <w:t>序号</w:t>
            </w:r>
          </w:p>
        </w:tc>
        <w:tc>
          <w:tcPr>
            <w:tcW w:w="2321" w:type="pct"/>
            <w:tcBorders>
              <w:top w:val="single" w:color="auto" w:sz="4" w:space="0"/>
              <w:left w:val="nil"/>
              <w:bottom w:val="single" w:color="auto" w:sz="4" w:space="0"/>
              <w:right w:val="single" w:color="auto" w:sz="4" w:space="0"/>
            </w:tcBorders>
            <w:noWrap w:val="0"/>
            <w:vAlign w:val="center"/>
          </w:tcPr>
          <w:p w14:paraId="7C645CB9">
            <w:pPr>
              <w:keepNext w:val="0"/>
              <w:keepLines w:val="0"/>
              <w:suppressLineNumbers w:val="0"/>
              <w:spacing w:before="0" w:beforeAutospacing="0" w:after="0" w:afterAutospacing="0"/>
              <w:ind w:left="0" w:right="0"/>
              <w:jc w:val="center"/>
              <w:rPr>
                <w:rFonts w:hint="eastAsia" w:ascii="宋体" w:hAnsi="宋体" w:cs="宋体"/>
                <w:b/>
                <w:color w:val="auto"/>
                <w:kern w:val="0"/>
                <w:sz w:val="24"/>
                <w:highlight w:val="none"/>
              </w:rPr>
            </w:pPr>
            <w:r>
              <w:rPr>
                <w:rFonts w:hint="eastAsia" w:ascii="宋体" w:hAnsi="宋体" w:cs="宋体"/>
                <w:b/>
                <w:color w:val="auto"/>
                <w:kern w:val="0"/>
                <w:sz w:val="24"/>
                <w:highlight w:val="none"/>
              </w:rPr>
              <w:t>投标人名称</w:t>
            </w:r>
          </w:p>
        </w:tc>
        <w:tc>
          <w:tcPr>
            <w:tcW w:w="696" w:type="pct"/>
            <w:tcBorders>
              <w:top w:val="single" w:color="auto" w:sz="4" w:space="0"/>
              <w:left w:val="nil"/>
              <w:bottom w:val="single" w:color="auto" w:sz="4" w:space="0"/>
              <w:right w:val="single" w:color="auto" w:sz="4" w:space="0"/>
            </w:tcBorders>
            <w:noWrap w:val="0"/>
            <w:vAlign w:val="center"/>
          </w:tcPr>
          <w:p w14:paraId="1A0406E6">
            <w:pPr>
              <w:keepNext w:val="0"/>
              <w:keepLines w:val="0"/>
              <w:suppressLineNumbers w:val="0"/>
              <w:spacing w:before="0" w:beforeAutospacing="0" w:after="0" w:afterAutospacing="0"/>
              <w:ind w:left="0" w:right="0"/>
              <w:jc w:val="center"/>
              <w:rPr>
                <w:rFonts w:hint="eastAsia" w:ascii="宋体" w:hAnsi="宋体" w:cs="宋体"/>
                <w:b/>
                <w:color w:val="auto"/>
                <w:kern w:val="0"/>
                <w:sz w:val="24"/>
                <w:highlight w:val="none"/>
              </w:rPr>
            </w:pPr>
            <w:r>
              <w:rPr>
                <w:rFonts w:hint="eastAsia" w:ascii="宋体" w:hAnsi="宋体" w:cs="宋体"/>
                <w:b/>
                <w:color w:val="auto"/>
                <w:kern w:val="0"/>
                <w:sz w:val="24"/>
                <w:highlight w:val="none"/>
              </w:rPr>
              <w:t>得票数</w:t>
            </w:r>
          </w:p>
        </w:tc>
        <w:tc>
          <w:tcPr>
            <w:tcW w:w="702" w:type="pct"/>
            <w:tcBorders>
              <w:top w:val="single" w:color="auto" w:sz="4" w:space="0"/>
              <w:left w:val="nil"/>
              <w:bottom w:val="single" w:color="auto" w:sz="4" w:space="0"/>
              <w:right w:val="single" w:color="auto" w:sz="4" w:space="0"/>
            </w:tcBorders>
            <w:noWrap w:val="0"/>
            <w:vAlign w:val="center"/>
          </w:tcPr>
          <w:p w14:paraId="5D4CA781">
            <w:pPr>
              <w:keepNext w:val="0"/>
              <w:keepLines w:val="0"/>
              <w:suppressLineNumbers w:val="0"/>
              <w:spacing w:before="0" w:beforeAutospacing="0" w:after="0" w:afterAutospacing="0"/>
              <w:ind w:left="0" w:right="0"/>
              <w:jc w:val="center"/>
              <w:rPr>
                <w:rFonts w:hint="eastAsia" w:ascii="宋体" w:hAnsi="宋体" w:cs="宋体"/>
                <w:b/>
                <w:color w:val="auto"/>
                <w:kern w:val="0"/>
                <w:sz w:val="24"/>
                <w:highlight w:val="none"/>
              </w:rPr>
            </w:pPr>
            <w:r>
              <w:rPr>
                <w:rFonts w:hint="eastAsia" w:ascii="宋体" w:hAnsi="宋体" w:cs="宋体"/>
                <w:b/>
                <w:color w:val="auto"/>
                <w:kern w:val="0"/>
                <w:sz w:val="24"/>
                <w:highlight w:val="none"/>
              </w:rPr>
              <w:t>附加投票（如有）</w:t>
            </w:r>
          </w:p>
        </w:tc>
        <w:tc>
          <w:tcPr>
            <w:tcW w:w="883" w:type="pct"/>
            <w:tcBorders>
              <w:top w:val="single" w:color="auto" w:sz="4" w:space="0"/>
              <w:left w:val="nil"/>
              <w:bottom w:val="single" w:color="auto" w:sz="4" w:space="0"/>
              <w:right w:val="single" w:color="auto" w:sz="4" w:space="0"/>
            </w:tcBorders>
            <w:noWrap w:val="0"/>
            <w:vAlign w:val="center"/>
          </w:tcPr>
          <w:p w14:paraId="0F8A7723">
            <w:pPr>
              <w:keepNext w:val="0"/>
              <w:keepLines w:val="0"/>
              <w:suppressLineNumbers w:val="0"/>
              <w:spacing w:before="0" w:beforeAutospacing="0" w:after="0" w:afterAutospacing="0"/>
              <w:ind w:left="0" w:right="0"/>
              <w:jc w:val="center"/>
              <w:rPr>
                <w:rFonts w:hint="eastAsia" w:ascii="宋体" w:hAnsi="宋体" w:cs="宋体"/>
                <w:b/>
                <w:color w:val="auto"/>
                <w:kern w:val="0"/>
                <w:sz w:val="24"/>
                <w:highlight w:val="none"/>
              </w:rPr>
            </w:pPr>
            <w:r>
              <w:rPr>
                <w:rFonts w:hint="eastAsia" w:ascii="宋体" w:hAnsi="宋体" w:cs="宋体"/>
                <w:b/>
                <w:color w:val="auto"/>
                <w:kern w:val="0"/>
                <w:sz w:val="24"/>
                <w:highlight w:val="none"/>
              </w:rPr>
              <w:t>是否被推荐</w:t>
            </w:r>
          </w:p>
          <w:p w14:paraId="1674A23B">
            <w:pPr>
              <w:keepNext w:val="0"/>
              <w:keepLines w:val="0"/>
              <w:suppressLineNumbers w:val="0"/>
              <w:spacing w:before="0" w:beforeAutospacing="0" w:after="0" w:afterAutospacing="0"/>
              <w:ind w:left="0" w:right="0"/>
              <w:jc w:val="center"/>
              <w:rPr>
                <w:rFonts w:hint="eastAsia" w:ascii="宋体" w:hAnsi="宋体" w:cs="宋体"/>
                <w:b/>
                <w:color w:val="auto"/>
                <w:kern w:val="0"/>
                <w:sz w:val="24"/>
                <w:highlight w:val="none"/>
              </w:rPr>
            </w:pPr>
            <w:r>
              <w:rPr>
                <w:rFonts w:hint="eastAsia" w:ascii="宋体" w:hAnsi="宋体" w:cs="宋体"/>
                <w:b/>
                <w:color w:val="auto"/>
                <w:kern w:val="0"/>
                <w:sz w:val="24"/>
                <w:highlight w:val="none"/>
              </w:rPr>
              <w:t>为中标人</w:t>
            </w:r>
          </w:p>
        </w:tc>
      </w:tr>
      <w:tr w14:paraId="28A76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396" w:type="pct"/>
            <w:tcBorders>
              <w:top w:val="single" w:color="auto" w:sz="4" w:space="0"/>
              <w:left w:val="single" w:color="auto" w:sz="4" w:space="0"/>
              <w:bottom w:val="single" w:color="auto" w:sz="4" w:space="0"/>
              <w:right w:val="single" w:color="auto" w:sz="4" w:space="0"/>
            </w:tcBorders>
            <w:noWrap w:val="0"/>
            <w:vAlign w:val="center"/>
          </w:tcPr>
          <w:p w14:paraId="76679096">
            <w:pPr>
              <w:keepNext w:val="0"/>
              <w:keepLines w:val="0"/>
              <w:suppressLineNumbers w:val="0"/>
              <w:spacing w:before="0" w:beforeAutospacing="0" w:after="0" w:afterAutospacing="0"/>
              <w:ind w:left="0" w:right="0"/>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w:t>
            </w:r>
          </w:p>
        </w:tc>
        <w:tc>
          <w:tcPr>
            <w:tcW w:w="2321" w:type="pct"/>
            <w:tcBorders>
              <w:top w:val="single" w:color="auto" w:sz="4" w:space="0"/>
              <w:left w:val="nil"/>
              <w:bottom w:val="single" w:color="auto" w:sz="4" w:space="0"/>
              <w:right w:val="single" w:color="auto" w:sz="4" w:space="0"/>
            </w:tcBorders>
            <w:noWrap w:val="0"/>
            <w:vAlign w:val="center"/>
          </w:tcPr>
          <w:p w14:paraId="7815C527">
            <w:pPr>
              <w:keepNext w:val="0"/>
              <w:keepLines w:val="0"/>
              <w:suppressLineNumbers w:val="0"/>
              <w:spacing w:before="0" w:beforeAutospacing="0" w:after="0" w:afterAutospacing="0" w:line="360" w:lineRule="exact"/>
              <w:ind w:left="0" w:right="0"/>
              <w:textAlignment w:val="center"/>
              <w:rPr>
                <w:rFonts w:hint="eastAsia" w:ascii="宋体" w:hAnsi="宋体" w:cs="宋体"/>
                <w:color w:val="auto"/>
                <w:kern w:val="0"/>
                <w:sz w:val="24"/>
                <w:highlight w:val="none"/>
              </w:rPr>
            </w:pPr>
          </w:p>
        </w:tc>
        <w:tc>
          <w:tcPr>
            <w:tcW w:w="696" w:type="pct"/>
            <w:tcBorders>
              <w:top w:val="single" w:color="auto" w:sz="4" w:space="0"/>
              <w:left w:val="nil"/>
              <w:bottom w:val="single" w:color="auto" w:sz="4" w:space="0"/>
              <w:right w:val="single" w:color="auto" w:sz="4" w:space="0"/>
            </w:tcBorders>
            <w:noWrap w:val="0"/>
            <w:vAlign w:val="center"/>
          </w:tcPr>
          <w:p w14:paraId="16AF22A7">
            <w:pPr>
              <w:keepNext w:val="0"/>
              <w:keepLines w:val="0"/>
              <w:suppressLineNumbers w:val="0"/>
              <w:spacing w:before="0" w:beforeAutospacing="0" w:after="0" w:afterAutospacing="0"/>
              <w:ind w:left="0" w:right="0"/>
              <w:jc w:val="center"/>
              <w:rPr>
                <w:rFonts w:hint="eastAsia" w:ascii="宋体" w:hAnsi="宋体" w:cs="宋体"/>
                <w:color w:val="auto"/>
                <w:kern w:val="0"/>
                <w:sz w:val="24"/>
                <w:highlight w:val="none"/>
              </w:rPr>
            </w:pPr>
          </w:p>
        </w:tc>
        <w:tc>
          <w:tcPr>
            <w:tcW w:w="702" w:type="pct"/>
            <w:tcBorders>
              <w:top w:val="single" w:color="auto" w:sz="4" w:space="0"/>
              <w:left w:val="nil"/>
              <w:bottom w:val="single" w:color="auto" w:sz="4" w:space="0"/>
              <w:right w:val="single" w:color="auto" w:sz="4" w:space="0"/>
            </w:tcBorders>
            <w:noWrap w:val="0"/>
            <w:vAlign w:val="center"/>
          </w:tcPr>
          <w:p w14:paraId="759F4576">
            <w:pPr>
              <w:keepNext w:val="0"/>
              <w:keepLines w:val="0"/>
              <w:suppressLineNumbers w:val="0"/>
              <w:spacing w:before="0" w:beforeAutospacing="0" w:after="0" w:afterAutospacing="0"/>
              <w:ind w:left="0" w:right="0"/>
              <w:jc w:val="center"/>
              <w:rPr>
                <w:rFonts w:hint="eastAsia" w:ascii="宋体" w:hAnsi="宋体" w:cs="宋体"/>
                <w:color w:val="auto"/>
                <w:kern w:val="0"/>
                <w:sz w:val="24"/>
                <w:highlight w:val="none"/>
              </w:rPr>
            </w:pPr>
          </w:p>
        </w:tc>
        <w:tc>
          <w:tcPr>
            <w:tcW w:w="883" w:type="pct"/>
            <w:tcBorders>
              <w:top w:val="single" w:color="auto" w:sz="4" w:space="0"/>
              <w:left w:val="nil"/>
              <w:bottom w:val="single" w:color="auto" w:sz="4" w:space="0"/>
              <w:right w:val="single" w:color="auto" w:sz="4" w:space="0"/>
            </w:tcBorders>
            <w:noWrap w:val="0"/>
            <w:vAlign w:val="center"/>
          </w:tcPr>
          <w:p w14:paraId="4B1AD29E">
            <w:pPr>
              <w:keepNext w:val="0"/>
              <w:keepLines w:val="0"/>
              <w:suppressLineNumbers w:val="0"/>
              <w:spacing w:before="0" w:beforeAutospacing="0" w:after="0" w:afterAutospacing="0"/>
              <w:ind w:left="0" w:right="0"/>
              <w:jc w:val="center"/>
              <w:rPr>
                <w:rFonts w:hint="eastAsia" w:ascii="宋体" w:hAnsi="宋体" w:cs="宋体"/>
                <w:color w:val="auto"/>
                <w:kern w:val="0"/>
                <w:sz w:val="24"/>
                <w:highlight w:val="none"/>
              </w:rPr>
            </w:pPr>
          </w:p>
        </w:tc>
      </w:tr>
      <w:tr w14:paraId="2A775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396" w:type="pct"/>
            <w:tcBorders>
              <w:top w:val="single" w:color="auto" w:sz="4" w:space="0"/>
              <w:left w:val="single" w:color="auto" w:sz="4" w:space="0"/>
              <w:bottom w:val="single" w:color="auto" w:sz="4" w:space="0"/>
              <w:right w:val="single" w:color="auto" w:sz="4" w:space="0"/>
            </w:tcBorders>
            <w:noWrap w:val="0"/>
            <w:vAlign w:val="center"/>
          </w:tcPr>
          <w:p w14:paraId="21D3935A">
            <w:pPr>
              <w:keepNext w:val="0"/>
              <w:keepLines w:val="0"/>
              <w:suppressLineNumbers w:val="0"/>
              <w:spacing w:before="0" w:beforeAutospacing="0" w:after="0" w:afterAutospacing="0"/>
              <w:ind w:left="0" w:right="0"/>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2</w:t>
            </w:r>
          </w:p>
        </w:tc>
        <w:tc>
          <w:tcPr>
            <w:tcW w:w="2321" w:type="pct"/>
            <w:tcBorders>
              <w:top w:val="single" w:color="auto" w:sz="4" w:space="0"/>
              <w:left w:val="nil"/>
              <w:bottom w:val="single" w:color="auto" w:sz="4" w:space="0"/>
              <w:right w:val="single" w:color="auto" w:sz="4" w:space="0"/>
            </w:tcBorders>
            <w:noWrap w:val="0"/>
            <w:vAlign w:val="center"/>
          </w:tcPr>
          <w:p w14:paraId="4F4C8CAF">
            <w:pPr>
              <w:keepNext w:val="0"/>
              <w:keepLines w:val="0"/>
              <w:suppressLineNumbers w:val="0"/>
              <w:spacing w:before="0" w:beforeAutospacing="0" w:after="0" w:afterAutospacing="0" w:line="360" w:lineRule="exact"/>
              <w:ind w:left="0" w:right="0"/>
              <w:textAlignment w:val="center"/>
              <w:rPr>
                <w:rFonts w:hint="eastAsia" w:ascii="宋体" w:hAnsi="宋体" w:cs="宋体"/>
                <w:color w:val="auto"/>
                <w:kern w:val="0"/>
                <w:sz w:val="24"/>
                <w:highlight w:val="none"/>
              </w:rPr>
            </w:pPr>
          </w:p>
        </w:tc>
        <w:tc>
          <w:tcPr>
            <w:tcW w:w="696" w:type="pct"/>
            <w:tcBorders>
              <w:top w:val="single" w:color="auto" w:sz="4" w:space="0"/>
              <w:left w:val="nil"/>
              <w:bottom w:val="single" w:color="auto" w:sz="4" w:space="0"/>
              <w:right w:val="single" w:color="auto" w:sz="4" w:space="0"/>
            </w:tcBorders>
            <w:noWrap w:val="0"/>
            <w:vAlign w:val="center"/>
          </w:tcPr>
          <w:p w14:paraId="4764DA4D">
            <w:pPr>
              <w:keepNext w:val="0"/>
              <w:keepLines w:val="0"/>
              <w:suppressLineNumbers w:val="0"/>
              <w:spacing w:before="0" w:beforeAutospacing="0" w:after="0" w:afterAutospacing="0"/>
              <w:ind w:left="0" w:right="0"/>
              <w:jc w:val="center"/>
              <w:rPr>
                <w:rFonts w:hint="eastAsia" w:ascii="宋体" w:hAnsi="宋体" w:cs="宋体"/>
                <w:color w:val="auto"/>
                <w:kern w:val="0"/>
                <w:sz w:val="24"/>
                <w:highlight w:val="none"/>
              </w:rPr>
            </w:pPr>
          </w:p>
        </w:tc>
        <w:tc>
          <w:tcPr>
            <w:tcW w:w="702" w:type="pct"/>
            <w:tcBorders>
              <w:top w:val="single" w:color="auto" w:sz="4" w:space="0"/>
              <w:left w:val="nil"/>
              <w:bottom w:val="single" w:color="auto" w:sz="4" w:space="0"/>
              <w:right w:val="single" w:color="auto" w:sz="4" w:space="0"/>
            </w:tcBorders>
            <w:noWrap w:val="0"/>
            <w:vAlign w:val="center"/>
          </w:tcPr>
          <w:p w14:paraId="38B5CA5A">
            <w:pPr>
              <w:keepNext w:val="0"/>
              <w:keepLines w:val="0"/>
              <w:suppressLineNumbers w:val="0"/>
              <w:spacing w:before="0" w:beforeAutospacing="0" w:after="0" w:afterAutospacing="0"/>
              <w:ind w:left="0" w:right="0"/>
              <w:jc w:val="center"/>
              <w:rPr>
                <w:rFonts w:hint="eastAsia" w:ascii="宋体" w:hAnsi="宋体" w:cs="宋体"/>
                <w:color w:val="auto"/>
                <w:kern w:val="0"/>
                <w:sz w:val="24"/>
                <w:highlight w:val="none"/>
              </w:rPr>
            </w:pPr>
          </w:p>
        </w:tc>
        <w:tc>
          <w:tcPr>
            <w:tcW w:w="883" w:type="pct"/>
            <w:tcBorders>
              <w:top w:val="single" w:color="auto" w:sz="4" w:space="0"/>
              <w:left w:val="nil"/>
              <w:bottom w:val="single" w:color="auto" w:sz="4" w:space="0"/>
              <w:right w:val="single" w:color="auto" w:sz="4" w:space="0"/>
            </w:tcBorders>
            <w:noWrap w:val="0"/>
            <w:vAlign w:val="center"/>
          </w:tcPr>
          <w:p w14:paraId="5747C576">
            <w:pPr>
              <w:keepNext w:val="0"/>
              <w:keepLines w:val="0"/>
              <w:suppressLineNumbers w:val="0"/>
              <w:spacing w:before="0" w:beforeAutospacing="0" w:after="0" w:afterAutospacing="0"/>
              <w:ind w:left="0" w:right="0"/>
              <w:jc w:val="center"/>
              <w:rPr>
                <w:rFonts w:hint="eastAsia" w:ascii="宋体" w:hAnsi="宋体" w:cs="宋体"/>
                <w:color w:val="auto"/>
                <w:kern w:val="0"/>
                <w:sz w:val="24"/>
                <w:highlight w:val="none"/>
              </w:rPr>
            </w:pPr>
          </w:p>
        </w:tc>
      </w:tr>
      <w:tr w14:paraId="021B7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396" w:type="pct"/>
            <w:tcBorders>
              <w:top w:val="single" w:color="auto" w:sz="4" w:space="0"/>
              <w:left w:val="single" w:color="auto" w:sz="4" w:space="0"/>
              <w:bottom w:val="single" w:color="auto" w:sz="4" w:space="0"/>
              <w:right w:val="single" w:color="auto" w:sz="4" w:space="0"/>
            </w:tcBorders>
            <w:noWrap w:val="0"/>
            <w:vAlign w:val="center"/>
          </w:tcPr>
          <w:p w14:paraId="678F54B4">
            <w:pPr>
              <w:keepNext w:val="0"/>
              <w:keepLines w:val="0"/>
              <w:suppressLineNumbers w:val="0"/>
              <w:spacing w:before="0" w:beforeAutospacing="0" w:after="0" w:afterAutospacing="0"/>
              <w:ind w:left="0" w:right="0"/>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3</w:t>
            </w:r>
          </w:p>
        </w:tc>
        <w:tc>
          <w:tcPr>
            <w:tcW w:w="2321" w:type="pct"/>
            <w:tcBorders>
              <w:top w:val="single" w:color="auto" w:sz="4" w:space="0"/>
              <w:left w:val="nil"/>
              <w:bottom w:val="single" w:color="auto" w:sz="4" w:space="0"/>
              <w:right w:val="single" w:color="auto" w:sz="4" w:space="0"/>
            </w:tcBorders>
            <w:noWrap w:val="0"/>
            <w:vAlign w:val="center"/>
          </w:tcPr>
          <w:p w14:paraId="50684601">
            <w:pPr>
              <w:keepNext w:val="0"/>
              <w:keepLines w:val="0"/>
              <w:suppressLineNumbers w:val="0"/>
              <w:spacing w:before="0" w:beforeAutospacing="0" w:after="0" w:afterAutospacing="0" w:line="360" w:lineRule="exact"/>
              <w:ind w:left="0" w:right="0"/>
              <w:textAlignment w:val="center"/>
              <w:rPr>
                <w:rFonts w:hint="eastAsia" w:ascii="宋体" w:hAnsi="宋体" w:cs="宋体"/>
                <w:color w:val="auto"/>
                <w:kern w:val="0"/>
                <w:sz w:val="24"/>
                <w:highlight w:val="none"/>
              </w:rPr>
            </w:pPr>
          </w:p>
        </w:tc>
        <w:tc>
          <w:tcPr>
            <w:tcW w:w="696" w:type="pct"/>
            <w:tcBorders>
              <w:top w:val="single" w:color="auto" w:sz="4" w:space="0"/>
              <w:left w:val="nil"/>
              <w:bottom w:val="single" w:color="auto" w:sz="4" w:space="0"/>
              <w:right w:val="single" w:color="auto" w:sz="4" w:space="0"/>
            </w:tcBorders>
            <w:noWrap w:val="0"/>
            <w:vAlign w:val="center"/>
          </w:tcPr>
          <w:p w14:paraId="7A37EA60">
            <w:pPr>
              <w:keepNext w:val="0"/>
              <w:keepLines w:val="0"/>
              <w:suppressLineNumbers w:val="0"/>
              <w:spacing w:before="0" w:beforeAutospacing="0" w:after="0" w:afterAutospacing="0"/>
              <w:ind w:left="0" w:right="0"/>
              <w:jc w:val="center"/>
              <w:rPr>
                <w:rFonts w:hint="eastAsia" w:ascii="宋体" w:hAnsi="宋体" w:cs="宋体"/>
                <w:color w:val="auto"/>
                <w:kern w:val="0"/>
                <w:sz w:val="24"/>
                <w:highlight w:val="none"/>
              </w:rPr>
            </w:pPr>
          </w:p>
        </w:tc>
        <w:tc>
          <w:tcPr>
            <w:tcW w:w="702" w:type="pct"/>
            <w:tcBorders>
              <w:top w:val="single" w:color="auto" w:sz="4" w:space="0"/>
              <w:left w:val="nil"/>
              <w:bottom w:val="single" w:color="auto" w:sz="4" w:space="0"/>
              <w:right w:val="single" w:color="auto" w:sz="4" w:space="0"/>
            </w:tcBorders>
            <w:noWrap w:val="0"/>
            <w:vAlign w:val="center"/>
          </w:tcPr>
          <w:p w14:paraId="03CB560B">
            <w:pPr>
              <w:keepNext w:val="0"/>
              <w:keepLines w:val="0"/>
              <w:suppressLineNumbers w:val="0"/>
              <w:spacing w:before="0" w:beforeAutospacing="0" w:after="0" w:afterAutospacing="0"/>
              <w:ind w:left="0" w:right="0"/>
              <w:jc w:val="center"/>
              <w:rPr>
                <w:rFonts w:hint="default" w:ascii="宋体" w:hAnsi="宋体" w:cs="宋体"/>
                <w:color w:val="auto"/>
                <w:kern w:val="0"/>
                <w:sz w:val="24"/>
                <w:highlight w:val="none"/>
              </w:rPr>
            </w:pPr>
          </w:p>
        </w:tc>
        <w:tc>
          <w:tcPr>
            <w:tcW w:w="883" w:type="pct"/>
            <w:tcBorders>
              <w:top w:val="single" w:color="auto" w:sz="4" w:space="0"/>
              <w:left w:val="nil"/>
              <w:bottom w:val="single" w:color="auto" w:sz="4" w:space="0"/>
              <w:right w:val="single" w:color="auto" w:sz="4" w:space="0"/>
            </w:tcBorders>
            <w:noWrap w:val="0"/>
            <w:vAlign w:val="center"/>
          </w:tcPr>
          <w:p w14:paraId="6349031A">
            <w:pPr>
              <w:keepNext w:val="0"/>
              <w:keepLines w:val="0"/>
              <w:suppressLineNumbers w:val="0"/>
              <w:spacing w:before="0" w:beforeAutospacing="0" w:after="0" w:afterAutospacing="0"/>
              <w:ind w:left="0" w:right="0"/>
              <w:jc w:val="center"/>
              <w:rPr>
                <w:rFonts w:hint="eastAsia" w:ascii="宋体" w:hAnsi="宋体" w:cs="宋体"/>
                <w:color w:val="auto"/>
                <w:kern w:val="0"/>
                <w:sz w:val="24"/>
                <w:highlight w:val="none"/>
              </w:rPr>
            </w:pPr>
          </w:p>
        </w:tc>
      </w:tr>
      <w:tr w14:paraId="5024C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396" w:type="pct"/>
            <w:tcBorders>
              <w:top w:val="single" w:color="auto" w:sz="4" w:space="0"/>
              <w:left w:val="single" w:color="auto" w:sz="4" w:space="0"/>
              <w:bottom w:val="single" w:color="auto" w:sz="4" w:space="0"/>
              <w:right w:val="single" w:color="auto" w:sz="4" w:space="0"/>
            </w:tcBorders>
            <w:noWrap w:val="0"/>
            <w:vAlign w:val="center"/>
          </w:tcPr>
          <w:p w14:paraId="7874AE7F">
            <w:pPr>
              <w:keepNext w:val="0"/>
              <w:keepLines w:val="0"/>
              <w:suppressLineNumbers w:val="0"/>
              <w:spacing w:before="0" w:beforeAutospacing="0" w:after="0" w:afterAutospacing="0"/>
              <w:ind w:left="0" w:right="0"/>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4</w:t>
            </w:r>
          </w:p>
        </w:tc>
        <w:tc>
          <w:tcPr>
            <w:tcW w:w="2321" w:type="pct"/>
            <w:tcBorders>
              <w:top w:val="single" w:color="auto" w:sz="4" w:space="0"/>
              <w:left w:val="nil"/>
              <w:bottom w:val="single" w:color="auto" w:sz="4" w:space="0"/>
              <w:right w:val="single" w:color="auto" w:sz="4" w:space="0"/>
            </w:tcBorders>
            <w:noWrap w:val="0"/>
            <w:vAlign w:val="center"/>
          </w:tcPr>
          <w:p w14:paraId="7DF189F7">
            <w:pPr>
              <w:keepNext w:val="0"/>
              <w:keepLines w:val="0"/>
              <w:suppressLineNumbers w:val="0"/>
              <w:spacing w:before="0" w:beforeAutospacing="0" w:after="0" w:afterAutospacing="0" w:line="360" w:lineRule="exact"/>
              <w:ind w:left="0" w:right="0"/>
              <w:textAlignment w:val="center"/>
              <w:rPr>
                <w:rFonts w:hint="eastAsia" w:ascii="宋体" w:hAnsi="宋体" w:cs="宋体"/>
                <w:color w:val="auto"/>
                <w:kern w:val="0"/>
                <w:sz w:val="24"/>
                <w:highlight w:val="none"/>
              </w:rPr>
            </w:pPr>
          </w:p>
        </w:tc>
        <w:tc>
          <w:tcPr>
            <w:tcW w:w="696" w:type="pct"/>
            <w:tcBorders>
              <w:top w:val="single" w:color="auto" w:sz="4" w:space="0"/>
              <w:left w:val="nil"/>
              <w:bottom w:val="single" w:color="auto" w:sz="4" w:space="0"/>
              <w:right w:val="single" w:color="auto" w:sz="4" w:space="0"/>
            </w:tcBorders>
            <w:noWrap w:val="0"/>
            <w:vAlign w:val="center"/>
          </w:tcPr>
          <w:p w14:paraId="250C95C3">
            <w:pPr>
              <w:keepNext w:val="0"/>
              <w:keepLines w:val="0"/>
              <w:suppressLineNumbers w:val="0"/>
              <w:spacing w:before="0" w:beforeAutospacing="0" w:after="0" w:afterAutospacing="0"/>
              <w:ind w:left="0" w:right="0"/>
              <w:jc w:val="center"/>
              <w:rPr>
                <w:rFonts w:hint="eastAsia" w:ascii="宋体" w:hAnsi="宋体" w:cs="宋体"/>
                <w:color w:val="auto"/>
                <w:kern w:val="0"/>
                <w:sz w:val="24"/>
                <w:highlight w:val="none"/>
              </w:rPr>
            </w:pPr>
          </w:p>
        </w:tc>
        <w:tc>
          <w:tcPr>
            <w:tcW w:w="702" w:type="pct"/>
            <w:tcBorders>
              <w:top w:val="single" w:color="auto" w:sz="4" w:space="0"/>
              <w:left w:val="nil"/>
              <w:bottom w:val="single" w:color="auto" w:sz="4" w:space="0"/>
              <w:right w:val="single" w:color="auto" w:sz="4" w:space="0"/>
            </w:tcBorders>
            <w:noWrap w:val="0"/>
            <w:vAlign w:val="center"/>
          </w:tcPr>
          <w:p w14:paraId="4648F5FD">
            <w:pPr>
              <w:keepNext w:val="0"/>
              <w:keepLines w:val="0"/>
              <w:suppressLineNumbers w:val="0"/>
              <w:spacing w:before="0" w:beforeAutospacing="0" w:after="0" w:afterAutospacing="0"/>
              <w:ind w:left="0" w:right="0"/>
              <w:jc w:val="center"/>
              <w:rPr>
                <w:rFonts w:hint="default" w:ascii="宋体" w:hAnsi="宋体" w:cs="宋体"/>
                <w:color w:val="auto"/>
                <w:kern w:val="0"/>
                <w:sz w:val="24"/>
                <w:highlight w:val="none"/>
              </w:rPr>
            </w:pPr>
          </w:p>
        </w:tc>
        <w:tc>
          <w:tcPr>
            <w:tcW w:w="883" w:type="pct"/>
            <w:tcBorders>
              <w:top w:val="single" w:color="auto" w:sz="4" w:space="0"/>
              <w:left w:val="nil"/>
              <w:bottom w:val="single" w:color="auto" w:sz="4" w:space="0"/>
              <w:right w:val="single" w:color="auto" w:sz="4" w:space="0"/>
            </w:tcBorders>
            <w:noWrap w:val="0"/>
            <w:vAlign w:val="center"/>
          </w:tcPr>
          <w:p w14:paraId="194E3A80">
            <w:pPr>
              <w:keepNext w:val="0"/>
              <w:keepLines w:val="0"/>
              <w:suppressLineNumbers w:val="0"/>
              <w:spacing w:before="0" w:beforeAutospacing="0" w:after="0" w:afterAutospacing="0"/>
              <w:ind w:left="0" w:right="0"/>
              <w:jc w:val="center"/>
              <w:rPr>
                <w:rFonts w:hint="eastAsia" w:ascii="宋体" w:hAnsi="宋体" w:cs="宋体"/>
                <w:color w:val="auto"/>
                <w:kern w:val="0"/>
                <w:sz w:val="24"/>
                <w:highlight w:val="none"/>
              </w:rPr>
            </w:pPr>
          </w:p>
        </w:tc>
      </w:tr>
      <w:tr w14:paraId="7A389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396" w:type="pct"/>
            <w:tcBorders>
              <w:top w:val="single" w:color="auto" w:sz="4" w:space="0"/>
              <w:left w:val="single" w:color="auto" w:sz="4" w:space="0"/>
              <w:bottom w:val="single" w:color="auto" w:sz="4" w:space="0"/>
              <w:right w:val="single" w:color="auto" w:sz="4" w:space="0"/>
            </w:tcBorders>
            <w:noWrap w:val="0"/>
            <w:vAlign w:val="center"/>
          </w:tcPr>
          <w:p w14:paraId="4CAAC9D0">
            <w:pPr>
              <w:keepNext w:val="0"/>
              <w:keepLines w:val="0"/>
              <w:suppressLineNumbers w:val="0"/>
              <w:spacing w:before="0" w:beforeAutospacing="0" w:after="0" w:afterAutospacing="0"/>
              <w:ind w:left="0" w:right="0"/>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5</w:t>
            </w:r>
          </w:p>
        </w:tc>
        <w:tc>
          <w:tcPr>
            <w:tcW w:w="2321" w:type="pct"/>
            <w:tcBorders>
              <w:top w:val="single" w:color="auto" w:sz="4" w:space="0"/>
              <w:left w:val="nil"/>
              <w:bottom w:val="single" w:color="auto" w:sz="4" w:space="0"/>
              <w:right w:val="single" w:color="auto" w:sz="4" w:space="0"/>
            </w:tcBorders>
            <w:noWrap w:val="0"/>
            <w:vAlign w:val="center"/>
          </w:tcPr>
          <w:p w14:paraId="2930CF96">
            <w:pPr>
              <w:keepNext w:val="0"/>
              <w:keepLines w:val="0"/>
              <w:suppressLineNumbers w:val="0"/>
              <w:spacing w:before="0" w:beforeAutospacing="0" w:after="0" w:afterAutospacing="0" w:line="360" w:lineRule="exact"/>
              <w:ind w:left="0" w:right="0"/>
              <w:textAlignment w:val="center"/>
              <w:rPr>
                <w:rFonts w:hint="eastAsia" w:ascii="宋体" w:hAnsi="宋体" w:cs="宋体"/>
                <w:color w:val="auto"/>
                <w:kern w:val="0"/>
                <w:sz w:val="24"/>
                <w:highlight w:val="none"/>
              </w:rPr>
            </w:pPr>
          </w:p>
        </w:tc>
        <w:tc>
          <w:tcPr>
            <w:tcW w:w="696" w:type="pct"/>
            <w:tcBorders>
              <w:top w:val="single" w:color="auto" w:sz="4" w:space="0"/>
              <w:left w:val="nil"/>
              <w:bottom w:val="single" w:color="auto" w:sz="4" w:space="0"/>
              <w:right w:val="single" w:color="auto" w:sz="4" w:space="0"/>
            </w:tcBorders>
            <w:noWrap w:val="0"/>
            <w:vAlign w:val="center"/>
          </w:tcPr>
          <w:p w14:paraId="58665AFC">
            <w:pPr>
              <w:keepNext w:val="0"/>
              <w:keepLines w:val="0"/>
              <w:suppressLineNumbers w:val="0"/>
              <w:spacing w:before="0" w:beforeAutospacing="0" w:after="0" w:afterAutospacing="0"/>
              <w:ind w:left="0" w:right="0"/>
              <w:jc w:val="center"/>
              <w:rPr>
                <w:rFonts w:hint="eastAsia" w:ascii="宋体" w:hAnsi="宋体" w:cs="宋体"/>
                <w:color w:val="auto"/>
                <w:kern w:val="0"/>
                <w:sz w:val="24"/>
                <w:highlight w:val="none"/>
              </w:rPr>
            </w:pPr>
          </w:p>
        </w:tc>
        <w:tc>
          <w:tcPr>
            <w:tcW w:w="702" w:type="pct"/>
            <w:tcBorders>
              <w:top w:val="single" w:color="auto" w:sz="4" w:space="0"/>
              <w:left w:val="nil"/>
              <w:bottom w:val="single" w:color="auto" w:sz="4" w:space="0"/>
              <w:right w:val="single" w:color="auto" w:sz="4" w:space="0"/>
            </w:tcBorders>
            <w:noWrap w:val="0"/>
            <w:vAlign w:val="center"/>
          </w:tcPr>
          <w:p w14:paraId="077BE042">
            <w:pPr>
              <w:keepNext w:val="0"/>
              <w:keepLines w:val="0"/>
              <w:suppressLineNumbers w:val="0"/>
              <w:spacing w:before="0" w:beforeAutospacing="0" w:after="0" w:afterAutospacing="0"/>
              <w:ind w:left="0" w:right="0"/>
              <w:jc w:val="center"/>
              <w:rPr>
                <w:rFonts w:hint="default" w:ascii="宋体" w:hAnsi="宋体" w:cs="宋体"/>
                <w:color w:val="auto"/>
                <w:kern w:val="0"/>
                <w:sz w:val="24"/>
                <w:highlight w:val="none"/>
              </w:rPr>
            </w:pPr>
          </w:p>
        </w:tc>
        <w:tc>
          <w:tcPr>
            <w:tcW w:w="883" w:type="pct"/>
            <w:tcBorders>
              <w:top w:val="single" w:color="auto" w:sz="4" w:space="0"/>
              <w:left w:val="nil"/>
              <w:bottom w:val="single" w:color="auto" w:sz="4" w:space="0"/>
              <w:right w:val="single" w:color="auto" w:sz="4" w:space="0"/>
            </w:tcBorders>
            <w:noWrap w:val="0"/>
            <w:vAlign w:val="center"/>
          </w:tcPr>
          <w:p w14:paraId="4E796F7D">
            <w:pPr>
              <w:keepNext w:val="0"/>
              <w:keepLines w:val="0"/>
              <w:suppressLineNumbers w:val="0"/>
              <w:spacing w:before="0" w:beforeAutospacing="0" w:after="0" w:afterAutospacing="0"/>
              <w:ind w:left="0" w:right="0"/>
              <w:jc w:val="center"/>
              <w:rPr>
                <w:rFonts w:hint="eastAsia" w:ascii="宋体" w:hAnsi="宋体" w:cs="宋体"/>
                <w:color w:val="auto"/>
                <w:kern w:val="0"/>
                <w:sz w:val="24"/>
                <w:highlight w:val="none"/>
              </w:rPr>
            </w:pPr>
          </w:p>
        </w:tc>
      </w:tr>
      <w:tr w14:paraId="1B357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396" w:type="pct"/>
            <w:tcBorders>
              <w:top w:val="single" w:color="auto" w:sz="4" w:space="0"/>
              <w:left w:val="single" w:color="auto" w:sz="4" w:space="0"/>
              <w:bottom w:val="single" w:color="auto" w:sz="4" w:space="0"/>
              <w:right w:val="single" w:color="auto" w:sz="4" w:space="0"/>
            </w:tcBorders>
            <w:noWrap w:val="0"/>
            <w:vAlign w:val="center"/>
          </w:tcPr>
          <w:p w14:paraId="553AE7E2">
            <w:pPr>
              <w:keepNext w:val="0"/>
              <w:keepLines w:val="0"/>
              <w:suppressLineNumbers w:val="0"/>
              <w:spacing w:before="0" w:beforeAutospacing="0" w:after="0" w:afterAutospacing="0"/>
              <w:ind w:left="0" w:right="0"/>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6</w:t>
            </w:r>
          </w:p>
        </w:tc>
        <w:tc>
          <w:tcPr>
            <w:tcW w:w="2321" w:type="pct"/>
            <w:tcBorders>
              <w:top w:val="single" w:color="auto" w:sz="4" w:space="0"/>
              <w:left w:val="nil"/>
              <w:bottom w:val="single" w:color="auto" w:sz="4" w:space="0"/>
              <w:right w:val="single" w:color="auto" w:sz="4" w:space="0"/>
            </w:tcBorders>
            <w:noWrap w:val="0"/>
            <w:vAlign w:val="center"/>
          </w:tcPr>
          <w:p w14:paraId="63B5B088">
            <w:pPr>
              <w:keepNext w:val="0"/>
              <w:keepLines w:val="0"/>
              <w:suppressLineNumbers w:val="0"/>
              <w:spacing w:before="0" w:beforeAutospacing="0" w:after="0" w:afterAutospacing="0" w:line="360" w:lineRule="exact"/>
              <w:ind w:left="0" w:right="0"/>
              <w:textAlignment w:val="center"/>
              <w:rPr>
                <w:rFonts w:hint="eastAsia" w:ascii="宋体" w:hAnsi="宋体" w:cs="宋体"/>
                <w:color w:val="auto"/>
                <w:kern w:val="0"/>
                <w:sz w:val="24"/>
                <w:highlight w:val="none"/>
              </w:rPr>
            </w:pPr>
          </w:p>
        </w:tc>
        <w:tc>
          <w:tcPr>
            <w:tcW w:w="696" w:type="pct"/>
            <w:tcBorders>
              <w:top w:val="single" w:color="auto" w:sz="4" w:space="0"/>
              <w:left w:val="nil"/>
              <w:bottom w:val="single" w:color="auto" w:sz="4" w:space="0"/>
              <w:right w:val="single" w:color="auto" w:sz="4" w:space="0"/>
            </w:tcBorders>
            <w:noWrap w:val="0"/>
            <w:vAlign w:val="center"/>
          </w:tcPr>
          <w:p w14:paraId="0DE85762">
            <w:pPr>
              <w:keepNext w:val="0"/>
              <w:keepLines w:val="0"/>
              <w:suppressLineNumbers w:val="0"/>
              <w:spacing w:before="0" w:beforeAutospacing="0" w:after="0" w:afterAutospacing="0"/>
              <w:ind w:left="0" w:right="0"/>
              <w:jc w:val="center"/>
              <w:rPr>
                <w:rFonts w:hint="eastAsia" w:ascii="宋体" w:hAnsi="宋体" w:cs="宋体"/>
                <w:color w:val="auto"/>
                <w:kern w:val="0"/>
                <w:sz w:val="24"/>
                <w:highlight w:val="none"/>
              </w:rPr>
            </w:pPr>
          </w:p>
        </w:tc>
        <w:tc>
          <w:tcPr>
            <w:tcW w:w="702" w:type="pct"/>
            <w:tcBorders>
              <w:top w:val="single" w:color="auto" w:sz="4" w:space="0"/>
              <w:left w:val="nil"/>
              <w:bottom w:val="single" w:color="auto" w:sz="4" w:space="0"/>
              <w:right w:val="single" w:color="auto" w:sz="4" w:space="0"/>
            </w:tcBorders>
            <w:noWrap w:val="0"/>
            <w:vAlign w:val="center"/>
          </w:tcPr>
          <w:p w14:paraId="35C30BFE">
            <w:pPr>
              <w:keepNext w:val="0"/>
              <w:keepLines w:val="0"/>
              <w:suppressLineNumbers w:val="0"/>
              <w:spacing w:before="0" w:beforeAutospacing="0" w:after="0" w:afterAutospacing="0"/>
              <w:ind w:left="0" w:right="0"/>
              <w:jc w:val="center"/>
              <w:rPr>
                <w:rFonts w:hint="default" w:ascii="宋体" w:hAnsi="宋体" w:cs="宋体"/>
                <w:color w:val="auto"/>
                <w:kern w:val="0"/>
                <w:sz w:val="24"/>
                <w:highlight w:val="none"/>
              </w:rPr>
            </w:pPr>
          </w:p>
        </w:tc>
        <w:tc>
          <w:tcPr>
            <w:tcW w:w="883" w:type="pct"/>
            <w:tcBorders>
              <w:top w:val="single" w:color="auto" w:sz="4" w:space="0"/>
              <w:left w:val="nil"/>
              <w:bottom w:val="single" w:color="auto" w:sz="4" w:space="0"/>
              <w:right w:val="single" w:color="auto" w:sz="4" w:space="0"/>
            </w:tcBorders>
            <w:noWrap w:val="0"/>
            <w:vAlign w:val="center"/>
          </w:tcPr>
          <w:p w14:paraId="075E3FF7">
            <w:pPr>
              <w:keepNext w:val="0"/>
              <w:keepLines w:val="0"/>
              <w:suppressLineNumbers w:val="0"/>
              <w:spacing w:before="0" w:beforeAutospacing="0" w:after="0" w:afterAutospacing="0"/>
              <w:ind w:left="0" w:right="0"/>
              <w:jc w:val="center"/>
              <w:rPr>
                <w:rFonts w:hint="eastAsia" w:ascii="宋体" w:hAnsi="宋体" w:cs="宋体"/>
                <w:color w:val="auto"/>
                <w:kern w:val="0"/>
                <w:sz w:val="24"/>
                <w:highlight w:val="none"/>
              </w:rPr>
            </w:pPr>
          </w:p>
        </w:tc>
      </w:tr>
      <w:tr w14:paraId="3C563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396" w:type="pct"/>
            <w:tcBorders>
              <w:top w:val="single" w:color="auto" w:sz="4" w:space="0"/>
              <w:left w:val="single" w:color="auto" w:sz="4" w:space="0"/>
              <w:bottom w:val="single" w:color="auto" w:sz="4" w:space="0"/>
              <w:right w:val="single" w:color="auto" w:sz="4" w:space="0"/>
            </w:tcBorders>
            <w:noWrap w:val="0"/>
            <w:vAlign w:val="center"/>
          </w:tcPr>
          <w:p w14:paraId="576F7D57">
            <w:pPr>
              <w:keepNext w:val="0"/>
              <w:keepLines w:val="0"/>
              <w:suppressLineNumbers w:val="0"/>
              <w:spacing w:before="0" w:beforeAutospacing="0" w:after="0" w:afterAutospacing="0"/>
              <w:ind w:left="0" w:right="0"/>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7</w:t>
            </w:r>
          </w:p>
        </w:tc>
        <w:tc>
          <w:tcPr>
            <w:tcW w:w="2321" w:type="pct"/>
            <w:tcBorders>
              <w:top w:val="single" w:color="auto" w:sz="4" w:space="0"/>
              <w:left w:val="nil"/>
              <w:bottom w:val="single" w:color="auto" w:sz="4" w:space="0"/>
              <w:right w:val="single" w:color="auto" w:sz="4" w:space="0"/>
            </w:tcBorders>
            <w:noWrap w:val="0"/>
            <w:vAlign w:val="center"/>
          </w:tcPr>
          <w:p w14:paraId="13E38464">
            <w:pPr>
              <w:keepNext w:val="0"/>
              <w:keepLines w:val="0"/>
              <w:suppressLineNumbers w:val="0"/>
              <w:spacing w:before="0" w:beforeAutospacing="0" w:after="0" w:afterAutospacing="0" w:line="360" w:lineRule="exact"/>
              <w:ind w:left="0" w:right="0"/>
              <w:textAlignment w:val="center"/>
              <w:rPr>
                <w:rFonts w:hint="eastAsia" w:ascii="宋体" w:hAnsi="宋体" w:cs="宋体"/>
                <w:color w:val="auto"/>
                <w:kern w:val="0"/>
                <w:sz w:val="24"/>
                <w:highlight w:val="none"/>
              </w:rPr>
            </w:pPr>
          </w:p>
        </w:tc>
        <w:tc>
          <w:tcPr>
            <w:tcW w:w="696" w:type="pct"/>
            <w:tcBorders>
              <w:top w:val="single" w:color="auto" w:sz="4" w:space="0"/>
              <w:left w:val="nil"/>
              <w:bottom w:val="single" w:color="auto" w:sz="4" w:space="0"/>
              <w:right w:val="single" w:color="auto" w:sz="4" w:space="0"/>
            </w:tcBorders>
            <w:noWrap w:val="0"/>
            <w:vAlign w:val="center"/>
          </w:tcPr>
          <w:p w14:paraId="723EE624">
            <w:pPr>
              <w:keepNext w:val="0"/>
              <w:keepLines w:val="0"/>
              <w:suppressLineNumbers w:val="0"/>
              <w:spacing w:before="0" w:beforeAutospacing="0" w:after="0" w:afterAutospacing="0"/>
              <w:ind w:left="0" w:right="0"/>
              <w:jc w:val="center"/>
              <w:rPr>
                <w:rFonts w:hint="eastAsia" w:ascii="宋体" w:hAnsi="宋体" w:cs="宋体"/>
                <w:color w:val="auto"/>
                <w:kern w:val="0"/>
                <w:sz w:val="24"/>
                <w:highlight w:val="none"/>
              </w:rPr>
            </w:pPr>
          </w:p>
        </w:tc>
        <w:tc>
          <w:tcPr>
            <w:tcW w:w="702" w:type="pct"/>
            <w:tcBorders>
              <w:top w:val="single" w:color="auto" w:sz="4" w:space="0"/>
              <w:left w:val="nil"/>
              <w:bottom w:val="single" w:color="auto" w:sz="4" w:space="0"/>
              <w:right w:val="single" w:color="auto" w:sz="4" w:space="0"/>
            </w:tcBorders>
            <w:noWrap w:val="0"/>
            <w:vAlign w:val="center"/>
          </w:tcPr>
          <w:p w14:paraId="1160C0F0">
            <w:pPr>
              <w:keepNext w:val="0"/>
              <w:keepLines w:val="0"/>
              <w:suppressLineNumbers w:val="0"/>
              <w:spacing w:before="0" w:beforeAutospacing="0" w:after="0" w:afterAutospacing="0"/>
              <w:ind w:left="0" w:right="0"/>
              <w:jc w:val="center"/>
              <w:rPr>
                <w:rFonts w:hint="default" w:ascii="宋体" w:hAnsi="宋体" w:cs="宋体"/>
                <w:color w:val="auto"/>
                <w:kern w:val="0"/>
                <w:sz w:val="24"/>
                <w:highlight w:val="none"/>
              </w:rPr>
            </w:pPr>
          </w:p>
        </w:tc>
        <w:tc>
          <w:tcPr>
            <w:tcW w:w="883" w:type="pct"/>
            <w:tcBorders>
              <w:top w:val="single" w:color="auto" w:sz="4" w:space="0"/>
              <w:left w:val="nil"/>
              <w:bottom w:val="single" w:color="auto" w:sz="4" w:space="0"/>
              <w:right w:val="single" w:color="auto" w:sz="4" w:space="0"/>
            </w:tcBorders>
            <w:noWrap w:val="0"/>
            <w:vAlign w:val="center"/>
          </w:tcPr>
          <w:p w14:paraId="7F4371BD">
            <w:pPr>
              <w:keepNext w:val="0"/>
              <w:keepLines w:val="0"/>
              <w:suppressLineNumbers w:val="0"/>
              <w:spacing w:before="0" w:beforeAutospacing="0" w:after="0" w:afterAutospacing="0"/>
              <w:ind w:left="0" w:right="0"/>
              <w:jc w:val="center"/>
              <w:rPr>
                <w:rFonts w:hint="eastAsia" w:ascii="宋体" w:hAnsi="宋体" w:cs="宋体"/>
                <w:color w:val="auto"/>
                <w:kern w:val="0"/>
                <w:sz w:val="24"/>
                <w:highlight w:val="none"/>
              </w:rPr>
            </w:pPr>
          </w:p>
        </w:tc>
      </w:tr>
    </w:tbl>
    <w:p w14:paraId="1DAE2A91">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注：得</w:t>
      </w:r>
      <w:r>
        <w:rPr>
          <w:rFonts w:hint="eastAsia" w:ascii="宋体" w:hAnsi="宋体" w:cs="宋体"/>
          <w:color w:val="auto"/>
          <w:szCs w:val="21"/>
          <w:highlight w:val="none"/>
          <w:lang w:eastAsia="zh-CN"/>
        </w:rPr>
        <w:t>票</w:t>
      </w:r>
      <w:r>
        <w:rPr>
          <w:rFonts w:hint="eastAsia" w:ascii="宋体" w:hAnsi="宋体" w:eastAsia="宋体" w:cs="宋体"/>
          <w:color w:val="auto"/>
          <w:szCs w:val="21"/>
          <w:highlight w:val="none"/>
        </w:rPr>
        <w:t>最</w:t>
      </w:r>
      <w:r>
        <w:rPr>
          <w:rFonts w:hint="eastAsia" w:ascii="宋体" w:hAnsi="宋体" w:cs="宋体"/>
          <w:color w:val="auto"/>
          <w:szCs w:val="21"/>
          <w:highlight w:val="none"/>
          <w:lang w:eastAsia="zh-CN"/>
        </w:rPr>
        <w:t>多</w:t>
      </w:r>
      <w:r>
        <w:rPr>
          <w:rFonts w:hint="eastAsia" w:ascii="宋体" w:hAnsi="宋体" w:eastAsia="宋体" w:cs="宋体"/>
          <w:color w:val="auto"/>
          <w:szCs w:val="21"/>
          <w:highlight w:val="none"/>
        </w:rPr>
        <w:t>的合格中标候选人直接确定为中标人。</w:t>
      </w:r>
    </w:p>
    <w:p w14:paraId="45A23ABA">
      <w:pPr>
        <w:spacing w:line="400" w:lineRule="exact"/>
        <w:rPr>
          <w:rFonts w:hint="eastAsia" w:ascii="宋体" w:hAnsi="宋体" w:eastAsia="宋体" w:cs="宋体"/>
          <w:color w:val="auto"/>
          <w:szCs w:val="21"/>
          <w:highlight w:val="none"/>
        </w:rPr>
      </w:pPr>
    </w:p>
    <w:p w14:paraId="2BCCCFA2">
      <w:pPr>
        <w:spacing w:line="360" w:lineRule="exact"/>
        <w:ind w:right="-325" w:rightChars="-155"/>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定标委员会全体成员签名：</w:t>
      </w:r>
    </w:p>
    <w:p w14:paraId="43736CD7">
      <w:pPr>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br w:type="page"/>
      </w:r>
    </w:p>
    <w:p w14:paraId="6DF64EE1">
      <w:pPr>
        <w:pStyle w:val="3"/>
        <w:snapToGrid w:val="0"/>
        <w:spacing w:after="0"/>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第三章  合同条款</w:t>
      </w:r>
      <w:bookmarkEnd w:id="52"/>
      <w:bookmarkEnd w:id="53"/>
      <w:bookmarkEnd w:id="54"/>
      <w:bookmarkEnd w:id="55"/>
    </w:p>
    <w:p w14:paraId="25345C76">
      <w:pPr>
        <w:autoSpaceDE w:val="0"/>
        <w:autoSpaceDN w:val="0"/>
        <w:adjustRightInd w:val="0"/>
        <w:snapToGrid w:val="0"/>
        <w:spacing w:line="360" w:lineRule="auto"/>
        <w:jc w:val="center"/>
        <w:rPr>
          <w:rFonts w:hint="eastAsia" w:ascii="宋体" w:hAnsi="宋体" w:eastAsia="宋体" w:cs="宋体"/>
          <w:color w:val="auto"/>
          <w:sz w:val="32"/>
          <w:szCs w:val="32"/>
          <w:highlight w:val="none"/>
          <w:lang w:eastAsia="zh-CN"/>
        </w:rPr>
      </w:pPr>
      <w:r>
        <w:rPr>
          <w:rFonts w:hint="eastAsia" w:ascii="宋体" w:hAnsi="宋体" w:eastAsia="宋体" w:cs="宋体"/>
          <w:color w:val="auto"/>
          <w:sz w:val="32"/>
          <w:szCs w:val="32"/>
          <w:highlight w:val="none"/>
          <w:lang w:eastAsia="zh-CN"/>
        </w:rPr>
        <w:t>（</w:t>
      </w:r>
      <w:r>
        <w:rPr>
          <w:rFonts w:hint="eastAsia" w:ascii="宋体" w:hAnsi="宋体" w:eastAsia="宋体" w:cs="宋体"/>
          <w:color w:val="auto"/>
          <w:sz w:val="32"/>
          <w:szCs w:val="32"/>
          <w:highlight w:val="none"/>
          <w:lang w:val="en-US" w:eastAsia="zh-CN"/>
        </w:rPr>
        <w:t>另册</w:t>
      </w:r>
      <w:r>
        <w:rPr>
          <w:rFonts w:hint="eastAsia" w:ascii="宋体" w:hAnsi="宋体" w:eastAsia="宋体" w:cs="宋体"/>
          <w:color w:val="auto"/>
          <w:sz w:val="32"/>
          <w:szCs w:val="32"/>
          <w:highlight w:val="none"/>
          <w:lang w:eastAsia="zh-CN"/>
        </w:rPr>
        <w:t>）</w:t>
      </w:r>
    </w:p>
    <w:p w14:paraId="3F0FF644">
      <w:pPr>
        <w:rPr>
          <w:rFonts w:ascii="宋体" w:hAnsi="宋体" w:cs="宋体"/>
          <w:color w:val="auto"/>
          <w:sz w:val="32"/>
          <w:szCs w:val="32"/>
          <w:highlight w:val="none"/>
        </w:rPr>
      </w:pPr>
      <w:bookmarkStart w:id="56" w:name="_Toc30083"/>
      <w:r>
        <w:rPr>
          <w:rFonts w:hint="eastAsia" w:ascii="宋体" w:hAnsi="宋体" w:cs="宋体"/>
          <w:color w:val="auto"/>
          <w:sz w:val="32"/>
          <w:szCs w:val="32"/>
          <w:highlight w:val="none"/>
        </w:rPr>
        <w:br w:type="page"/>
      </w:r>
    </w:p>
    <w:p w14:paraId="4C9160EC">
      <w:pPr>
        <w:pStyle w:val="3"/>
        <w:snapToGrid w:val="0"/>
        <w:spacing w:after="0"/>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第四章  投标文件格式</w:t>
      </w:r>
      <w:bookmarkEnd w:id="56"/>
    </w:p>
    <w:p w14:paraId="3775E6E3">
      <w:pPr>
        <w:autoSpaceDE w:val="0"/>
        <w:autoSpaceDN w:val="0"/>
        <w:adjustRightInd w:val="0"/>
        <w:snapToGrid w:val="0"/>
        <w:spacing w:line="360" w:lineRule="auto"/>
        <w:rPr>
          <w:rFonts w:ascii="宋体" w:hAnsi="宋体" w:cs="宋体"/>
          <w:color w:val="auto"/>
          <w:sz w:val="32"/>
          <w:szCs w:val="32"/>
          <w:highlight w:val="none"/>
        </w:rPr>
      </w:pPr>
    </w:p>
    <w:p w14:paraId="06729242">
      <w:pPr>
        <w:autoSpaceDE w:val="0"/>
        <w:autoSpaceDN w:val="0"/>
        <w:adjustRightInd w:val="0"/>
        <w:snapToGrid w:val="0"/>
        <w:spacing w:line="360" w:lineRule="auto"/>
        <w:jc w:val="center"/>
        <w:rPr>
          <w:rFonts w:ascii="宋体" w:hAnsi="宋体" w:cs="宋体"/>
          <w:color w:val="auto"/>
          <w:sz w:val="32"/>
          <w:szCs w:val="32"/>
          <w:highlight w:val="none"/>
        </w:rPr>
      </w:pPr>
      <w:r>
        <w:rPr>
          <w:rFonts w:hint="eastAsia" w:ascii="宋体" w:hAnsi="宋体" w:cs="宋体"/>
          <w:color w:val="auto"/>
          <w:sz w:val="32"/>
          <w:szCs w:val="32"/>
          <w:highlight w:val="none"/>
        </w:rPr>
        <w:t>一、投标文件技术标部分（含资格审查文件）格式</w:t>
      </w:r>
    </w:p>
    <w:p w14:paraId="60D34E32">
      <w:pPr>
        <w:topLinePunct/>
        <w:adjustRightInd w:val="0"/>
        <w:snapToGrid w:val="0"/>
        <w:spacing w:line="360" w:lineRule="auto"/>
        <w:jc w:val="left"/>
        <w:rPr>
          <w:rFonts w:ascii="宋体" w:hAnsi="宋体" w:cs="宋体"/>
          <w:color w:val="auto"/>
          <w:sz w:val="24"/>
          <w:szCs w:val="24"/>
          <w:highlight w:val="none"/>
        </w:rPr>
      </w:pPr>
      <w:bookmarkStart w:id="57" w:name="_Toc6493845"/>
    </w:p>
    <w:p w14:paraId="584F2A4A">
      <w:pPr>
        <w:topLinePunct/>
        <w:adjustRightInd w:val="0"/>
        <w:snapToGrid w:val="0"/>
        <w:spacing w:line="360" w:lineRule="auto"/>
        <w:jc w:val="left"/>
        <w:rPr>
          <w:rFonts w:ascii="宋体" w:hAnsi="宋体" w:cs="宋体"/>
          <w:bCs/>
          <w:color w:val="auto"/>
          <w:spacing w:val="4"/>
          <w:kern w:val="0"/>
          <w:sz w:val="24"/>
          <w:szCs w:val="24"/>
          <w:highlight w:val="none"/>
        </w:rPr>
      </w:pPr>
      <w:r>
        <w:rPr>
          <w:rFonts w:hint="eastAsia" w:ascii="宋体" w:hAnsi="宋体" w:cs="宋体"/>
          <w:color w:val="auto"/>
          <w:sz w:val="24"/>
          <w:szCs w:val="24"/>
          <w:highlight w:val="none"/>
        </w:rPr>
        <w:t>技术标</w:t>
      </w:r>
      <w:r>
        <w:rPr>
          <w:rFonts w:hint="eastAsia" w:ascii="宋体" w:hAnsi="宋体" w:cs="宋体"/>
          <w:bCs/>
          <w:color w:val="auto"/>
          <w:spacing w:val="4"/>
          <w:kern w:val="0"/>
          <w:sz w:val="24"/>
          <w:szCs w:val="24"/>
          <w:highlight w:val="none"/>
        </w:rPr>
        <w:t>格式一</w:t>
      </w:r>
      <w:bookmarkEnd w:id="57"/>
    </w:p>
    <w:p w14:paraId="4D383F37">
      <w:pPr>
        <w:autoSpaceDE w:val="0"/>
        <w:autoSpaceDN w:val="0"/>
        <w:adjustRightInd w:val="0"/>
        <w:snapToGrid w:val="0"/>
        <w:spacing w:line="360" w:lineRule="auto"/>
        <w:jc w:val="center"/>
        <w:outlineLvl w:val="1"/>
        <w:rPr>
          <w:rFonts w:ascii="宋体" w:hAnsi="宋体" w:cs="宋体"/>
          <w:b/>
          <w:bCs/>
          <w:color w:val="auto"/>
          <w:sz w:val="36"/>
          <w:szCs w:val="36"/>
          <w:highlight w:val="none"/>
          <w:lang w:val="zh-CN"/>
        </w:rPr>
      </w:pPr>
      <w:bookmarkStart w:id="58" w:name="_Toc17590"/>
      <w:bookmarkStart w:id="59" w:name="_Toc10308"/>
      <w:r>
        <w:rPr>
          <w:rFonts w:hint="eastAsia" w:ascii="宋体" w:hAnsi="宋体" w:cs="宋体"/>
          <w:b/>
          <w:bCs/>
          <w:color w:val="auto"/>
          <w:sz w:val="36"/>
          <w:szCs w:val="36"/>
          <w:highlight w:val="none"/>
          <w:lang w:val="zh-CN"/>
        </w:rPr>
        <w:t>广州建设工程施工招标投标书（技术标）</w:t>
      </w:r>
      <w:bookmarkEnd w:id="58"/>
      <w:bookmarkEnd w:id="59"/>
    </w:p>
    <w:tbl>
      <w:tblPr>
        <w:tblStyle w:val="33"/>
        <w:tblpPr w:leftFromText="180" w:rightFromText="180" w:vertAnchor="text" w:horzAnchor="margin" w:tblpXSpec="center" w:tblpY="27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34"/>
        <w:gridCol w:w="2211"/>
        <w:gridCol w:w="3834"/>
      </w:tblGrid>
      <w:tr w14:paraId="54A5C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1" w:hRule="atLeast"/>
        </w:trPr>
        <w:tc>
          <w:tcPr>
            <w:tcW w:w="3334" w:type="dxa"/>
            <w:tcBorders>
              <w:top w:val="single" w:color="auto" w:sz="4" w:space="0"/>
              <w:left w:val="single" w:color="auto" w:sz="4" w:space="0"/>
              <w:bottom w:val="single" w:color="auto" w:sz="4" w:space="0"/>
              <w:right w:val="single" w:color="auto" w:sz="4" w:space="0"/>
            </w:tcBorders>
            <w:noWrap/>
            <w:vAlign w:val="center"/>
          </w:tcPr>
          <w:p w14:paraId="50E40A42">
            <w:pPr>
              <w:autoSpaceDE w:val="0"/>
              <w:autoSpaceDN w:val="0"/>
              <w:adjustRightInd w:val="0"/>
              <w:snapToGrid w:val="0"/>
              <w:spacing w:line="360" w:lineRule="auto"/>
              <w:jc w:val="center"/>
              <w:rPr>
                <w:rFonts w:ascii="宋体" w:hAnsi="宋体" w:cs="宋体"/>
                <w:bCs/>
                <w:color w:val="auto"/>
                <w:sz w:val="24"/>
                <w:szCs w:val="24"/>
                <w:highlight w:val="none"/>
                <w:lang w:val="zh-CN"/>
              </w:rPr>
            </w:pPr>
            <w:r>
              <w:rPr>
                <w:rFonts w:hint="eastAsia" w:ascii="宋体" w:hAnsi="宋体" w:cs="宋体"/>
                <w:color w:val="auto"/>
                <w:sz w:val="24"/>
                <w:szCs w:val="24"/>
                <w:highlight w:val="none"/>
                <w:lang w:val="zh-CN"/>
              </w:rPr>
              <w:t>工程名称</w:t>
            </w:r>
          </w:p>
        </w:tc>
        <w:tc>
          <w:tcPr>
            <w:tcW w:w="6045" w:type="dxa"/>
            <w:gridSpan w:val="2"/>
            <w:tcBorders>
              <w:top w:val="single" w:color="auto" w:sz="4" w:space="0"/>
              <w:left w:val="single" w:color="auto" w:sz="4" w:space="0"/>
              <w:bottom w:val="single" w:color="auto" w:sz="4" w:space="0"/>
              <w:right w:val="single" w:color="auto" w:sz="4" w:space="0"/>
            </w:tcBorders>
            <w:noWrap/>
          </w:tcPr>
          <w:p w14:paraId="6E23A1C9">
            <w:pPr>
              <w:autoSpaceDE w:val="0"/>
              <w:autoSpaceDN w:val="0"/>
              <w:adjustRightInd w:val="0"/>
              <w:snapToGrid w:val="0"/>
              <w:spacing w:line="360" w:lineRule="auto"/>
              <w:rPr>
                <w:rFonts w:ascii="宋体" w:hAnsi="宋体" w:cs="宋体"/>
                <w:bCs/>
                <w:color w:val="auto"/>
                <w:sz w:val="24"/>
                <w:szCs w:val="24"/>
                <w:highlight w:val="none"/>
                <w:lang w:val="zh-CN"/>
              </w:rPr>
            </w:pPr>
          </w:p>
        </w:tc>
      </w:tr>
      <w:tr w14:paraId="1DED8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6" w:hRule="atLeast"/>
        </w:trPr>
        <w:tc>
          <w:tcPr>
            <w:tcW w:w="3334" w:type="dxa"/>
            <w:tcBorders>
              <w:top w:val="single" w:color="auto" w:sz="4" w:space="0"/>
              <w:left w:val="single" w:color="auto" w:sz="4" w:space="0"/>
              <w:bottom w:val="single" w:color="auto" w:sz="4" w:space="0"/>
              <w:right w:val="single" w:color="auto" w:sz="4" w:space="0"/>
            </w:tcBorders>
            <w:noWrap/>
            <w:vAlign w:val="center"/>
          </w:tcPr>
          <w:p w14:paraId="4A75C291">
            <w:pPr>
              <w:snapToGrid w:val="0"/>
              <w:spacing w:line="360" w:lineRule="auto"/>
              <w:jc w:val="center"/>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投标总工期</w:t>
            </w:r>
          </w:p>
        </w:tc>
        <w:tc>
          <w:tcPr>
            <w:tcW w:w="6045" w:type="dxa"/>
            <w:gridSpan w:val="2"/>
            <w:tcBorders>
              <w:top w:val="single" w:color="auto" w:sz="4" w:space="0"/>
              <w:left w:val="single" w:color="auto" w:sz="4" w:space="0"/>
              <w:bottom w:val="single" w:color="auto" w:sz="4" w:space="0"/>
              <w:right w:val="single" w:color="auto" w:sz="4" w:space="0"/>
            </w:tcBorders>
            <w:noWrap/>
          </w:tcPr>
          <w:p w14:paraId="4A0359C7">
            <w:pPr>
              <w:autoSpaceDE w:val="0"/>
              <w:autoSpaceDN w:val="0"/>
              <w:adjustRightInd w:val="0"/>
              <w:snapToGrid w:val="0"/>
              <w:spacing w:line="360" w:lineRule="auto"/>
              <w:rPr>
                <w:rFonts w:ascii="宋体" w:hAnsi="宋体" w:cs="宋体"/>
                <w:bCs/>
                <w:color w:val="auto"/>
                <w:sz w:val="24"/>
                <w:szCs w:val="24"/>
                <w:highlight w:val="none"/>
                <w:lang w:val="zh-CN"/>
              </w:rPr>
            </w:pPr>
          </w:p>
        </w:tc>
      </w:tr>
      <w:tr w14:paraId="76199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trPr>
        <w:tc>
          <w:tcPr>
            <w:tcW w:w="3334" w:type="dxa"/>
            <w:tcBorders>
              <w:top w:val="single" w:color="auto" w:sz="4" w:space="0"/>
              <w:left w:val="single" w:color="auto" w:sz="4" w:space="0"/>
              <w:bottom w:val="single" w:color="auto" w:sz="4" w:space="0"/>
              <w:right w:val="single" w:color="auto" w:sz="4" w:space="0"/>
            </w:tcBorders>
            <w:noWrap/>
            <w:vAlign w:val="center"/>
          </w:tcPr>
          <w:p w14:paraId="4E6AE027">
            <w:pPr>
              <w:snapToGrid w:val="0"/>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lang w:val="zh-CN"/>
              </w:rPr>
              <w:t>工程质量标准</w:t>
            </w:r>
          </w:p>
        </w:tc>
        <w:tc>
          <w:tcPr>
            <w:tcW w:w="6045" w:type="dxa"/>
            <w:gridSpan w:val="2"/>
            <w:tcBorders>
              <w:top w:val="single" w:color="auto" w:sz="4" w:space="0"/>
              <w:left w:val="single" w:color="auto" w:sz="4" w:space="0"/>
              <w:bottom w:val="single" w:color="auto" w:sz="4" w:space="0"/>
              <w:right w:val="single" w:color="auto" w:sz="4" w:space="0"/>
            </w:tcBorders>
            <w:noWrap/>
          </w:tcPr>
          <w:p w14:paraId="18F9878E">
            <w:pPr>
              <w:autoSpaceDE w:val="0"/>
              <w:autoSpaceDN w:val="0"/>
              <w:adjustRightInd w:val="0"/>
              <w:snapToGrid w:val="0"/>
              <w:spacing w:line="360" w:lineRule="auto"/>
              <w:rPr>
                <w:rFonts w:ascii="宋体" w:hAnsi="宋体" w:cs="宋体"/>
                <w:bCs/>
                <w:color w:val="auto"/>
                <w:sz w:val="24"/>
                <w:szCs w:val="24"/>
                <w:highlight w:val="none"/>
                <w:lang w:val="zh-CN"/>
              </w:rPr>
            </w:pPr>
          </w:p>
        </w:tc>
      </w:tr>
      <w:tr w14:paraId="3D534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trPr>
        <w:tc>
          <w:tcPr>
            <w:tcW w:w="3334" w:type="dxa"/>
            <w:tcBorders>
              <w:top w:val="single" w:color="auto" w:sz="4" w:space="0"/>
              <w:left w:val="single" w:color="auto" w:sz="4" w:space="0"/>
              <w:bottom w:val="single" w:color="auto" w:sz="4" w:space="0"/>
              <w:right w:val="single" w:color="auto" w:sz="4" w:space="0"/>
            </w:tcBorders>
            <w:noWrap/>
            <w:vAlign w:val="center"/>
          </w:tcPr>
          <w:p w14:paraId="78531F2C">
            <w:pPr>
              <w:autoSpaceDE w:val="0"/>
              <w:autoSpaceDN w:val="0"/>
              <w:adjustRightInd w:val="0"/>
              <w:snapToGrid w:val="0"/>
              <w:spacing w:line="360" w:lineRule="auto"/>
              <w:jc w:val="center"/>
              <w:rPr>
                <w:rFonts w:ascii="宋体" w:hAnsi="宋体" w:cs="宋体"/>
                <w:bCs/>
                <w:color w:val="auto"/>
                <w:sz w:val="24"/>
                <w:szCs w:val="24"/>
                <w:highlight w:val="none"/>
                <w:lang w:val="zh-CN"/>
              </w:rPr>
            </w:pPr>
            <w:r>
              <w:rPr>
                <w:rFonts w:hint="eastAsia" w:ascii="宋体" w:hAnsi="宋体" w:cs="宋体"/>
                <w:color w:val="auto"/>
                <w:sz w:val="24"/>
                <w:szCs w:val="24"/>
                <w:highlight w:val="none"/>
                <w:lang w:val="zh-CN"/>
              </w:rPr>
              <w:t>保修期限</w:t>
            </w:r>
          </w:p>
        </w:tc>
        <w:tc>
          <w:tcPr>
            <w:tcW w:w="6045" w:type="dxa"/>
            <w:gridSpan w:val="2"/>
            <w:tcBorders>
              <w:top w:val="single" w:color="auto" w:sz="4" w:space="0"/>
              <w:left w:val="single" w:color="auto" w:sz="4" w:space="0"/>
              <w:bottom w:val="single" w:color="auto" w:sz="4" w:space="0"/>
              <w:right w:val="single" w:color="auto" w:sz="4" w:space="0"/>
            </w:tcBorders>
            <w:noWrap/>
          </w:tcPr>
          <w:p w14:paraId="48F604BE">
            <w:pPr>
              <w:autoSpaceDE w:val="0"/>
              <w:autoSpaceDN w:val="0"/>
              <w:adjustRightInd w:val="0"/>
              <w:snapToGrid w:val="0"/>
              <w:spacing w:line="360" w:lineRule="auto"/>
              <w:rPr>
                <w:rFonts w:ascii="宋体" w:hAnsi="宋体" w:cs="宋体"/>
                <w:bCs/>
                <w:color w:val="auto"/>
                <w:sz w:val="24"/>
                <w:szCs w:val="24"/>
                <w:highlight w:val="none"/>
                <w:lang w:val="zh-CN"/>
              </w:rPr>
            </w:pPr>
          </w:p>
        </w:tc>
      </w:tr>
      <w:tr w14:paraId="069F6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3334" w:type="dxa"/>
            <w:tcBorders>
              <w:top w:val="single" w:color="auto" w:sz="4" w:space="0"/>
              <w:left w:val="single" w:color="auto" w:sz="4" w:space="0"/>
              <w:right w:val="single" w:color="auto" w:sz="4" w:space="0"/>
            </w:tcBorders>
            <w:noWrap/>
            <w:vAlign w:val="center"/>
          </w:tcPr>
          <w:p w14:paraId="7A11486F">
            <w:pPr>
              <w:autoSpaceDE w:val="0"/>
              <w:autoSpaceDN w:val="0"/>
              <w:adjustRightInd w:val="0"/>
              <w:snapToGrid w:val="0"/>
              <w:spacing w:line="360" w:lineRule="auto"/>
              <w:jc w:val="center"/>
              <w:rPr>
                <w:rFonts w:ascii="宋体" w:hAnsi="宋体" w:cs="宋体"/>
                <w:bCs/>
                <w:color w:val="auto"/>
                <w:sz w:val="24"/>
                <w:szCs w:val="24"/>
                <w:highlight w:val="none"/>
                <w:lang w:val="zh-CN"/>
              </w:rPr>
            </w:pPr>
            <w:r>
              <w:rPr>
                <w:rFonts w:hint="eastAsia" w:ascii="宋体" w:hAnsi="宋体" w:cs="宋体"/>
                <w:color w:val="auto"/>
                <w:sz w:val="24"/>
                <w:szCs w:val="24"/>
                <w:highlight w:val="none"/>
                <w:lang w:val="zh-CN"/>
              </w:rPr>
              <w:t>委派的项目负责人</w:t>
            </w:r>
          </w:p>
        </w:tc>
        <w:tc>
          <w:tcPr>
            <w:tcW w:w="2211" w:type="dxa"/>
            <w:tcBorders>
              <w:top w:val="single" w:color="auto" w:sz="4" w:space="0"/>
              <w:left w:val="single" w:color="auto" w:sz="4" w:space="0"/>
              <w:bottom w:val="single" w:color="auto" w:sz="4" w:space="0"/>
              <w:right w:val="single" w:color="auto" w:sz="4" w:space="0"/>
            </w:tcBorders>
            <w:noWrap/>
            <w:vAlign w:val="center"/>
          </w:tcPr>
          <w:p w14:paraId="41C560F7">
            <w:pPr>
              <w:snapToGrid w:val="0"/>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姓名</w:t>
            </w:r>
          </w:p>
        </w:tc>
        <w:tc>
          <w:tcPr>
            <w:tcW w:w="3834" w:type="dxa"/>
            <w:tcBorders>
              <w:top w:val="single" w:color="auto" w:sz="4" w:space="0"/>
              <w:left w:val="single" w:color="auto" w:sz="4" w:space="0"/>
              <w:bottom w:val="single" w:color="auto" w:sz="4" w:space="0"/>
              <w:right w:val="single" w:color="auto" w:sz="4" w:space="0"/>
            </w:tcBorders>
            <w:noWrap/>
          </w:tcPr>
          <w:p w14:paraId="6FB40DC9">
            <w:pPr>
              <w:autoSpaceDE w:val="0"/>
              <w:autoSpaceDN w:val="0"/>
              <w:adjustRightInd w:val="0"/>
              <w:snapToGrid w:val="0"/>
              <w:spacing w:line="360" w:lineRule="auto"/>
              <w:rPr>
                <w:rFonts w:ascii="宋体" w:hAnsi="宋体" w:cs="宋体"/>
                <w:bCs/>
                <w:color w:val="auto"/>
                <w:sz w:val="24"/>
                <w:szCs w:val="24"/>
                <w:highlight w:val="none"/>
                <w:lang w:val="zh-CN"/>
              </w:rPr>
            </w:pPr>
          </w:p>
        </w:tc>
      </w:tr>
      <w:tr w14:paraId="35956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3334" w:type="dxa"/>
            <w:tcBorders>
              <w:top w:val="single" w:color="auto" w:sz="4" w:space="0"/>
              <w:left w:val="single" w:color="auto" w:sz="4" w:space="0"/>
              <w:right w:val="single" w:color="auto" w:sz="4" w:space="0"/>
            </w:tcBorders>
            <w:noWrap/>
            <w:vAlign w:val="center"/>
          </w:tcPr>
          <w:p w14:paraId="16E20C15">
            <w:pPr>
              <w:autoSpaceDE w:val="0"/>
              <w:autoSpaceDN w:val="0"/>
              <w:adjustRightInd w:val="0"/>
              <w:snapToGrid w:val="0"/>
              <w:spacing w:line="360" w:lineRule="auto"/>
              <w:jc w:val="center"/>
              <w:rPr>
                <w:rFonts w:ascii="宋体" w:hAnsi="宋体" w:cs="宋体"/>
                <w:bCs/>
                <w:color w:val="auto"/>
                <w:sz w:val="24"/>
                <w:szCs w:val="24"/>
                <w:highlight w:val="none"/>
                <w:lang w:val="zh-CN"/>
              </w:rPr>
            </w:pPr>
            <w:r>
              <w:rPr>
                <w:rFonts w:hint="eastAsia" w:ascii="宋体" w:hAnsi="宋体" w:cs="宋体"/>
                <w:bCs/>
                <w:color w:val="auto"/>
                <w:sz w:val="24"/>
                <w:szCs w:val="24"/>
                <w:highlight w:val="none"/>
                <w:lang w:val="zh-CN"/>
              </w:rPr>
              <w:t>委派的专职安全员</w:t>
            </w:r>
          </w:p>
        </w:tc>
        <w:tc>
          <w:tcPr>
            <w:tcW w:w="2211" w:type="dxa"/>
            <w:tcBorders>
              <w:top w:val="single" w:color="auto" w:sz="4" w:space="0"/>
              <w:left w:val="single" w:color="auto" w:sz="4" w:space="0"/>
              <w:bottom w:val="single" w:color="auto" w:sz="4" w:space="0"/>
              <w:right w:val="single" w:color="auto" w:sz="4" w:space="0"/>
            </w:tcBorders>
            <w:noWrap/>
            <w:vAlign w:val="center"/>
          </w:tcPr>
          <w:p w14:paraId="2FD8803F">
            <w:pPr>
              <w:autoSpaceDE w:val="0"/>
              <w:autoSpaceDN w:val="0"/>
              <w:adjustRightInd w:val="0"/>
              <w:snapToGrid w:val="0"/>
              <w:spacing w:line="360" w:lineRule="auto"/>
              <w:jc w:val="center"/>
              <w:rPr>
                <w:rFonts w:ascii="宋体" w:hAnsi="宋体" w:cs="宋体"/>
                <w:bCs/>
                <w:color w:val="auto"/>
                <w:sz w:val="24"/>
                <w:szCs w:val="24"/>
                <w:highlight w:val="none"/>
                <w:lang w:val="zh-CN"/>
              </w:rPr>
            </w:pPr>
            <w:r>
              <w:rPr>
                <w:rFonts w:hint="eastAsia" w:ascii="宋体" w:hAnsi="宋体" w:cs="宋体"/>
                <w:bCs/>
                <w:color w:val="auto"/>
                <w:sz w:val="24"/>
                <w:szCs w:val="24"/>
                <w:highlight w:val="none"/>
                <w:lang w:val="zh-CN"/>
              </w:rPr>
              <w:t>姓名</w:t>
            </w:r>
          </w:p>
        </w:tc>
        <w:tc>
          <w:tcPr>
            <w:tcW w:w="3834" w:type="dxa"/>
            <w:tcBorders>
              <w:top w:val="single" w:color="auto" w:sz="4" w:space="0"/>
              <w:left w:val="single" w:color="auto" w:sz="4" w:space="0"/>
              <w:bottom w:val="single" w:color="auto" w:sz="4" w:space="0"/>
              <w:right w:val="single" w:color="auto" w:sz="4" w:space="0"/>
            </w:tcBorders>
            <w:noWrap/>
          </w:tcPr>
          <w:p w14:paraId="2D8DB0CF">
            <w:pPr>
              <w:autoSpaceDE w:val="0"/>
              <w:autoSpaceDN w:val="0"/>
              <w:adjustRightInd w:val="0"/>
              <w:snapToGrid w:val="0"/>
              <w:spacing w:line="360" w:lineRule="auto"/>
              <w:rPr>
                <w:rFonts w:ascii="宋体" w:hAnsi="宋体" w:cs="宋体"/>
                <w:bCs/>
                <w:color w:val="auto"/>
                <w:sz w:val="24"/>
                <w:szCs w:val="24"/>
                <w:highlight w:val="none"/>
                <w:lang w:val="zh-CN"/>
              </w:rPr>
            </w:pPr>
          </w:p>
        </w:tc>
      </w:tr>
    </w:tbl>
    <w:p w14:paraId="0F95658A">
      <w:pPr>
        <w:autoSpaceDE w:val="0"/>
        <w:autoSpaceDN w:val="0"/>
        <w:adjustRightInd w:val="0"/>
        <w:snapToGrid w:val="0"/>
        <w:spacing w:line="360" w:lineRule="auto"/>
        <w:rPr>
          <w:rFonts w:ascii="宋体" w:hAnsi="宋体" w:cs="宋体"/>
          <w:snapToGrid w:val="0"/>
          <w:color w:val="auto"/>
          <w:spacing w:val="4"/>
          <w:kern w:val="0"/>
          <w:sz w:val="24"/>
          <w:szCs w:val="24"/>
          <w:highlight w:val="none"/>
        </w:rPr>
      </w:pPr>
      <w:r>
        <w:rPr>
          <w:rFonts w:hint="eastAsia" w:ascii="宋体" w:hAnsi="宋体" w:cs="宋体"/>
          <w:b/>
          <w:color w:val="auto"/>
          <w:highlight w:val="none"/>
        </w:rPr>
        <w:br w:type="page"/>
      </w:r>
      <w:r>
        <w:rPr>
          <w:rFonts w:hint="eastAsia" w:ascii="宋体" w:hAnsi="宋体" w:cs="宋体"/>
          <w:color w:val="auto"/>
          <w:sz w:val="24"/>
          <w:szCs w:val="24"/>
          <w:highlight w:val="none"/>
        </w:rPr>
        <w:t>技术标</w:t>
      </w:r>
      <w:r>
        <w:rPr>
          <w:rFonts w:hint="eastAsia" w:ascii="宋体" w:hAnsi="宋体" w:cs="宋体"/>
          <w:bCs/>
          <w:color w:val="auto"/>
          <w:sz w:val="24"/>
          <w:szCs w:val="24"/>
          <w:highlight w:val="none"/>
        </w:rPr>
        <w:t>格式二</w:t>
      </w:r>
    </w:p>
    <w:p w14:paraId="1A4B1BB5">
      <w:pPr>
        <w:topLinePunct/>
        <w:adjustRightInd w:val="0"/>
        <w:snapToGrid w:val="0"/>
        <w:spacing w:line="360" w:lineRule="auto"/>
        <w:jc w:val="center"/>
        <w:rPr>
          <w:rFonts w:ascii="宋体" w:hAnsi="宋体" w:cs="宋体"/>
          <w:b/>
          <w:snapToGrid w:val="0"/>
          <w:color w:val="auto"/>
          <w:spacing w:val="4"/>
          <w:kern w:val="0"/>
          <w:sz w:val="32"/>
          <w:szCs w:val="32"/>
          <w:highlight w:val="none"/>
        </w:rPr>
      </w:pPr>
      <w:r>
        <w:rPr>
          <w:rFonts w:hint="eastAsia" w:ascii="宋体" w:hAnsi="宋体" w:cs="宋体"/>
          <w:b/>
          <w:snapToGrid w:val="0"/>
          <w:color w:val="auto"/>
          <w:spacing w:val="4"/>
          <w:kern w:val="0"/>
          <w:sz w:val="32"/>
          <w:szCs w:val="32"/>
          <w:highlight w:val="none"/>
        </w:rPr>
        <w:t>投标函</w:t>
      </w:r>
    </w:p>
    <w:p w14:paraId="0AAF5A77">
      <w:pPr>
        <w:topLinePunct/>
        <w:adjustRightInd w:val="0"/>
        <w:snapToGrid w:val="0"/>
        <w:spacing w:line="360" w:lineRule="auto"/>
        <w:rPr>
          <w:rFonts w:hint="eastAsia" w:ascii="宋体" w:hAnsi="宋体" w:eastAsia="宋体" w:cs="宋体"/>
          <w:snapToGrid w:val="0"/>
          <w:color w:val="auto"/>
          <w:spacing w:val="4"/>
          <w:kern w:val="0"/>
          <w:sz w:val="24"/>
          <w:szCs w:val="24"/>
          <w:highlight w:val="none"/>
          <w:u w:val="single"/>
          <w:lang w:eastAsia="zh-CN"/>
        </w:rPr>
      </w:pPr>
      <w:r>
        <w:rPr>
          <w:rFonts w:hint="eastAsia" w:ascii="宋体" w:hAnsi="宋体" w:cs="宋体"/>
          <w:snapToGrid w:val="0"/>
          <w:color w:val="auto"/>
          <w:spacing w:val="4"/>
          <w:kern w:val="0"/>
          <w:sz w:val="24"/>
          <w:szCs w:val="24"/>
          <w:highlight w:val="none"/>
        </w:rPr>
        <w:t>致：</w:t>
      </w:r>
      <w:r>
        <w:rPr>
          <w:rFonts w:hint="eastAsia" w:ascii="宋体" w:hAnsi="宋体" w:cs="宋体"/>
          <w:snapToGrid w:val="0"/>
          <w:color w:val="auto"/>
          <w:spacing w:val="4"/>
          <w:kern w:val="0"/>
          <w:sz w:val="24"/>
          <w:szCs w:val="24"/>
          <w:highlight w:val="none"/>
          <w:u w:val="single"/>
          <w:lang w:eastAsia="zh-CN"/>
        </w:rPr>
        <w:t>广州太平洋马口铁有限公司</w:t>
      </w:r>
    </w:p>
    <w:p w14:paraId="09A5B252">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1.根据已收到贵方的项目编号为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的</w:t>
      </w:r>
      <w:r>
        <w:rPr>
          <w:rFonts w:hint="eastAsia" w:ascii="宋体" w:hAnsi="宋体" w:cs="宋体"/>
          <w:color w:val="auto"/>
          <w:sz w:val="24"/>
          <w:szCs w:val="24"/>
          <w:highlight w:val="none"/>
          <w:u w:val="single"/>
          <w:lang w:eastAsia="zh-CN"/>
        </w:rPr>
        <w:t>粤港澳大湾区国际智能检测产业园一期项目施工总承包</w:t>
      </w:r>
      <w:r>
        <w:rPr>
          <w:rFonts w:hint="eastAsia" w:ascii="宋体" w:hAnsi="宋体" w:cs="宋体"/>
          <w:color w:val="auto"/>
          <w:sz w:val="24"/>
          <w:szCs w:val="24"/>
          <w:highlight w:val="none"/>
        </w:rPr>
        <w:t>的招标文件，并已详细审核了全部招标文件及有关附件。</w:t>
      </w:r>
    </w:p>
    <w:p w14:paraId="5086E4CF">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遵照《中华人民共和国招标投标法》、《中华人民共和国招标投标法实施条例》、《广东省实施〈中华人民共和国招标投标法〉办法》、等有关规定，经考察现场和研究上述招标文件的投标须知、合同条款、标准和技术规范、图纸、工程量清单及其他有关文件后，我方承诺：</w:t>
      </w:r>
    </w:p>
    <w:p w14:paraId="33286948">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愿以经济标中的投标报价并按上述合同条款、标准和技术规范、图纸、工程量清单等的要求承包上述工程的施工、竣工并修补其任何缺陷。</w:t>
      </w:r>
    </w:p>
    <w:p w14:paraId="4FADA9AA">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我方同意所递交的投标文件在投标须知规定的投标有效期内有效，在此期间内我方的投标有可能中标，我方将受此约束。如果在投标有效期内撤回投标或放弃中标资格，我方的投标担保将不予退还，给贵方造成的损失超过我方投标担保金额的，贵方还有权要求我方对超过部分进行赔偿。</w:t>
      </w:r>
    </w:p>
    <w:p w14:paraId="05327C51">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4.我方理解贵方将不受必须接受你们所收到的最低标价或其它任何投标文件的约束。</w:t>
      </w:r>
    </w:p>
    <w:p w14:paraId="09035A9F">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5.如果我方中标，我方保证按招标文件中规定的工期，在</w:t>
      </w:r>
      <w:r>
        <w:rPr>
          <w:rFonts w:hint="eastAsia" w:ascii="宋体" w:hAnsi="宋体" w:cs="宋体"/>
          <w:color w:val="auto"/>
          <w:sz w:val="24"/>
          <w:szCs w:val="24"/>
          <w:highlight w:val="none"/>
          <w:u w:val="single"/>
        </w:rPr>
        <w:t xml:space="preserve">    </w:t>
      </w:r>
      <w:r>
        <w:rPr>
          <w:rFonts w:hint="eastAsia" w:ascii="宋体" w:hAnsi="宋体" w:cs="宋体"/>
          <w:bCs/>
          <w:color w:val="auto"/>
          <w:sz w:val="24"/>
          <w:szCs w:val="24"/>
          <w:highlight w:val="none"/>
        </w:rPr>
        <w:t>日历天</w:t>
      </w:r>
      <w:r>
        <w:rPr>
          <w:rFonts w:hint="eastAsia" w:ascii="宋体" w:hAnsi="宋体" w:cs="宋体"/>
          <w:color w:val="auto"/>
          <w:sz w:val="24"/>
          <w:szCs w:val="24"/>
          <w:highlight w:val="none"/>
        </w:rPr>
        <w:t>内完成并移交本工程，质量标准达到</w:t>
      </w:r>
      <w:r>
        <w:rPr>
          <w:rFonts w:hint="eastAsia" w:ascii="宋体" w:hAnsi="宋体" w:cs="宋体"/>
          <w:color w:val="auto"/>
          <w:sz w:val="24"/>
          <w:szCs w:val="24"/>
          <w:highlight w:val="none"/>
          <w:u w:val="single"/>
        </w:rPr>
        <w:t xml:space="preserve">              </w:t>
      </w:r>
      <w:r>
        <w:rPr>
          <w:rFonts w:hint="eastAsia" w:ascii="宋体" w:hAnsi="宋体" w:cs="宋体"/>
          <w:bCs/>
          <w:color w:val="auto"/>
          <w:sz w:val="24"/>
          <w:szCs w:val="24"/>
          <w:highlight w:val="none"/>
        </w:rPr>
        <w:t>要求</w:t>
      </w:r>
      <w:r>
        <w:rPr>
          <w:rFonts w:hint="eastAsia" w:ascii="宋体" w:hAnsi="宋体" w:cs="宋体"/>
          <w:color w:val="auto"/>
          <w:sz w:val="24"/>
          <w:szCs w:val="24"/>
          <w:highlight w:val="none"/>
        </w:rPr>
        <w:t>。</w:t>
      </w:r>
    </w:p>
    <w:p w14:paraId="0A7FD474">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6.如果我方中标，我方将按照规定递交由招标人认可，并在招标文件中规定金额的履约保函。</w:t>
      </w:r>
    </w:p>
    <w:p w14:paraId="2AFF63B6">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7.除非另外达成协议并生效，贵方的中标通知书和本投标文件将成为约束双方的合同文件的组成部分。</w:t>
      </w:r>
    </w:p>
    <w:p w14:paraId="59C152B1">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8.如果我方中标，我方将实行项目经理负责制，并按投标文件配备项目管理班子。如未经招标人同意更换项目班子成员，招标人有权取消我公司的中标资格或单方面终止合同，由此造成的违约责任由我公司承担。</w:t>
      </w:r>
    </w:p>
    <w:p w14:paraId="1767FE0B">
      <w:pPr>
        <w:snapToGrid w:val="0"/>
        <w:spacing w:line="360" w:lineRule="auto"/>
        <w:ind w:firstLine="481"/>
        <w:rPr>
          <w:rFonts w:ascii="宋体" w:hAnsi="宋体" w:cs="宋体"/>
          <w:snapToGrid w:val="0"/>
          <w:color w:val="auto"/>
          <w:spacing w:val="4"/>
          <w:kern w:val="0"/>
          <w:sz w:val="24"/>
          <w:szCs w:val="24"/>
          <w:highlight w:val="none"/>
        </w:rPr>
      </w:pPr>
    </w:p>
    <w:p w14:paraId="03971AAC">
      <w:pPr>
        <w:topLinePunct/>
        <w:adjustRightInd w:val="0"/>
        <w:snapToGrid w:val="0"/>
        <w:spacing w:line="360" w:lineRule="auto"/>
        <w:ind w:firstLine="4535" w:firstLineChars="1829"/>
        <w:rPr>
          <w:rFonts w:ascii="宋体" w:hAnsi="宋体" w:cs="宋体"/>
          <w:snapToGrid w:val="0"/>
          <w:color w:val="auto"/>
          <w:spacing w:val="4"/>
          <w:kern w:val="0"/>
          <w:sz w:val="24"/>
          <w:szCs w:val="24"/>
          <w:highlight w:val="none"/>
        </w:rPr>
      </w:pPr>
      <w:r>
        <w:rPr>
          <w:rFonts w:hint="eastAsia" w:ascii="宋体" w:hAnsi="宋体" w:cs="宋体"/>
          <w:snapToGrid w:val="0"/>
          <w:color w:val="auto"/>
          <w:spacing w:val="4"/>
          <w:kern w:val="0"/>
          <w:sz w:val="24"/>
          <w:szCs w:val="24"/>
          <w:highlight w:val="none"/>
        </w:rPr>
        <w:t>投标人（盖章）：</w:t>
      </w:r>
    </w:p>
    <w:p w14:paraId="4317EBA0">
      <w:pPr>
        <w:topLinePunct/>
        <w:adjustRightInd w:val="0"/>
        <w:snapToGrid w:val="0"/>
        <w:spacing w:line="360" w:lineRule="auto"/>
        <w:ind w:firstLine="4535" w:firstLineChars="1829"/>
        <w:rPr>
          <w:rFonts w:ascii="宋体" w:hAnsi="宋体" w:cs="宋体"/>
          <w:snapToGrid w:val="0"/>
          <w:color w:val="auto"/>
          <w:spacing w:val="4"/>
          <w:kern w:val="0"/>
          <w:sz w:val="24"/>
          <w:szCs w:val="24"/>
          <w:highlight w:val="none"/>
        </w:rPr>
      </w:pPr>
      <w:r>
        <w:rPr>
          <w:rFonts w:hint="eastAsia" w:ascii="宋体" w:hAnsi="宋体" w:cs="宋体"/>
          <w:snapToGrid w:val="0"/>
          <w:color w:val="auto"/>
          <w:spacing w:val="4"/>
          <w:kern w:val="0"/>
          <w:sz w:val="24"/>
          <w:szCs w:val="24"/>
          <w:highlight w:val="none"/>
        </w:rPr>
        <w:t>日期：     年   月   日</w:t>
      </w:r>
    </w:p>
    <w:p w14:paraId="5BB0E531">
      <w:pPr>
        <w:topLinePunct/>
        <w:adjustRightInd w:val="0"/>
        <w:snapToGrid w:val="0"/>
        <w:spacing w:line="360" w:lineRule="auto"/>
        <w:ind w:firstLine="691" w:firstLineChars="279"/>
        <w:rPr>
          <w:rFonts w:ascii="宋体" w:hAnsi="宋体" w:cs="宋体"/>
          <w:snapToGrid w:val="0"/>
          <w:color w:val="auto"/>
          <w:spacing w:val="4"/>
          <w:kern w:val="0"/>
          <w:sz w:val="24"/>
          <w:szCs w:val="24"/>
          <w:highlight w:val="none"/>
        </w:rPr>
      </w:pPr>
    </w:p>
    <w:p w14:paraId="3E79ABE1">
      <w:pPr>
        <w:snapToGrid w:val="0"/>
        <w:spacing w:line="360" w:lineRule="auto"/>
        <w:jc w:val="left"/>
        <w:rPr>
          <w:rFonts w:ascii="宋体" w:hAnsi="宋体" w:cs="宋体"/>
          <w:color w:val="auto"/>
          <w:sz w:val="24"/>
          <w:szCs w:val="24"/>
          <w:highlight w:val="none"/>
        </w:rPr>
      </w:pPr>
    </w:p>
    <w:p w14:paraId="4C9A828B">
      <w:pPr>
        <w:snapToGrid w:val="0"/>
        <w:spacing w:line="360" w:lineRule="auto"/>
        <w:jc w:val="left"/>
        <w:rPr>
          <w:rFonts w:ascii="宋体" w:hAnsi="宋体" w:cs="宋体"/>
          <w:color w:val="auto"/>
          <w:szCs w:val="21"/>
          <w:highlight w:val="none"/>
        </w:rPr>
      </w:pPr>
    </w:p>
    <w:p w14:paraId="11B99DCF">
      <w:pPr>
        <w:topLinePunct/>
        <w:adjustRightInd w:val="0"/>
        <w:snapToGrid w:val="0"/>
        <w:spacing w:line="360" w:lineRule="auto"/>
        <w:ind w:firstLine="585" w:firstLineChars="279"/>
        <w:rPr>
          <w:rFonts w:ascii="宋体" w:hAnsi="宋体" w:cs="宋体"/>
          <w:b/>
          <w:color w:val="auto"/>
          <w:sz w:val="24"/>
          <w:szCs w:val="24"/>
          <w:highlight w:val="none"/>
        </w:rPr>
      </w:pPr>
      <w:r>
        <w:rPr>
          <w:rFonts w:hint="eastAsia" w:ascii="宋体" w:hAnsi="宋体" w:cs="宋体"/>
          <w:color w:val="auto"/>
          <w:szCs w:val="21"/>
          <w:highlight w:val="none"/>
        </w:rPr>
        <w:t>注：《投标函》第5条内容“在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日历天内完成并移交本工程”横线上要求按照本工程《广州建设工程施工招标投标书（技术标）》承诺的投标总工期填写，否则视作未按规定的格式填写，作无效标处理；《投标函》第5条内容“质量标准达到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要求”横线上要求按照本工程《广州建设工程施工招标投标书（技术标）》承诺的质量标准填写，否则视作未按规定的格式填写，作无效标处理</w:t>
      </w:r>
      <w:r>
        <w:rPr>
          <w:rFonts w:hint="eastAsia" w:ascii="宋体" w:hAnsi="宋体" w:cs="宋体"/>
          <w:snapToGrid w:val="0"/>
          <w:color w:val="auto"/>
          <w:spacing w:val="4"/>
          <w:kern w:val="0"/>
          <w:sz w:val="24"/>
          <w:szCs w:val="24"/>
          <w:highlight w:val="none"/>
        </w:rPr>
        <w:t>。</w:t>
      </w:r>
    </w:p>
    <w:p w14:paraId="0C1F5F98">
      <w:pPr>
        <w:snapToGrid w:val="0"/>
        <w:spacing w:line="360" w:lineRule="auto"/>
        <w:jc w:val="left"/>
        <w:rPr>
          <w:rFonts w:ascii="宋体" w:hAnsi="宋体" w:cs="宋体"/>
          <w:color w:val="auto"/>
          <w:szCs w:val="21"/>
          <w:highlight w:val="none"/>
        </w:rPr>
      </w:pPr>
      <w:bookmarkStart w:id="60" w:name="_Toc474749524"/>
      <w:bookmarkStart w:id="61" w:name="_Toc478375101"/>
    </w:p>
    <w:p w14:paraId="7B9C76B2">
      <w:pPr>
        <w:widowControl/>
        <w:snapToGrid w:val="0"/>
        <w:spacing w:line="360" w:lineRule="auto"/>
        <w:ind w:right="102"/>
        <w:jc w:val="left"/>
        <w:rPr>
          <w:rFonts w:hint="eastAsia" w:ascii="宋体" w:hAnsi="宋体" w:cs="宋体"/>
          <w:color w:val="auto"/>
          <w:sz w:val="24"/>
          <w:szCs w:val="24"/>
          <w:highlight w:val="none"/>
        </w:rPr>
      </w:pPr>
      <w:r>
        <w:rPr>
          <w:rFonts w:hint="eastAsia" w:ascii="宋体" w:hAnsi="宋体" w:cs="宋体"/>
          <w:bCs/>
          <w:color w:val="auto"/>
          <w:sz w:val="24"/>
          <w:szCs w:val="24"/>
          <w:highlight w:val="none"/>
        </w:rPr>
        <w:br w:type="page"/>
      </w:r>
      <w:r>
        <w:rPr>
          <w:rFonts w:hint="eastAsia" w:ascii="宋体" w:hAnsi="宋体" w:cs="宋体"/>
          <w:color w:val="auto"/>
          <w:sz w:val="24"/>
          <w:szCs w:val="24"/>
          <w:highlight w:val="none"/>
        </w:rPr>
        <w:t>技术标格式三</w:t>
      </w:r>
    </w:p>
    <w:p w14:paraId="1192A109">
      <w:pPr>
        <w:shd w:val="clear" w:color="auto" w:fill="auto"/>
        <w:topLinePunct/>
        <w:adjustRightInd w:val="0"/>
        <w:spacing w:line="360" w:lineRule="auto"/>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标函承诺书</w:t>
      </w:r>
    </w:p>
    <w:p w14:paraId="3A37302B">
      <w:pPr>
        <w:pStyle w:val="44"/>
        <w:shd w:val="clear" w:color="auto" w:fill="auto"/>
        <w:spacing w:line="360" w:lineRule="auto"/>
        <w:ind w:left="339" w:leftChars="101" w:hanging="127" w:hangingChars="53"/>
        <w:jc w:val="left"/>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u w:val="single"/>
        </w:rPr>
        <w:t>致：</w:t>
      </w:r>
      <w:r>
        <w:rPr>
          <w:rFonts w:hint="eastAsia" w:ascii="宋体" w:hAnsi="宋体" w:eastAsia="宋体" w:cs="宋体"/>
          <w:color w:val="auto"/>
          <w:sz w:val="24"/>
          <w:szCs w:val="24"/>
          <w:highlight w:val="none"/>
          <w:u w:val="single"/>
          <w:lang w:eastAsia="zh-CN"/>
        </w:rPr>
        <w:t>广州太平洋马口铁有限公司</w:t>
      </w:r>
    </w:p>
    <w:p w14:paraId="3C6EA0BA">
      <w:pPr>
        <w:shd w:val="clear" w:color="auto" w:fill="auto"/>
        <w:spacing w:after="12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如果在本招标工程中我司中标，我司将积极响应贵单位提出的合同条件及招标文件的要求，并做出如下承诺：</w:t>
      </w:r>
    </w:p>
    <w:p w14:paraId="71E0CC9B">
      <w:pPr>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1、若我公司中标，我公司承诺按时交纳履约保证金。</w:t>
      </w:r>
    </w:p>
    <w:p w14:paraId="4100445C">
      <w:pPr>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2、在本工程施工期间，拟投入的人力不少于下表中的人数</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60"/>
        <w:gridCol w:w="3783"/>
      </w:tblGrid>
      <w:tr w14:paraId="6E17F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360" w:type="dxa"/>
            <w:tcBorders>
              <w:top w:val="single" w:color="auto" w:sz="4" w:space="0"/>
              <w:left w:val="single" w:color="auto" w:sz="4" w:space="0"/>
              <w:bottom w:val="single" w:color="auto" w:sz="4" w:space="0"/>
              <w:right w:val="single" w:color="auto" w:sz="4" w:space="0"/>
            </w:tcBorders>
            <w:noWrap w:val="0"/>
            <w:vAlign w:val="center"/>
          </w:tcPr>
          <w:p w14:paraId="5726FA82">
            <w:pPr>
              <w:shd w:val="clear" w:color="auto" w:fill="auto"/>
              <w:ind w:firstLine="420" w:firstLineChars="20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工种</w:t>
            </w:r>
          </w:p>
        </w:tc>
        <w:tc>
          <w:tcPr>
            <w:tcW w:w="3783" w:type="dxa"/>
            <w:tcBorders>
              <w:top w:val="single" w:color="auto" w:sz="4" w:space="0"/>
              <w:left w:val="single" w:color="auto" w:sz="4" w:space="0"/>
              <w:bottom w:val="single" w:color="auto" w:sz="4" w:space="0"/>
              <w:right w:val="single" w:color="auto" w:sz="4" w:space="0"/>
            </w:tcBorders>
            <w:noWrap w:val="0"/>
            <w:vAlign w:val="center"/>
          </w:tcPr>
          <w:p w14:paraId="3112D1DE">
            <w:pPr>
              <w:shd w:val="clear" w:color="auto" w:fill="auto"/>
              <w:ind w:firstLine="420" w:firstLineChars="200"/>
              <w:jc w:val="center"/>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施工低峰期数量</w:t>
            </w:r>
          </w:p>
        </w:tc>
      </w:tr>
      <w:tr w14:paraId="097DF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360" w:type="dxa"/>
            <w:tcBorders>
              <w:top w:val="single" w:color="auto" w:sz="4" w:space="0"/>
              <w:left w:val="single" w:color="auto" w:sz="4" w:space="0"/>
              <w:bottom w:val="single" w:color="auto" w:sz="4" w:space="0"/>
              <w:right w:val="single" w:color="auto" w:sz="4" w:space="0"/>
            </w:tcBorders>
            <w:noWrap w:val="0"/>
            <w:vAlign w:val="center"/>
          </w:tcPr>
          <w:p w14:paraId="431CE2C6">
            <w:pPr>
              <w:shd w:val="clear" w:color="auto" w:fill="auto"/>
              <w:ind w:left="-422" w:leftChars="-201" w:firstLine="420" w:firstLineChars="200"/>
              <w:jc w:val="center"/>
              <w:rPr>
                <w:rFonts w:hint="eastAsia" w:ascii="宋体" w:hAnsi="宋体" w:eastAsia="宋体" w:cs="宋体"/>
                <w:color w:val="auto"/>
                <w:kern w:val="0"/>
                <w:szCs w:val="21"/>
                <w:highlight w:val="none"/>
                <w:u w:val="single"/>
              </w:rPr>
            </w:pPr>
          </w:p>
        </w:tc>
        <w:tc>
          <w:tcPr>
            <w:tcW w:w="3783" w:type="dxa"/>
            <w:tcBorders>
              <w:top w:val="single" w:color="auto" w:sz="4" w:space="0"/>
              <w:left w:val="single" w:color="auto" w:sz="4" w:space="0"/>
              <w:bottom w:val="single" w:color="auto" w:sz="4" w:space="0"/>
              <w:right w:val="single" w:color="auto" w:sz="4" w:space="0"/>
            </w:tcBorders>
            <w:noWrap w:val="0"/>
            <w:vAlign w:val="center"/>
          </w:tcPr>
          <w:p w14:paraId="3061E3DA">
            <w:pPr>
              <w:shd w:val="clear" w:color="auto" w:fill="auto"/>
              <w:ind w:firstLine="420" w:firstLineChars="200"/>
              <w:jc w:val="center"/>
              <w:rPr>
                <w:rFonts w:hint="eastAsia" w:ascii="宋体" w:hAnsi="宋体" w:eastAsia="宋体" w:cs="宋体"/>
                <w:color w:val="auto"/>
                <w:kern w:val="0"/>
                <w:szCs w:val="21"/>
                <w:highlight w:val="none"/>
                <w:u w:val="single"/>
              </w:rPr>
            </w:pPr>
          </w:p>
        </w:tc>
      </w:tr>
      <w:tr w14:paraId="1A632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360" w:type="dxa"/>
            <w:tcBorders>
              <w:top w:val="single" w:color="auto" w:sz="4" w:space="0"/>
              <w:left w:val="single" w:color="auto" w:sz="4" w:space="0"/>
              <w:bottom w:val="single" w:color="auto" w:sz="4" w:space="0"/>
              <w:right w:val="single" w:color="auto" w:sz="4" w:space="0"/>
            </w:tcBorders>
            <w:noWrap w:val="0"/>
            <w:vAlign w:val="center"/>
          </w:tcPr>
          <w:p w14:paraId="54CCFAD5">
            <w:pPr>
              <w:shd w:val="clear" w:color="auto" w:fill="auto"/>
              <w:ind w:firstLine="420" w:firstLineChars="200"/>
              <w:jc w:val="center"/>
              <w:rPr>
                <w:rFonts w:hint="eastAsia" w:ascii="宋体" w:hAnsi="宋体" w:eastAsia="宋体" w:cs="宋体"/>
                <w:color w:val="auto"/>
                <w:kern w:val="0"/>
                <w:szCs w:val="21"/>
                <w:highlight w:val="none"/>
                <w:u w:val="single"/>
              </w:rPr>
            </w:pPr>
          </w:p>
        </w:tc>
        <w:tc>
          <w:tcPr>
            <w:tcW w:w="3783" w:type="dxa"/>
            <w:tcBorders>
              <w:top w:val="single" w:color="auto" w:sz="4" w:space="0"/>
              <w:left w:val="single" w:color="auto" w:sz="4" w:space="0"/>
              <w:bottom w:val="single" w:color="auto" w:sz="4" w:space="0"/>
              <w:right w:val="single" w:color="auto" w:sz="4" w:space="0"/>
            </w:tcBorders>
            <w:noWrap w:val="0"/>
            <w:vAlign w:val="center"/>
          </w:tcPr>
          <w:p w14:paraId="7F2046F4">
            <w:pPr>
              <w:shd w:val="clear" w:color="auto" w:fill="auto"/>
              <w:ind w:firstLine="420" w:firstLineChars="200"/>
              <w:jc w:val="center"/>
              <w:rPr>
                <w:rFonts w:hint="eastAsia" w:ascii="宋体" w:hAnsi="宋体" w:eastAsia="宋体" w:cs="宋体"/>
                <w:color w:val="auto"/>
                <w:kern w:val="0"/>
                <w:szCs w:val="21"/>
                <w:highlight w:val="none"/>
                <w:u w:val="single"/>
              </w:rPr>
            </w:pPr>
          </w:p>
        </w:tc>
      </w:tr>
      <w:tr w14:paraId="3A100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360" w:type="dxa"/>
            <w:tcBorders>
              <w:top w:val="single" w:color="auto" w:sz="4" w:space="0"/>
              <w:left w:val="single" w:color="auto" w:sz="4" w:space="0"/>
              <w:bottom w:val="single" w:color="auto" w:sz="4" w:space="0"/>
              <w:right w:val="single" w:color="auto" w:sz="4" w:space="0"/>
            </w:tcBorders>
            <w:noWrap w:val="0"/>
            <w:vAlign w:val="center"/>
          </w:tcPr>
          <w:p w14:paraId="7B0CE60B">
            <w:pPr>
              <w:shd w:val="clear" w:color="auto" w:fill="auto"/>
              <w:ind w:firstLine="420" w:firstLineChars="200"/>
              <w:jc w:val="center"/>
              <w:rPr>
                <w:rFonts w:hint="eastAsia" w:ascii="宋体" w:hAnsi="宋体" w:eastAsia="宋体" w:cs="宋体"/>
                <w:color w:val="auto"/>
                <w:kern w:val="0"/>
                <w:szCs w:val="21"/>
                <w:highlight w:val="none"/>
                <w:u w:val="single"/>
              </w:rPr>
            </w:pPr>
          </w:p>
        </w:tc>
        <w:tc>
          <w:tcPr>
            <w:tcW w:w="3783" w:type="dxa"/>
            <w:tcBorders>
              <w:top w:val="single" w:color="auto" w:sz="4" w:space="0"/>
              <w:left w:val="single" w:color="auto" w:sz="4" w:space="0"/>
              <w:bottom w:val="single" w:color="auto" w:sz="4" w:space="0"/>
              <w:right w:val="single" w:color="auto" w:sz="4" w:space="0"/>
            </w:tcBorders>
            <w:noWrap w:val="0"/>
            <w:vAlign w:val="center"/>
          </w:tcPr>
          <w:p w14:paraId="509EB2D7">
            <w:pPr>
              <w:shd w:val="clear" w:color="auto" w:fill="auto"/>
              <w:ind w:firstLine="420" w:firstLineChars="200"/>
              <w:jc w:val="center"/>
              <w:rPr>
                <w:rFonts w:hint="eastAsia" w:ascii="宋体" w:hAnsi="宋体" w:eastAsia="宋体" w:cs="宋体"/>
                <w:color w:val="auto"/>
                <w:kern w:val="0"/>
                <w:szCs w:val="21"/>
                <w:highlight w:val="none"/>
                <w:u w:val="single"/>
              </w:rPr>
            </w:pPr>
          </w:p>
        </w:tc>
      </w:tr>
      <w:tr w14:paraId="7FA42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360" w:type="dxa"/>
            <w:tcBorders>
              <w:top w:val="single" w:color="auto" w:sz="4" w:space="0"/>
              <w:left w:val="single" w:color="auto" w:sz="4" w:space="0"/>
              <w:bottom w:val="single" w:color="auto" w:sz="4" w:space="0"/>
              <w:right w:val="single" w:color="auto" w:sz="4" w:space="0"/>
            </w:tcBorders>
            <w:noWrap w:val="0"/>
            <w:vAlign w:val="center"/>
          </w:tcPr>
          <w:p w14:paraId="683BDD29">
            <w:pPr>
              <w:shd w:val="clear" w:color="auto" w:fill="auto"/>
              <w:ind w:firstLine="420" w:firstLineChars="200"/>
              <w:jc w:val="center"/>
              <w:rPr>
                <w:rFonts w:hint="eastAsia" w:ascii="宋体" w:hAnsi="宋体" w:eastAsia="宋体" w:cs="宋体"/>
                <w:color w:val="auto"/>
                <w:kern w:val="0"/>
                <w:szCs w:val="21"/>
                <w:highlight w:val="none"/>
                <w:u w:val="single"/>
              </w:rPr>
            </w:pPr>
          </w:p>
        </w:tc>
        <w:tc>
          <w:tcPr>
            <w:tcW w:w="3783" w:type="dxa"/>
            <w:tcBorders>
              <w:top w:val="single" w:color="auto" w:sz="4" w:space="0"/>
              <w:left w:val="single" w:color="auto" w:sz="4" w:space="0"/>
              <w:bottom w:val="single" w:color="auto" w:sz="4" w:space="0"/>
              <w:right w:val="single" w:color="auto" w:sz="4" w:space="0"/>
            </w:tcBorders>
            <w:noWrap w:val="0"/>
            <w:vAlign w:val="center"/>
          </w:tcPr>
          <w:p w14:paraId="2F141E14">
            <w:pPr>
              <w:shd w:val="clear" w:color="auto" w:fill="auto"/>
              <w:ind w:firstLine="420" w:firstLineChars="200"/>
              <w:jc w:val="center"/>
              <w:rPr>
                <w:rFonts w:hint="eastAsia" w:ascii="宋体" w:hAnsi="宋体" w:eastAsia="宋体" w:cs="宋体"/>
                <w:color w:val="auto"/>
                <w:kern w:val="0"/>
                <w:szCs w:val="21"/>
                <w:highlight w:val="none"/>
                <w:u w:val="single"/>
              </w:rPr>
            </w:pPr>
          </w:p>
        </w:tc>
      </w:tr>
      <w:tr w14:paraId="38ED9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360" w:type="dxa"/>
            <w:tcBorders>
              <w:top w:val="single" w:color="auto" w:sz="4" w:space="0"/>
              <w:left w:val="single" w:color="auto" w:sz="4" w:space="0"/>
              <w:bottom w:val="single" w:color="auto" w:sz="4" w:space="0"/>
              <w:right w:val="single" w:color="auto" w:sz="4" w:space="0"/>
            </w:tcBorders>
            <w:noWrap w:val="0"/>
            <w:vAlign w:val="center"/>
          </w:tcPr>
          <w:p w14:paraId="2ED0D18F">
            <w:pPr>
              <w:shd w:val="clear" w:color="auto" w:fill="auto"/>
              <w:ind w:firstLine="420" w:firstLineChars="200"/>
              <w:jc w:val="center"/>
              <w:rPr>
                <w:rFonts w:hint="eastAsia" w:ascii="宋体" w:hAnsi="宋体" w:eastAsia="宋体" w:cs="宋体"/>
                <w:color w:val="auto"/>
                <w:kern w:val="0"/>
                <w:szCs w:val="21"/>
                <w:highlight w:val="none"/>
                <w:u w:val="single"/>
              </w:rPr>
            </w:pPr>
          </w:p>
        </w:tc>
        <w:tc>
          <w:tcPr>
            <w:tcW w:w="3783" w:type="dxa"/>
            <w:tcBorders>
              <w:top w:val="single" w:color="auto" w:sz="4" w:space="0"/>
              <w:left w:val="single" w:color="auto" w:sz="4" w:space="0"/>
              <w:bottom w:val="single" w:color="auto" w:sz="4" w:space="0"/>
              <w:right w:val="single" w:color="auto" w:sz="4" w:space="0"/>
            </w:tcBorders>
            <w:noWrap w:val="0"/>
            <w:vAlign w:val="center"/>
          </w:tcPr>
          <w:p w14:paraId="2DBE98E8">
            <w:pPr>
              <w:shd w:val="clear" w:color="auto" w:fill="auto"/>
              <w:ind w:firstLine="420" w:firstLineChars="200"/>
              <w:jc w:val="center"/>
              <w:rPr>
                <w:rFonts w:hint="eastAsia" w:ascii="宋体" w:hAnsi="宋体" w:eastAsia="宋体" w:cs="宋体"/>
                <w:color w:val="auto"/>
                <w:kern w:val="0"/>
                <w:szCs w:val="21"/>
                <w:highlight w:val="none"/>
                <w:u w:val="single"/>
              </w:rPr>
            </w:pPr>
          </w:p>
        </w:tc>
      </w:tr>
      <w:tr w14:paraId="05D8E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360" w:type="dxa"/>
            <w:tcBorders>
              <w:top w:val="single" w:color="auto" w:sz="4" w:space="0"/>
              <w:left w:val="single" w:color="auto" w:sz="4" w:space="0"/>
              <w:bottom w:val="single" w:color="auto" w:sz="4" w:space="0"/>
              <w:right w:val="single" w:color="auto" w:sz="4" w:space="0"/>
            </w:tcBorders>
            <w:noWrap w:val="0"/>
            <w:vAlign w:val="center"/>
          </w:tcPr>
          <w:p w14:paraId="605E094D">
            <w:pPr>
              <w:shd w:val="clear" w:color="auto" w:fill="auto"/>
              <w:ind w:firstLine="420" w:firstLineChars="200"/>
              <w:jc w:val="center"/>
              <w:rPr>
                <w:rFonts w:hint="eastAsia" w:ascii="宋体" w:hAnsi="宋体" w:eastAsia="宋体" w:cs="宋体"/>
                <w:color w:val="auto"/>
                <w:kern w:val="0"/>
                <w:szCs w:val="21"/>
                <w:highlight w:val="none"/>
                <w:u w:val="single"/>
              </w:rPr>
            </w:pPr>
          </w:p>
        </w:tc>
        <w:tc>
          <w:tcPr>
            <w:tcW w:w="3783" w:type="dxa"/>
            <w:tcBorders>
              <w:top w:val="single" w:color="auto" w:sz="4" w:space="0"/>
              <w:left w:val="single" w:color="auto" w:sz="4" w:space="0"/>
              <w:bottom w:val="single" w:color="auto" w:sz="4" w:space="0"/>
              <w:right w:val="single" w:color="auto" w:sz="4" w:space="0"/>
            </w:tcBorders>
            <w:noWrap w:val="0"/>
            <w:vAlign w:val="center"/>
          </w:tcPr>
          <w:p w14:paraId="78059E13">
            <w:pPr>
              <w:shd w:val="clear" w:color="auto" w:fill="auto"/>
              <w:ind w:firstLine="420" w:firstLineChars="200"/>
              <w:jc w:val="center"/>
              <w:rPr>
                <w:rFonts w:hint="eastAsia" w:ascii="宋体" w:hAnsi="宋体" w:eastAsia="宋体" w:cs="宋体"/>
                <w:color w:val="auto"/>
                <w:kern w:val="0"/>
                <w:szCs w:val="21"/>
                <w:highlight w:val="none"/>
                <w:u w:val="single"/>
              </w:rPr>
            </w:pPr>
          </w:p>
        </w:tc>
      </w:tr>
      <w:tr w14:paraId="692E4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360" w:type="dxa"/>
            <w:tcBorders>
              <w:top w:val="single" w:color="auto" w:sz="4" w:space="0"/>
              <w:left w:val="single" w:color="auto" w:sz="4" w:space="0"/>
              <w:bottom w:val="single" w:color="auto" w:sz="4" w:space="0"/>
              <w:right w:val="single" w:color="auto" w:sz="4" w:space="0"/>
            </w:tcBorders>
            <w:noWrap w:val="0"/>
            <w:vAlign w:val="center"/>
          </w:tcPr>
          <w:p w14:paraId="4ED664E2">
            <w:pPr>
              <w:shd w:val="clear" w:color="auto" w:fill="auto"/>
              <w:ind w:firstLine="420" w:firstLineChars="200"/>
              <w:jc w:val="center"/>
              <w:rPr>
                <w:rFonts w:hint="eastAsia" w:ascii="宋体" w:hAnsi="宋体" w:eastAsia="宋体" w:cs="宋体"/>
                <w:color w:val="auto"/>
                <w:kern w:val="0"/>
                <w:szCs w:val="21"/>
                <w:highlight w:val="none"/>
                <w:u w:val="single"/>
              </w:rPr>
            </w:pPr>
          </w:p>
        </w:tc>
        <w:tc>
          <w:tcPr>
            <w:tcW w:w="3783" w:type="dxa"/>
            <w:tcBorders>
              <w:top w:val="single" w:color="auto" w:sz="4" w:space="0"/>
              <w:left w:val="single" w:color="auto" w:sz="4" w:space="0"/>
              <w:bottom w:val="single" w:color="auto" w:sz="4" w:space="0"/>
              <w:right w:val="single" w:color="auto" w:sz="4" w:space="0"/>
            </w:tcBorders>
            <w:noWrap w:val="0"/>
            <w:vAlign w:val="center"/>
          </w:tcPr>
          <w:p w14:paraId="0C16961F">
            <w:pPr>
              <w:shd w:val="clear" w:color="auto" w:fill="auto"/>
              <w:ind w:firstLine="420" w:firstLineChars="200"/>
              <w:jc w:val="center"/>
              <w:rPr>
                <w:rFonts w:hint="eastAsia" w:ascii="宋体" w:hAnsi="宋体" w:eastAsia="宋体" w:cs="宋体"/>
                <w:color w:val="auto"/>
                <w:kern w:val="0"/>
                <w:szCs w:val="21"/>
                <w:highlight w:val="none"/>
                <w:u w:val="single"/>
              </w:rPr>
            </w:pPr>
          </w:p>
        </w:tc>
      </w:tr>
      <w:tr w14:paraId="4B67E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360" w:type="dxa"/>
            <w:tcBorders>
              <w:top w:val="single" w:color="auto" w:sz="4" w:space="0"/>
              <w:left w:val="single" w:color="auto" w:sz="4" w:space="0"/>
              <w:bottom w:val="single" w:color="auto" w:sz="4" w:space="0"/>
              <w:right w:val="single" w:color="auto" w:sz="4" w:space="0"/>
            </w:tcBorders>
            <w:noWrap w:val="0"/>
            <w:vAlign w:val="center"/>
          </w:tcPr>
          <w:p w14:paraId="07880798">
            <w:pPr>
              <w:shd w:val="clear" w:color="auto" w:fill="auto"/>
              <w:ind w:firstLine="420" w:firstLineChars="200"/>
              <w:jc w:val="center"/>
              <w:rPr>
                <w:rFonts w:hint="eastAsia" w:ascii="宋体" w:hAnsi="宋体" w:eastAsia="宋体" w:cs="宋体"/>
                <w:color w:val="auto"/>
                <w:szCs w:val="21"/>
                <w:highlight w:val="none"/>
                <w:u w:val="single"/>
              </w:rPr>
            </w:pPr>
          </w:p>
        </w:tc>
        <w:tc>
          <w:tcPr>
            <w:tcW w:w="3783" w:type="dxa"/>
            <w:tcBorders>
              <w:top w:val="single" w:color="auto" w:sz="4" w:space="0"/>
              <w:left w:val="single" w:color="auto" w:sz="4" w:space="0"/>
              <w:bottom w:val="single" w:color="auto" w:sz="4" w:space="0"/>
              <w:right w:val="single" w:color="auto" w:sz="4" w:space="0"/>
            </w:tcBorders>
            <w:noWrap w:val="0"/>
            <w:vAlign w:val="center"/>
          </w:tcPr>
          <w:p w14:paraId="3CC6AC75">
            <w:pPr>
              <w:shd w:val="clear" w:color="auto" w:fill="auto"/>
              <w:ind w:firstLine="420" w:firstLineChars="200"/>
              <w:jc w:val="center"/>
              <w:rPr>
                <w:rFonts w:hint="eastAsia" w:ascii="宋体" w:hAnsi="宋体" w:eastAsia="宋体" w:cs="宋体"/>
                <w:color w:val="auto"/>
                <w:kern w:val="0"/>
                <w:szCs w:val="21"/>
                <w:highlight w:val="none"/>
                <w:u w:val="single"/>
              </w:rPr>
            </w:pPr>
          </w:p>
        </w:tc>
      </w:tr>
      <w:tr w14:paraId="2D92A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360" w:type="dxa"/>
            <w:tcBorders>
              <w:top w:val="single" w:color="auto" w:sz="4" w:space="0"/>
              <w:left w:val="single" w:color="auto" w:sz="4" w:space="0"/>
              <w:bottom w:val="single" w:color="auto" w:sz="4" w:space="0"/>
              <w:right w:val="single" w:color="auto" w:sz="4" w:space="0"/>
            </w:tcBorders>
            <w:noWrap w:val="0"/>
            <w:vAlign w:val="center"/>
          </w:tcPr>
          <w:p w14:paraId="5B680398">
            <w:pPr>
              <w:shd w:val="clear" w:color="auto" w:fill="auto"/>
              <w:ind w:firstLine="420" w:firstLineChars="200"/>
              <w:jc w:val="center"/>
              <w:rPr>
                <w:rFonts w:hint="eastAsia" w:ascii="宋体" w:hAnsi="宋体" w:eastAsia="宋体" w:cs="宋体"/>
                <w:color w:val="auto"/>
                <w:szCs w:val="21"/>
                <w:highlight w:val="none"/>
                <w:u w:val="single"/>
              </w:rPr>
            </w:pPr>
          </w:p>
        </w:tc>
        <w:tc>
          <w:tcPr>
            <w:tcW w:w="3783" w:type="dxa"/>
            <w:tcBorders>
              <w:top w:val="single" w:color="auto" w:sz="4" w:space="0"/>
              <w:left w:val="single" w:color="auto" w:sz="4" w:space="0"/>
              <w:bottom w:val="single" w:color="auto" w:sz="4" w:space="0"/>
              <w:right w:val="single" w:color="auto" w:sz="4" w:space="0"/>
            </w:tcBorders>
            <w:noWrap w:val="0"/>
            <w:vAlign w:val="center"/>
          </w:tcPr>
          <w:p w14:paraId="29906AF0">
            <w:pPr>
              <w:shd w:val="clear" w:color="auto" w:fill="auto"/>
              <w:ind w:firstLine="420" w:firstLineChars="200"/>
              <w:jc w:val="center"/>
              <w:rPr>
                <w:rFonts w:hint="eastAsia" w:ascii="宋体" w:hAnsi="宋体" w:eastAsia="宋体" w:cs="宋体"/>
                <w:color w:val="auto"/>
                <w:kern w:val="0"/>
                <w:szCs w:val="21"/>
                <w:highlight w:val="none"/>
                <w:u w:val="single"/>
              </w:rPr>
            </w:pPr>
          </w:p>
        </w:tc>
      </w:tr>
    </w:tbl>
    <w:p w14:paraId="57410A71">
      <w:pPr>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3、在工程施工期间，拟投入的主要机械设备按投标文件所附的《拟投入本工程施工的主要机械设备配备表》。</w:t>
      </w:r>
    </w:p>
    <w:p w14:paraId="70F84B07">
      <w:pPr>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4、所选用的主要材料品牌符合招标文件的要求。</w:t>
      </w:r>
    </w:p>
    <w:p w14:paraId="63099B0F">
      <w:pPr>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5、拟投入到本工程的主要技术人员、经济和管理人员按投标文件所附的《</w:t>
      </w:r>
      <w:r>
        <w:rPr>
          <w:rFonts w:hint="eastAsia" w:ascii="宋体" w:hAnsi="宋体" w:cs="宋体"/>
          <w:color w:val="auto"/>
          <w:sz w:val="24"/>
          <w:szCs w:val="24"/>
          <w:highlight w:val="none"/>
        </w:rPr>
        <w:t>施工项目管理团队人员信息表</w:t>
      </w:r>
      <w:r>
        <w:rPr>
          <w:rFonts w:hint="eastAsia" w:ascii="宋体" w:hAnsi="宋体" w:eastAsia="宋体" w:cs="宋体"/>
          <w:color w:val="auto"/>
          <w:sz w:val="24"/>
          <w:szCs w:val="24"/>
          <w:highlight w:val="none"/>
        </w:rPr>
        <w:t>》。中标后，拟投入到本工程安全员人数不得低于住建部相关文件的最低要求。</w:t>
      </w:r>
    </w:p>
    <w:p w14:paraId="2383597E">
      <w:pPr>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我公司保证拟派项目负责人符合《广州市住房和城乡建设局关于加强建筑工程项目负责人管理的通知》（穗建规字〔2020〕32号）文的要求，并将严格按照招标文件要求，自签订合同之日起至工程竣工验收将常驻现场，严格按照有关工程项目管理的要求进行项目管理，如果不能够按照此要求实施，我方自愿接受贵</w:t>
      </w:r>
      <w:r>
        <w:rPr>
          <w:rFonts w:hint="eastAsia" w:ascii="宋体" w:hAnsi="宋体" w:eastAsia="宋体" w:cs="宋体"/>
          <w:color w:val="auto"/>
          <w:sz w:val="24"/>
          <w:szCs w:val="24"/>
          <w:highlight w:val="none"/>
          <w:lang w:val="en-US" w:eastAsia="zh-CN"/>
        </w:rPr>
        <w:t>司</w:t>
      </w:r>
      <w:r>
        <w:rPr>
          <w:rFonts w:hint="eastAsia" w:ascii="宋体" w:hAnsi="宋体" w:eastAsia="宋体" w:cs="宋体"/>
          <w:color w:val="auto"/>
          <w:sz w:val="24"/>
          <w:szCs w:val="24"/>
          <w:highlight w:val="none"/>
        </w:rPr>
        <w:t>的处罚措施。</w:t>
      </w:r>
    </w:p>
    <w:p w14:paraId="069DAF1B">
      <w:pPr>
        <w:pStyle w:val="44"/>
        <w:adjustRightInd w:val="0"/>
        <w:snapToGrid w:val="0"/>
        <w:spacing w:after="0" w:line="360" w:lineRule="auto"/>
        <w:ind w:left="0" w:leftChars="0" w:firstLine="480" w:firstLineChars="200"/>
        <w:jc w:val="lef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7、本工程施工过程中，我司将严格按照国家、省、市有关施工及验收规范、标准进行施工，确保本工程质量至少达到</w:t>
      </w:r>
      <w:r>
        <w:rPr>
          <w:rFonts w:hint="eastAsia" w:ascii="宋体" w:hAnsi="宋体" w:eastAsia="宋体" w:cs="宋体"/>
          <w:color w:val="000000" w:themeColor="text1"/>
          <w:sz w:val="24"/>
          <w:szCs w:val="24"/>
          <w:highlight w:val="none"/>
          <w:u w:val="single"/>
          <w14:textFill>
            <w14:solidFill>
              <w14:schemeClr w14:val="tx1"/>
            </w14:solidFill>
          </w14:textFill>
        </w:rPr>
        <w:t>招标文件规定的质量标准</w:t>
      </w:r>
      <w:r>
        <w:rPr>
          <w:rFonts w:hint="eastAsia" w:ascii="宋体" w:hAnsi="宋体" w:eastAsia="宋体" w:cs="宋体"/>
          <w:color w:val="000000" w:themeColor="text1"/>
          <w:sz w:val="24"/>
          <w:szCs w:val="24"/>
          <w:highlight w:val="none"/>
          <w14:textFill>
            <w14:solidFill>
              <w14:schemeClr w14:val="tx1"/>
            </w14:solidFill>
          </w14:textFill>
        </w:rPr>
        <w:t>要求。</w:t>
      </w:r>
    </w:p>
    <w:p w14:paraId="5C8BD547">
      <w:pPr>
        <w:pStyle w:val="44"/>
        <w:adjustRightInd w:val="0"/>
        <w:snapToGrid w:val="0"/>
        <w:spacing w:after="0" w:line="360" w:lineRule="auto"/>
        <w:ind w:left="0" w:leftChars="0" w:firstLine="480" w:firstLineChars="200"/>
        <w:jc w:val="lef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8、在确保工程质量的前提下，我司严格控制工程工期，确保工程在招标文件规定的工期内完成。</w:t>
      </w:r>
    </w:p>
    <w:p w14:paraId="4F1659C0">
      <w:pPr>
        <w:pStyle w:val="44"/>
        <w:adjustRightInd w:val="0"/>
        <w:snapToGrid w:val="0"/>
        <w:spacing w:after="0" w:line="360" w:lineRule="auto"/>
        <w:ind w:left="0" w:leftChars="0" w:firstLine="480" w:firstLineChars="200"/>
        <w:jc w:val="lef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9、严格按照国家、省、市有关安全生产、文明施工要求，积极制定安全生产、文明施工措施，并严格执行，确保施工中符合安全生产、文明施工要求。在施工过程中,若发生重大伤亡事故，我方自愿接受贵</w:t>
      </w:r>
      <w:r>
        <w:rPr>
          <w:rFonts w:hint="eastAsia" w:ascii="宋体" w:hAnsi="宋体" w:eastAsia="宋体" w:cs="宋体"/>
          <w:color w:val="000000" w:themeColor="text1"/>
          <w:sz w:val="24"/>
          <w:szCs w:val="24"/>
          <w:highlight w:val="none"/>
          <w:lang w:val="en-US" w:eastAsia="zh-CN"/>
          <w14:textFill>
            <w14:solidFill>
              <w14:schemeClr w14:val="tx1"/>
            </w14:solidFill>
          </w14:textFill>
        </w:rPr>
        <w:t>司</w:t>
      </w:r>
      <w:r>
        <w:rPr>
          <w:rFonts w:hint="eastAsia" w:ascii="宋体" w:hAnsi="宋体" w:eastAsia="宋体" w:cs="宋体"/>
          <w:color w:val="000000" w:themeColor="text1"/>
          <w:sz w:val="24"/>
          <w:szCs w:val="24"/>
          <w:highlight w:val="none"/>
          <w14:textFill>
            <w14:solidFill>
              <w14:schemeClr w14:val="tx1"/>
            </w14:solidFill>
          </w14:textFill>
        </w:rPr>
        <w:t>的经济处罚：如发生死亡事故，死亡1人，支付20万元违约金；死亡2人，支付40万元违约金；死亡3人或以上，支付80万元违约金；如发生重伤事故，重伤1人，支付10万元违约金；重伤2人，支付20万元违约金；重伤3人或以上，支付40万元违约金。以上款项从工程款中扣除，扣除的款项均上缴国库。</w:t>
      </w:r>
    </w:p>
    <w:p w14:paraId="29CD6CF4">
      <w:pPr>
        <w:pStyle w:val="44"/>
        <w:adjustRightInd w:val="0"/>
        <w:snapToGrid w:val="0"/>
        <w:spacing w:after="0" w:line="360" w:lineRule="auto"/>
        <w:ind w:left="0" w:leftChars="0" w:firstLine="480" w:firstLineChars="200"/>
        <w:jc w:val="lef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10、按照发包人、监理工程师的要求及时为各专业工程（电信、电力管线、电力走廊、煤气、道路绿化、路灯、交通设施等）提供工作面，并为专业工程穿插施工所需各项配合工作给予方便。</w:t>
      </w:r>
    </w:p>
    <w:p w14:paraId="76AA7339">
      <w:pPr>
        <w:tabs>
          <w:tab w:val="left" w:pos="0"/>
        </w:tabs>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000000" w:themeColor="text1"/>
          <w:sz w:val="24"/>
          <w:szCs w:val="24"/>
          <w:highlight w:val="none"/>
          <w14:textFill>
            <w14:solidFill>
              <w14:schemeClr w14:val="tx1"/>
            </w14:solidFill>
          </w14:textFill>
        </w:rPr>
        <w:t>11、</w:t>
      </w:r>
      <w:r>
        <w:rPr>
          <w:rFonts w:hint="eastAsia" w:ascii="宋体" w:hAnsi="宋体" w:cs="宋体"/>
          <w:color w:val="auto"/>
          <w:sz w:val="24"/>
          <w:szCs w:val="24"/>
          <w:highlight w:val="none"/>
        </w:rPr>
        <w:t>我司承诺按照招标文件的要求和合同有关规定履行总包单位的职责，依法依规实施工程分包。</w:t>
      </w:r>
    </w:p>
    <w:p w14:paraId="1BB7BAED">
      <w:pPr>
        <w:tabs>
          <w:tab w:val="left" w:pos="0"/>
        </w:tabs>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12、我司保证在中标后，严格按照 《广州市住房和城乡建设委员会关于印发&lt;广州市建筑施工实名制管理办法&gt;的通知》（穗建规字[2020]18号）、《关于印发广州市建设领域工人工资支付分账管理实施细则的通知》（穗建规字[2020]37号）等最新规定及广州市黄埔区、开发区对应出台的相关文件规定办理建筑工地实名制管理和工人工资支付分账管理事宜；加强对我司承包范围（含其专业分包、劳务分包范围）工人工资支付的管理，并对我司及其分包单位工人工资支付负总责，防止出现拖欠工人工资情况。若因违法转包、分包工程的或其他承包人原因导致相应工程出现拖欠工人工资情况的，我司将对拖欠工人工资承担清偿责任，对此引起的纠纷负全责，造成发包人损失（包括但不限于发包人因此而支付的赔偿款、律师费、诉讼费、保全费、公证费、鉴定费等）的，我司将承担全部责任。</w:t>
      </w:r>
    </w:p>
    <w:p w14:paraId="7911934B">
      <w:pPr>
        <w:tabs>
          <w:tab w:val="left" w:pos="315"/>
        </w:tabs>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13、我司保证在中标后，根据工程特点，编制本工程详细的施工组织设计和施工方案，并报监理和发包人审核批准，并严格按审批的意见和要求组织施工。</w:t>
      </w:r>
    </w:p>
    <w:p w14:paraId="44925083">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14、我司承诺积极响应并接受招标文件中合同专用专款关于合同价款的调整办法。</w:t>
      </w:r>
    </w:p>
    <w:p w14:paraId="2DECA65E">
      <w:pPr>
        <w:pStyle w:val="46"/>
        <w:spacing w:line="360" w:lineRule="auto"/>
        <w:ind w:firstLine="480" w:firstLineChars="200"/>
        <w:rPr>
          <w:rFonts w:ascii="宋体" w:hAnsi="宋体"/>
          <w:color w:val="000000" w:themeColor="text1"/>
          <w:sz w:val="24"/>
          <w:szCs w:val="24"/>
          <w:highlight w:val="none"/>
          <w:u w:val="singl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15、我司保证在中标后，施工现场严格按照《广州市建设工程文明施工管理规定》（广州市人民政府令第158号）、《广州市建设工程现场文明施工管理办法》（穗建质〔2008〕937号）、《关于进一步加强我区建设工地文明施工管理的通知》（穗开规建〔2006〕74号）、《广州市住房和城乡建设委员会关于印发建设工程扬尘防治“6个100%”管理标准细化措施的通知》（穗建质〔2018〕1394号）及其他相关规定实施，施工围蔽严格按照、《关于进一步加强规范建设施工现场围蔽的通知》（穗建质〔2018〕1008号）、广州开发区建设和交通局《关于在全区建设项目推广使用封闭式外脚手架金属防护网的通知》（房建工程及桥梁工程要求使用）、广州市住房和城乡建设委员会关于《广州市建设工程绿色施工围蔽指导图集(V2.0试行版 )》(穗建质〔2020〕1号）、《关于进一步落实我区市政建设项目施工围蔽提升工作的通知》（穗埔建[2019]123号）及《黄埔区住房和城乡建设局 广州开发区建设和交通局关于进一步规范全区建设工程施工围蔽标准的通知》（穗埔建﹝2020﹞183号）实施。以上文件要求不一致的，以后发布文件为准，若相关部门发布有关施工现场管理及施工围蔽新规定的，按新规定执行。我司随时接受监理、业主、安监机构等相关部门监督和检查，对在检查中发现不符合安全文明施工要求的，无条件进行整改。如不及时按要求整改，发包人有权不支付安全文明施工措施费，或另行委托单位实施，所发生的费用在本工程施工措施费中扣除，如不足抵扣可在本工程承包工程款中扣除，同时我司接受发包人根据实际情况对我司作出的其他处罚措施。发包人可将情况上报建设行政主管部门，视情况追究我司有关责任，可对我司或项目责任人作不良行为记录。</w:t>
      </w:r>
    </w:p>
    <w:p w14:paraId="0BE6C410">
      <w:pPr>
        <w:pStyle w:val="44"/>
        <w:spacing w:line="360" w:lineRule="auto"/>
        <w:ind w:firstLine="5040" w:firstLineChars="2100"/>
        <w:jc w:val="left"/>
        <w:rPr>
          <w:rFonts w:ascii="宋体" w:hAnsi="宋体" w:eastAsia="宋体" w:cs="宋体"/>
          <w:color w:val="000000" w:themeColor="text1"/>
          <w:sz w:val="24"/>
          <w:szCs w:val="24"/>
          <w:highlight w:val="none"/>
          <w14:textFill>
            <w14:solidFill>
              <w14:schemeClr w14:val="tx1"/>
            </w14:solidFill>
          </w14:textFill>
        </w:rPr>
      </w:pPr>
    </w:p>
    <w:p w14:paraId="657D9910">
      <w:pPr>
        <w:pStyle w:val="44"/>
        <w:spacing w:line="360" w:lineRule="auto"/>
        <w:ind w:firstLine="5040" w:firstLineChars="2100"/>
        <w:jc w:val="lef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投标人：</w:t>
      </w:r>
    </w:p>
    <w:p w14:paraId="005353B4">
      <w:pPr>
        <w:pStyle w:val="44"/>
        <w:spacing w:line="360" w:lineRule="auto"/>
        <w:ind w:right="560" w:firstLine="5040" w:firstLineChars="21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年  月  日</w:t>
      </w:r>
    </w:p>
    <w:p w14:paraId="32D5CCFC">
      <w:pPr>
        <w:pStyle w:val="44"/>
        <w:spacing w:line="360" w:lineRule="auto"/>
        <w:ind w:left="0" w:leftChars="0"/>
        <w:jc w:val="left"/>
        <w:rPr>
          <w:rFonts w:ascii="宋体" w:hAnsi="宋体" w:eastAsia="宋体" w:cs="宋体"/>
          <w:color w:val="000000" w:themeColor="text1"/>
          <w:sz w:val="24"/>
          <w:szCs w:val="24"/>
          <w:highlight w:val="none"/>
          <w:u w:val="single"/>
          <w14:textFill>
            <w14:solidFill>
              <w14:schemeClr w14:val="tx1"/>
            </w14:solidFill>
          </w14:textFill>
        </w:rPr>
      </w:pPr>
    </w:p>
    <w:p w14:paraId="5C7AE195">
      <w:pPr>
        <w:tabs>
          <w:tab w:val="left" w:pos="720"/>
        </w:tabs>
        <w:snapToGrid w:val="0"/>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注：1、《标函承诺书》作为投标文件的“实质性响应”文件，投标</w:t>
      </w:r>
      <w:r>
        <w:rPr>
          <w:rFonts w:ascii="宋体" w:hAnsi="宋体" w:cs="宋体"/>
          <w:color w:val="000000" w:themeColor="text1"/>
          <w:szCs w:val="21"/>
          <w:highlight w:val="none"/>
          <w14:textFill>
            <w14:solidFill>
              <w14:schemeClr w14:val="tx1"/>
            </w14:solidFill>
          </w14:textFill>
        </w:rPr>
        <w:t>人</w:t>
      </w:r>
      <w:r>
        <w:rPr>
          <w:rFonts w:hint="eastAsia" w:ascii="宋体" w:hAnsi="宋体" w:cs="宋体"/>
          <w:color w:val="000000" w:themeColor="text1"/>
          <w:szCs w:val="21"/>
          <w:highlight w:val="none"/>
          <w14:textFill>
            <w14:solidFill>
              <w14:schemeClr w14:val="tx1"/>
            </w14:solidFill>
          </w14:textFill>
        </w:rPr>
        <w:t>应如实填写，中标后必须按填报内容如期实施，否则按“弄虚作假骗取中标”处理。中标后，工程的监理单位将经常核验投标</w:t>
      </w:r>
      <w:r>
        <w:rPr>
          <w:rFonts w:ascii="宋体" w:hAnsi="宋体" w:cs="宋体"/>
          <w:color w:val="000000" w:themeColor="text1"/>
          <w:szCs w:val="21"/>
          <w:highlight w:val="none"/>
          <w14:textFill>
            <w14:solidFill>
              <w14:schemeClr w14:val="tx1"/>
            </w14:solidFill>
          </w14:textFill>
        </w:rPr>
        <w:t>人</w:t>
      </w:r>
      <w:r>
        <w:rPr>
          <w:rFonts w:hint="eastAsia" w:ascii="宋体" w:hAnsi="宋体" w:cs="宋体"/>
          <w:color w:val="000000" w:themeColor="text1"/>
          <w:szCs w:val="21"/>
          <w:highlight w:val="none"/>
          <w14:textFill>
            <w14:solidFill>
              <w14:schemeClr w14:val="tx1"/>
            </w14:solidFill>
          </w14:textFill>
        </w:rPr>
        <w:t>是否按填报内容实施，行政管理机构也将随时抽查。</w:t>
      </w:r>
    </w:p>
    <w:p w14:paraId="16982DCE">
      <w:pPr>
        <w:rPr>
          <w:rFonts w:hint="eastAsia" w:ascii="宋体" w:hAnsi="宋体" w:cs="宋体"/>
          <w:color w:val="auto"/>
          <w:sz w:val="24"/>
          <w:szCs w:val="24"/>
          <w:highlight w:val="none"/>
        </w:rPr>
      </w:pPr>
      <w:r>
        <w:rPr>
          <w:rFonts w:hint="eastAsia" w:ascii="宋体" w:hAnsi="宋体" w:cs="宋体"/>
          <w:color w:val="auto"/>
          <w:sz w:val="24"/>
          <w:szCs w:val="24"/>
          <w:highlight w:val="none"/>
        </w:rPr>
        <w:br w:type="page"/>
      </w:r>
    </w:p>
    <w:bookmarkEnd w:id="60"/>
    <w:bookmarkEnd w:id="61"/>
    <w:p w14:paraId="0646BD87">
      <w:pPr>
        <w:snapToGrid w:val="0"/>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技术标</w:t>
      </w:r>
      <w:r>
        <w:rPr>
          <w:rFonts w:hint="eastAsia" w:ascii="宋体" w:hAnsi="宋体" w:cs="宋体"/>
          <w:bCs/>
          <w:color w:val="auto"/>
          <w:spacing w:val="4"/>
          <w:kern w:val="0"/>
          <w:sz w:val="24"/>
          <w:szCs w:val="24"/>
          <w:highlight w:val="none"/>
        </w:rPr>
        <w:t>格式</w:t>
      </w:r>
      <w:r>
        <w:rPr>
          <w:rFonts w:hint="eastAsia" w:ascii="宋体" w:hAnsi="宋体" w:cs="宋体"/>
          <w:snapToGrid w:val="0"/>
          <w:color w:val="auto"/>
          <w:spacing w:val="4"/>
          <w:kern w:val="0"/>
          <w:sz w:val="24"/>
          <w:szCs w:val="24"/>
          <w:highlight w:val="none"/>
        </w:rPr>
        <w:t>四</w:t>
      </w:r>
    </w:p>
    <w:p w14:paraId="5123ADCE">
      <w:pPr>
        <w:shd w:val="clear" w:color="auto" w:fill="auto"/>
        <w:topLinePunct/>
        <w:adjustRightInd w:val="0"/>
        <w:spacing w:line="360" w:lineRule="auto"/>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项目负责人驻场承诺书</w:t>
      </w:r>
    </w:p>
    <w:p w14:paraId="2D722637">
      <w:pPr>
        <w:shd w:val="clear" w:color="auto" w:fill="auto"/>
        <w:spacing w:line="336" w:lineRule="auto"/>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u w:val="single"/>
        </w:rPr>
        <w:t>致</w:t>
      </w:r>
      <w:r>
        <w:rPr>
          <w:rFonts w:hint="eastAsia" w:ascii="宋体" w:hAnsi="宋体" w:eastAsia="宋体" w:cs="宋体"/>
          <w:color w:val="auto"/>
          <w:sz w:val="24"/>
          <w:szCs w:val="24"/>
          <w:highlight w:val="none"/>
          <w:u w:val="single"/>
          <w:lang w:eastAsia="zh-CN"/>
        </w:rPr>
        <w:t>：</w:t>
      </w:r>
      <w:r>
        <w:rPr>
          <w:rFonts w:hint="eastAsia" w:ascii="宋体" w:hAnsi="宋体" w:cs="宋体"/>
          <w:color w:val="auto"/>
          <w:sz w:val="24"/>
          <w:szCs w:val="24"/>
          <w:highlight w:val="none"/>
          <w:u w:val="single"/>
          <w:lang w:eastAsia="zh-CN"/>
        </w:rPr>
        <w:t>广州太平洋马口铁有限公司</w:t>
      </w:r>
    </w:p>
    <w:p w14:paraId="42CAF5AB">
      <w:pPr>
        <w:snapToGrid w:val="0"/>
        <w:spacing w:line="360" w:lineRule="auto"/>
        <w:ind w:firstLine="523" w:firstLineChars="218"/>
        <w:jc w:val="left"/>
        <w:rPr>
          <w:rFonts w:ascii="宋体" w:hAnsi="宋体" w:cs="宋体"/>
          <w:color w:val="auto"/>
          <w:sz w:val="24"/>
          <w:szCs w:val="24"/>
          <w:highlight w:val="none"/>
        </w:rPr>
      </w:pPr>
      <w:r>
        <w:rPr>
          <w:rFonts w:hint="eastAsia" w:ascii="宋体" w:hAnsi="宋体" w:cs="宋体"/>
          <w:color w:val="auto"/>
          <w:sz w:val="24"/>
          <w:szCs w:val="24"/>
          <w:highlight w:val="none"/>
          <w:u w:val="single"/>
        </w:rPr>
        <w:t>本人（姓名）        ，项目负责人证书注册编号：               受（投标人名称）                 委派，拟在（项目名称）                       担任项目负责人一职。</w:t>
      </w:r>
      <w:r>
        <w:rPr>
          <w:rFonts w:hint="eastAsia" w:ascii="宋体" w:hAnsi="宋体" w:cs="宋体"/>
          <w:color w:val="auto"/>
          <w:sz w:val="24"/>
          <w:szCs w:val="24"/>
          <w:highlight w:val="none"/>
        </w:rPr>
        <w:t>为加强本工程项目管理，保证我公司在中标后严格履行与业主签定的工程建设承包合同，圆满的完成本项工程，我愿就此做出以下承诺；</w:t>
      </w:r>
    </w:p>
    <w:p w14:paraId="11896EA4">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本人作为公司选派的本项目的项目负责人，我保证自即日起至项目竣工并通过验收之日止，自始至终全过程常驻工地现场，代表我公司全面负责本工程现场组织，指挥，管理，协调等工作。并承诺在本项目完成后的合同责任保修期内，根据项目实际保修工作需要也能随时到场负责指挥，安排应做的保修工作。</w:t>
      </w:r>
    </w:p>
    <w:p w14:paraId="67E00BED">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2．如果本招标工程我公司中标，我本人保证在工程签订合同之日起至工程竣工验收完成期间只担任此工程的项目经理，不参加其他任何工程的报名和任何工作，不在其他任何工程担任本职务。</w:t>
      </w:r>
    </w:p>
    <w:p w14:paraId="3F5F715E">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除非征得业主的书面批准，否则如果违背以上承诺，不能常驻施工现场，我自愿接受业主给予我本人的批评和处罚，并同意业主就此作为我个人的不良纪录进一步上报区行业主管部门，项目负责人证书注册、备案、审批机构，直至广州市建委等有关部门并接受上述部门给予的通报和相关职能部门给予的扣证等处罚。</w:t>
      </w:r>
    </w:p>
    <w:p w14:paraId="712D9AA9">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4．项目负责人本人身份证扫描件和相片扫描件：</w:t>
      </w:r>
    </w:p>
    <w:p w14:paraId="35897EF3">
      <w:pPr>
        <w:snapToGrid w:val="0"/>
        <w:rPr>
          <w:rFonts w:ascii="宋体" w:hAnsi="宋体" w:cs="宋体"/>
          <w:color w:val="auto"/>
          <w:sz w:val="24"/>
          <w:szCs w:val="24"/>
          <w:highlight w:val="none"/>
          <w:u w:val="single"/>
        </w:rPr>
      </w:pPr>
    </w:p>
    <w:tbl>
      <w:tblPr>
        <w:tblStyle w:val="33"/>
        <w:tblW w:w="0" w:type="auto"/>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43"/>
        <w:gridCol w:w="2492"/>
      </w:tblGrid>
      <w:tr w14:paraId="4CD09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7" w:hRule="atLeast"/>
        </w:trPr>
        <w:tc>
          <w:tcPr>
            <w:tcW w:w="6043" w:type="dxa"/>
            <w:tcBorders>
              <w:top w:val="single" w:color="auto" w:sz="4" w:space="0"/>
              <w:left w:val="single" w:color="auto" w:sz="4" w:space="0"/>
              <w:bottom w:val="single" w:color="auto" w:sz="4" w:space="0"/>
              <w:right w:val="single" w:color="auto" w:sz="4" w:space="0"/>
            </w:tcBorders>
            <w:noWrap/>
          </w:tcPr>
          <w:p w14:paraId="020E5913">
            <w:pPr>
              <w:snapToGrid w:val="0"/>
              <w:spacing w:line="360" w:lineRule="auto"/>
              <w:jc w:val="center"/>
              <w:rPr>
                <w:rFonts w:ascii="宋体" w:hAnsi="宋体" w:cs="宋体"/>
                <w:color w:val="auto"/>
                <w:szCs w:val="21"/>
                <w:highlight w:val="none"/>
                <w:u w:val="single"/>
              </w:rPr>
            </w:pPr>
          </w:p>
          <w:p w14:paraId="2565CD82">
            <w:pPr>
              <w:snapToGrid w:val="0"/>
              <w:spacing w:line="360" w:lineRule="auto"/>
              <w:jc w:val="center"/>
              <w:rPr>
                <w:rFonts w:ascii="宋体" w:hAnsi="宋体" w:cs="宋体"/>
                <w:color w:val="auto"/>
                <w:szCs w:val="21"/>
                <w:highlight w:val="none"/>
                <w:u w:val="single"/>
              </w:rPr>
            </w:pPr>
          </w:p>
          <w:p w14:paraId="6860D605">
            <w:pPr>
              <w:snapToGrid w:val="0"/>
              <w:spacing w:line="360" w:lineRule="auto"/>
              <w:jc w:val="center"/>
              <w:rPr>
                <w:rFonts w:ascii="宋体" w:hAnsi="宋体" w:cs="宋体"/>
                <w:color w:val="auto"/>
                <w:szCs w:val="21"/>
                <w:highlight w:val="none"/>
                <w:u w:val="single"/>
              </w:rPr>
            </w:pPr>
          </w:p>
          <w:p w14:paraId="1C809212">
            <w:pPr>
              <w:snapToGrid w:val="0"/>
              <w:spacing w:line="360" w:lineRule="auto"/>
              <w:jc w:val="center"/>
              <w:rPr>
                <w:rFonts w:ascii="宋体" w:hAnsi="宋体" w:cs="宋体"/>
                <w:color w:val="auto"/>
                <w:szCs w:val="21"/>
                <w:highlight w:val="none"/>
                <w:u w:val="single"/>
              </w:rPr>
            </w:pPr>
            <w:r>
              <w:rPr>
                <w:rFonts w:hint="eastAsia" w:ascii="宋体" w:hAnsi="宋体" w:cs="宋体"/>
                <w:color w:val="auto"/>
                <w:sz w:val="24"/>
                <w:szCs w:val="24"/>
                <w:highlight w:val="none"/>
                <w:u w:val="single"/>
              </w:rPr>
              <w:t>身份证扫描件</w:t>
            </w:r>
          </w:p>
        </w:tc>
        <w:tc>
          <w:tcPr>
            <w:tcW w:w="2492" w:type="dxa"/>
            <w:tcBorders>
              <w:top w:val="single" w:color="auto" w:sz="4" w:space="0"/>
              <w:left w:val="single" w:color="auto" w:sz="4" w:space="0"/>
              <w:bottom w:val="single" w:color="auto" w:sz="4" w:space="0"/>
              <w:right w:val="single" w:color="auto" w:sz="4" w:space="0"/>
            </w:tcBorders>
            <w:noWrap/>
          </w:tcPr>
          <w:p w14:paraId="22E67994">
            <w:pPr>
              <w:snapToGrid w:val="0"/>
              <w:spacing w:line="360" w:lineRule="auto"/>
              <w:jc w:val="center"/>
              <w:rPr>
                <w:rFonts w:ascii="宋体" w:hAnsi="宋体" w:cs="宋体"/>
                <w:color w:val="auto"/>
                <w:szCs w:val="21"/>
                <w:highlight w:val="none"/>
                <w:u w:val="single"/>
              </w:rPr>
            </w:pPr>
          </w:p>
          <w:p w14:paraId="65D5FA88">
            <w:pPr>
              <w:snapToGrid w:val="0"/>
              <w:spacing w:line="360" w:lineRule="auto"/>
              <w:jc w:val="center"/>
              <w:rPr>
                <w:rFonts w:ascii="宋体" w:hAnsi="宋体" w:cs="宋体"/>
                <w:color w:val="auto"/>
                <w:szCs w:val="21"/>
                <w:highlight w:val="none"/>
                <w:u w:val="single"/>
              </w:rPr>
            </w:pPr>
          </w:p>
          <w:p w14:paraId="0C872083">
            <w:pPr>
              <w:snapToGrid w:val="0"/>
              <w:spacing w:line="360" w:lineRule="auto"/>
              <w:jc w:val="center"/>
              <w:rPr>
                <w:rFonts w:ascii="宋体" w:hAnsi="宋体" w:cs="宋体"/>
                <w:color w:val="auto"/>
                <w:szCs w:val="21"/>
                <w:highlight w:val="none"/>
                <w:u w:val="single"/>
              </w:rPr>
            </w:pPr>
          </w:p>
          <w:p w14:paraId="7ADF8C3B">
            <w:pPr>
              <w:snapToGrid w:val="0"/>
              <w:spacing w:line="360" w:lineRule="auto"/>
              <w:jc w:val="center"/>
              <w:rPr>
                <w:rFonts w:ascii="宋体" w:hAnsi="宋体" w:cs="宋体"/>
                <w:color w:val="auto"/>
                <w:szCs w:val="21"/>
                <w:highlight w:val="none"/>
                <w:u w:val="single"/>
              </w:rPr>
            </w:pPr>
            <w:r>
              <w:rPr>
                <w:rFonts w:hint="eastAsia" w:ascii="宋体" w:hAnsi="宋体" w:cs="宋体"/>
                <w:color w:val="auto"/>
                <w:sz w:val="24"/>
                <w:szCs w:val="24"/>
                <w:highlight w:val="none"/>
                <w:u w:val="single"/>
              </w:rPr>
              <w:t>相片扫描件</w:t>
            </w:r>
          </w:p>
        </w:tc>
      </w:tr>
    </w:tbl>
    <w:p w14:paraId="309945B1">
      <w:pPr>
        <w:snapToGrid w:val="0"/>
        <w:spacing w:line="360" w:lineRule="auto"/>
        <w:rPr>
          <w:rFonts w:ascii="宋体" w:hAnsi="宋体" w:cs="宋体"/>
          <w:color w:val="auto"/>
          <w:sz w:val="24"/>
          <w:szCs w:val="24"/>
          <w:highlight w:val="none"/>
          <w:u w:val="single"/>
        </w:rPr>
      </w:pPr>
    </w:p>
    <w:p w14:paraId="64A5F540">
      <w:pPr>
        <w:snapToGrid w:val="0"/>
        <w:spacing w:line="360" w:lineRule="auto"/>
        <w:ind w:left="0" w:leftChars="0" w:firstLine="3998" w:firstLineChars="1666"/>
        <w:rPr>
          <w:rFonts w:ascii="宋体" w:hAnsi="宋体" w:cs="宋体"/>
          <w:color w:val="auto"/>
          <w:sz w:val="24"/>
          <w:szCs w:val="24"/>
          <w:highlight w:val="none"/>
          <w:u w:val="single"/>
        </w:rPr>
      </w:pPr>
      <w:r>
        <w:rPr>
          <w:rFonts w:hint="eastAsia" w:ascii="宋体" w:hAnsi="宋体" w:cs="宋体"/>
          <w:color w:val="auto"/>
          <w:sz w:val="24"/>
          <w:szCs w:val="20"/>
          <w:highlight w:val="none"/>
        </w:rPr>
        <w:t>投标人名称（盖章）</w:t>
      </w:r>
      <w:r>
        <w:rPr>
          <w:rFonts w:hint="eastAsia" w:ascii="宋体" w:hAnsi="宋体" w:cs="宋体"/>
          <w:color w:val="auto"/>
          <w:sz w:val="24"/>
          <w:szCs w:val="24"/>
          <w:highlight w:val="none"/>
        </w:rPr>
        <w:t>：</w:t>
      </w:r>
    </w:p>
    <w:p w14:paraId="1401AFF3">
      <w:pPr>
        <w:snapToGrid w:val="0"/>
        <w:spacing w:line="360" w:lineRule="auto"/>
        <w:ind w:left="0" w:leftChars="0" w:firstLine="3998" w:firstLineChars="1666"/>
        <w:jc w:val="left"/>
        <w:rPr>
          <w:rFonts w:ascii="宋体" w:hAnsi="宋体" w:cs="宋体"/>
          <w:color w:val="auto"/>
          <w:sz w:val="24"/>
          <w:szCs w:val="20"/>
          <w:highlight w:val="none"/>
        </w:rPr>
      </w:pPr>
      <w:r>
        <w:rPr>
          <w:rFonts w:hint="eastAsia" w:ascii="宋体" w:hAnsi="宋体" w:cs="宋体"/>
          <w:color w:val="auto"/>
          <w:sz w:val="24"/>
          <w:szCs w:val="24"/>
          <w:highlight w:val="none"/>
        </w:rPr>
        <w:t>项目负责人签名：</w:t>
      </w:r>
    </w:p>
    <w:p w14:paraId="6DC2745E">
      <w:pPr>
        <w:ind w:left="0" w:leftChars="0" w:firstLine="3998" w:firstLineChars="1666"/>
        <w:rPr>
          <w:rFonts w:hint="eastAsia" w:ascii="宋体" w:hAnsi="宋体" w:cs="宋体"/>
          <w:color w:val="auto"/>
          <w:sz w:val="24"/>
          <w:highlight w:val="none"/>
        </w:rPr>
      </w:pPr>
      <w:r>
        <w:rPr>
          <w:rFonts w:hint="eastAsia" w:ascii="宋体" w:hAnsi="宋体" w:cs="宋体"/>
          <w:color w:val="auto"/>
          <w:sz w:val="24"/>
          <w:szCs w:val="20"/>
          <w:highlight w:val="none"/>
        </w:rPr>
        <w:t>日期</w:t>
      </w:r>
      <w:r>
        <w:rPr>
          <w:rFonts w:hint="eastAsia" w:ascii="宋体" w:hAnsi="宋体" w:cs="宋体"/>
          <w:color w:val="auto"/>
          <w:sz w:val="24"/>
          <w:highlight w:val="none"/>
        </w:rPr>
        <w:t>：     年   月   日</w:t>
      </w:r>
    </w:p>
    <w:p w14:paraId="2AD381E1">
      <w:p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5B4008BE">
      <w:pPr>
        <w:snapToGrid w:val="0"/>
        <w:spacing w:line="360" w:lineRule="auto"/>
        <w:jc w:val="lef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技术标</w:t>
      </w:r>
      <w:r>
        <w:rPr>
          <w:rFonts w:hint="eastAsia" w:ascii="宋体" w:hAnsi="宋体" w:cs="宋体"/>
          <w:bCs/>
          <w:color w:val="auto"/>
          <w:spacing w:val="4"/>
          <w:kern w:val="0"/>
          <w:sz w:val="24"/>
          <w:szCs w:val="24"/>
          <w:highlight w:val="none"/>
        </w:rPr>
        <w:t>格式</w:t>
      </w:r>
      <w:r>
        <w:rPr>
          <w:rFonts w:hint="eastAsia" w:ascii="宋体" w:hAnsi="宋体" w:cs="宋体"/>
          <w:snapToGrid w:val="0"/>
          <w:color w:val="auto"/>
          <w:spacing w:val="4"/>
          <w:kern w:val="0"/>
          <w:sz w:val="24"/>
          <w:szCs w:val="24"/>
          <w:highlight w:val="none"/>
          <w:lang w:val="en-US" w:eastAsia="zh-CN"/>
        </w:rPr>
        <w:t>五</w:t>
      </w:r>
    </w:p>
    <w:p w14:paraId="56197948">
      <w:pPr>
        <w:widowControl/>
        <w:spacing w:line="360" w:lineRule="auto"/>
        <w:jc w:val="center"/>
        <w:rPr>
          <w:rFonts w:ascii="宋体" w:hAnsi="宋体" w:cs="宋体"/>
          <w:b/>
          <w:color w:val="auto"/>
          <w:sz w:val="36"/>
          <w:szCs w:val="36"/>
          <w:highlight w:val="none"/>
        </w:rPr>
      </w:pPr>
      <w:r>
        <w:rPr>
          <w:rFonts w:hint="eastAsia" w:ascii="宋体" w:hAnsi="宋体" w:cs="宋体"/>
          <w:b/>
          <w:color w:val="auto"/>
          <w:sz w:val="36"/>
          <w:szCs w:val="36"/>
          <w:highlight w:val="none"/>
        </w:rPr>
        <w:t>投入项目负责人及专职安全员承诺书</w:t>
      </w:r>
    </w:p>
    <w:p w14:paraId="2684449D">
      <w:pPr>
        <w:widowControl/>
        <w:topLinePunct/>
        <w:adjustRightInd w:val="0"/>
        <w:snapToGrid w:val="0"/>
        <w:spacing w:line="360" w:lineRule="auto"/>
        <w:jc w:val="left"/>
        <w:rPr>
          <w:rFonts w:ascii="宋体" w:hAnsi="宋体" w:cs="宋体"/>
          <w:snapToGrid w:val="0"/>
          <w:color w:val="auto"/>
          <w:spacing w:val="4"/>
          <w:kern w:val="0"/>
          <w:sz w:val="24"/>
          <w:szCs w:val="24"/>
          <w:highlight w:val="none"/>
        </w:rPr>
      </w:pPr>
    </w:p>
    <w:p w14:paraId="2A6161AE">
      <w:pPr>
        <w:widowControl/>
        <w:topLinePunct/>
        <w:adjustRightInd w:val="0"/>
        <w:snapToGrid w:val="0"/>
        <w:spacing w:line="360" w:lineRule="auto"/>
        <w:jc w:val="left"/>
        <w:rPr>
          <w:rFonts w:ascii="宋体" w:hAnsi="宋体" w:cs="宋体"/>
          <w:snapToGrid w:val="0"/>
          <w:color w:val="auto"/>
          <w:spacing w:val="4"/>
          <w:kern w:val="0"/>
          <w:sz w:val="24"/>
          <w:szCs w:val="24"/>
          <w:highlight w:val="none"/>
        </w:rPr>
      </w:pPr>
      <w:r>
        <w:rPr>
          <w:rFonts w:hint="eastAsia" w:ascii="宋体" w:hAnsi="宋体" w:cs="宋体"/>
          <w:snapToGrid w:val="0"/>
          <w:color w:val="auto"/>
          <w:spacing w:val="4"/>
          <w:kern w:val="0"/>
          <w:sz w:val="24"/>
          <w:szCs w:val="24"/>
          <w:highlight w:val="none"/>
        </w:rPr>
        <w:t>致：</w:t>
      </w:r>
      <w:r>
        <w:rPr>
          <w:rFonts w:hint="eastAsia" w:ascii="宋体" w:hAnsi="宋体" w:cs="宋体"/>
          <w:snapToGrid w:val="0"/>
          <w:color w:val="auto"/>
          <w:spacing w:val="4"/>
          <w:kern w:val="0"/>
          <w:sz w:val="24"/>
          <w:szCs w:val="24"/>
          <w:highlight w:val="none"/>
          <w:lang w:eastAsia="zh-CN"/>
        </w:rPr>
        <w:t>广州太平洋马口铁有限公司</w:t>
      </w:r>
      <w:r>
        <w:rPr>
          <w:rFonts w:hint="eastAsia" w:ascii="宋体" w:hAnsi="宋体" w:cs="宋体"/>
          <w:snapToGrid w:val="0"/>
          <w:color w:val="auto"/>
          <w:spacing w:val="4"/>
          <w:kern w:val="0"/>
          <w:sz w:val="24"/>
          <w:szCs w:val="24"/>
          <w:highlight w:val="none"/>
        </w:rPr>
        <w:t>：</w:t>
      </w:r>
    </w:p>
    <w:p w14:paraId="77048D51">
      <w:pPr>
        <w:widowControl/>
        <w:topLinePunct/>
        <w:adjustRightInd w:val="0"/>
        <w:snapToGrid w:val="0"/>
        <w:spacing w:line="360" w:lineRule="auto"/>
        <w:ind w:firstLine="496" w:firstLineChars="200"/>
        <w:jc w:val="left"/>
        <w:rPr>
          <w:rFonts w:ascii="宋体" w:hAnsi="宋体" w:cs="宋体"/>
          <w:snapToGrid w:val="0"/>
          <w:color w:val="auto"/>
          <w:spacing w:val="4"/>
          <w:kern w:val="0"/>
          <w:sz w:val="24"/>
          <w:szCs w:val="24"/>
          <w:highlight w:val="none"/>
        </w:rPr>
      </w:pPr>
      <w:r>
        <w:rPr>
          <w:rFonts w:hint="eastAsia" w:ascii="宋体" w:hAnsi="宋体" w:cs="宋体"/>
          <w:snapToGrid w:val="0"/>
          <w:color w:val="auto"/>
          <w:spacing w:val="4"/>
          <w:kern w:val="0"/>
          <w:sz w:val="24"/>
          <w:szCs w:val="24"/>
          <w:highlight w:val="none"/>
        </w:rPr>
        <w:t>经详细阅读本工程招标文件、招标答疑纪要和踏勘现场，我司已理解招标人对本招标项目工程招标及管理的要求，在此，我司郑重作出以下承诺：</w:t>
      </w:r>
    </w:p>
    <w:p w14:paraId="7B1D9393">
      <w:pPr>
        <w:widowControl/>
        <w:numPr>
          <w:ilvl w:val="0"/>
          <w:numId w:val="0"/>
        </w:numPr>
        <w:topLinePunct/>
        <w:adjustRightInd w:val="0"/>
        <w:snapToGrid w:val="0"/>
        <w:spacing w:line="360" w:lineRule="auto"/>
        <w:ind w:firstLine="496" w:firstLineChars="200"/>
        <w:jc w:val="left"/>
        <w:rPr>
          <w:rFonts w:ascii="宋体" w:hAnsi="宋体" w:cs="宋体"/>
          <w:snapToGrid w:val="0"/>
          <w:color w:val="auto"/>
          <w:spacing w:val="4"/>
          <w:kern w:val="0"/>
          <w:sz w:val="24"/>
          <w:szCs w:val="24"/>
          <w:highlight w:val="none"/>
        </w:rPr>
      </w:pPr>
      <w:r>
        <w:rPr>
          <w:rFonts w:hint="eastAsia" w:ascii="宋体" w:hAnsi="宋体" w:eastAsia="宋体" w:cs="宋体"/>
          <w:snapToGrid w:val="0"/>
          <w:color w:val="auto"/>
          <w:spacing w:val="4"/>
          <w:kern w:val="0"/>
          <w:sz w:val="24"/>
          <w:szCs w:val="24"/>
          <w:highlight w:val="none"/>
          <w:lang w:val="en-US" w:eastAsia="zh-CN" w:bidi="ar-SA"/>
        </w:rPr>
        <w:t>一、</w:t>
      </w:r>
      <w:r>
        <w:rPr>
          <w:rFonts w:hint="eastAsia" w:ascii="宋体" w:hAnsi="宋体" w:cs="宋体"/>
          <w:snapToGrid w:val="0"/>
          <w:color w:val="auto"/>
          <w:spacing w:val="4"/>
          <w:kern w:val="0"/>
          <w:sz w:val="24"/>
          <w:szCs w:val="24"/>
          <w:highlight w:val="none"/>
        </w:rPr>
        <w:t>我司承诺本项目在投标阶段时，委派项目负责人</w:t>
      </w:r>
      <w:r>
        <w:rPr>
          <w:rFonts w:hint="eastAsia" w:ascii="宋体" w:hAnsi="宋体" w:cs="宋体"/>
          <w:snapToGrid w:val="0"/>
          <w:color w:val="auto"/>
          <w:spacing w:val="4"/>
          <w:kern w:val="0"/>
          <w:sz w:val="24"/>
          <w:szCs w:val="24"/>
          <w:highlight w:val="none"/>
          <w:u w:val="single"/>
        </w:rPr>
        <w:t xml:space="preserve">   （名字）   </w:t>
      </w:r>
      <w:r>
        <w:rPr>
          <w:rFonts w:hint="eastAsia" w:ascii="宋体" w:hAnsi="宋体" w:cs="宋体"/>
          <w:snapToGrid w:val="0"/>
          <w:color w:val="auto"/>
          <w:spacing w:val="4"/>
          <w:kern w:val="0"/>
          <w:sz w:val="24"/>
          <w:szCs w:val="24"/>
          <w:highlight w:val="none"/>
        </w:rPr>
        <w:t>拟在本项目担任项目负责人一职，委派专职安全员</w:t>
      </w:r>
      <w:r>
        <w:rPr>
          <w:rFonts w:hint="eastAsia" w:ascii="宋体" w:hAnsi="宋体" w:cs="宋体"/>
          <w:snapToGrid w:val="0"/>
          <w:color w:val="auto"/>
          <w:spacing w:val="4"/>
          <w:kern w:val="0"/>
          <w:sz w:val="24"/>
          <w:szCs w:val="24"/>
          <w:highlight w:val="none"/>
          <w:u w:val="single"/>
        </w:rPr>
        <w:t xml:space="preserve">    （名字）    </w:t>
      </w:r>
      <w:r>
        <w:rPr>
          <w:rFonts w:hint="eastAsia" w:ascii="宋体" w:hAnsi="宋体" w:cs="宋体"/>
          <w:snapToGrid w:val="0"/>
          <w:color w:val="auto"/>
          <w:spacing w:val="4"/>
          <w:kern w:val="0"/>
          <w:sz w:val="24"/>
          <w:szCs w:val="24"/>
          <w:highlight w:val="none"/>
        </w:rPr>
        <w:t>拟在本项目担任专职安全员一职。</w:t>
      </w:r>
    </w:p>
    <w:p w14:paraId="2248AF5F">
      <w:pPr>
        <w:widowControl/>
        <w:numPr>
          <w:ilvl w:val="0"/>
          <w:numId w:val="0"/>
        </w:numPr>
        <w:topLinePunct/>
        <w:adjustRightInd w:val="0"/>
        <w:snapToGrid w:val="0"/>
        <w:spacing w:line="360" w:lineRule="auto"/>
        <w:ind w:firstLine="464" w:firstLineChars="200"/>
        <w:jc w:val="left"/>
        <w:rPr>
          <w:rFonts w:ascii="宋体" w:hAnsi="宋体" w:cs="宋体"/>
          <w:snapToGrid w:val="0"/>
          <w:color w:val="auto"/>
          <w:spacing w:val="-4"/>
          <w:kern w:val="0"/>
          <w:sz w:val="24"/>
          <w:szCs w:val="21"/>
          <w:highlight w:val="none"/>
        </w:rPr>
      </w:pPr>
      <w:r>
        <w:rPr>
          <w:rFonts w:hint="eastAsia" w:ascii="宋体" w:hAnsi="宋体" w:eastAsia="宋体" w:cs="宋体"/>
          <w:snapToGrid w:val="0"/>
          <w:color w:val="auto"/>
          <w:spacing w:val="-4"/>
          <w:kern w:val="0"/>
          <w:sz w:val="24"/>
          <w:szCs w:val="21"/>
          <w:highlight w:val="none"/>
          <w:lang w:val="en-US" w:eastAsia="zh-CN" w:bidi="ar-SA"/>
        </w:rPr>
        <w:t>二、</w:t>
      </w:r>
      <w:r>
        <w:rPr>
          <w:rFonts w:hint="eastAsia" w:ascii="宋体" w:hAnsi="宋体" w:cs="宋体"/>
          <w:snapToGrid w:val="0"/>
          <w:color w:val="auto"/>
          <w:spacing w:val="-4"/>
          <w:kern w:val="0"/>
          <w:sz w:val="24"/>
          <w:szCs w:val="21"/>
          <w:highlight w:val="none"/>
        </w:rPr>
        <w:t>我司承诺严格按照合同和招投标文件规定履行义务，如因未按承诺执行，接受并同意</w:t>
      </w:r>
      <w:r>
        <w:rPr>
          <w:rFonts w:hint="eastAsia" w:ascii="宋体" w:hAnsi="宋体" w:cs="宋体"/>
          <w:color w:val="auto"/>
          <w:kern w:val="0"/>
          <w:sz w:val="24"/>
          <w:szCs w:val="24"/>
          <w:highlight w:val="none"/>
        </w:rPr>
        <w:t>招标人有权取消本公司作为中标人的中标资格</w:t>
      </w:r>
      <w:r>
        <w:rPr>
          <w:rFonts w:hint="eastAsia" w:ascii="宋体" w:hAnsi="宋体" w:cs="宋体"/>
          <w:snapToGrid w:val="0"/>
          <w:color w:val="auto"/>
          <w:spacing w:val="4"/>
          <w:kern w:val="0"/>
          <w:sz w:val="24"/>
          <w:szCs w:val="24"/>
          <w:highlight w:val="none"/>
        </w:rPr>
        <w:t>，并由此引起的一切后果由我司自行承担</w:t>
      </w:r>
      <w:r>
        <w:rPr>
          <w:rFonts w:hint="eastAsia" w:ascii="宋体" w:hAnsi="宋体" w:cs="宋体"/>
          <w:snapToGrid w:val="0"/>
          <w:color w:val="auto"/>
          <w:spacing w:val="-4"/>
          <w:kern w:val="0"/>
          <w:sz w:val="24"/>
          <w:szCs w:val="21"/>
          <w:highlight w:val="none"/>
        </w:rPr>
        <w:t>。</w:t>
      </w:r>
    </w:p>
    <w:p w14:paraId="556C1494">
      <w:pPr>
        <w:widowControl/>
        <w:topLinePunct/>
        <w:adjustRightInd w:val="0"/>
        <w:snapToGrid w:val="0"/>
        <w:spacing w:line="360" w:lineRule="auto"/>
        <w:ind w:firstLine="3472" w:firstLineChars="1400"/>
        <w:jc w:val="left"/>
        <w:rPr>
          <w:rFonts w:ascii="宋体" w:hAnsi="宋体" w:cs="宋体"/>
          <w:snapToGrid w:val="0"/>
          <w:color w:val="auto"/>
          <w:spacing w:val="4"/>
          <w:kern w:val="0"/>
          <w:sz w:val="24"/>
          <w:szCs w:val="24"/>
          <w:highlight w:val="none"/>
        </w:rPr>
      </w:pPr>
    </w:p>
    <w:p w14:paraId="7EA41D69">
      <w:pPr>
        <w:spacing w:after="120"/>
        <w:rPr>
          <w:color w:val="auto"/>
          <w:kern w:val="0"/>
          <w:sz w:val="20"/>
          <w:szCs w:val="20"/>
          <w:highlight w:val="none"/>
        </w:rPr>
      </w:pPr>
    </w:p>
    <w:p w14:paraId="3A87CE5D">
      <w:pPr>
        <w:spacing w:after="120"/>
        <w:rPr>
          <w:color w:val="auto"/>
          <w:kern w:val="0"/>
          <w:sz w:val="20"/>
          <w:szCs w:val="20"/>
          <w:highlight w:val="none"/>
        </w:rPr>
      </w:pPr>
    </w:p>
    <w:p w14:paraId="2EB60DB5">
      <w:pPr>
        <w:spacing w:after="120"/>
        <w:rPr>
          <w:color w:val="auto"/>
          <w:kern w:val="0"/>
          <w:sz w:val="20"/>
          <w:szCs w:val="20"/>
          <w:highlight w:val="none"/>
        </w:rPr>
      </w:pPr>
    </w:p>
    <w:p w14:paraId="291FB4FE">
      <w:pPr>
        <w:spacing w:after="120"/>
        <w:rPr>
          <w:color w:val="auto"/>
          <w:kern w:val="0"/>
          <w:sz w:val="20"/>
          <w:szCs w:val="20"/>
          <w:highlight w:val="none"/>
        </w:rPr>
      </w:pPr>
    </w:p>
    <w:p w14:paraId="367187AB">
      <w:pPr>
        <w:widowControl/>
        <w:topLinePunct/>
        <w:adjustRightInd w:val="0"/>
        <w:snapToGrid w:val="0"/>
        <w:spacing w:line="360" w:lineRule="auto"/>
        <w:ind w:firstLine="5208" w:firstLineChars="2100"/>
        <w:jc w:val="left"/>
        <w:rPr>
          <w:rFonts w:ascii="宋体" w:hAnsi="宋体" w:cs="宋体"/>
          <w:snapToGrid w:val="0"/>
          <w:color w:val="auto"/>
          <w:spacing w:val="4"/>
          <w:kern w:val="0"/>
          <w:sz w:val="24"/>
          <w:szCs w:val="24"/>
          <w:highlight w:val="none"/>
        </w:rPr>
      </w:pPr>
      <w:r>
        <w:rPr>
          <w:rFonts w:hint="eastAsia" w:ascii="宋体" w:hAnsi="宋体" w:cs="宋体"/>
          <w:snapToGrid w:val="0"/>
          <w:color w:val="auto"/>
          <w:spacing w:val="4"/>
          <w:kern w:val="0"/>
          <w:sz w:val="24"/>
          <w:szCs w:val="24"/>
          <w:highlight w:val="none"/>
        </w:rPr>
        <w:t>投标人：　　（盖章）</w:t>
      </w:r>
    </w:p>
    <w:p w14:paraId="0C876B76">
      <w:pPr>
        <w:topLinePunct/>
        <w:adjustRightInd w:val="0"/>
        <w:snapToGrid w:val="0"/>
        <w:spacing w:line="360" w:lineRule="auto"/>
        <w:ind w:right="1046" w:rightChars="498"/>
        <w:jc w:val="right"/>
        <w:rPr>
          <w:rFonts w:ascii="宋体" w:hAnsi="宋体" w:cs="宋体"/>
          <w:snapToGrid w:val="0"/>
          <w:color w:val="auto"/>
          <w:spacing w:val="4"/>
          <w:kern w:val="0"/>
          <w:sz w:val="24"/>
          <w:szCs w:val="24"/>
          <w:highlight w:val="none"/>
        </w:rPr>
      </w:pPr>
      <w:r>
        <w:rPr>
          <w:rFonts w:hint="eastAsia" w:ascii="宋体" w:hAnsi="宋体" w:cs="宋体"/>
          <w:snapToGrid w:val="0"/>
          <w:color w:val="auto"/>
          <w:spacing w:val="4"/>
          <w:kern w:val="0"/>
          <w:sz w:val="24"/>
          <w:szCs w:val="24"/>
          <w:highlight w:val="none"/>
        </w:rPr>
        <w:t>日期：    年   月   日</w:t>
      </w:r>
    </w:p>
    <w:p w14:paraId="4DCCBFEC">
      <w:pPr>
        <w:shd w:val="clear" w:color="auto" w:fill="auto"/>
        <w:topLinePunct/>
        <w:adjustRightInd w:val="0"/>
        <w:spacing w:line="360" w:lineRule="auto"/>
        <w:jc w:val="right"/>
        <w:rPr>
          <w:rFonts w:hint="eastAsia" w:hAnsi="宋体" w:eastAsia="宋体" w:cs="宋体"/>
          <w:color w:val="auto"/>
          <w:sz w:val="21"/>
          <w:szCs w:val="21"/>
          <w:highlight w:val="none"/>
          <w:u w:val="none"/>
          <w:lang w:val="en-US" w:eastAsia="zh-CN"/>
        </w:rPr>
      </w:pPr>
    </w:p>
    <w:p w14:paraId="436A5A01">
      <w:pPr>
        <w:topLinePunct/>
        <w:adjustRightInd w:val="0"/>
        <w:snapToGrid w:val="0"/>
        <w:spacing w:line="360" w:lineRule="auto"/>
        <w:rPr>
          <w:rFonts w:ascii="宋体" w:hAnsi="宋体" w:cs="宋体"/>
          <w:b/>
          <w:snapToGrid w:val="0"/>
          <w:color w:val="auto"/>
          <w:spacing w:val="4"/>
          <w:kern w:val="0"/>
          <w:sz w:val="24"/>
          <w:szCs w:val="24"/>
          <w:highlight w:val="none"/>
        </w:rPr>
      </w:pPr>
      <w:r>
        <w:rPr>
          <w:rFonts w:hint="eastAsia" w:ascii="宋体" w:hAnsi="宋体" w:eastAsia="宋体" w:cs="宋体"/>
          <w:b/>
          <w:color w:val="auto"/>
          <w:sz w:val="36"/>
          <w:szCs w:val="36"/>
          <w:highlight w:val="none"/>
        </w:rPr>
        <w:br w:type="page"/>
      </w:r>
      <w:r>
        <w:rPr>
          <w:rFonts w:hint="eastAsia" w:ascii="宋体" w:hAnsi="宋体" w:cs="宋体"/>
          <w:color w:val="auto"/>
          <w:sz w:val="24"/>
          <w:szCs w:val="24"/>
          <w:highlight w:val="none"/>
        </w:rPr>
        <w:t>技术标</w:t>
      </w:r>
      <w:r>
        <w:rPr>
          <w:rFonts w:hint="eastAsia" w:ascii="宋体" w:hAnsi="宋体" w:cs="宋体"/>
          <w:bCs/>
          <w:color w:val="auto"/>
          <w:sz w:val="24"/>
          <w:szCs w:val="24"/>
          <w:highlight w:val="none"/>
        </w:rPr>
        <w:t>格式六</w:t>
      </w:r>
    </w:p>
    <w:p w14:paraId="0693D86A">
      <w:pPr>
        <w:topLinePunct/>
        <w:adjustRightInd w:val="0"/>
        <w:snapToGrid w:val="0"/>
        <w:spacing w:line="360" w:lineRule="auto"/>
        <w:jc w:val="center"/>
        <w:rPr>
          <w:rFonts w:ascii="宋体" w:hAnsi="宋体" w:cs="宋体"/>
          <w:bCs/>
          <w:color w:val="auto"/>
          <w:spacing w:val="4"/>
          <w:kern w:val="0"/>
          <w:sz w:val="24"/>
          <w:szCs w:val="24"/>
          <w:highlight w:val="none"/>
        </w:rPr>
      </w:pPr>
    </w:p>
    <w:p w14:paraId="23BFDBC1">
      <w:pPr>
        <w:topLinePunct/>
        <w:adjustRightInd w:val="0"/>
        <w:snapToGrid w:val="0"/>
        <w:spacing w:line="360" w:lineRule="auto"/>
        <w:jc w:val="center"/>
        <w:rPr>
          <w:rFonts w:ascii="宋体" w:hAnsi="宋体" w:cs="宋体"/>
          <w:b/>
          <w:color w:val="auto"/>
          <w:spacing w:val="4"/>
          <w:kern w:val="0"/>
          <w:sz w:val="36"/>
          <w:szCs w:val="36"/>
          <w:highlight w:val="none"/>
        </w:rPr>
      </w:pPr>
      <w:r>
        <w:rPr>
          <w:rFonts w:hint="eastAsia" w:ascii="宋体" w:hAnsi="宋体" w:cs="宋体"/>
          <w:b/>
          <w:color w:val="auto"/>
          <w:spacing w:val="4"/>
          <w:kern w:val="0"/>
          <w:sz w:val="36"/>
          <w:szCs w:val="36"/>
          <w:highlight w:val="none"/>
        </w:rPr>
        <w:t>施工项目管理团队人员信息表</w:t>
      </w:r>
    </w:p>
    <w:tbl>
      <w:tblPr>
        <w:tblStyle w:val="33"/>
        <w:tblW w:w="9180" w:type="dxa"/>
        <w:jc w:val="center"/>
        <w:tblLayout w:type="fixed"/>
        <w:tblCellMar>
          <w:top w:w="0" w:type="dxa"/>
          <w:left w:w="108" w:type="dxa"/>
          <w:bottom w:w="0" w:type="dxa"/>
          <w:right w:w="108" w:type="dxa"/>
        </w:tblCellMar>
      </w:tblPr>
      <w:tblGrid>
        <w:gridCol w:w="1242"/>
        <w:gridCol w:w="1744"/>
        <w:gridCol w:w="1549"/>
        <w:gridCol w:w="1417"/>
        <w:gridCol w:w="3228"/>
      </w:tblGrid>
      <w:tr w14:paraId="337F94D3">
        <w:tblPrEx>
          <w:tblCellMar>
            <w:top w:w="0" w:type="dxa"/>
            <w:left w:w="108" w:type="dxa"/>
            <w:bottom w:w="0" w:type="dxa"/>
            <w:right w:w="108" w:type="dxa"/>
          </w:tblCellMar>
        </w:tblPrEx>
        <w:trPr>
          <w:trHeight w:val="601" w:hRule="atLeast"/>
          <w:jc w:val="center"/>
        </w:trPr>
        <w:tc>
          <w:tcPr>
            <w:tcW w:w="1242" w:type="dxa"/>
            <w:tcBorders>
              <w:top w:val="single" w:color="auto" w:sz="4" w:space="0"/>
              <w:left w:val="single" w:color="auto" w:sz="4" w:space="0"/>
              <w:bottom w:val="single" w:color="auto" w:sz="4" w:space="0"/>
              <w:right w:val="single" w:color="auto" w:sz="4" w:space="0"/>
            </w:tcBorders>
            <w:vAlign w:val="center"/>
          </w:tcPr>
          <w:p w14:paraId="6731BE71">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序号</w:t>
            </w:r>
          </w:p>
        </w:tc>
        <w:tc>
          <w:tcPr>
            <w:tcW w:w="1744" w:type="dxa"/>
            <w:tcBorders>
              <w:top w:val="single" w:color="auto" w:sz="4" w:space="0"/>
              <w:left w:val="nil"/>
              <w:bottom w:val="single" w:color="auto" w:sz="4" w:space="0"/>
              <w:right w:val="single" w:color="auto" w:sz="4" w:space="0"/>
            </w:tcBorders>
            <w:vAlign w:val="center"/>
          </w:tcPr>
          <w:p w14:paraId="61A9C423">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姓名</w:t>
            </w:r>
          </w:p>
        </w:tc>
        <w:tc>
          <w:tcPr>
            <w:tcW w:w="1549" w:type="dxa"/>
            <w:tcBorders>
              <w:top w:val="single" w:color="auto" w:sz="4" w:space="0"/>
              <w:left w:val="nil"/>
              <w:bottom w:val="single" w:color="auto" w:sz="4" w:space="0"/>
              <w:right w:val="single" w:color="auto" w:sz="4" w:space="0"/>
            </w:tcBorders>
            <w:vAlign w:val="center"/>
          </w:tcPr>
          <w:p w14:paraId="714D0148">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岗位</w:t>
            </w:r>
          </w:p>
        </w:tc>
        <w:tc>
          <w:tcPr>
            <w:tcW w:w="1417" w:type="dxa"/>
            <w:tcBorders>
              <w:top w:val="single" w:color="auto" w:sz="4" w:space="0"/>
              <w:left w:val="nil"/>
              <w:bottom w:val="single" w:color="auto" w:sz="4" w:space="0"/>
              <w:right w:val="single" w:color="auto" w:sz="4" w:space="0"/>
            </w:tcBorders>
            <w:vAlign w:val="center"/>
          </w:tcPr>
          <w:p w14:paraId="197F3AF9">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职称</w:t>
            </w:r>
          </w:p>
        </w:tc>
        <w:tc>
          <w:tcPr>
            <w:tcW w:w="3228" w:type="dxa"/>
            <w:tcBorders>
              <w:top w:val="single" w:color="auto" w:sz="4" w:space="0"/>
              <w:left w:val="nil"/>
              <w:bottom w:val="single" w:color="auto" w:sz="4" w:space="0"/>
              <w:right w:val="single" w:color="auto" w:sz="4" w:space="0"/>
            </w:tcBorders>
            <w:vAlign w:val="center"/>
          </w:tcPr>
          <w:p w14:paraId="07782E03">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职称证书或资格证书编号</w:t>
            </w:r>
          </w:p>
        </w:tc>
      </w:tr>
      <w:tr w14:paraId="30FDD29A">
        <w:tblPrEx>
          <w:tblCellMar>
            <w:top w:w="0" w:type="dxa"/>
            <w:left w:w="108" w:type="dxa"/>
            <w:bottom w:w="0" w:type="dxa"/>
            <w:right w:w="108" w:type="dxa"/>
          </w:tblCellMar>
        </w:tblPrEx>
        <w:trPr>
          <w:trHeight w:val="425" w:hRule="atLeast"/>
          <w:jc w:val="center"/>
        </w:trPr>
        <w:tc>
          <w:tcPr>
            <w:tcW w:w="1242" w:type="dxa"/>
            <w:tcBorders>
              <w:top w:val="nil"/>
              <w:left w:val="single" w:color="auto" w:sz="4" w:space="0"/>
              <w:bottom w:val="single" w:color="auto" w:sz="4" w:space="0"/>
              <w:right w:val="single" w:color="auto" w:sz="4" w:space="0"/>
            </w:tcBorders>
            <w:noWrap/>
            <w:vAlign w:val="center"/>
          </w:tcPr>
          <w:p w14:paraId="59135F49">
            <w:pPr>
              <w:widowControl/>
              <w:jc w:val="center"/>
              <w:rPr>
                <w:rFonts w:ascii="宋体" w:hAnsi="宋体" w:cs="宋体"/>
                <w:color w:val="auto"/>
                <w:kern w:val="0"/>
                <w:szCs w:val="21"/>
                <w:highlight w:val="none"/>
              </w:rPr>
            </w:pPr>
            <w:r>
              <w:rPr>
                <w:rFonts w:ascii="宋体" w:hAnsi="宋体" w:cs="宋体"/>
                <w:color w:val="auto"/>
                <w:kern w:val="0"/>
                <w:szCs w:val="21"/>
                <w:highlight w:val="none"/>
              </w:rPr>
              <w:t>1</w:t>
            </w:r>
          </w:p>
        </w:tc>
        <w:tc>
          <w:tcPr>
            <w:tcW w:w="1744" w:type="dxa"/>
            <w:tcBorders>
              <w:top w:val="nil"/>
              <w:left w:val="nil"/>
              <w:bottom w:val="single" w:color="auto" w:sz="4" w:space="0"/>
              <w:right w:val="single" w:color="auto" w:sz="4" w:space="0"/>
            </w:tcBorders>
            <w:noWrap/>
            <w:vAlign w:val="center"/>
          </w:tcPr>
          <w:p w14:paraId="31000266">
            <w:pPr>
              <w:widowControl/>
              <w:jc w:val="center"/>
              <w:rPr>
                <w:rFonts w:ascii="宋体" w:hAnsi="宋体" w:cs="宋体"/>
                <w:color w:val="auto"/>
                <w:kern w:val="0"/>
                <w:szCs w:val="21"/>
                <w:highlight w:val="none"/>
              </w:rPr>
            </w:pPr>
          </w:p>
        </w:tc>
        <w:tc>
          <w:tcPr>
            <w:tcW w:w="1549" w:type="dxa"/>
            <w:tcBorders>
              <w:top w:val="nil"/>
              <w:left w:val="nil"/>
              <w:bottom w:val="single" w:color="auto" w:sz="4" w:space="0"/>
              <w:right w:val="single" w:color="auto" w:sz="4" w:space="0"/>
            </w:tcBorders>
            <w:noWrap/>
            <w:vAlign w:val="center"/>
          </w:tcPr>
          <w:p w14:paraId="75900D27">
            <w:pPr>
              <w:widowControl/>
              <w:jc w:val="center"/>
              <w:rPr>
                <w:rFonts w:ascii="宋体" w:hAnsi="宋体" w:cs="宋体"/>
                <w:color w:val="auto"/>
                <w:kern w:val="0"/>
                <w:szCs w:val="21"/>
                <w:highlight w:val="none"/>
              </w:rPr>
            </w:pPr>
          </w:p>
        </w:tc>
        <w:tc>
          <w:tcPr>
            <w:tcW w:w="1417" w:type="dxa"/>
            <w:tcBorders>
              <w:top w:val="nil"/>
              <w:left w:val="nil"/>
              <w:bottom w:val="single" w:color="auto" w:sz="4" w:space="0"/>
              <w:right w:val="single" w:color="auto" w:sz="4" w:space="0"/>
            </w:tcBorders>
            <w:noWrap/>
            <w:vAlign w:val="center"/>
          </w:tcPr>
          <w:p w14:paraId="645DDF54">
            <w:pPr>
              <w:widowControl/>
              <w:jc w:val="center"/>
              <w:rPr>
                <w:rFonts w:ascii="宋体" w:hAnsi="宋体" w:cs="宋体"/>
                <w:color w:val="auto"/>
                <w:kern w:val="0"/>
                <w:szCs w:val="21"/>
                <w:highlight w:val="none"/>
              </w:rPr>
            </w:pPr>
          </w:p>
        </w:tc>
        <w:tc>
          <w:tcPr>
            <w:tcW w:w="3228" w:type="dxa"/>
            <w:tcBorders>
              <w:top w:val="nil"/>
              <w:left w:val="nil"/>
              <w:bottom w:val="single" w:color="auto" w:sz="4" w:space="0"/>
              <w:right w:val="single" w:color="auto" w:sz="4" w:space="0"/>
            </w:tcBorders>
            <w:noWrap/>
            <w:vAlign w:val="center"/>
          </w:tcPr>
          <w:p w14:paraId="73309438">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r>
      <w:tr w14:paraId="69CD627B">
        <w:tblPrEx>
          <w:tblCellMar>
            <w:top w:w="0" w:type="dxa"/>
            <w:left w:w="108" w:type="dxa"/>
            <w:bottom w:w="0" w:type="dxa"/>
            <w:right w:w="108" w:type="dxa"/>
          </w:tblCellMar>
        </w:tblPrEx>
        <w:trPr>
          <w:trHeight w:val="417" w:hRule="atLeast"/>
          <w:jc w:val="center"/>
        </w:trPr>
        <w:tc>
          <w:tcPr>
            <w:tcW w:w="1242" w:type="dxa"/>
            <w:tcBorders>
              <w:top w:val="nil"/>
              <w:left w:val="single" w:color="auto" w:sz="4" w:space="0"/>
              <w:bottom w:val="single" w:color="auto" w:sz="4" w:space="0"/>
              <w:right w:val="single" w:color="auto" w:sz="4" w:space="0"/>
            </w:tcBorders>
            <w:noWrap/>
            <w:vAlign w:val="center"/>
          </w:tcPr>
          <w:p w14:paraId="76905E6B">
            <w:pPr>
              <w:widowControl/>
              <w:jc w:val="center"/>
              <w:rPr>
                <w:rFonts w:ascii="宋体" w:hAnsi="宋体" w:cs="宋体"/>
                <w:color w:val="auto"/>
                <w:kern w:val="0"/>
                <w:szCs w:val="21"/>
                <w:highlight w:val="none"/>
              </w:rPr>
            </w:pPr>
            <w:r>
              <w:rPr>
                <w:rFonts w:ascii="宋体" w:hAnsi="宋体" w:cs="宋体"/>
                <w:color w:val="auto"/>
                <w:kern w:val="0"/>
                <w:szCs w:val="21"/>
                <w:highlight w:val="none"/>
              </w:rPr>
              <w:t>2</w:t>
            </w:r>
          </w:p>
        </w:tc>
        <w:tc>
          <w:tcPr>
            <w:tcW w:w="1744" w:type="dxa"/>
            <w:tcBorders>
              <w:top w:val="nil"/>
              <w:left w:val="nil"/>
              <w:bottom w:val="single" w:color="auto" w:sz="4" w:space="0"/>
              <w:right w:val="single" w:color="auto" w:sz="4" w:space="0"/>
            </w:tcBorders>
            <w:noWrap/>
            <w:vAlign w:val="center"/>
          </w:tcPr>
          <w:p w14:paraId="4B6F5D65">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549" w:type="dxa"/>
            <w:tcBorders>
              <w:top w:val="nil"/>
              <w:left w:val="nil"/>
              <w:bottom w:val="single" w:color="auto" w:sz="4" w:space="0"/>
              <w:right w:val="single" w:color="auto" w:sz="4" w:space="0"/>
            </w:tcBorders>
            <w:noWrap/>
            <w:vAlign w:val="center"/>
          </w:tcPr>
          <w:p w14:paraId="4BE845BF">
            <w:pPr>
              <w:widowControl/>
              <w:jc w:val="center"/>
              <w:rPr>
                <w:rFonts w:ascii="宋体" w:hAnsi="宋体" w:cs="宋体"/>
                <w:color w:val="auto"/>
                <w:kern w:val="0"/>
                <w:szCs w:val="21"/>
                <w:highlight w:val="none"/>
              </w:rPr>
            </w:pPr>
          </w:p>
        </w:tc>
        <w:tc>
          <w:tcPr>
            <w:tcW w:w="1417" w:type="dxa"/>
            <w:tcBorders>
              <w:top w:val="nil"/>
              <w:left w:val="nil"/>
              <w:bottom w:val="single" w:color="auto" w:sz="4" w:space="0"/>
              <w:right w:val="single" w:color="auto" w:sz="4" w:space="0"/>
            </w:tcBorders>
            <w:noWrap/>
            <w:vAlign w:val="center"/>
          </w:tcPr>
          <w:p w14:paraId="49D2DB71">
            <w:pPr>
              <w:widowControl/>
              <w:jc w:val="center"/>
              <w:rPr>
                <w:rFonts w:ascii="宋体" w:hAnsi="宋体" w:cs="宋体"/>
                <w:color w:val="auto"/>
                <w:kern w:val="0"/>
                <w:szCs w:val="21"/>
                <w:highlight w:val="none"/>
              </w:rPr>
            </w:pPr>
          </w:p>
        </w:tc>
        <w:tc>
          <w:tcPr>
            <w:tcW w:w="3228" w:type="dxa"/>
            <w:tcBorders>
              <w:top w:val="nil"/>
              <w:left w:val="nil"/>
              <w:bottom w:val="single" w:color="auto" w:sz="4" w:space="0"/>
              <w:right w:val="single" w:color="auto" w:sz="4" w:space="0"/>
            </w:tcBorders>
            <w:noWrap/>
            <w:vAlign w:val="center"/>
          </w:tcPr>
          <w:p w14:paraId="21951070">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r>
      <w:tr w14:paraId="64ED64AC">
        <w:tblPrEx>
          <w:tblCellMar>
            <w:top w:w="0" w:type="dxa"/>
            <w:left w:w="108" w:type="dxa"/>
            <w:bottom w:w="0" w:type="dxa"/>
            <w:right w:w="108" w:type="dxa"/>
          </w:tblCellMar>
        </w:tblPrEx>
        <w:trPr>
          <w:trHeight w:val="408" w:hRule="atLeast"/>
          <w:jc w:val="center"/>
        </w:trPr>
        <w:tc>
          <w:tcPr>
            <w:tcW w:w="1242" w:type="dxa"/>
            <w:tcBorders>
              <w:top w:val="nil"/>
              <w:left w:val="single" w:color="auto" w:sz="4" w:space="0"/>
              <w:bottom w:val="single" w:color="auto" w:sz="4" w:space="0"/>
              <w:right w:val="single" w:color="auto" w:sz="4" w:space="0"/>
            </w:tcBorders>
            <w:noWrap/>
            <w:vAlign w:val="center"/>
          </w:tcPr>
          <w:p w14:paraId="6B3E552C">
            <w:pPr>
              <w:widowControl/>
              <w:jc w:val="center"/>
              <w:rPr>
                <w:rFonts w:ascii="宋体" w:hAnsi="宋体" w:cs="宋体"/>
                <w:color w:val="auto"/>
                <w:kern w:val="0"/>
                <w:szCs w:val="21"/>
                <w:highlight w:val="none"/>
              </w:rPr>
            </w:pPr>
            <w:r>
              <w:rPr>
                <w:rFonts w:ascii="宋体" w:hAnsi="宋体" w:cs="宋体"/>
                <w:color w:val="auto"/>
                <w:kern w:val="0"/>
                <w:szCs w:val="21"/>
                <w:highlight w:val="none"/>
              </w:rPr>
              <w:t>3</w:t>
            </w:r>
          </w:p>
        </w:tc>
        <w:tc>
          <w:tcPr>
            <w:tcW w:w="1744" w:type="dxa"/>
            <w:tcBorders>
              <w:top w:val="nil"/>
              <w:left w:val="nil"/>
              <w:bottom w:val="single" w:color="auto" w:sz="4" w:space="0"/>
              <w:right w:val="single" w:color="auto" w:sz="4" w:space="0"/>
            </w:tcBorders>
            <w:noWrap/>
            <w:vAlign w:val="center"/>
          </w:tcPr>
          <w:p w14:paraId="1517DF13">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549" w:type="dxa"/>
            <w:tcBorders>
              <w:top w:val="nil"/>
              <w:left w:val="nil"/>
              <w:bottom w:val="single" w:color="auto" w:sz="4" w:space="0"/>
              <w:right w:val="single" w:color="auto" w:sz="4" w:space="0"/>
            </w:tcBorders>
            <w:noWrap/>
            <w:vAlign w:val="center"/>
          </w:tcPr>
          <w:p w14:paraId="0EE9FD0F">
            <w:pPr>
              <w:widowControl/>
              <w:jc w:val="center"/>
              <w:rPr>
                <w:rFonts w:ascii="宋体" w:hAnsi="宋体" w:cs="宋体"/>
                <w:color w:val="auto"/>
                <w:kern w:val="0"/>
                <w:szCs w:val="21"/>
                <w:highlight w:val="none"/>
              </w:rPr>
            </w:pPr>
          </w:p>
        </w:tc>
        <w:tc>
          <w:tcPr>
            <w:tcW w:w="1417" w:type="dxa"/>
            <w:tcBorders>
              <w:top w:val="nil"/>
              <w:left w:val="nil"/>
              <w:bottom w:val="single" w:color="auto" w:sz="4" w:space="0"/>
              <w:right w:val="single" w:color="auto" w:sz="4" w:space="0"/>
            </w:tcBorders>
            <w:noWrap/>
            <w:vAlign w:val="center"/>
          </w:tcPr>
          <w:p w14:paraId="6E7E78B2">
            <w:pPr>
              <w:widowControl/>
              <w:jc w:val="center"/>
              <w:rPr>
                <w:rFonts w:ascii="宋体" w:hAnsi="宋体" w:cs="宋体"/>
                <w:color w:val="auto"/>
                <w:kern w:val="0"/>
                <w:szCs w:val="21"/>
                <w:highlight w:val="none"/>
              </w:rPr>
            </w:pPr>
          </w:p>
        </w:tc>
        <w:tc>
          <w:tcPr>
            <w:tcW w:w="3228" w:type="dxa"/>
            <w:tcBorders>
              <w:top w:val="nil"/>
              <w:left w:val="nil"/>
              <w:bottom w:val="single" w:color="auto" w:sz="4" w:space="0"/>
              <w:right w:val="single" w:color="auto" w:sz="4" w:space="0"/>
            </w:tcBorders>
            <w:noWrap/>
            <w:vAlign w:val="center"/>
          </w:tcPr>
          <w:p w14:paraId="71321E74">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r>
      <w:tr w14:paraId="47FC8BD7">
        <w:tblPrEx>
          <w:tblCellMar>
            <w:top w:w="0" w:type="dxa"/>
            <w:left w:w="108" w:type="dxa"/>
            <w:bottom w:w="0" w:type="dxa"/>
            <w:right w:w="108" w:type="dxa"/>
          </w:tblCellMar>
        </w:tblPrEx>
        <w:trPr>
          <w:trHeight w:val="408" w:hRule="atLeast"/>
          <w:jc w:val="center"/>
        </w:trPr>
        <w:tc>
          <w:tcPr>
            <w:tcW w:w="1242" w:type="dxa"/>
            <w:tcBorders>
              <w:top w:val="nil"/>
              <w:left w:val="single" w:color="auto" w:sz="4" w:space="0"/>
              <w:bottom w:val="single" w:color="auto" w:sz="4" w:space="0"/>
              <w:right w:val="single" w:color="auto" w:sz="4" w:space="0"/>
            </w:tcBorders>
            <w:noWrap/>
            <w:vAlign w:val="center"/>
          </w:tcPr>
          <w:p w14:paraId="2C935CF7">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4</w:t>
            </w:r>
          </w:p>
        </w:tc>
        <w:tc>
          <w:tcPr>
            <w:tcW w:w="1744" w:type="dxa"/>
            <w:tcBorders>
              <w:top w:val="nil"/>
              <w:left w:val="nil"/>
              <w:bottom w:val="single" w:color="auto" w:sz="4" w:space="0"/>
              <w:right w:val="single" w:color="auto" w:sz="4" w:space="0"/>
            </w:tcBorders>
            <w:noWrap/>
            <w:vAlign w:val="center"/>
          </w:tcPr>
          <w:p w14:paraId="36DCBA21">
            <w:pPr>
              <w:widowControl/>
              <w:jc w:val="center"/>
              <w:rPr>
                <w:rFonts w:ascii="宋体" w:hAnsi="宋体" w:cs="宋体"/>
                <w:color w:val="auto"/>
                <w:kern w:val="0"/>
                <w:szCs w:val="21"/>
                <w:highlight w:val="none"/>
              </w:rPr>
            </w:pPr>
          </w:p>
        </w:tc>
        <w:tc>
          <w:tcPr>
            <w:tcW w:w="1549" w:type="dxa"/>
            <w:tcBorders>
              <w:top w:val="nil"/>
              <w:left w:val="nil"/>
              <w:bottom w:val="single" w:color="auto" w:sz="4" w:space="0"/>
              <w:right w:val="single" w:color="auto" w:sz="4" w:space="0"/>
            </w:tcBorders>
            <w:noWrap/>
            <w:vAlign w:val="center"/>
          </w:tcPr>
          <w:p w14:paraId="09BADD86">
            <w:pPr>
              <w:widowControl/>
              <w:jc w:val="center"/>
              <w:rPr>
                <w:rFonts w:ascii="宋体" w:hAnsi="宋体" w:cs="宋体"/>
                <w:color w:val="auto"/>
                <w:kern w:val="0"/>
                <w:szCs w:val="21"/>
                <w:highlight w:val="none"/>
              </w:rPr>
            </w:pPr>
          </w:p>
        </w:tc>
        <w:tc>
          <w:tcPr>
            <w:tcW w:w="1417" w:type="dxa"/>
            <w:tcBorders>
              <w:top w:val="nil"/>
              <w:left w:val="nil"/>
              <w:bottom w:val="single" w:color="auto" w:sz="4" w:space="0"/>
              <w:right w:val="single" w:color="auto" w:sz="4" w:space="0"/>
            </w:tcBorders>
            <w:noWrap/>
            <w:vAlign w:val="center"/>
          </w:tcPr>
          <w:p w14:paraId="19B815DF">
            <w:pPr>
              <w:widowControl/>
              <w:jc w:val="center"/>
              <w:rPr>
                <w:rFonts w:ascii="宋体" w:hAnsi="宋体" w:cs="宋体"/>
                <w:color w:val="auto"/>
                <w:kern w:val="0"/>
                <w:szCs w:val="21"/>
                <w:highlight w:val="none"/>
              </w:rPr>
            </w:pPr>
          </w:p>
        </w:tc>
        <w:tc>
          <w:tcPr>
            <w:tcW w:w="3228" w:type="dxa"/>
            <w:tcBorders>
              <w:top w:val="nil"/>
              <w:left w:val="nil"/>
              <w:bottom w:val="single" w:color="auto" w:sz="4" w:space="0"/>
              <w:right w:val="single" w:color="auto" w:sz="4" w:space="0"/>
            </w:tcBorders>
            <w:noWrap/>
            <w:vAlign w:val="center"/>
          </w:tcPr>
          <w:p w14:paraId="4ED6A792">
            <w:pPr>
              <w:widowControl/>
              <w:jc w:val="center"/>
              <w:rPr>
                <w:rFonts w:ascii="宋体" w:hAnsi="宋体" w:cs="宋体"/>
                <w:color w:val="auto"/>
                <w:kern w:val="0"/>
                <w:szCs w:val="21"/>
                <w:highlight w:val="none"/>
              </w:rPr>
            </w:pPr>
          </w:p>
        </w:tc>
      </w:tr>
      <w:tr w14:paraId="15AC557A">
        <w:tblPrEx>
          <w:tblCellMar>
            <w:top w:w="0" w:type="dxa"/>
            <w:left w:w="108" w:type="dxa"/>
            <w:bottom w:w="0" w:type="dxa"/>
            <w:right w:w="108" w:type="dxa"/>
          </w:tblCellMar>
        </w:tblPrEx>
        <w:trPr>
          <w:trHeight w:val="418" w:hRule="atLeast"/>
          <w:jc w:val="center"/>
        </w:trPr>
        <w:tc>
          <w:tcPr>
            <w:tcW w:w="1242" w:type="dxa"/>
            <w:tcBorders>
              <w:top w:val="nil"/>
              <w:left w:val="single" w:color="auto" w:sz="4" w:space="0"/>
              <w:bottom w:val="single" w:color="auto" w:sz="4" w:space="0"/>
              <w:right w:val="single" w:color="auto" w:sz="4" w:space="0"/>
            </w:tcBorders>
            <w:noWrap/>
            <w:vAlign w:val="center"/>
          </w:tcPr>
          <w:p w14:paraId="703A9F09">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w:t>
            </w:r>
          </w:p>
        </w:tc>
        <w:tc>
          <w:tcPr>
            <w:tcW w:w="1744" w:type="dxa"/>
            <w:tcBorders>
              <w:top w:val="nil"/>
              <w:left w:val="nil"/>
              <w:bottom w:val="single" w:color="auto" w:sz="4" w:space="0"/>
              <w:right w:val="single" w:color="auto" w:sz="4" w:space="0"/>
            </w:tcBorders>
            <w:noWrap/>
            <w:vAlign w:val="center"/>
          </w:tcPr>
          <w:p w14:paraId="1332D8D7">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549" w:type="dxa"/>
            <w:tcBorders>
              <w:top w:val="nil"/>
              <w:left w:val="nil"/>
              <w:bottom w:val="single" w:color="auto" w:sz="4" w:space="0"/>
              <w:right w:val="single" w:color="auto" w:sz="4" w:space="0"/>
            </w:tcBorders>
            <w:noWrap/>
            <w:vAlign w:val="center"/>
          </w:tcPr>
          <w:p w14:paraId="6C6B4716">
            <w:pPr>
              <w:widowControl/>
              <w:jc w:val="center"/>
              <w:rPr>
                <w:rFonts w:ascii="宋体" w:hAnsi="宋体" w:cs="宋体"/>
                <w:color w:val="auto"/>
                <w:kern w:val="0"/>
                <w:szCs w:val="21"/>
                <w:highlight w:val="none"/>
              </w:rPr>
            </w:pPr>
          </w:p>
        </w:tc>
        <w:tc>
          <w:tcPr>
            <w:tcW w:w="1417" w:type="dxa"/>
            <w:tcBorders>
              <w:top w:val="nil"/>
              <w:left w:val="nil"/>
              <w:bottom w:val="single" w:color="auto" w:sz="4" w:space="0"/>
              <w:right w:val="single" w:color="auto" w:sz="4" w:space="0"/>
            </w:tcBorders>
            <w:noWrap/>
            <w:vAlign w:val="center"/>
          </w:tcPr>
          <w:p w14:paraId="0814A9FC">
            <w:pPr>
              <w:widowControl/>
              <w:jc w:val="center"/>
              <w:rPr>
                <w:rFonts w:ascii="宋体" w:hAnsi="宋体" w:cs="宋体"/>
                <w:color w:val="auto"/>
                <w:kern w:val="0"/>
                <w:szCs w:val="21"/>
                <w:highlight w:val="none"/>
              </w:rPr>
            </w:pPr>
          </w:p>
        </w:tc>
        <w:tc>
          <w:tcPr>
            <w:tcW w:w="3228" w:type="dxa"/>
            <w:tcBorders>
              <w:top w:val="nil"/>
              <w:left w:val="nil"/>
              <w:bottom w:val="single" w:color="auto" w:sz="4" w:space="0"/>
              <w:right w:val="single" w:color="auto" w:sz="4" w:space="0"/>
            </w:tcBorders>
            <w:noWrap/>
            <w:vAlign w:val="center"/>
          </w:tcPr>
          <w:p w14:paraId="27F8BFD7">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r>
      <w:tr w14:paraId="1CE037EC">
        <w:tblPrEx>
          <w:tblCellMar>
            <w:top w:w="0" w:type="dxa"/>
            <w:left w:w="108" w:type="dxa"/>
            <w:bottom w:w="0" w:type="dxa"/>
            <w:right w:w="108" w:type="dxa"/>
          </w:tblCellMar>
        </w:tblPrEx>
        <w:trPr>
          <w:trHeight w:val="3787" w:hRule="atLeast"/>
          <w:jc w:val="center"/>
        </w:trPr>
        <w:tc>
          <w:tcPr>
            <w:tcW w:w="9180" w:type="dxa"/>
            <w:gridSpan w:val="5"/>
            <w:tcBorders>
              <w:top w:val="single" w:color="auto" w:sz="4" w:space="0"/>
              <w:left w:val="single" w:color="auto" w:sz="4" w:space="0"/>
              <w:bottom w:val="single" w:color="auto" w:sz="4" w:space="0"/>
              <w:right w:val="single" w:color="auto" w:sz="4" w:space="0"/>
            </w:tcBorders>
            <w:vAlign w:val="center"/>
          </w:tcPr>
          <w:p w14:paraId="3AE3741D">
            <w:pPr>
              <w:widowControl/>
              <w:spacing w:line="380" w:lineRule="exact"/>
              <w:rPr>
                <w:rFonts w:ascii="宋体" w:hAnsi="宋体" w:cs="宋体"/>
                <w:color w:val="auto"/>
                <w:kern w:val="0"/>
                <w:szCs w:val="21"/>
                <w:highlight w:val="none"/>
              </w:rPr>
            </w:pPr>
            <w:r>
              <w:rPr>
                <w:rFonts w:hint="eastAsia" w:ascii="宋体" w:hAnsi="宋体" w:cs="宋体"/>
                <w:color w:val="auto"/>
                <w:kern w:val="0"/>
                <w:szCs w:val="21"/>
                <w:highlight w:val="none"/>
              </w:rPr>
              <w:t>备注：</w:t>
            </w:r>
            <w:r>
              <w:rPr>
                <w:rFonts w:ascii="宋体" w:hAnsi="宋体" w:cs="宋体"/>
                <w:color w:val="auto"/>
                <w:kern w:val="0"/>
                <w:szCs w:val="21"/>
                <w:highlight w:val="none"/>
              </w:rPr>
              <w:t>1、“岗位”要求</w:t>
            </w:r>
            <w:r>
              <w:rPr>
                <w:rFonts w:hint="eastAsia" w:ascii="宋体" w:hAnsi="宋体" w:cs="宋体"/>
                <w:b/>
                <w:bCs/>
                <w:color w:val="auto"/>
                <w:kern w:val="0"/>
                <w:szCs w:val="21"/>
                <w:highlight w:val="none"/>
              </w:rPr>
              <w:t>（除项目负责人和专职安全员外）</w:t>
            </w:r>
            <w:r>
              <w:rPr>
                <w:rFonts w:hint="eastAsia" w:ascii="宋体" w:hAnsi="宋体" w:cs="宋体"/>
                <w:color w:val="auto"/>
                <w:kern w:val="0"/>
                <w:szCs w:val="21"/>
                <w:highlight w:val="none"/>
              </w:rPr>
              <w:t>由招标人根据项目管理需要在本表备注中明确提出，如：拟派驻施工现场的技术负责人、质量负责人、安全负责人、造价负责人、工民建（建筑、土木）工程师、机电工程师、暖通工程师、给排水工程师、施工员、质量员、安全员、资料员等。以上项目管理团队人员信息将由交易系统提取后供各相关单位在履约时比对、查核。</w:t>
            </w:r>
          </w:p>
          <w:p w14:paraId="50EDEF24">
            <w:pPr>
              <w:widowControl/>
              <w:spacing w:line="380" w:lineRule="exact"/>
              <w:rPr>
                <w:rFonts w:ascii="宋体" w:hAnsi="宋体" w:cs="宋体"/>
                <w:color w:val="auto"/>
                <w:kern w:val="0"/>
                <w:szCs w:val="21"/>
                <w:highlight w:val="none"/>
              </w:rPr>
            </w:pPr>
            <w:r>
              <w:rPr>
                <w:rFonts w:ascii="宋体" w:hAnsi="宋体" w:cs="宋体"/>
                <w:color w:val="auto"/>
                <w:kern w:val="0"/>
                <w:szCs w:val="21"/>
                <w:highlight w:val="none"/>
              </w:rPr>
              <w:t>2、投标人应根据本表备注中的“岗位”要求，填写本表“岗位”栏和相关人员“姓名”、“职称”和“职称证书编号”栏。“职称”栏填“高级”、“中级”、“初级”或“无”；无职称证书或资格证书的，“职称证书或资格证书编号”栏填“无”；同时具备职称证书和资格证书的，“职称证书或资格证书编号”栏填职称证书编号。投标人完整填写相关表格内容后，投标登记方能成功(投标截止时间前可以补充、修改、替代)。</w:t>
            </w:r>
          </w:p>
          <w:p w14:paraId="228AD4B5">
            <w:pPr>
              <w:widowControl/>
              <w:spacing w:line="380" w:lineRule="exact"/>
              <w:rPr>
                <w:rFonts w:ascii="宋体" w:hAnsi="宋体" w:cs="宋体"/>
                <w:color w:val="auto"/>
                <w:kern w:val="0"/>
                <w:szCs w:val="21"/>
                <w:highlight w:val="none"/>
              </w:rPr>
            </w:pPr>
            <w:r>
              <w:rPr>
                <w:rFonts w:ascii="宋体" w:hAnsi="宋体" w:cs="宋体"/>
                <w:color w:val="auto"/>
                <w:kern w:val="0"/>
                <w:szCs w:val="21"/>
                <w:highlight w:val="none"/>
              </w:rPr>
              <w:t>3、如评标办法对投标人拟投入的项目管理团队进行评审的，如相同岗位投入人员姓名与本表不一致的，以本表中姓名为准；投标人提供的团队人员职称或资格（含证书编号）情况与本表不一致的，以投标人提供的相关证明材料为准。</w:t>
            </w:r>
          </w:p>
        </w:tc>
      </w:tr>
    </w:tbl>
    <w:p w14:paraId="298CD20F">
      <w:pPr>
        <w:topLinePunct/>
        <w:adjustRightInd w:val="0"/>
        <w:snapToGrid w:val="0"/>
        <w:spacing w:line="360" w:lineRule="auto"/>
        <w:rPr>
          <w:rFonts w:ascii="宋体" w:hAnsi="宋体" w:cs="宋体"/>
          <w:color w:val="auto"/>
          <w:spacing w:val="4"/>
          <w:kern w:val="0"/>
          <w:sz w:val="22"/>
          <w:highlight w:val="none"/>
        </w:rPr>
      </w:pPr>
      <w:r>
        <w:rPr>
          <w:rFonts w:hint="eastAsia" w:ascii="宋体" w:hAnsi="宋体" w:cs="宋体"/>
          <w:color w:val="auto"/>
          <w:spacing w:val="4"/>
          <w:kern w:val="0"/>
          <w:sz w:val="22"/>
          <w:highlight w:val="none"/>
        </w:rPr>
        <w:t>注：</w:t>
      </w:r>
    </w:p>
    <w:p w14:paraId="4299B215">
      <w:pPr>
        <w:topLinePunct/>
        <w:adjustRightInd w:val="0"/>
        <w:snapToGrid w:val="0"/>
        <w:spacing w:line="360" w:lineRule="auto"/>
        <w:rPr>
          <w:rFonts w:ascii="宋体" w:hAnsi="宋体" w:cs="宋体"/>
          <w:color w:val="auto"/>
          <w:spacing w:val="4"/>
          <w:kern w:val="0"/>
          <w:sz w:val="22"/>
          <w:highlight w:val="none"/>
        </w:rPr>
      </w:pPr>
      <w:r>
        <w:rPr>
          <w:rFonts w:hint="eastAsia" w:ascii="宋体" w:hAnsi="宋体" w:cs="宋体"/>
          <w:color w:val="auto"/>
          <w:spacing w:val="4"/>
          <w:kern w:val="0"/>
          <w:sz w:val="22"/>
          <w:highlight w:val="none"/>
        </w:rPr>
        <w:t>1.本表投标人视本工程具体情况结合招标人对本工程的具体要求自行配备。</w:t>
      </w:r>
    </w:p>
    <w:p w14:paraId="0706F94C">
      <w:pPr>
        <w:topLinePunct/>
        <w:adjustRightInd w:val="0"/>
        <w:snapToGrid w:val="0"/>
        <w:spacing w:line="360" w:lineRule="auto"/>
        <w:rPr>
          <w:rFonts w:ascii="宋体" w:hAnsi="宋体" w:cs="宋体"/>
          <w:color w:val="auto"/>
          <w:spacing w:val="4"/>
          <w:kern w:val="0"/>
          <w:sz w:val="22"/>
          <w:highlight w:val="none"/>
        </w:rPr>
      </w:pPr>
      <w:r>
        <w:rPr>
          <w:rFonts w:hint="eastAsia" w:ascii="宋体" w:hAnsi="宋体" w:cs="宋体"/>
          <w:color w:val="auto"/>
          <w:spacing w:val="4"/>
          <w:kern w:val="0"/>
          <w:sz w:val="22"/>
          <w:highlight w:val="none"/>
        </w:rPr>
        <w:t>2.上述人员须为投标单位人员，并须提供</w:t>
      </w:r>
      <w:r>
        <w:rPr>
          <w:rFonts w:ascii="宋体" w:hAnsi="宋体" w:cs="宋体"/>
          <w:b/>
          <w:color w:val="auto"/>
          <w:spacing w:val="4"/>
          <w:kern w:val="0"/>
          <w:sz w:val="22"/>
          <w:highlight w:val="none"/>
        </w:rPr>
        <w:t>2025年</w:t>
      </w:r>
      <w:r>
        <w:rPr>
          <w:rFonts w:hint="eastAsia" w:ascii="宋体" w:hAnsi="宋体" w:cs="宋体"/>
          <w:b/>
          <w:color w:val="auto"/>
          <w:spacing w:val="4"/>
          <w:kern w:val="0"/>
          <w:sz w:val="22"/>
          <w:highlight w:val="none"/>
          <w:lang w:val="en-US" w:eastAsia="zh-CN"/>
        </w:rPr>
        <w:t>10</w:t>
      </w:r>
      <w:r>
        <w:rPr>
          <w:rFonts w:hint="eastAsia" w:ascii="宋体" w:hAnsi="宋体" w:cs="宋体"/>
          <w:b/>
          <w:color w:val="auto"/>
          <w:spacing w:val="4"/>
          <w:kern w:val="0"/>
          <w:sz w:val="22"/>
          <w:highlight w:val="none"/>
          <w:lang w:eastAsia="zh-CN"/>
        </w:rPr>
        <w:t>月或</w:t>
      </w:r>
      <w:r>
        <w:rPr>
          <w:rFonts w:hint="eastAsia" w:ascii="宋体" w:hAnsi="宋体" w:cs="宋体"/>
          <w:b/>
          <w:color w:val="auto"/>
          <w:spacing w:val="4"/>
          <w:kern w:val="0"/>
          <w:sz w:val="22"/>
          <w:highlight w:val="none"/>
          <w:lang w:val="en-US" w:eastAsia="zh-CN"/>
        </w:rPr>
        <w:t>11</w:t>
      </w:r>
      <w:r>
        <w:rPr>
          <w:rFonts w:hint="eastAsia" w:ascii="宋体" w:hAnsi="宋体" w:cs="宋体"/>
          <w:b/>
          <w:color w:val="auto"/>
          <w:spacing w:val="4"/>
          <w:kern w:val="0"/>
          <w:sz w:val="22"/>
          <w:highlight w:val="none"/>
          <w:lang w:eastAsia="zh-CN"/>
        </w:rPr>
        <w:t>月</w:t>
      </w:r>
      <w:r>
        <w:rPr>
          <w:rFonts w:hint="eastAsia" w:ascii="宋体" w:hAnsi="宋体" w:cs="宋体"/>
          <w:color w:val="auto"/>
          <w:spacing w:val="4"/>
          <w:kern w:val="0"/>
          <w:sz w:val="22"/>
          <w:highlight w:val="none"/>
        </w:rPr>
        <w:t>在本公司缴纳社保的有效社保证明。</w:t>
      </w:r>
    </w:p>
    <w:p w14:paraId="38EC70DE">
      <w:pPr>
        <w:topLinePunct/>
        <w:adjustRightInd w:val="0"/>
        <w:snapToGrid w:val="0"/>
        <w:spacing w:line="360" w:lineRule="auto"/>
        <w:rPr>
          <w:rFonts w:ascii="宋体" w:hAnsi="宋体" w:cs="宋体"/>
          <w:color w:val="auto"/>
          <w:spacing w:val="4"/>
          <w:kern w:val="0"/>
          <w:sz w:val="22"/>
          <w:highlight w:val="none"/>
        </w:rPr>
      </w:pPr>
      <w:r>
        <w:rPr>
          <w:rFonts w:hint="eastAsia" w:ascii="宋体" w:hAnsi="宋体" w:cs="宋体"/>
          <w:color w:val="auto"/>
          <w:spacing w:val="4"/>
          <w:kern w:val="0"/>
          <w:sz w:val="22"/>
          <w:highlight w:val="none"/>
        </w:rPr>
        <w:t>3.上述人员须按招标公告相应要求提供相关证明资料。</w:t>
      </w:r>
    </w:p>
    <w:p w14:paraId="20A88C32">
      <w:pPr>
        <w:topLinePunct/>
        <w:adjustRightInd w:val="0"/>
        <w:snapToGrid w:val="0"/>
        <w:spacing w:line="360" w:lineRule="auto"/>
        <w:rPr>
          <w:rFonts w:ascii="宋体" w:hAnsi="宋体" w:cs="宋体"/>
          <w:color w:val="auto"/>
          <w:spacing w:val="4"/>
          <w:kern w:val="0"/>
          <w:sz w:val="22"/>
          <w:highlight w:val="none"/>
        </w:rPr>
      </w:pPr>
      <w:r>
        <w:rPr>
          <w:rFonts w:hint="eastAsia" w:ascii="宋体" w:hAnsi="宋体" w:cs="宋体"/>
          <w:color w:val="auto"/>
          <w:spacing w:val="4"/>
          <w:kern w:val="0"/>
          <w:sz w:val="22"/>
          <w:highlight w:val="none"/>
        </w:rPr>
        <w:t>4.本表中填报的所有人员均需接《主要人员简历表》格式要求提交《主要人员简历表》。</w:t>
      </w:r>
    </w:p>
    <w:p w14:paraId="088504C2">
      <w:pPr>
        <w:topLinePunct/>
        <w:adjustRightInd w:val="0"/>
        <w:snapToGrid w:val="0"/>
        <w:spacing w:line="360" w:lineRule="auto"/>
        <w:ind w:firstLine="3596" w:firstLineChars="1450"/>
        <w:rPr>
          <w:rFonts w:ascii="宋体" w:hAnsi="宋体" w:cs="宋体"/>
          <w:color w:val="auto"/>
          <w:spacing w:val="4"/>
          <w:kern w:val="0"/>
          <w:sz w:val="24"/>
          <w:szCs w:val="24"/>
          <w:highlight w:val="none"/>
        </w:rPr>
      </w:pPr>
    </w:p>
    <w:p w14:paraId="6957018F">
      <w:pPr>
        <w:topLinePunct/>
        <w:adjustRightInd w:val="0"/>
        <w:snapToGrid w:val="0"/>
        <w:spacing w:line="360" w:lineRule="auto"/>
        <w:ind w:firstLine="3596" w:firstLineChars="1450"/>
        <w:rPr>
          <w:rFonts w:ascii="宋体" w:hAnsi="宋体" w:cs="宋体"/>
          <w:color w:val="auto"/>
          <w:spacing w:val="4"/>
          <w:kern w:val="0"/>
          <w:sz w:val="24"/>
          <w:szCs w:val="24"/>
          <w:highlight w:val="none"/>
        </w:rPr>
      </w:pPr>
      <w:r>
        <w:rPr>
          <w:rFonts w:hint="eastAsia" w:ascii="宋体" w:hAnsi="宋体" w:cs="宋体"/>
          <w:color w:val="auto"/>
          <w:spacing w:val="4"/>
          <w:kern w:val="0"/>
          <w:sz w:val="24"/>
          <w:szCs w:val="24"/>
          <w:highlight w:val="none"/>
        </w:rPr>
        <w:t>投标人（盖章）：</w:t>
      </w:r>
    </w:p>
    <w:p w14:paraId="71A13593">
      <w:pPr>
        <w:topLinePunct/>
        <w:adjustRightInd w:val="0"/>
        <w:snapToGrid w:val="0"/>
        <w:spacing w:line="360" w:lineRule="auto"/>
        <w:ind w:firstLine="3596" w:firstLineChars="1450"/>
        <w:rPr>
          <w:rFonts w:ascii="宋体" w:hAnsi="宋体" w:cs="宋体"/>
          <w:color w:val="auto"/>
          <w:spacing w:val="4"/>
          <w:kern w:val="0"/>
          <w:sz w:val="24"/>
          <w:szCs w:val="24"/>
          <w:highlight w:val="none"/>
        </w:rPr>
      </w:pPr>
      <w:r>
        <w:rPr>
          <w:rFonts w:hint="eastAsia" w:ascii="宋体" w:hAnsi="宋体" w:cs="宋体"/>
          <w:color w:val="auto"/>
          <w:spacing w:val="4"/>
          <w:kern w:val="0"/>
          <w:sz w:val="24"/>
          <w:szCs w:val="24"/>
          <w:highlight w:val="none"/>
        </w:rPr>
        <w:t>日期：     年   月   日</w:t>
      </w:r>
    </w:p>
    <w:p w14:paraId="09195CE2">
      <w:pP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br w:type="page"/>
      </w:r>
    </w:p>
    <w:p w14:paraId="50BFED23">
      <w:pPr>
        <w:pStyle w:val="17"/>
        <w:snapToGrid w:val="0"/>
        <w:spacing w:line="360" w:lineRule="auto"/>
        <w:rPr>
          <w:rFonts w:hAnsi="宋体" w:cs="宋体"/>
          <w:color w:val="auto"/>
          <w:sz w:val="24"/>
          <w:szCs w:val="24"/>
          <w:highlight w:val="none"/>
        </w:rPr>
      </w:pPr>
      <w:r>
        <w:rPr>
          <w:rFonts w:hint="eastAsia" w:hAnsi="宋体" w:cs="宋体"/>
          <w:color w:val="auto"/>
          <w:sz w:val="24"/>
          <w:szCs w:val="24"/>
          <w:highlight w:val="none"/>
        </w:rPr>
        <w:t>技术标</w:t>
      </w:r>
      <w:r>
        <w:rPr>
          <w:rFonts w:hint="eastAsia" w:hAnsi="宋体" w:cs="宋体"/>
          <w:bCs/>
          <w:color w:val="auto"/>
          <w:sz w:val="24"/>
          <w:szCs w:val="24"/>
          <w:highlight w:val="none"/>
        </w:rPr>
        <w:t>格式七</w:t>
      </w:r>
    </w:p>
    <w:p w14:paraId="4BE72EFC">
      <w:pPr>
        <w:topLinePunct/>
        <w:adjustRightInd w:val="0"/>
        <w:snapToGrid w:val="0"/>
        <w:spacing w:line="360" w:lineRule="auto"/>
        <w:jc w:val="center"/>
        <w:rPr>
          <w:rFonts w:ascii="宋体" w:hAnsi="宋体" w:cs="宋体"/>
          <w:bCs/>
          <w:color w:val="auto"/>
          <w:spacing w:val="4"/>
          <w:kern w:val="0"/>
          <w:sz w:val="24"/>
          <w:szCs w:val="24"/>
          <w:highlight w:val="none"/>
        </w:rPr>
      </w:pPr>
    </w:p>
    <w:p w14:paraId="5B7FC9A7">
      <w:pPr>
        <w:topLinePunct/>
        <w:adjustRightInd w:val="0"/>
        <w:snapToGrid w:val="0"/>
        <w:spacing w:line="360" w:lineRule="auto"/>
        <w:jc w:val="center"/>
        <w:rPr>
          <w:rFonts w:ascii="宋体" w:hAnsi="宋体" w:cs="宋体"/>
          <w:b/>
          <w:color w:val="auto"/>
          <w:spacing w:val="4"/>
          <w:kern w:val="0"/>
          <w:sz w:val="36"/>
          <w:szCs w:val="36"/>
          <w:highlight w:val="none"/>
        </w:rPr>
      </w:pPr>
      <w:r>
        <w:rPr>
          <w:rFonts w:hint="eastAsia" w:ascii="宋体" w:hAnsi="宋体" w:cs="宋体"/>
          <w:b/>
          <w:color w:val="auto"/>
          <w:spacing w:val="4"/>
          <w:kern w:val="0"/>
          <w:sz w:val="36"/>
          <w:szCs w:val="36"/>
          <w:highlight w:val="none"/>
        </w:rPr>
        <w:t>主要人员简历表</w:t>
      </w:r>
    </w:p>
    <w:p w14:paraId="5BC017E1">
      <w:pPr>
        <w:topLinePunct/>
        <w:adjustRightInd w:val="0"/>
        <w:snapToGrid w:val="0"/>
        <w:spacing w:line="360" w:lineRule="auto"/>
        <w:rPr>
          <w:rFonts w:ascii="宋体" w:hAnsi="宋体" w:cs="宋体"/>
          <w:color w:val="auto"/>
          <w:spacing w:val="4"/>
          <w:kern w:val="0"/>
          <w:sz w:val="24"/>
          <w:szCs w:val="24"/>
          <w:highlight w:val="none"/>
        </w:rPr>
      </w:pPr>
      <w:r>
        <w:rPr>
          <w:rFonts w:hint="eastAsia" w:ascii="宋体" w:hAnsi="宋体" w:cs="宋体"/>
          <w:color w:val="auto"/>
          <w:spacing w:val="4"/>
          <w:kern w:val="0"/>
          <w:sz w:val="24"/>
          <w:szCs w:val="24"/>
          <w:highlight w:val="none"/>
        </w:rPr>
        <w:t>工程名称：</w:t>
      </w:r>
    </w:p>
    <w:tbl>
      <w:tblPr>
        <w:tblStyle w:val="33"/>
        <w:tblW w:w="5000" w:type="pct"/>
        <w:jc w:val="center"/>
        <w:tblCellSpacing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60" w:type="dxa"/>
          <w:left w:w="60" w:type="dxa"/>
          <w:bottom w:w="60" w:type="dxa"/>
          <w:right w:w="60" w:type="dxa"/>
        </w:tblCellMar>
      </w:tblPr>
      <w:tblGrid>
        <w:gridCol w:w="1103"/>
        <w:gridCol w:w="1359"/>
        <w:gridCol w:w="932"/>
        <w:gridCol w:w="521"/>
        <w:gridCol w:w="197"/>
        <w:gridCol w:w="1389"/>
        <w:gridCol w:w="1013"/>
        <w:gridCol w:w="1297"/>
        <w:gridCol w:w="1399"/>
      </w:tblGrid>
      <w:tr w14:paraId="0F830B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60" w:type="dxa"/>
            <w:left w:w="60" w:type="dxa"/>
            <w:bottom w:w="60" w:type="dxa"/>
            <w:right w:w="60" w:type="dxa"/>
          </w:tblCellMar>
        </w:tblPrEx>
        <w:trPr>
          <w:trHeight w:val="720" w:hRule="atLeast"/>
          <w:tblCellSpacing w:w="0" w:type="dxa"/>
          <w:jc w:val="center"/>
        </w:trPr>
        <w:tc>
          <w:tcPr>
            <w:tcW w:w="599" w:type="pct"/>
            <w:tcBorders>
              <w:tl2br w:val="nil"/>
              <w:tr2bl w:val="nil"/>
            </w:tcBorders>
            <w:noWrap/>
            <w:vAlign w:val="center"/>
          </w:tcPr>
          <w:p w14:paraId="7407BA55">
            <w:pPr>
              <w:snapToGrid w:val="0"/>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姓名</w:t>
            </w:r>
          </w:p>
        </w:tc>
        <w:tc>
          <w:tcPr>
            <w:tcW w:w="737" w:type="pct"/>
            <w:tcBorders>
              <w:tl2br w:val="nil"/>
              <w:tr2bl w:val="nil"/>
            </w:tcBorders>
            <w:noWrap/>
            <w:vAlign w:val="center"/>
          </w:tcPr>
          <w:p w14:paraId="1FFA2C5B">
            <w:pPr>
              <w:snapToGrid w:val="0"/>
              <w:spacing w:line="360" w:lineRule="auto"/>
              <w:jc w:val="left"/>
              <w:rPr>
                <w:rFonts w:ascii="宋体" w:hAnsi="宋体" w:cs="宋体"/>
                <w:color w:val="auto"/>
                <w:sz w:val="24"/>
                <w:szCs w:val="24"/>
                <w:highlight w:val="none"/>
              </w:rPr>
            </w:pPr>
          </w:p>
        </w:tc>
        <w:tc>
          <w:tcPr>
            <w:tcW w:w="506" w:type="pct"/>
            <w:tcBorders>
              <w:tl2br w:val="nil"/>
              <w:tr2bl w:val="nil"/>
            </w:tcBorders>
            <w:noWrap/>
            <w:vAlign w:val="center"/>
          </w:tcPr>
          <w:p w14:paraId="0901F5B1">
            <w:pPr>
              <w:snapToGrid w:val="0"/>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性别</w:t>
            </w:r>
          </w:p>
        </w:tc>
        <w:tc>
          <w:tcPr>
            <w:tcW w:w="1144" w:type="pct"/>
            <w:gridSpan w:val="3"/>
            <w:tcBorders>
              <w:tl2br w:val="nil"/>
              <w:tr2bl w:val="nil"/>
            </w:tcBorders>
            <w:noWrap/>
            <w:vAlign w:val="center"/>
          </w:tcPr>
          <w:p w14:paraId="25A3E554">
            <w:pPr>
              <w:snapToGrid w:val="0"/>
              <w:spacing w:line="360" w:lineRule="auto"/>
              <w:jc w:val="left"/>
              <w:rPr>
                <w:rFonts w:ascii="宋体" w:hAnsi="宋体" w:cs="宋体"/>
                <w:color w:val="auto"/>
                <w:sz w:val="24"/>
                <w:szCs w:val="24"/>
                <w:highlight w:val="none"/>
              </w:rPr>
            </w:pPr>
          </w:p>
        </w:tc>
        <w:tc>
          <w:tcPr>
            <w:tcW w:w="1254" w:type="pct"/>
            <w:gridSpan w:val="2"/>
            <w:tcBorders>
              <w:tl2br w:val="nil"/>
              <w:tr2bl w:val="nil"/>
            </w:tcBorders>
            <w:noWrap/>
            <w:vAlign w:val="center"/>
          </w:tcPr>
          <w:p w14:paraId="7A0330D5">
            <w:pPr>
              <w:snapToGrid w:val="0"/>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年龄</w:t>
            </w:r>
          </w:p>
        </w:tc>
        <w:tc>
          <w:tcPr>
            <w:tcW w:w="757" w:type="pct"/>
            <w:tcBorders>
              <w:tl2br w:val="nil"/>
              <w:tr2bl w:val="nil"/>
            </w:tcBorders>
            <w:noWrap/>
            <w:vAlign w:val="center"/>
          </w:tcPr>
          <w:p w14:paraId="5F8D9FB8">
            <w:pPr>
              <w:snapToGrid w:val="0"/>
              <w:spacing w:line="360" w:lineRule="auto"/>
              <w:jc w:val="left"/>
              <w:rPr>
                <w:rFonts w:ascii="宋体" w:hAnsi="宋体" w:cs="宋体"/>
                <w:color w:val="auto"/>
                <w:sz w:val="24"/>
                <w:szCs w:val="24"/>
                <w:highlight w:val="none"/>
              </w:rPr>
            </w:pPr>
          </w:p>
        </w:tc>
      </w:tr>
      <w:tr w14:paraId="016230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60" w:type="dxa"/>
            <w:left w:w="60" w:type="dxa"/>
            <w:bottom w:w="60" w:type="dxa"/>
            <w:right w:w="60" w:type="dxa"/>
          </w:tblCellMar>
        </w:tblPrEx>
        <w:trPr>
          <w:trHeight w:val="735" w:hRule="atLeast"/>
          <w:tblCellSpacing w:w="0" w:type="dxa"/>
          <w:jc w:val="center"/>
        </w:trPr>
        <w:tc>
          <w:tcPr>
            <w:tcW w:w="599" w:type="pct"/>
            <w:tcBorders>
              <w:tl2br w:val="nil"/>
              <w:tr2bl w:val="nil"/>
            </w:tcBorders>
            <w:noWrap/>
            <w:vAlign w:val="center"/>
          </w:tcPr>
          <w:p w14:paraId="71084DED">
            <w:pPr>
              <w:snapToGrid w:val="0"/>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职务</w:t>
            </w:r>
          </w:p>
        </w:tc>
        <w:tc>
          <w:tcPr>
            <w:tcW w:w="737" w:type="pct"/>
            <w:tcBorders>
              <w:tl2br w:val="nil"/>
              <w:tr2bl w:val="nil"/>
            </w:tcBorders>
            <w:noWrap/>
            <w:vAlign w:val="center"/>
          </w:tcPr>
          <w:p w14:paraId="127B2B80">
            <w:pPr>
              <w:snapToGrid w:val="0"/>
              <w:spacing w:line="360" w:lineRule="auto"/>
              <w:jc w:val="left"/>
              <w:rPr>
                <w:rFonts w:ascii="宋体" w:hAnsi="宋体" w:cs="宋体"/>
                <w:color w:val="auto"/>
                <w:sz w:val="24"/>
                <w:szCs w:val="24"/>
                <w:highlight w:val="none"/>
              </w:rPr>
            </w:pPr>
          </w:p>
        </w:tc>
        <w:tc>
          <w:tcPr>
            <w:tcW w:w="506" w:type="pct"/>
            <w:tcBorders>
              <w:tl2br w:val="nil"/>
              <w:tr2bl w:val="nil"/>
            </w:tcBorders>
            <w:noWrap/>
            <w:vAlign w:val="center"/>
          </w:tcPr>
          <w:p w14:paraId="37958AA9">
            <w:pPr>
              <w:snapToGrid w:val="0"/>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职称</w:t>
            </w:r>
          </w:p>
        </w:tc>
        <w:tc>
          <w:tcPr>
            <w:tcW w:w="1144" w:type="pct"/>
            <w:gridSpan w:val="3"/>
            <w:tcBorders>
              <w:tl2br w:val="nil"/>
              <w:tr2bl w:val="nil"/>
            </w:tcBorders>
            <w:noWrap/>
            <w:vAlign w:val="center"/>
          </w:tcPr>
          <w:p w14:paraId="3F3ECDDB">
            <w:pPr>
              <w:snapToGrid w:val="0"/>
              <w:spacing w:line="360" w:lineRule="auto"/>
              <w:jc w:val="left"/>
              <w:rPr>
                <w:rFonts w:ascii="宋体" w:hAnsi="宋体" w:cs="宋体"/>
                <w:color w:val="auto"/>
                <w:sz w:val="24"/>
                <w:szCs w:val="24"/>
                <w:highlight w:val="none"/>
              </w:rPr>
            </w:pPr>
          </w:p>
        </w:tc>
        <w:tc>
          <w:tcPr>
            <w:tcW w:w="1254" w:type="pct"/>
            <w:gridSpan w:val="2"/>
            <w:tcBorders>
              <w:tl2br w:val="nil"/>
              <w:tr2bl w:val="nil"/>
            </w:tcBorders>
            <w:noWrap/>
            <w:vAlign w:val="center"/>
          </w:tcPr>
          <w:p w14:paraId="4829F48F">
            <w:pPr>
              <w:snapToGrid w:val="0"/>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学历</w:t>
            </w:r>
          </w:p>
        </w:tc>
        <w:tc>
          <w:tcPr>
            <w:tcW w:w="757" w:type="pct"/>
            <w:tcBorders>
              <w:tl2br w:val="nil"/>
              <w:tr2bl w:val="nil"/>
            </w:tcBorders>
            <w:noWrap/>
            <w:vAlign w:val="center"/>
          </w:tcPr>
          <w:p w14:paraId="61CF6E79">
            <w:pPr>
              <w:snapToGrid w:val="0"/>
              <w:spacing w:line="360" w:lineRule="auto"/>
              <w:jc w:val="left"/>
              <w:rPr>
                <w:rFonts w:ascii="宋体" w:hAnsi="宋体" w:cs="宋体"/>
                <w:color w:val="auto"/>
                <w:sz w:val="24"/>
                <w:szCs w:val="24"/>
                <w:highlight w:val="none"/>
              </w:rPr>
            </w:pPr>
          </w:p>
        </w:tc>
      </w:tr>
      <w:tr w14:paraId="1C7364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60" w:type="dxa"/>
            <w:left w:w="60" w:type="dxa"/>
            <w:bottom w:w="60" w:type="dxa"/>
            <w:right w:w="60" w:type="dxa"/>
          </w:tblCellMar>
        </w:tblPrEx>
        <w:trPr>
          <w:trHeight w:val="735" w:hRule="atLeast"/>
          <w:tblCellSpacing w:w="0" w:type="dxa"/>
          <w:jc w:val="center"/>
        </w:trPr>
        <w:tc>
          <w:tcPr>
            <w:tcW w:w="1337" w:type="pct"/>
            <w:gridSpan w:val="2"/>
            <w:tcBorders>
              <w:tl2br w:val="nil"/>
              <w:tr2bl w:val="nil"/>
            </w:tcBorders>
            <w:noWrap/>
            <w:vAlign w:val="center"/>
          </w:tcPr>
          <w:p w14:paraId="02F64D39">
            <w:pPr>
              <w:snapToGrid w:val="0"/>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参加工作时间</w:t>
            </w:r>
          </w:p>
        </w:tc>
        <w:tc>
          <w:tcPr>
            <w:tcW w:w="896" w:type="pct"/>
            <w:gridSpan w:val="3"/>
            <w:tcBorders>
              <w:tl2br w:val="nil"/>
              <w:tr2bl w:val="nil"/>
            </w:tcBorders>
            <w:noWrap/>
            <w:vAlign w:val="center"/>
          </w:tcPr>
          <w:p w14:paraId="15F0B7CD">
            <w:pPr>
              <w:snapToGrid w:val="0"/>
              <w:spacing w:line="360" w:lineRule="auto"/>
              <w:jc w:val="left"/>
              <w:rPr>
                <w:rFonts w:ascii="宋体" w:hAnsi="宋体" w:cs="宋体"/>
                <w:color w:val="auto"/>
                <w:sz w:val="24"/>
                <w:szCs w:val="24"/>
                <w:highlight w:val="none"/>
              </w:rPr>
            </w:pPr>
          </w:p>
        </w:tc>
        <w:tc>
          <w:tcPr>
            <w:tcW w:w="1304" w:type="pct"/>
            <w:gridSpan w:val="2"/>
            <w:tcBorders>
              <w:tl2br w:val="nil"/>
              <w:tr2bl w:val="nil"/>
            </w:tcBorders>
            <w:noWrap/>
            <w:vAlign w:val="center"/>
          </w:tcPr>
          <w:p w14:paraId="2E78D8E2">
            <w:pPr>
              <w:snapToGrid w:val="0"/>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担任相应职务年限</w:t>
            </w:r>
          </w:p>
        </w:tc>
        <w:tc>
          <w:tcPr>
            <w:tcW w:w="1462" w:type="pct"/>
            <w:gridSpan w:val="2"/>
            <w:tcBorders>
              <w:tl2br w:val="nil"/>
              <w:tr2bl w:val="nil"/>
            </w:tcBorders>
            <w:noWrap/>
            <w:vAlign w:val="center"/>
          </w:tcPr>
          <w:p w14:paraId="3D3EFD95">
            <w:pPr>
              <w:snapToGrid w:val="0"/>
              <w:spacing w:line="360" w:lineRule="auto"/>
              <w:jc w:val="left"/>
              <w:rPr>
                <w:rFonts w:ascii="宋体" w:hAnsi="宋体" w:cs="宋体"/>
                <w:color w:val="auto"/>
                <w:sz w:val="24"/>
                <w:szCs w:val="24"/>
                <w:highlight w:val="none"/>
              </w:rPr>
            </w:pPr>
          </w:p>
        </w:tc>
      </w:tr>
      <w:tr w14:paraId="146CC1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60" w:type="dxa"/>
            <w:left w:w="60" w:type="dxa"/>
            <w:bottom w:w="60" w:type="dxa"/>
            <w:right w:w="60" w:type="dxa"/>
          </w:tblCellMar>
        </w:tblPrEx>
        <w:trPr>
          <w:trHeight w:val="735" w:hRule="atLeast"/>
          <w:tblCellSpacing w:w="0" w:type="dxa"/>
          <w:jc w:val="center"/>
        </w:trPr>
        <w:tc>
          <w:tcPr>
            <w:tcW w:w="1337" w:type="pct"/>
            <w:gridSpan w:val="2"/>
            <w:tcBorders>
              <w:tl2br w:val="nil"/>
              <w:tr2bl w:val="nil"/>
            </w:tcBorders>
            <w:noWrap/>
            <w:vAlign w:val="center"/>
          </w:tcPr>
          <w:p w14:paraId="55963401">
            <w:pPr>
              <w:snapToGrid w:val="0"/>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毕业学校</w:t>
            </w:r>
          </w:p>
        </w:tc>
        <w:tc>
          <w:tcPr>
            <w:tcW w:w="3662" w:type="pct"/>
            <w:gridSpan w:val="7"/>
            <w:tcBorders>
              <w:tl2br w:val="nil"/>
              <w:tr2bl w:val="nil"/>
            </w:tcBorders>
            <w:noWrap/>
            <w:vAlign w:val="center"/>
          </w:tcPr>
          <w:p w14:paraId="391D20C6">
            <w:pPr>
              <w:snapToGrid w:val="0"/>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年月毕业于学校系，学制年</w:t>
            </w:r>
          </w:p>
        </w:tc>
      </w:tr>
      <w:tr w14:paraId="5E25B7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60" w:type="dxa"/>
            <w:left w:w="60" w:type="dxa"/>
            <w:bottom w:w="60" w:type="dxa"/>
            <w:right w:w="60" w:type="dxa"/>
          </w:tblCellMar>
        </w:tblPrEx>
        <w:trPr>
          <w:trHeight w:val="735" w:hRule="atLeast"/>
          <w:tblCellSpacing w:w="0" w:type="dxa"/>
          <w:jc w:val="center"/>
        </w:trPr>
        <w:tc>
          <w:tcPr>
            <w:tcW w:w="1337" w:type="pct"/>
            <w:gridSpan w:val="2"/>
            <w:tcBorders>
              <w:tl2br w:val="nil"/>
              <w:tr2bl w:val="nil"/>
            </w:tcBorders>
            <w:noWrap/>
            <w:vAlign w:val="center"/>
          </w:tcPr>
          <w:p w14:paraId="48882046">
            <w:pPr>
              <w:snapToGrid w:val="0"/>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资格证书号</w:t>
            </w:r>
          </w:p>
        </w:tc>
        <w:tc>
          <w:tcPr>
            <w:tcW w:w="3662" w:type="pct"/>
            <w:gridSpan w:val="7"/>
            <w:tcBorders>
              <w:tl2br w:val="nil"/>
              <w:tr2bl w:val="nil"/>
            </w:tcBorders>
            <w:noWrap/>
            <w:vAlign w:val="center"/>
          </w:tcPr>
          <w:p w14:paraId="37B1BCDD">
            <w:pPr>
              <w:snapToGrid w:val="0"/>
              <w:spacing w:line="360" w:lineRule="auto"/>
              <w:jc w:val="left"/>
              <w:rPr>
                <w:rFonts w:ascii="宋体" w:hAnsi="宋体" w:cs="宋体"/>
                <w:color w:val="auto"/>
                <w:sz w:val="24"/>
                <w:szCs w:val="24"/>
                <w:highlight w:val="none"/>
              </w:rPr>
            </w:pPr>
          </w:p>
        </w:tc>
      </w:tr>
      <w:tr w14:paraId="079EF6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60" w:type="dxa"/>
            <w:left w:w="60" w:type="dxa"/>
            <w:bottom w:w="60" w:type="dxa"/>
            <w:right w:w="60" w:type="dxa"/>
          </w:tblCellMar>
        </w:tblPrEx>
        <w:trPr>
          <w:trHeight w:val="735" w:hRule="atLeast"/>
          <w:tblCellSpacing w:w="0" w:type="dxa"/>
          <w:jc w:val="center"/>
        </w:trPr>
        <w:tc>
          <w:tcPr>
            <w:tcW w:w="5000" w:type="pct"/>
            <w:gridSpan w:val="9"/>
            <w:tcBorders>
              <w:tl2br w:val="nil"/>
              <w:tr2bl w:val="nil"/>
            </w:tcBorders>
            <w:noWrap/>
            <w:vAlign w:val="center"/>
          </w:tcPr>
          <w:p w14:paraId="24F60ADD">
            <w:pPr>
              <w:snapToGrid w:val="0"/>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业绩简介</w:t>
            </w:r>
          </w:p>
        </w:tc>
      </w:tr>
      <w:tr w14:paraId="09DD9B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60" w:type="dxa"/>
            <w:left w:w="60" w:type="dxa"/>
            <w:bottom w:w="60" w:type="dxa"/>
            <w:right w:w="60" w:type="dxa"/>
          </w:tblCellMar>
        </w:tblPrEx>
        <w:trPr>
          <w:trHeight w:val="735" w:hRule="atLeast"/>
          <w:tblCellSpacing w:w="0" w:type="dxa"/>
          <w:jc w:val="center"/>
        </w:trPr>
        <w:tc>
          <w:tcPr>
            <w:tcW w:w="599" w:type="pct"/>
            <w:tcBorders>
              <w:tl2br w:val="nil"/>
              <w:tr2bl w:val="nil"/>
            </w:tcBorders>
            <w:noWrap/>
            <w:vAlign w:val="center"/>
          </w:tcPr>
          <w:p w14:paraId="7BB62F36">
            <w:pPr>
              <w:snapToGrid w:val="0"/>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建设单位</w:t>
            </w:r>
          </w:p>
        </w:tc>
        <w:tc>
          <w:tcPr>
            <w:tcW w:w="737" w:type="pct"/>
            <w:tcBorders>
              <w:tl2br w:val="nil"/>
              <w:tr2bl w:val="nil"/>
            </w:tcBorders>
            <w:noWrap/>
            <w:vAlign w:val="center"/>
          </w:tcPr>
          <w:p w14:paraId="3F0E3009">
            <w:pPr>
              <w:snapToGrid w:val="0"/>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项目名称</w:t>
            </w:r>
          </w:p>
        </w:tc>
        <w:tc>
          <w:tcPr>
            <w:tcW w:w="789" w:type="pct"/>
            <w:gridSpan w:val="2"/>
            <w:tcBorders>
              <w:tl2br w:val="nil"/>
              <w:tr2bl w:val="nil"/>
            </w:tcBorders>
            <w:noWrap/>
            <w:vAlign w:val="center"/>
          </w:tcPr>
          <w:p w14:paraId="50588A60">
            <w:pPr>
              <w:snapToGrid w:val="0"/>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建设规模</w:t>
            </w:r>
          </w:p>
        </w:tc>
        <w:tc>
          <w:tcPr>
            <w:tcW w:w="861" w:type="pct"/>
            <w:gridSpan w:val="2"/>
            <w:tcBorders>
              <w:tl2br w:val="nil"/>
              <w:tr2bl w:val="nil"/>
            </w:tcBorders>
            <w:noWrap/>
            <w:vAlign w:val="center"/>
          </w:tcPr>
          <w:p w14:paraId="7B6396D3">
            <w:pPr>
              <w:snapToGrid w:val="0"/>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开、竣工日期</w:t>
            </w:r>
          </w:p>
        </w:tc>
        <w:tc>
          <w:tcPr>
            <w:tcW w:w="1254" w:type="pct"/>
            <w:gridSpan w:val="2"/>
            <w:tcBorders>
              <w:tl2br w:val="nil"/>
              <w:tr2bl w:val="nil"/>
            </w:tcBorders>
            <w:noWrap/>
            <w:vAlign w:val="center"/>
          </w:tcPr>
          <w:p w14:paraId="4CFA38C3">
            <w:pPr>
              <w:snapToGrid w:val="0"/>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在建或已完工程质量</w:t>
            </w:r>
          </w:p>
        </w:tc>
        <w:tc>
          <w:tcPr>
            <w:tcW w:w="757" w:type="pct"/>
            <w:tcBorders>
              <w:tl2br w:val="nil"/>
              <w:tr2bl w:val="nil"/>
            </w:tcBorders>
            <w:noWrap/>
            <w:vAlign w:val="center"/>
          </w:tcPr>
          <w:p w14:paraId="09F53A18">
            <w:pPr>
              <w:snapToGrid w:val="0"/>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担任职务</w:t>
            </w:r>
          </w:p>
        </w:tc>
      </w:tr>
      <w:tr w14:paraId="0D9F3E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60" w:type="dxa"/>
            <w:left w:w="60" w:type="dxa"/>
            <w:bottom w:w="60" w:type="dxa"/>
            <w:right w:w="60" w:type="dxa"/>
          </w:tblCellMar>
        </w:tblPrEx>
        <w:trPr>
          <w:trHeight w:val="735" w:hRule="atLeast"/>
          <w:tblCellSpacing w:w="0" w:type="dxa"/>
          <w:jc w:val="center"/>
        </w:trPr>
        <w:tc>
          <w:tcPr>
            <w:tcW w:w="599" w:type="pct"/>
            <w:tcBorders>
              <w:tl2br w:val="nil"/>
              <w:tr2bl w:val="nil"/>
            </w:tcBorders>
            <w:noWrap/>
            <w:vAlign w:val="center"/>
          </w:tcPr>
          <w:p w14:paraId="30B41948">
            <w:pPr>
              <w:snapToGrid w:val="0"/>
              <w:spacing w:line="360" w:lineRule="auto"/>
              <w:jc w:val="left"/>
              <w:rPr>
                <w:rFonts w:ascii="宋体" w:hAnsi="宋体" w:cs="宋体"/>
                <w:color w:val="auto"/>
                <w:sz w:val="24"/>
                <w:szCs w:val="24"/>
                <w:highlight w:val="none"/>
              </w:rPr>
            </w:pPr>
          </w:p>
        </w:tc>
        <w:tc>
          <w:tcPr>
            <w:tcW w:w="737" w:type="pct"/>
            <w:tcBorders>
              <w:tl2br w:val="nil"/>
              <w:tr2bl w:val="nil"/>
            </w:tcBorders>
            <w:noWrap/>
            <w:vAlign w:val="center"/>
          </w:tcPr>
          <w:p w14:paraId="3BE3CEF8">
            <w:pPr>
              <w:snapToGrid w:val="0"/>
              <w:spacing w:line="360" w:lineRule="auto"/>
              <w:jc w:val="left"/>
              <w:rPr>
                <w:rFonts w:ascii="宋体" w:hAnsi="宋体" w:cs="宋体"/>
                <w:color w:val="auto"/>
                <w:sz w:val="24"/>
                <w:szCs w:val="24"/>
                <w:highlight w:val="none"/>
              </w:rPr>
            </w:pPr>
          </w:p>
        </w:tc>
        <w:tc>
          <w:tcPr>
            <w:tcW w:w="789" w:type="pct"/>
            <w:gridSpan w:val="2"/>
            <w:tcBorders>
              <w:tl2br w:val="nil"/>
              <w:tr2bl w:val="nil"/>
            </w:tcBorders>
            <w:noWrap/>
            <w:vAlign w:val="center"/>
          </w:tcPr>
          <w:p w14:paraId="21528D71">
            <w:pPr>
              <w:snapToGrid w:val="0"/>
              <w:spacing w:line="360" w:lineRule="auto"/>
              <w:jc w:val="left"/>
              <w:rPr>
                <w:rFonts w:ascii="宋体" w:hAnsi="宋体" w:cs="宋体"/>
                <w:color w:val="auto"/>
                <w:sz w:val="24"/>
                <w:szCs w:val="24"/>
                <w:highlight w:val="none"/>
              </w:rPr>
            </w:pPr>
          </w:p>
        </w:tc>
        <w:tc>
          <w:tcPr>
            <w:tcW w:w="861" w:type="pct"/>
            <w:gridSpan w:val="2"/>
            <w:tcBorders>
              <w:tl2br w:val="nil"/>
              <w:tr2bl w:val="nil"/>
            </w:tcBorders>
            <w:noWrap/>
            <w:vAlign w:val="center"/>
          </w:tcPr>
          <w:p w14:paraId="5155E200">
            <w:pPr>
              <w:snapToGrid w:val="0"/>
              <w:spacing w:line="360" w:lineRule="auto"/>
              <w:jc w:val="left"/>
              <w:rPr>
                <w:rFonts w:ascii="宋体" w:hAnsi="宋体" w:cs="宋体"/>
                <w:color w:val="auto"/>
                <w:sz w:val="24"/>
                <w:szCs w:val="24"/>
                <w:highlight w:val="none"/>
              </w:rPr>
            </w:pPr>
          </w:p>
        </w:tc>
        <w:tc>
          <w:tcPr>
            <w:tcW w:w="1254" w:type="pct"/>
            <w:gridSpan w:val="2"/>
            <w:tcBorders>
              <w:tl2br w:val="nil"/>
              <w:tr2bl w:val="nil"/>
            </w:tcBorders>
            <w:noWrap/>
            <w:vAlign w:val="center"/>
          </w:tcPr>
          <w:p w14:paraId="19C9E52B">
            <w:pPr>
              <w:snapToGrid w:val="0"/>
              <w:spacing w:line="360" w:lineRule="auto"/>
              <w:jc w:val="left"/>
              <w:rPr>
                <w:rFonts w:ascii="宋体" w:hAnsi="宋体" w:cs="宋体"/>
                <w:color w:val="auto"/>
                <w:sz w:val="24"/>
                <w:szCs w:val="24"/>
                <w:highlight w:val="none"/>
              </w:rPr>
            </w:pPr>
          </w:p>
        </w:tc>
        <w:tc>
          <w:tcPr>
            <w:tcW w:w="757" w:type="pct"/>
            <w:tcBorders>
              <w:tl2br w:val="nil"/>
              <w:tr2bl w:val="nil"/>
            </w:tcBorders>
            <w:noWrap/>
            <w:vAlign w:val="center"/>
          </w:tcPr>
          <w:p w14:paraId="7DA9733C">
            <w:pPr>
              <w:snapToGrid w:val="0"/>
              <w:spacing w:line="360" w:lineRule="auto"/>
              <w:jc w:val="left"/>
              <w:rPr>
                <w:rFonts w:ascii="宋体" w:hAnsi="宋体" w:cs="宋体"/>
                <w:color w:val="auto"/>
                <w:sz w:val="24"/>
                <w:szCs w:val="24"/>
                <w:highlight w:val="none"/>
              </w:rPr>
            </w:pPr>
          </w:p>
        </w:tc>
      </w:tr>
      <w:tr w14:paraId="7E6F01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60" w:type="dxa"/>
            <w:left w:w="60" w:type="dxa"/>
            <w:bottom w:w="60" w:type="dxa"/>
            <w:right w:w="60" w:type="dxa"/>
          </w:tblCellMar>
        </w:tblPrEx>
        <w:trPr>
          <w:trHeight w:val="735" w:hRule="atLeast"/>
          <w:tblCellSpacing w:w="0" w:type="dxa"/>
          <w:jc w:val="center"/>
        </w:trPr>
        <w:tc>
          <w:tcPr>
            <w:tcW w:w="599" w:type="pct"/>
            <w:tcBorders>
              <w:tl2br w:val="nil"/>
              <w:tr2bl w:val="nil"/>
            </w:tcBorders>
            <w:noWrap/>
            <w:vAlign w:val="center"/>
          </w:tcPr>
          <w:p w14:paraId="771CBB14">
            <w:pPr>
              <w:snapToGrid w:val="0"/>
              <w:spacing w:line="360" w:lineRule="auto"/>
              <w:jc w:val="left"/>
              <w:rPr>
                <w:rFonts w:ascii="宋体" w:hAnsi="宋体" w:cs="宋体"/>
                <w:color w:val="auto"/>
                <w:sz w:val="24"/>
                <w:szCs w:val="24"/>
                <w:highlight w:val="none"/>
              </w:rPr>
            </w:pPr>
          </w:p>
        </w:tc>
        <w:tc>
          <w:tcPr>
            <w:tcW w:w="737" w:type="pct"/>
            <w:tcBorders>
              <w:tl2br w:val="nil"/>
              <w:tr2bl w:val="nil"/>
            </w:tcBorders>
            <w:noWrap/>
            <w:vAlign w:val="center"/>
          </w:tcPr>
          <w:p w14:paraId="3DE3B260">
            <w:pPr>
              <w:snapToGrid w:val="0"/>
              <w:spacing w:line="360" w:lineRule="auto"/>
              <w:jc w:val="left"/>
              <w:rPr>
                <w:rFonts w:ascii="宋体" w:hAnsi="宋体" w:cs="宋体"/>
                <w:color w:val="auto"/>
                <w:sz w:val="24"/>
                <w:szCs w:val="24"/>
                <w:highlight w:val="none"/>
              </w:rPr>
            </w:pPr>
          </w:p>
        </w:tc>
        <w:tc>
          <w:tcPr>
            <w:tcW w:w="789" w:type="pct"/>
            <w:gridSpan w:val="2"/>
            <w:tcBorders>
              <w:tl2br w:val="nil"/>
              <w:tr2bl w:val="nil"/>
            </w:tcBorders>
            <w:noWrap/>
            <w:vAlign w:val="center"/>
          </w:tcPr>
          <w:p w14:paraId="4D72FFA0">
            <w:pPr>
              <w:snapToGrid w:val="0"/>
              <w:spacing w:line="360" w:lineRule="auto"/>
              <w:jc w:val="left"/>
              <w:rPr>
                <w:rFonts w:ascii="宋体" w:hAnsi="宋体" w:cs="宋体"/>
                <w:color w:val="auto"/>
                <w:sz w:val="24"/>
                <w:szCs w:val="24"/>
                <w:highlight w:val="none"/>
              </w:rPr>
            </w:pPr>
          </w:p>
        </w:tc>
        <w:tc>
          <w:tcPr>
            <w:tcW w:w="861" w:type="pct"/>
            <w:gridSpan w:val="2"/>
            <w:tcBorders>
              <w:tl2br w:val="nil"/>
              <w:tr2bl w:val="nil"/>
            </w:tcBorders>
            <w:noWrap/>
            <w:vAlign w:val="center"/>
          </w:tcPr>
          <w:p w14:paraId="63C4F9EB">
            <w:pPr>
              <w:snapToGrid w:val="0"/>
              <w:spacing w:line="360" w:lineRule="auto"/>
              <w:jc w:val="left"/>
              <w:rPr>
                <w:rFonts w:ascii="宋体" w:hAnsi="宋体" w:cs="宋体"/>
                <w:color w:val="auto"/>
                <w:sz w:val="24"/>
                <w:szCs w:val="24"/>
                <w:highlight w:val="none"/>
              </w:rPr>
            </w:pPr>
          </w:p>
        </w:tc>
        <w:tc>
          <w:tcPr>
            <w:tcW w:w="1254" w:type="pct"/>
            <w:gridSpan w:val="2"/>
            <w:tcBorders>
              <w:tl2br w:val="nil"/>
              <w:tr2bl w:val="nil"/>
            </w:tcBorders>
            <w:noWrap/>
            <w:vAlign w:val="center"/>
          </w:tcPr>
          <w:p w14:paraId="1D21706F">
            <w:pPr>
              <w:snapToGrid w:val="0"/>
              <w:spacing w:line="360" w:lineRule="auto"/>
              <w:jc w:val="left"/>
              <w:rPr>
                <w:rFonts w:ascii="宋体" w:hAnsi="宋体" w:cs="宋体"/>
                <w:color w:val="auto"/>
                <w:sz w:val="24"/>
                <w:szCs w:val="24"/>
                <w:highlight w:val="none"/>
              </w:rPr>
            </w:pPr>
          </w:p>
        </w:tc>
        <w:tc>
          <w:tcPr>
            <w:tcW w:w="757" w:type="pct"/>
            <w:tcBorders>
              <w:tl2br w:val="nil"/>
              <w:tr2bl w:val="nil"/>
            </w:tcBorders>
            <w:noWrap/>
            <w:vAlign w:val="center"/>
          </w:tcPr>
          <w:p w14:paraId="1B58EF1E">
            <w:pPr>
              <w:snapToGrid w:val="0"/>
              <w:spacing w:line="360" w:lineRule="auto"/>
              <w:jc w:val="left"/>
              <w:rPr>
                <w:rFonts w:ascii="宋体" w:hAnsi="宋体" w:cs="宋体"/>
                <w:color w:val="auto"/>
                <w:sz w:val="24"/>
                <w:szCs w:val="24"/>
                <w:highlight w:val="none"/>
              </w:rPr>
            </w:pPr>
          </w:p>
        </w:tc>
      </w:tr>
      <w:tr w14:paraId="004833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60" w:type="dxa"/>
            <w:left w:w="60" w:type="dxa"/>
            <w:bottom w:w="60" w:type="dxa"/>
            <w:right w:w="60" w:type="dxa"/>
          </w:tblCellMar>
        </w:tblPrEx>
        <w:trPr>
          <w:trHeight w:val="735" w:hRule="atLeast"/>
          <w:tblCellSpacing w:w="0" w:type="dxa"/>
          <w:jc w:val="center"/>
        </w:trPr>
        <w:tc>
          <w:tcPr>
            <w:tcW w:w="599" w:type="pct"/>
            <w:tcBorders>
              <w:tl2br w:val="nil"/>
              <w:tr2bl w:val="nil"/>
            </w:tcBorders>
            <w:noWrap/>
            <w:vAlign w:val="center"/>
          </w:tcPr>
          <w:p w14:paraId="55CD2624">
            <w:pPr>
              <w:snapToGrid w:val="0"/>
              <w:spacing w:line="360" w:lineRule="auto"/>
              <w:jc w:val="left"/>
              <w:rPr>
                <w:rFonts w:ascii="宋体" w:hAnsi="宋体" w:cs="宋体"/>
                <w:color w:val="auto"/>
                <w:sz w:val="24"/>
                <w:szCs w:val="24"/>
                <w:highlight w:val="none"/>
              </w:rPr>
            </w:pPr>
          </w:p>
        </w:tc>
        <w:tc>
          <w:tcPr>
            <w:tcW w:w="737" w:type="pct"/>
            <w:tcBorders>
              <w:tl2br w:val="nil"/>
              <w:tr2bl w:val="nil"/>
            </w:tcBorders>
            <w:noWrap/>
            <w:vAlign w:val="center"/>
          </w:tcPr>
          <w:p w14:paraId="16D27B3A">
            <w:pPr>
              <w:snapToGrid w:val="0"/>
              <w:spacing w:line="360" w:lineRule="auto"/>
              <w:jc w:val="left"/>
              <w:rPr>
                <w:rFonts w:ascii="宋体" w:hAnsi="宋体" w:cs="宋体"/>
                <w:color w:val="auto"/>
                <w:sz w:val="24"/>
                <w:szCs w:val="24"/>
                <w:highlight w:val="none"/>
              </w:rPr>
            </w:pPr>
          </w:p>
        </w:tc>
        <w:tc>
          <w:tcPr>
            <w:tcW w:w="789" w:type="pct"/>
            <w:gridSpan w:val="2"/>
            <w:tcBorders>
              <w:tl2br w:val="nil"/>
              <w:tr2bl w:val="nil"/>
            </w:tcBorders>
            <w:noWrap/>
            <w:vAlign w:val="center"/>
          </w:tcPr>
          <w:p w14:paraId="56997C05">
            <w:pPr>
              <w:snapToGrid w:val="0"/>
              <w:spacing w:line="360" w:lineRule="auto"/>
              <w:jc w:val="left"/>
              <w:rPr>
                <w:rFonts w:ascii="宋体" w:hAnsi="宋体" w:cs="宋体"/>
                <w:color w:val="auto"/>
                <w:sz w:val="24"/>
                <w:szCs w:val="24"/>
                <w:highlight w:val="none"/>
              </w:rPr>
            </w:pPr>
          </w:p>
        </w:tc>
        <w:tc>
          <w:tcPr>
            <w:tcW w:w="861" w:type="pct"/>
            <w:gridSpan w:val="2"/>
            <w:tcBorders>
              <w:tl2br w:val="nil"/>
              <w:tr2bl w:val="nil"/>
            </w:tcBorders>
            <w:noWrap/>
            <w:vAlign w:val="center"/>
          </w:tcPr>
          <w:p w14:paraId="649D8975">
            <w:pPr>
              <w:snapToGrid w:val="0"/>
              <w:spacing w:line="360" w:lineRule="auto"/>
              <w:jc w:val="left"/>
              <w:rPr>
                <w:rFonts w:ascii="宋体" w:hAnsi="宋体" w:cs="宋体"/>
                <w:color w:val="auto"/>
                <w:sz w:val="24"/>
                <w:szCs w:val="24"/>
                <w:highlight w:val="none"/>
              </w:rPr>
            </w:pPr>
          </w:p>
        </w:tc>
        <w:tc>
          <w:tcPr>
            <w:tcW w:w="1254" w:type="pct"/>
            <w:gridSpan w:val="2"/>
            <w:tcBorders>
              <w:tl2br w:val="nil"/>
              <w:tr2bl w:val="nil"/>
            </w:tcBorders>
            <w:noWrap/>
            <w:vAlign w:val="center"/>
          </w:tcPr>
          <w:p w14:paraId="48684864">
            <w:pPr>
              <w:snapToGrid w:val="0"/>
              <w:spacing w:line="360" w:lineRule="auto"/>
              <w:jc w:val="left"/>
              <w:rPr>
                <w:rFonts w:ascii="宋体" w:hAnsi="宋体" w:cs="宋体"/>
                <w:color w:val="auto"/>
                <w:sz w:val="24"/>
                <w:szCs w:val="24"/>
                <w:highlight w:val="none"/>
              </w:rPr>
            </w:pPr>
          </w:p>
        </w:tc>
        <w:tc>
          <w:tcPr>
            <w:tcW w:w="757" w:type="pct"/>
            <w:tcBorders>
              <w:tl2br w:val="nil"/>
              <w:tr2bl w:val="nil"/>
            </w:tcBorders>
            <w:noWrap/>
            <w:vAlign w:val="center"/>
          </w:tcPr>
          <w:p w14:paraId="3F6934F7">
            <w:pPr>
              <w:snapToGrid w:val="0"/>
              <w:spacing w:line="360" w:lineRule="auto"/>
              <w:jc w:val="left"/>
              <w:rPr>
                <w:rFonts w:ascii="宋体" w:hAnsi="宋体" w:cs="宋体"/>
                <w:color w:val="auto"/>
                <w:sz w:val="24"/>
                <w:szCs w:val="24"/>
                <w:highlight w:val="none"/>
              </w:rPr>
            </w:pPr>
          </w:p>
        </w:tc>
      </w:tr>
    </w:tbl>
    <w:p w14:paraId="0EC0D8B0">
      <w:pPr>
        <w:topLinePunct/>
        <w:adjustRightInd w:val="0"/>
        <w:snapToGrid w:val="0"/>
        <w:spacing w:line="360" w:lineRule="auto"/>
        <w:ind w:firstLine="496" w:firstLineChars="200"/>
        <w:rPr>
          <w:rFonts w:ascii="宋体" w:hAnsi="宋体" w:cs="宋体"/>
          <w:color w:val="auto"/>
          <w:spacing w:val="4"/>
          <w:kern w:val="0"/>
          <w:sz w:val="24"/>
          <w:szCs w:val="24"/>
          <w:highlight w:val="none"/>
        </w:rPr>
      </w:pPr>
    </w:p>
    <w:p w14:paraId="5CCD9C48">
      <w:pPr>
        <w:topLinePunct/>
        <w:adjustRightInd w:val="0"/>
        <w:snapToGrid w:val="0"/>
        <w:spacing w:line="360" w:lineRule="auto"/>
        <w:ind w:firstLine="4092" w:firstLineChars="1650"/>
        <w:rPr>
          <w:rFonts w:ascii="宋体" w:hAnsi="宋体" w:cs="宋体"/>
          <w:color w:val="auto"/>
          <w:spacing w:val="4"/>
          <w:kern w:val="0"/>
          <w:sz w:val="24"/>
          <w:szCs w:val="24"/>
          <w:highlight w:val="none"/>
        </w:rPr>
      </w:pPr>
      <w:r>
        <w:rPr>
          <w:rFonts w:hint="eastAsia" w:ascii="宋体" w:hAnsi="宋体" w:cs="宋体"/>
          <w:color w:val="auto"/>
          <w:spacing w:val="4"/>
          <w:kern w:val="0"/>
          <w:sz w:val="24"/>
          <w:szCs w:val="24"/>
          <w:highlight w:val="none"/>
        </w:rPr>
        <w:t>投标人（盖章）：</w:t>
      </w:r>
    </w:p>
    <w:p w14:paraId="2E9198A1">
      <w:pPr>
        <w:topLinePunct/>
        <w:adjustRightInd w:val="0"/>
        <w:snapToGrid w:val="0"/>
        <w:spacing w:line="360" w:lineRule="auto"/>
        <w:ind w:firstLine="4092" w:firstLineChars="1650"/>
        <w:rPr>
          <w:rFonts w:ascii="宋体" w:hAnsi="宋体" w:cs="宋体"/>
          <w:color w:val="auto"/>
          <w:spacing w:val="4"/>
          <w:kern w:val="0"/>
          <w:sz w:val="24"/>
          <w:szCs w:val="24"/>
          <w:highlight w:val="none"/>
        </w:rPr>
      </w:pPr>
      <w:r>
        <w:rPr>
          <w:rFonts w:hint="eastAsia" w:ascii="宋体" w:hAnsi="宋体" w:cs="宋体"/>
          <w:color w:val="auto"/>
          <w:spacing w:val="4"/>
          <w:kern w:val="0"/>
          <w:sz w:val="24"/>
          <w:szCs w:val="24"/>
          <w:highlight w:val="none"/>
        </w:rPr>
        <w:t>日期：     年   月   日</w:t>
      </w:r>
    </w:p>
    <w:p w14:paraId="0F3684BA">
      <w:pPr>
        <w:snapToGrid w:val="0"/>
        <w:spacing w:line="360" w:lineRule="auto"/>
        <w:rPr>
          <w:rFonts w:ascii="宋体" w:hAnsi="宋体" w:cs="宋体"/>
          <w:color w:val="auto"/>
          <w:highlight w:val="none"/>
        </w:rPr>
      </w:pPr>
    </w:p>
    <w:p w14:paraId="4088B811">
      <w:pPr>
        <w:widowControl/>
        <w:snapToGrid w:val="0"/>
        <w:spacing w:line="360" w:lineRule="auto"/>
        <w:ind w:right="102"/>
        <w:jc w:val="left"/>
        <w:rPr>
          <w:rFonts w:ascii="宋体" w:hAnsi="宋体" w:cs="宋体"/>
          <w:color w:val="auto"/>
          <w:sz w:val="24"/>
          <w:szCs w:val="24"/>
          <w:highlight w:val="none"/>
        </w:rPr>
      </w:pPr>
      <w:r>
        <w:rPr>
          <w:rFonts w:hint="eastAsia" w:ascii="宋体" w:hAnsi="宋体" w:cs="宋体"/>
          <w:bCs/>
          <w:color w:val="auto"/>
          <w:sz w:val="24"/>
          <w:szCs w:val="24"/>
          <w:highlight w:val="none"/>
        </w:rPr>
        <w:br w:type="page"/>
      </w:r>
    </w:p>
    <w:p w14:paraId="31D03C28">
      <w:pPr>
        <w:snapToGrid w:val="0"/>
        <w:spacing w:line="360" w:lineRule="auto"/>
        <w:ind w:firstLine="3000" w:firstLineChars="1250"/>
        <w:rPr>
          <w:rFonts w:ascii="宋体" w:hAnsi="宋体" w:cs="宋体"/>
          <w:color w:val="auto"/>
          <w:sz w:val="24"/>
          <w:highlight w:val="none"/>
        </w:rPr>
      </w:pPr>
    </w:p>
    <w:p w14:paraId="0AE47614">
      <w:pPr>
        <w:pStyle w:val="47"/>
        <w:ind w:firstLine="0" w:firstLineChars="0"/>
        <w:rPr>
          <w:rFonts w:hint="eastAsia" w:eastAsia="宋体" w:cs="宋体"/>
          <w:color w:val="auto"/>
          <w:highlight w:val="none"/>
          <w:lang w:val="en-US" w:eastAsia="zh-CN"/>
        </w:rPr>
      </w:pPr>
      <w:r>
        <w:rPr>
          <w:rFonts w:hint="eastAsia" w:cs="宋体"/>
          <w:color w:val="auto"/>
          <w:highlight w:val="none"/>
        </w:rPr>
        <w:t>技术标</w:t>
      </w:r>
      <w:r>
        <w:rPr>
          <w:rFonts w:hint="eastAsia" w:cs="宋体"/>
          <w:bCs/>
          <w:color w:val="auto"/>
          <w:kern w:val="0"/>
          <w:highlight w:val="none"/>
        </w:rPr>
        <w:t>格式</w:t>
      </w:r>
      <w:r>
        <w:rPr>
          <w:rFonts w:hint="eastAsia" w:cs="宋体"/>
          <w:bCs/>
          <w:color w:val="auto"/>
          <w:kern w:val="0"/>
          <w:highlight w:val="none"/>
          <w:lang w:val="en-US" w:eastAsia="zh-CN"/>
        </w:rPr>
        <w:t>八</w:t>
      </w:r>
    </w:p>
    <w:p w14:paraId="3EFA1364">
      <w:pPr>
        <w:snapToGrid w:val="0"/>
        <w:spacing w:line="360" w:lineRule="auto"/>
        <w:jc w:val="center"/>
        <w:rPr>
          <w:rFonts w:ascii="宋体" w:hAnsi="宋体" w:cs="宋体"/>
          <w:bCs/>
          <w:color w:val="auto"/>
          <w:sz w:val="36"/>
          <w:szCs w:val="36"/>
          <w:highlight w:val="none"/>
        </w:rPr>
      </w:pPr>
    </w:p>
    <w:p w14:paraId="5B228B02">
      <w:pPr>
        <w:snapToGrid w:val="0"/>
        <w:spacing w:line="360" w:lineRule="auto"/>
        <w:jc w:val="center"/>
        <w:rPr>
          <w:rFonts w:ascii="宋体" w:hAnsi="宋体" w:cs="宋体"/>
          <w:b/>
          <w:color w:val="auto"/>
          <w:sz w:val="36"/>
          <w:szCs w:val="36"/>
          <w:highlight w:val="none"/>
        </w:rPr>
      </w:pPr>
      <w:r>
        <w:rPr>
          <w:rFonts w:hint="eastAsia" w:ascii="宋体" w:hAnsi="宋体" w:cs="宋体"/>
          <w:b/>
          <w:color w:val="auto"/>
          <w:sz w:val="36"/>
          <w:szCs w:val="36"/>
          <w:highlight w:val="none"/>
        </w:rPr>
        <w:t>拟投入本工程施工的主要机械设备配备表</w:t>
      </w:r>
    </w:p>
    <w:tbl>
      <w:tblPr>
        <w:tblStyle w:val="33"/>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02"/>
        <w:gridCol w:w="3123"/>
        <w:gridCol w:w="1841"/>
        <w:gridCol w:w="2059"/>
        <w:gridCol w:w="1228"/>
      </w:tblGrid>
      <w:tr w14:paraId="094647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26" w:hRule="atLeast"/>
          <w:jc w:val="center"/>
        </w:trPr>
        <w:tc>
          <w:tcPr>
            <w:tcW w:w="1002" w:type="dxa"/>
            <w:tcBorders>
              <w:top w:val="single" w:color="auto" w:sz="4" w:space="0"/>
              <w:left w:val="single" w:color="auto" w:sz="4" w:space="0"/>
              <w:bottom w:val="single" w:color="auto" w:sz="4" w:space="0"/>
              <w:right w:val="single" w:color="auto" w:sz="4" w:space="0"/>
            </w:tcBorders>
            <w:noWrap/>
            <w:vAlign w:val="center"/>
          </w:tcPr>
          <w:p w14:paraId="1D02FBFC">
            <w:pPr>
              <w:snapToGrid w:val="0"/>
              <w:spacing w:line="360" w:lineRule="auto"/>
              <w:jc w:val="center"/>
              <w:textAlignment w:val="center"/>
              <w:rPr>
                <w:rFonts w:ascii="宋体" w:hAnsi="宋体" w:cs="宋体"/>
                <w:color w:val="auto"/>
                <w:szCs w:val="21"/>
                <w:highlight w:val="none"/>
              </w:rPr>
            </w:pPr>
            <w:r>
              <w:rPr>
                <w:rFonts w:hint="eastAsia" w:ascii="宋体" w:hAnsi="宋体" w:cs="宋体"/>
                <w:color w:val="auto"/>
                <w:szCs w:val="21"/>
                <w:highlight w:val="none"/>
              </w:rPr>
              <w:t>序号</w:t>
            </w:r>
          </w:p>
        </w:tc>
        <w:tc>
          <w:tcPr>
            <w:tcW w:w="3123" w:type="dxa"/>
            <w:tcBorders>
              <w:top w:val="single" w:color="auto" w:sz="4" w:space="0"/>
              <w:left w:val="single" w:color="auto" w:sz="4" w:space="0"/>
              <w:bottom w:val="single" w:color="auto" w:sz="4" w:space="0"/>
              <w:right w:val="single" w:color="auto" w:sz="4" w:space="0"/>
            </w:tcBorders>
            <w:noWrap/>
            <w:vAlign w:val="center"/>
          </w:tcPr>
          <w:p w14:paraId="0DB7682E">
            <w:pPr>
              <w:snapToGrid w:val="0"/>
              <w:spacing w:line="360" w:lineRule="auto"/>
              <w:jc w:val="center"/>
              <w:textAlignment w:val="center"/>
              <w:rPr>
                <w:rFonts w:ascii="宋体" w:hAnsi="宋体" w:cs="宋体"/>
                <w:color w:val="auto"/>
                <w:szCs w:val="21"/>
                <w:highlight w:val="none"/>
              </w:rPr>
            </w:pPr>
            <w:r>
              <w:rPr>
                <w:rFonts w:hint="eastAsia" w:ascii="宋体" w:hAnsi="宋体" w:cs="宋体"/>
                <w:color w:val="auto"/>
                <w:szCs w:val="21"/>
                <w:highlight w:val="none"/>
              </w:rPr>
              <w:t>设备名称</w:t>
            </w:r>
          </w:p>
        </w:tc>
        <w:tc>
          <w:tcPr>
            <w:tcW w:w="1841" w:type="dxa"/>
            <w:tcBorders>
              <w:top w:val="single" w:color="auto" w:sz="4" w:space="0"/>
              <w:left w:val="single" w:color="auto" w:sz="4" w:space="0"/>
              <w:bottom w:val="single" w:color="auto" w:sz="4" w:space="0"/>
              <w:right w:val="single" w:color="auto" w:sz="4" w:space="0"/>
            </w:tcBorders>
            <w:noWrap/>
            <w:vAlign w:val="center"/>
          </w:tcPr>
          <w:p w14:paraId="46E64DEF">
            <w:pPr>
              <w:snapToGrid w:val="0"/>
              <w:spacing w:line="360" w:lineRule="auto"/>
              <w:jc w:val="center"/>
              <w:textAlignment w:val="center"/>
              <w:rPr>
                <w:rFonts w:ascii="宋体" w:hAnsi="宋体" w:cs="宋体"/>
                <w:color w:val="auto"/>
                <w:szCs w:val="21"/>
                <w:highlight w:val="none"/>
              </w:rPr>
            </w:pPr>
            <w:r>
              <w:rPr>
                <w:rFonts w:hint="eastAsia" w:ascii="宋体" w:hAnsi="宋体" w:cs="宋体"/>
                <w:color w:val="auto"/>
                <w:szCs w:val="21"/>
                <w:highlight w:val="none"/>
              </w:rPr>
              <w:t>投入总数量</w:t>
            </w:r>
          </w:p>
        </w:tc>
        <w:tc>
          <w:tcPr>
            <w:tcW w:w="2059" w:type="dxa"/>
            <w:tcBorders>
              <w:top w:val="single" w:color="auto" w:sz="4" w:space="0"/>
              <w:left w:val="single" w:color="auto" w:sz="4" w:space="0"/>
              <w:bottom w:val="single" w:color="auto" w:sz="4" w:space="0"/>
              <w:right w:val="single" w:color="auto" w:sz="4" w:space="0"/>
            </w:tcBorders>
            <w:noWrap/>
            <w:vAlign w:val="center"/>
          </w:tcPr>
          <w:p w14:paraId="55CBE484">
            <w:pPr>
              <w:snapToGrid w:val="0"/>
              <w:spacing w:line="360" w:lineRule="auto"/>
              <w:jc w:val="center"/>
              <w:textAlignment w:val="center"/>
              <w:rPr>
                <w:rFonts w:ascii="宋体" w:hAnsi="宋体" w:cs="宋体"/>
                <w:color w:val="auto"/>
                <w:szCs w:val="21"/>
                <w:highlight w:val="none"/>
              </w:rPr>
            </w:pPr>
            <w:r>
              <w:rPr>
                <w:rFonts w:hint="eastAsia" w:ascii="宋体" w:hAnsi="宋体" w:cs="宋体"/>
                <w:color w:val="auto"/>
                <w:szCs w:val="21"/>
                <w:highlight w:val="none"/>
              </w:rPr>
              <w:t>来源(自有/租赁)</w:t>
            </w:r>
          </w:p>
        </w:tc>
        <w:tc>
          <w:tcPr>
            <w:tcW w:w="1228" w:type="dxa"/>
            <w:tcBorders>
              <w:top w:val="single" w:color="auto" w:sz="4" w:space="0"/>
              <w:left w:val="single" w:color="auto" w:sz="4" w:space="0"/>
              <w:bottom w:val="single" w:color="auto" w:sz="4" w:space="0"/>
              <w:right w:val="single" w:color="auto" w:sz="4" w:space="0"/>
            </w:tcBorders>
            <w:noWrap/>
            <w:vAlign w:val="center"/>
          </w:tcPr>
          <w:p w14:paraId="18B9AD85">
            <w:pPr>
              <w:snapToGrid w:val="0"/>
              <w:spacing w:line="360" w:lineRule="auto"/>
              <w:jc w:val="center"/>
              <w:textAlignment w:val="center"/>
              <w:rPr>
                <w:rFonts w:ascii="宋体" w:hAnsi="宋体" w:cs="宋体"/>
                <w:color w:val="auto"/>
                <w:szCs w:val="21"/>
                <w:highlight w:val="none"/>
              </w:rPr>
            </w:pPr>
            <w:r>
              <w:rPr>
                <w:rFonts w:hint="eastAsia" w:ascii="宋体" w:hAnsi="宋体" w:cs="宋体"/>
                <w:color w:val="auto"/>
                <w:szCs w:val="21"/>
                <w:highlight w:val="none"/>
              </w:rPr>
              <w:t>备注</w:t>
            </w:r>
          </w:p>
        </w:tc>
      </w:tr>
      <w:tr w14:paraId="6099C7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26" w:hRule="atLeast"/>
          <w:jc w:val="center"/>
        </w:trPr>
        <w:tc>
          <w:tcPr>
            <w:tcW w:w="1002" w:type="dxa"/>
            <w:tcBorders>
              <w:top w:val="single" w:color="auto" w:sz="4" w:space="0"/>
              <w:left w:val="single" w:color="auto" w:sz="4" w:space="0"/>
              <w:bottom w:val="single" w:color="auto" w:sz="4" w:space="0"/>
              <w:right w:val="single" w:color="auto" w:sz="4" w:space="0"/>
            </w:tcBorders>
            <w:noWrap/>
            <w:vAlign w:val="center"/>
          </w:tcPr>
          <w:p w14:paraId="7EAF2A89">
            <w:pPr>
              <w:snapToGrid w:val="0"/>
              <w:spacing w:line="360" w:lineRule="auto"/>
              <w:jc w:val="center"/>
              <w:textAlignment w:val="center"/>
              <w:rPr>
                <w:rFonts w:ascii="宋体" w:hAnsi="宋体" w:cs="宋体"/>
                <w:color w:val="auto"/>
                <w:szCs w:val="21"/>
                <w:highlight w:val="none"/>
              </w:rPr>
            </w:pPr>
          </w:p>
        </w:tc>
        <w:tc>
          <w:tcPr>
            <w:tcW w:w="3123" w:type="dxa"/>
            <w:tcBorders>
              <w:top w:val="single" w:color="auto" w:sz="4" w:space="0"/>
              <w:left w:val="single" w:color="auto" w:sz="4" w:space="0"/>
              <w:bottom w:val="single" w:color="auto" w:sz="4" w:space="0"/>
              <w:right w:val="single" w:color="auto" w:sz="4" w:space="0"/>
            </w:tcBorders>
            <w:noWrap/>
            <w:vAlign w:val="center"/>
          </w:tcPr>
          <w:p w14:paraId="60E0A1FC">
            <w:pPr>
              <w:snapToGrid w:val="0"/>
              <w:spacing w:line="360" w:lineRule="auto"/>
              <w:jc w:val="center"/>
              <w:textAlignment w:val="center"/>
              <w:rPr>
                <w:rFonts w:ascii="宋体" w:hAnsi="宋体" w:cs="宋体"/>
                <w:color w:val="auto"/>
                <w:szCs w:val="21"/>
                <w:highlight w:val="none"/>
              </w:rPr>
            </w:pPr>
          </w:p>
        </w:tc>
        <w:tc>
          <w:tcPr>
            <w:tcW w:w="1841" w:type="dxa"/>
            <w:tcBorders>
              <w:top w:val="single" w:color="auto" w:sz="4" w:space="0"/>
              <w:left w:val="single" w:color="auto" w:sz="4" w:space="0"/>
              <w:bottom w:val="single" w:color="auto" w:sz="4" w:space="0"/>
              <w:right w:val="single" w:color="auto" w:sz="4" w:space="0"/>
            </w:tcBorders>
            <w:noWrap/>
            <w:vAlign w:val="center"/>
          </w:tcPr>
          <w:p w14:paraId="2AA38BB8">
            <w:pPr>
              <w:snapToGrid w:val="0"/>
              <w:spacing w:line="360" w:lineRule="auto"/>
              <w:jc w:val="center"/>
              <w:textAlignment w:val="center"/>
              <w:rPr>
                <w:rFonts w:ascii="宋体" w:hAnsi="宋体" w:cs="宋体"/>
                <w:color w:val="auto"/>
                <w:szCs w:val="21"/>
                <w:highlight w:val="none"/>
              </w:rPr>
            </w:pPr>
          </w:p>
        </w:tc>
        <w:tc>
          <w:tcPr>
            <w:tcW w:w="2059" w:type="dxa"/>
            <w:tcBorders>
              <w:top w:val="single" w:color="auto" w:sz="4" w:space="0"/>
              <w:left w:val="single" w:color="auto" w:sz="4" w:space="0"/>
              <w:bottom w:val="single" w:color="auto" w:sz="4" w:space="0"/>
              <w:right w:val="single" w:color="auto" w:sz="4" w:space="0"/>
            </w:tcBorders>
            <w:noWrap/>
            <w:vAlign w:val="center"/>
          </w:tcPr>
          <w:p w14:paraId="5088A245">
            <w:pPr>
              <w:snapToGrid w:val="0"/>
              <w:spacing w:line="360" w:lineRule="auto"/>
              <w:jc w:val="center"/>
              <w:textAlignment w:val="center"/>
              <w:rPr>
                <w:rFonts w:ascii="宋体" w:hAnsi="宋体" w:cs="宋体"/>
                <w:color w:val="auto"/>
                <w:szCs w:val="21"/>
                <w:highlight w:val="none"/>
              </w:rPr>
            </w:pPr>
          </w:p>
        </w:tc>
        <w:tc>
          <w:tcPr>
            <w:tcW w:w="1228" w:type="dxa"/>
            <w:tcBorders>
              <w:top w:val="single" w:color="auto" w:sz="4" w:space="0"/>
              <w:left w:val="single" w:color="auto" w:sz="4" w:space="0"/>
              <w:bottom w:val="single" w:color="auto" w:sz="4" w:space="0"/>
              <w:right w:val="single" w:color="auto" w:sz="4" w:space="0"/>
            </w:tcBorders>
            <w:noWrap/>
            <w:vAlign w:val="center"/>
          </w:tcPr>
          <w:p w14:paraId="6FDB1653">
            <w:pPr>
              <w:snapToGrid w:val="0"/>
              <w:spacing w:line="360" w:lineRule="auto"/>
              <w:jc w:val="center"/>
              <w:textAlignment w:val="center"/>
              <w:rPr>
                <w:rFonts w:ascii="宋体" w:hAnsi="宋体" w:cs="宋体"/>
                <w:color w:val="auto"/>
                <w:szCs w:val="21"/>
                <w:highlight w:val="none"/>
              </w:rPr>
            </w:pPr>
          </w:p>
        </w:tc>
      </w:tr>
      <w:tr w14:paraId="70B3F4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26" w:hRule="atLeast"/>
          <w:jc w:val="center"/>
        </w:trPr>
        <w:tc>
          <w:tcPr>
            <w:tcW w:w="1002" w:type="dxa"/>
            <w:tcBorders>
              <w:top w:val="single" w:color="auto" w:sz="4" w:space="0"/>
              <w:left w:val="single" w:color="auto" w:sz="4" w:space="0"/>
              <w:bottom w:val="single" w:color="auto" w:sz="4" w:space="0"/>
              <w:right w:val="single" w:color="auto" w:sz="4" w:space="0"/>
            </w:tcBorders>
            <w:noWrap/>
            <w:vAlign w:val="center"/>
          </w:tcPr>
          <w:p w14:paraId="7C7C3656">
            <w:pPr>
              <w:snapToGrid w:val="0"/>
              <w:spacing w:line="360" w:lineRule="auto"/>
              <w:jc w:val="center"/>
              <w:textAlignment w:val="center"/>
              <w:rPr>
                <w:rFonts w:ascii="宋体" w:hAnsi="宋体" w:cs="宋体"/>
                <w:color w:val="auto"/>
                <w:szCs w:val="21"/>
                <w:highlight w:val="none"/>
              </w:rPr>
            </w:pPr>
          </w:p>
        </w:tc>
        <w:tc>
          <w:tcPr>
            <w:tcW w:w="3123" w:type="dxa"/>
            <w:tcBorders>
              <w:top w:val="single" w:color="auto" w:sz="4" w:space="0"/>
              <w:left w:val="single" w:color="auto" w:sz="4" w:space="0"/>
              <w:bottom w:val="single" w:color="auto" w:sz="4" w:space="0"/>
              <w:right w:val="single" w:color="auto" w:sz="4" w:space="0"/>
            </w:tcBorders>
            <w:noWrap/>
            <w:vAlign w:val="center"/>
          </w:tcPr>
          <w:p w14:paraId="5745761C">
            <w:pPr>
              <w:snapToGrid w:val="0"/>
              <w:spacing w:line="360" w:lineRule="auto"/>
              <w:jc w:val="center"/>
              <w:textAlignment w:val="center"/>
              <w:rPr>
                <w:rFonts w:ascii="宋体" w:hAnsi="宋体" w:cs="宋体"/>
                <w:color w:val="auto"/>
                <w:szCs w:val="21"/>
                <w:highlight w:val="none"/>
              </w:rPr>
            </w:pPr>
          </w:p>
        </w:tc>
        <w:tc>
          <w:tcPr>
            <w:tcW w:w="1841" w:type="dxa"/>
            <w:tcBorders>
              <w:top w:val="single" w:color="auto" w:sz="4" w:space="0"/>
              <w:left w:val="single" w:color="auto" w:sz="4" w:space="0"/>
              <w:bottom w:val="single" w:color="auto" w:sz="4" w:space="0"/>
              <w:right w:val="single" w:color="auto" w:sz="4" w:space="0"/>
            </w:tcBorders>
            <w:noWrap/>
            <w:vAlign w:val="center"/>
          </w:tcPr>
          <w:p w14:paraId="6789450C">
            <w:pPr>
              <w:snapToGrid w:val="0"/>
              <w:spacing w:line="360" w:lineRule="auto"/>
              <w:jc w:val="center"/>
              <w:textAlignment w:val="center"/>
              <w:rPr>
                <w:rFonts w:ascii="宋体" w:hAnsi="宋体" w:cs="宋体"/>
                <w:color w:val="auto"/>
                <w:szCs w:val="21"/>
                <w:highlight w:val="none"/>
              </w:rPr>
            </w:pPr>
          </w:p>
        </w:tc>
        <w:tc>
          <w:tcPr>
            <w:tcW w:w="2059" w:type="dxa"/>
            <w:tcBorders>
              <w:top w:val="single" w:color="auto" w:sz="4" w:space="0"/>
              <w:left w:val="single" w:color="auto" w:sz="4" w:space="0"/>
              <w:bottom w:val="single" w:color="auto" w:sz="4" w:space="0"/>
              <w:right w:val="single" w:color="auto" w:sz="4" w:space="0"/>
            </w:tcBorders>
            <w:noWrap/>
            <w:vAlign w:val="center"/>
          </w:tcPr>
          <w:p w14:paraId="7EA88119">
            <w:pPr>
              <w:snapToGrid w:val="0"/>
              <w:spacing w:line="360" w:lineRule="auto"/>
              <w:jc w:val="center"/>
              <w:textAlignment w:val="center"/>
              <w:rPr>
                <w:rFonts w:ascii="宋体" w:hAnsi="宋体" w:cs="宋体"/>
                <w:color w:val="auto"/>
                <w:szCs w:val="21"/>
                <w:highlight w:val="none"/>
              </w:rPr>
            </w:pPr>
          </w:p>
        </w:tc>
        <w:tc>
          <w:tcPr>
            <w:tcW w:w="1228" w:type="dxa"/>
            <w:tcBorders>
              <w:top w:val="single" w:color="auto" w:sz="4" w:space="0"/>
              <w:left w:val="single" w:color="auto" w:sz="4" w:space="0"/>
              <w:bottom w:val="single" w:color="auto" w:sz="4" w:space="0"/>
              <w:right w:val="single" w:color="auto" w:sz="4" w:space="0"/>
            </w:tcBorders>
            <w:noWrap/>
            <w:vAlign w:val="center"/>
          </w:tcPr>
          <w:p w14:paraId="1223A2B1">
            <w:pPr>
              <w:snapToGrid w:val="0"/>
              <w:spacing w:line="360" w:lineRule="auto"/>
              <w:jc w:val="center"/>
              <w:textAlignment w:val="center"/>
              <w:rPr>
                <w:rFonts w:ascii="宋体" w:hAnsi="宋体" w:cs="宋体"/>
                <w:color w:val="auto"/>
                <w:szCs w:val="21"/>
                <w:highlight w:val="none"/>
              </w:rPr>
            </w:pPr>
          </w:p>
        </w:tc>
      </w:tr>
      <w:tr w14:paraId="0EB883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26" w:hRule="atLeast"/>
          <w:jc w:val="center"/>
        </w:trPr>
        <w:tc>
          <w:tcPr>
            <w:tcW w:w="1002" w:type="dxa"/>
            <w:tcBorders>
              <w:top w:val="single" w:color="auto" w:sz="4" w:space="0"/>
              <w:left w:val="single" w:color="auto" w:sz="4" w:space="0"/>
              <w:bottom w:val="single" w:color="auto" w:sz="4" w:space="0"/>
              <w:right w:val="single" w:color="auto" w:sz="4" w:space="0"/>
            </w:tcBorders>
            <w:noWrap/>
            <w:vAlign w:val="center"/>
          </w:tcPr>
          <w:p w14:paraId="1B17816D">
            <w:pPr>
              <w:snapToGrid w:val="0"/>
              <w:spacing w:line="360" w:lineRule="auto"/>
              <w:jc w:val="center"/>
              <w:textAlignment w:val="center"/>
              <w:rPr>
                <w:rFonts w:ascii="宋体" w:hAnsi="宋体" w:cs="宋体"/>
                <w:color w:val="auto"/>
                <w:szCs w:val="21"/>
                <w:highlight w:val="none"/>
              </w:rPr>
            </w:pPr>
          </w:p>
        </w:tc>
        <w:tc>
          <w:tcPr>
            <w:tcW w:w="3123" w:type="dxa"/>
            <w:tcBorders>
              <w:top w:val="single" w:color="auto" w:sz="4" w:space="0"/>
              <w:left w:val="single" w:color="auto" w:sz="4" w:space="0"/>
              <w:bottom w:val="single" w:color="auto" w:sz="4" w:space="0"/>
              <w:right w:val="single" w:color="auto" w:sz="4" w:space="0"/>
            </w:tcBorders>
            <w:noWrap/>
            <w:vAlign w:val="center"/>
          </w:tcPr>
          <w:p w14:paraId="54593CE2">
            <w:pPr>
              <w:snapToGrid w:val="0"/>
              <w:spacing w:line="360" w:lineRule="auto"/>
              <w:jc w:val="center"/>
              <w:textAlignment w:val="center"/>
              <w:rPr>
                <w:rFonts w:ascii="宋体" w:hAnsi="宋体" w:cs="宋体"/>
                <w:color w:val="auto"/>
                <w:szCs w:val="21"/>
                <w:highlight w:val="none"/>
              </w:rPr>
            </w:pPr>
          </w:p>
        </w:tc>
        <w:tc>
          <w:tcPr>
            <w:tcW w:w="1841" w:type="dxa"/>
            <w:tcBorders>
              <w:top w:val="single" w:color="auto" w:sz="4" w:space="0"/>
              <w:left w:val="single" w:color="auto" w:sz="4" w:space="0"/>
              <w:bottom w:val="single" w:color="auto" w:sz="4" w:space="0"/>
              <w:right w:val="single" w:color="auto" w:sz="4" w:space="0"/>
            </w:tcBorders>
            <w:noWrap/>
            <w:vAlign w:val="center"/>
          </w:tcPr>
          <w:p w14:paraId="78F55C95">
            <w:pPr>
              <w:snapToGrid w:val="0"/>
              <w:spacing w:line="360" w:lineRule="auto"/>
              <w:jc w:val="center"/>
              <w:textAlignment w:val="center"/>
              <w:rPr>
                <w:rFonts w:ascii="宋体" w:hAnsi="宋体" w:cs="宋体"/>
                <w:color w:val="auto"/>
                <w:szCs w:val="21"/>
                <w:highlight w:val="none"/>
              </w:rPr>
            </w:pPr>
          </w:p>
        </w:tc>
        <w:tc>
          <w:tcPr>
            <w:tcW w:w="2059" w:type="dxa"/>
            <w:tcBorders>
              <w:top w:val="single" w:color="auto" w:sz="4" w:space="0"/>
              <w:left w:val="single" w:color="auto" w:sz="4" w:space="0"/>
              <w:bottom w:val="single" w:color="auto" w:sz="4" w:space="0"/>
              <w:right w:val="single" w:color="auto" w:sz="4" w:space="0"/>
            </w:tcBorders>
            <w:noWrap/>
            <w:vAlign w:val="center"/>
          </w:tcPr>
          <w:p w14:paraId="5B82DF4D">
            <w:pPr>
              <w:snapToGrid w:val="0"/>
              <w:spacing w:line="360" w:lineRule="auto"/>
              <w:jc w:val="center"/>
              <w:textAlignment w:val="center"/>
              <w:rPr>
                <w:rFonts w:ascii="宋体" w:hAnsi="宋体" w:cs="宋体"/>
                <w:color w:val="auto"/>
                <w:szCs w:val="21"/>
                <w:highlight w:val="none"/>
              </w:rPr>
            </w:pPr>
          </w:p>
        </w:tc>
        <w:tc>
          <w:tcPr>
            <w:tcW w:w="1228" w:type="dxa"/>
            <w:tcBorders>
              <w:top w:val="single" w:color="auto" w:sz="4" w:space="0"/>
              <w:left w:val="single" w:color="auto" w:sz="4" w:space="0"/>
              <w:bottom w:val="single" w:color="auto" w:sz="4" w:space="0"/>
              <w:right w:val="single" w:color="auto" w:sz="4" w:space="0"/>
            </w:tcBorders>
            <w:noWrap/>
            <w:vAlign w:val="center"/>
          </w:tcPr>
          <w:p w14:paraId="4233820F">
            <w:pPr>
              <w:snapToGrid w:val="0"/>
              <w:spacing w:line="360" w:lineRule="auto"/>
              <w:jc w:val="center"/>
              <w:textAlignment w:val="center"/>
              <w:rPr>
                <w:rFonts w:ascii="宋体" w:hAnsi="宋体" w:cs="宋体"/>
                <w:color w:val="auto"/>
                <w:szCs w:val="21"/>
                <w:highlight w:val="none"/>
              </w:rPr>
            </w:pPr>
          </w:p>
        </w:tc>
      </w:tr>
      <w:tr w14:paraId="715703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26" w:hRule="atLeast"/>
          <w:jc w:val="center"/>
        </w:trPr>
        <w:tc>
          <w:tcPr>
            <w:tcW w:w="1002" w:type="dxa"/>
            <w:tcBorders>
              <w:top w:val="single" w:color="auto" w:sz="4" w:space="0"/>
              <w:left w:val="single" w:color="auto" w:sz="4" w:space="0"/>
              <w:bottom w:val="single" w:color="auto" w:sz="4" w:space="0"/>
              <w:right w:val="single" w:color="auto" w:sz="4" w:space="0"/>
            </w:tcBorders>
            <w:noWrap/>
            <w:vAlign w:val="center"/>
          </w:tcPr>
          <w:p w14:paraId="6D2F5DBE">
            <w:pPr>
              <w:snapToGrid w:val="0"/>
              <w:spacing w:line="360" w:lineRule="auto"/>
              <w:jc w:val="center"/>
              <w:textAlignment w:val="center"/>
              <w:rPr>
                <w:rFonts w:ascii="宋体" w:hAnsi="宋体" w:cs="宋体"/>
                <w:color w:val="auto"/>
                <w:szCs w:val="21"/>
                <w:highlight w:val="none"/>
              </w:rPr>
            </w:pPr>
          </w:p>
        </w:tc>
        <w:tc>
          <w:tcPr>
            <w:tcW w:w="3123" w:type="dxa"/>
            <w:tcBorders>
              <w:top w:val="single" w:color="auto" w:sz="4" w:space="0"/>
              <w:left w:val="single" w:color="auto" w:sz="4" w:space="0"/>
              <w:bottom w:val="single" w:color="auto" w:sz="4" w:space="0"/>
              <w:right w:val="single" w:color="auto" w:sz="4" w:space="0"/>
            </w:tcBorders>
            <w:noWrap/>
            <w:vAlign w:val="center"/>
          </w:tcPr>
          <w:p w14:paraId="3D1A0292">
            <w:pPr>
              <w:snapToGrid w:val="0"/>
              <w:spacing w:line="360" w:lineRule="auto"/>
              <w:jc w:val="center"/>
              <w:textAlignment w:val="center"/>
              <w:rPr>
                <w:rFonts w:ascii="宋体" w:hAnsi="宋体" w:cs="宋体"/>
                <w:color w:val="auto"/>
                <w:szCs w:val="21"/>
                <w:highlight w:val="none"/>
              </w:rPr>
            </w:pPr>
          </w:p>
        </w:tc>
        <w:tc>
          <w:tcPr>
            <w:tcW w:w="1841" w:type="dxa"/>
            <w:tcBorders>
              <w:top w:val="single" w:color="auto" w:sz="4" w:space="0"/>
              <w:left w:val="single" w:color="auto" w:sz="4" w:space="0"/>
              <w:bottom w:val="single" w:color="auto" w:sz="4" w:space="0"/>
              <w:right w:val="single" w:color="auto" w:sz="4" w:space="0"/>
            </w:tcBorders>
            <w:noWrap/>
            <w:vAlign w:val="center"/>
          </w:tcPr>
          <w:p w14:paraId="2B1DB97E">
            <w:pPr>
              <w:snapToGrid w:val="0"/>
              <w:spacing w:line="360" w:lineRule="auto"/>
              <w:jc w:val="center"/>
              <w:textAlignment w:val="center"/>
              <w:rPr>
                <w:rFonts w:ascii="宋体" w:hAnsi="宋体" w:cs="宋体"/>
                <w:color w:val="auto"/>
                <w:szCs w:val="21"/>
                <w:highlight w:val="none"/>
              </w:rPr>
            </w:pPr>
          </w:p>
        </w:tc>
        <w:tc>
          <w:tcPr>
            <w:tcW w:w="2059" w:type="dxa"/>
            <w:tcBorders>
              <w:top w:val="single" w:color="auto" w:sz="4" w:space="0"/>
              <w:left w:val="single" w:color="auto" w:sz="4" w:space="0"/>
              <w:bottom w:val="single" w:color="auto" w:sz="4" w:space="0"/>
              <w:right w:val="single" w:color="auto" w:sz="4" w:space="0"/>
            </w:tcBorders>
            <w:noWrap/>
            <w:vAlign w:val="center"/>
          </w:tcPr>
          <w:p w14:paraId="772174FE">
            <w:pPr>
              <w:snapToGrid w:val="0"/>
              <w:spacing w:line="360" w:lineRule="auto"/>
              <w:jc w:val="center"/>
              <w:textAlignment w:val="center"/>
              <w:rPr>
                <w:rFonts w:ascii="宋体" w:hAnsi="宋体" w:cs="宋体"/>
                <w:color w:val="auto"/>
                <w:szCs w:val="21"/>
                <w:highlight w:val="none"/>
              </w:rPr>
            </w:pPr>
          </w:p>
        </w:tc>
        <w:tc>
          <w:tcPr>
            <w:tcW w:w="1228" w:type="dxa"/>
            <w:tcBorders>
              <w:top w:val="single" w:color="auto" w:sz="4" w:space="0"/>
              <w:left w:val="single" w:color="auto" w:sz="4" w:space="0"/>
              <w:bottom w:val="single" w:color="auto" w:sz="4" w:space="0"/>
              <w:right w:val="single" w:color="auto" w:sz="4" w:space="0"/>
            </w:tcBorders>
            <w:noWrap/>
            <w:vAlign w:val="center"/>
          </w:tcPr>
          <w:p w14:paraId="493BECE0">
            <w:pPr>
              <w:snapToGrid w:val="0"/>
              <w:spacing w:line="360" w:lineRule="auto"/>
              <w:jc w:val="center"/>
              <w:textAlignment w:val="center"/>
              <w:rPr>
                <w:rFonts w:ascii="宋体" w:hAnsi="宋体" w:cs="宋体"/>
                <w:color w:val="auto"/>
                <w:szCs w:val="21"/>
                <w:highlight w:val="none"/>
              </w:rPr>
            </w:pPr>
          </w:p>
        </w:tc>
      </w:tr>
      <w:tr w14:paraId="2BC7E6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26" w:hRule="atLeast"/>
          <w:jc w:val="center"/>
        </w:trPr>
        <w:tc>
          <w:tcPr>
            <w:tcW w:w="1002" w:type="dxa"/>
            <w:tcBorders>
              <w:top w:val="single" w:color="auto" w:sz="4" w:space="0"/>
              <w:left w:val="single" w:color="auto" w:sz="4" w:space="0"/>
              <w:bottom w:val="single" w:color="auto" w:sz="4" w:space="0"/>
              <w:right w:val="single" w:color="auto" w:sz="4" w:space="0"/>
            </w:tcBorders>
            <w:noWrap/>
            <w:vAlign w:val="center"/>
          </w:tcPr>
          <w:p w14:paraId="42D02113">
            <w:pPr>
              <w:snapToGrid w:val="0"/>
              <w:spacing w:line="360" w:lineRule="auto"/>
              <w:jc w:val="center"/>
              <w:textAlignment w:val="center"/>
              <w:rPr>
                <w:rFonts w:ascii="宋体" w:hAnsi="宋体" w:cs="宋体"/>
                <w:color w:val="auto"/>
                <w:szCs w:val="21"/>
                <w:highlight w:val="none"/>
              </w:rPr>
            </w:pPr>
          </w:p>
        </w:tc>
        <w:tc>
          <w:tcPr>
            <w:tcW w:w="3123" w:type="dxa"/>
            <w:tcBorders>
              <w:top w:val="single" w:color="auto" w:sz="4" w:space="0"/>
              <w:left w:val="single" w:color="auto" w:sz="4" w:space="0"/>
              <w:bottom w:val="single" w:color="auto" w:sz="4" w:space="0"/>
              <w:right w:val="single" w:color="auto" w:sz="4" w:space="0"/>
            </w:tcBorders>
            <w:noWrap/>
            <w:vAlign w:val="center"/>
          </w:tcPr>
          <w:p w14:paraId="703AB33C">
            <w:pPr>
              <w:snapToGrid w:val="0"/>
              <w:spacing w:line="360" w:lineRule="auto"/>
              <w:jc w:val="center"/>
              <w:textAlignment w:val="center"/>
              <w:rPr>
                <w:rFonts w:ascii="宋体" w:hAnsi="宋体" w:cs="宋体"/>
                <w:color w:val="auto"/>
                <w:szCs w:val="21"/>
                <w:highlight w:val="none"/>
              </w:rPr>
            </w:pPr>
          </w:p>
        </w:tc>
        <w:tc>
          <w:tcPr>
            <w:tcW w:w="1841" w:type="dxa"/>
            <w:tcBorders>
              <w:top w:val="single" w:color="auto" w:sz="4" w:space="0"/>
              <w:left w:val="single" w:color="auto" w:sz="4" w:space="0"/>
              <w:bottom w:val="single" w:color="auto" w:sz="4" w:space="0"/>
              <w:right w:val="single" w:color="auto" w:sz="4" w:space="0"/>
            </w:tcBorders>
            <w:noWrap/>
            <w:vAlign w:val="center"/>
          </w:tcPr>
          <w:p w14:paraId="1FA90702">
            <w:pPr>
              <w:snapToGrid w:val="0"/>
              <w:spacing w:line="360" w:lineRule="auto"/>
              <w:jc w:val="center"/>
              <w:textAlignment w:val="center"/>
              <w:rPr>
                <w:rFonts w:ascii="宋体" w:hAnsi="宋体" w:cs="宋体"/>
                <w:color w:val="auto"/>
                <w:szCs w:val="21"/>
                <w:highlight w:val="none"/>
              </w:rPr>
            </w:pPr>
          </w:p>
        </w:tc>
        <w:tc>
          <w:tcPr>
            <w:tcW w:w="2059" w:type="dxa"/>
            <w:tcBorders>
              <w:top w:val="single" w:color="auto" w:sz="4" w:space="0"/>
              <w:left w:val="single" w:color="auto" w:sz="4" w:space="0"/>
              <w:bottom w:val="single" w:color="auto" w:sz="4" w:space="0"/>
              <w:right w:val="single" w:color="auto" w:sz="4" w:space="0"/>
            </w:tcBorders>
            <w:noWrap/>
            <w:vAlign w:val="center"/>
          </w:tcPr>
          <w:p w14:paraId="305D2A7E">
            <w:pPr>
              <w:snapToGrid w:val="0"/>
              <w:spacing w:line="360" w:lineRule="auto"/>
              <w:jc w:val="center"/>
              <w:textAlignment w:val="center"/>
              <w:rPr>
                <w:rFonts w:ascii="宋体" w:hAnsi="宋体" w:cs="宋体"/>
                <w:color w:val="auto"/>
                <w:szCs w:val="21"/>
                <w:highlight w:val="none"/>
              </w:rPr>
            </w:pPr>
          </w:p>
        </w:tc>
        <w:tc>
          <w:tcPr>
            <w:tcW w:w="1228" w:type="dxa"/>
            <w:tcBorders>
              <w:top w:val="single" w:color="auto" w:sz="4" w:space="0"/>
              <w:left w:val="single" w:color="auto" w:sz="4" w:space="0"/>
              <w:right w:val="single" w:color="auto" w:sz="4" w:space="0"/>
            </w:tcBorders>
            <w:noWrap/>
            <w:vAlign w:val="center"/>
          </w:tcPr>
          <w:p w14:paraId="5AEFCD96">
            <w:pPr>
              <w:snapToGrid w:val="0"/>
              <w:spacing w:line="360" w:lineRule="auto"/>
              <w:jc w:val="center"/>
              <w:textAlignment w:val="center"/>
              <w:rPr>
                <w:rFonts w:ascii="宋体" w:hAnsi="宋体" w:cs="宋体"/>
                <w:color w:val="auto"/>
                <w:szCs w:val="21"/>
                <w:highlight w:val="none"/>
              </w:rPr>
            </w:pPr>
          </w:p>
        </w:tc>
      </w:tr>
    </w:tbl>
    <w:p w14:paraId="62A5C381">
      <w:pPr>
        <w:numPr>
          <w:ilvl w:val="255"/>
          <w:numId w:val="0"/>
        </w:numPr>
        <w:tabs>
          <w:tab w:val="left" w:pos="720"/>
        </w:tabs>
        <w:snapToGrid w:val="0"/>
        <w:spacing w:line="360" w:lineRule="auto"/>
        <w:rPr>
          <w:rFonts w:ascii="宋体" w:hAnsi="宋体" w:cs="宋体"/>
          <w:color w:val="auto"/>
          <w:highlight w:val="none"/>
        </w:rPr>
      </w:pPr>
      <w:r>
        <w:rPr>
          <w:rFonts w:hint="eastAsia" w:ascii="宋体" w:hAnsi="宋体" w:cs="宋体"/>
          <w:color w:val="auto"/>
          <w:highlight w:val="none"/>
        </w:rPr>
        <w:t>注：1、设备名称及要求数量由投标人视本工程具体情况结合招标人对本工程的具体要求自行配备。2、为贯彻绿色发展理念，本项目应积极使用燃料电池汽车等新能源工程车，要求投标人投入的新能源工程车占投入的建筑垃圾自卸车（渣土车）总数比例不低于40%。一旦中标，必须全部到位，否则按合同违约处理</w:t>
      </w:r>
      <w:r>
        <w:rPr>
          <w:rFonts w:hint="eastAsia" w:ascii="宋体" w:hAnsi="宋体" w:cs="宋体"/>
          <w:color w:val="auto"/>
          <w:sz w:val="24"/>
          <w:szCs w:val="24"/>
          <w:highlight w:val="none"/>
        </w:rPr>
        <w:t>。</w:t>
      </w:r>
    </w:p>
    <w:p w14:paraId="2B559240">
      <w:pPr>
        <w:snapToGrid w:val="0"/>
        <w:spacing w:line="360" w:lineRule="auto"/>
        <w:ind w:right="-130" w:rightChars="-62"/>
        <w:rPr>
          <w:rFonts w:ascii="宋体" w:hAnsi="宋体" w:cs="宋体"/>
          <w:color w:val="auto"/>
          <w:highlight w:val="none"/>
        </w:rPr>
      </w:pPr>
    </w:p>
    <w:p w14:paraId="4DF60F78">
      <w:pPr>
        <w:topLinePunct/>
        <w:adjustRightInd w:val="0"/>
        <w:snapToGrid w:val="0"/>
        <w:spacing w:line="360" w:lineRule="auto"/>
        <w:ind w:firstLine="3161" w:firstLineChars="1450"/>
        <w:rPr>
          <w:rFonts w:ascii="宋体" w:hAnsi="宋体" w:cs="宋体"/>
          <w:snapToGrid w:val="0"/>
          <w:color w:val="auto"/>
          <w:spacing w:val="4"/>
          <w:kern w:val="0"/>
          <w:szCs w:val="21"/>
          <w:highlight w:val="none"/>
        </w:rPr>
      </w:pPr>
    </w:p>
    <w:p w14:paraId="23EE2CE5">
      <w:pPr>
        <w:topLinePunct/>
        <w:adjustRightInd w:val="0"/>
        <w:snapToGrid w:val="0"/>
        <w:spacing w:line="360" w:lineRule="auto"/>
        <w:ind w:firstLine="3161" w:firstLineChars="1450"/>
        <w:rPr>
          <w:rFonts w:ascii="宋体" w:hAnsi="宋体" w:cs="宋体"/>
          <w:snapToGrid w:val="0"/>
          <w:color w:val="auto"/>
          <w:spacing w:val="4"/>
          <w:kern w:val="0"/>
          <w:szCs w:val="21"/>
          <w:highlight w:val="none"/>
        </w:rPr>
      </w:pPr>
      <w:r>
        <w:rPr>
          <w:rFonts w:hint="eastAsia" w:ascii="宋体" w:hAnsi="宋体" w:cs="宋体"/>
          <w:snapToGrid w:val="0"/>
          <w:color w:val="auto"/>
          <w:spacing w:val="4"/>
          <w:kern w:val="0"/>
          <w:szCs w:val="21"/>
          <w:highlight w:val="none"/>
        </w:rPr>
        <w:t>投标人（盖章）：</w:t>
      </w:r>
    </w:p>
    <w:p w14:paraId="60D44EB5">
      <w:pPr>
        <w:topLinePunct/>
        <w:adjustRightInd w:val="0"/>
        <w:snapToGrid w:val="0"/>
        <w:spacing w:line="360" w:lineRule="auto"/>
        <w:ind w:firstLine="3161" w:firstLineChars="1450"/>
        <w:rPr>
          <w:rFonts w:ascii="宋体" w:hAnsi="宋体" w:cs="宋体"/>
          <w:snapToGrid w:val="0"/>
          <w:color w:val="auto"/>
          <w:spacing w:val="4"/>
          <w:kern w:val="0"/>
          <w:szCs w:val="21"/>
          <w:highlight w:val="none"/>
        </w:rPr>
      </w:pPr>
      <w:r>
        <w:rPr>
          <w:rFonts w:hint="eastAsia" w:ascii="宋体" w:hAnsi="宋体" w:cs="宋体"/>
          <w:snapToGrid w:val="0"/>
          <w:color w:val="auto"/>
          <w:spacing w:val="4"/>
          <w:kern w:val="0"/>
          <w:szCs w:val="21"/>
          <w:highlight w:val="none"/>
        </w:rPr>
        <w:t>日期：     年   月   日</w:t>
      </w:r>
    </w:p>
    <w:p w14:paraId="1BB66D26">
      <w:pPr>
        <w:snapToGrid w:val="0"/>
        <w:spacing w:line="360" w:lineRule="auto"/>
        <w:ind w:right="-130" w:rightChars="-62"/>
        <w:rPr>
          <w:rFonts w:ascii="宋体" w:hAnsi="宋体" w:cs="宋体"/>
          <w:color w:val="auto"/>
          <w:highlight w:val="none"/>
        </w:rPr>
      </w:pPr>
    </w:p>
    <w:p w14:paraId="5CC4A474">
      <w:pPr>
        <w:snapToGrid w:val="0"/>
        <w:spacing w:line="360" w:lineRule="auto"/>
        <w:ind w:right="-130" w:rightChars="-62"/>
        <w:rPr>
          <w:rFonts w:ascii="宋体" w:hAnsi="宋体" w:cs="宋体"/>
          <w:color w:val="auto"/>
          <w:highlight w:val="none"/>
        </w:rPr>
      </w:pPr>
    </w:p>
    <w:p w14:paraId="4CA23342">
      <w:pPr>
        <w:rPr>
          <w:rFonts w:ascii="宋体" w:hAnsi="宋体" w:cs="宋体"/>
          <w:bCs/>
          <w:color w:val="auto"/>
          <w:kern w:val="0"/>
          <w:highlight w:val="none"/>
        </w:rPr>
      </w:pPr>
      <w:bookmarkStart w:id="62" w:name="_Toc22483"/>
      <w:r>
        <w:rPr>
          <w:rFonts w:hint="eastAsia" w:ascii="宋体" w:hAnsi="宋体" w:cs="宋体"/>
          <w:bCs/>
          <w:color w:val="auto"/>
          <w:kern w:val="0"/>
          <w:highlight w:val="none"/>
        </w:rPr>
        <w:br w:type="page"/>
      </w:r>
    </w:p>
    <w:p w14:paraId="229EC125">
      <w:pPr>
        <w:pStyle w:val="47"/>
        <w:ind w:firstLine="0" w:firstLineChars="0"/>
        <w:rPr>
          <w:rFonts w:hint="eastAsia" w:eastAsia="宋体" w:cs="宋体"/>
          <w:bCs/>
          <w:color w:val="auto"/>
          <w:kern w:val="0"/>
          <w:highlight w:val="none"/>
          <w:lang w:val="en-US" w:eastAsia="zh-CN"/>
        </w:rPr>
      </w:pPr>
      <w:r>
        <w:rPr>
          <w:rFonts w:hint="eastAsia" w:cs="宋体"/>
          <w:bCs/>
          <w:color w:val="auto"/>
          <w:kern w:val="0"/>
          <w:highlight w:val="none"/>
        </w:rPr>
        <w:t>技术标格式</w:t>
      </w:r>
      <w:r>
        <w:rPr>
          <w:rFonts w:hint="eastAsia" w:cs="宋体"/>
          <w:bCs/>
          <w:color w:val="auto"/>
          <w:kern w:val="0"/>
          <w:highlight w:val="none"/>
          <w:lang w:val="en-US" w:eastAsia="zh-CN"/>
        </w:rPr>
        <w:t>九</w:t>
      </w:r>
    </w:p>
    <w:p w14:paraId="1CF42CE0">
      <w:pPr>
        <w:jc w:val="center"/>
        <w:rPr>
          <w:rFonts w:ascii="宋体" w:hAnsi="宋体" w:cs="宋体"/>
          <w:bCs/>
          <w:color w:val="auto"/>
          <w:spacing w:val="4"/>
          <w:kern w:val="0"/>
          <w:sz w:val="24"/>
          <w:szCs w:val="24"/>
          <w:highlight w:val="none"/>
        </w:rPr>
      </w:pPr>
    </w:p>
    <w:p w14:paraId="76D82956">
      <w:pPr>
        <w:snapToGrid w:val="0"/>
        <w:spacing w:line="360" w:lineRule="auto"/>
        <w:jc w:val="center"/>
        <w:rPr>
          <w:rFonts w:ascii="宋体" w:hAnsi="宋体" w:cs="宋体"/>
          <w:b/>
          <w:color w:val="auto"/>
          <w:sz w:val="36"/>
          <w:szCs w:val="36"/>
          <w:highlight w:val="none"/>
        </w:rPr>
      </w:pPr>
      <w:r>
        <w:rPr>
          <w:rFonts w:hint="eastAsia" w:ascii="宋体" w:hAnsi="宋体" w:cs="宋体"/>
          <w:b/>
          <w:color w:val="auto"/>
          <w:sz w:val="36"/>
          <w:szCs w:val="36"/>
          <w:highlight w:val="none"/>
        </w:rPr>
        <w:t>危险性较大的分部分项工程安全管理措施</w:t>
      </w:r>
      <w:bookmarkEnd w:id="62"/>
    </w:p>
    <w:p w14:paraId="3D137B7F">
      <w:pPr>
        <w:widowControl/>
        <w:numPr>
          <w:ilvl w:val="0"/>
          <w:numId w:val="3"/>
        </w:numPr>
        <w:autoSpaceDE w:val="0"/>
        <w:autoSpaceDN w:val="0"/>
        <w:adjustRightInd w:val="0"/>
        <w:snapToGrid w:val="0"/>
        <w:spacing w:line="360" w:lineRule="auto"/>
        <w:jc w:val="left"/>
        <w:rPr>
          <w:rFonts w:ascii="宋体" w:hAnsi="宋体" w:cs="宋体"/>
          <w:snapToGrid w:val="0"/>
          <w:color w:val="auto"/>
          <w:spacing w:val="4"/>
          <w:kern w:val="0"/>
          <w:sz w:val="22"/>
          <w:highlight w:val="none"/>
        </w:rPr>
      </w:pPr>
      <w:r>
        <w:rPr>
          <w:rFonts w:hint="eastAsia" w:ascii="宋体" w:hAnsi="宋体" w:cs="宋体"/>
          <w:color w:val="auto"/>
          <w:kern w:val="0"/>
          <w:sz w:val="22"/>
          <w:szCs w:val="24"/>
          <w:highlight w:val="none"/>
        </w:rPr>
        <w:t>根据中华人民共和国住房和城乡建设部令第37号《危险性较大的分部分项工程安全管理规定》（以下简称“37号文”），投标人在投标时须补充完善危大工程清单并</w:t>
      </w:r>
      <w:r>
        <w:rPr>
          <w:rFonts w:hint="eastAsia" w:ascii="宋体" w:hAnsi="宋体" w:cs="宋体"/>
          <w:snapToGrid w:val="0"/>
          <w:color w:val="auto"/>
          <w:spacing w:val="4"/>
          <w:kern w:val="0"/>
          <w:sz w:val="22"/>
          <w:highlight w:val="none"/>
        </w:rPr>
        <w:t>结合本工程的类型和特点，科学、合理地设置本项目的危险性较大的分部分项工程安全管理措施，危险性较大的分部分项工程安全管理措施由投标人结合招标人对本工程的具体要求自行设定。</w:t>
      </w:r>
    </w:p>
    <w:p w14:paraId="17B3BEDF">
      <w:pPr>
        <w:widowControl/>
        <w:numPr>
          <w:ilvl w:val="0"/>
          <w:numId w:val="3"/>
        </w:numPr>
        <w:autoSpaceDE w:val="0"/>
        <w:autoSpaceDN w:val="0"/>
        <w:adjustRightInd w:val="0"/>
        <w:snapToGrid w:val="0"/>
        <w:spacing w:line="360" w:lineRule="auto"/>
        <w:jc w:val="left"/>
        <w:rPr>
          <w:rFonts w:ascii="宋体" w:hAnsi="宋体" w:cs="宋体"/>
          <w:color w:val="auto"/>
          <w:kern w:val="0"/>
          <w:sz w:val="22"/>
          <w:szCs w:val="24"/>
          <w:highlight w:val="none"/>
        </w:rPr>
      </w:pPr>
      <w:r>
        <w:rPr>
          <w:rFonts w:hint="eastAsia" w:ascii="宋体" w:hAnsi="宋体" w:cs="宋体"/>
          <w:color w:val="auto"/>
          <w:kern w:val="0"/>
          <w:sz w:val="22"/>
          <w:szCs w:val="24"/>
          <w:highlight w:val="none"/>
        </w:rPr>
        <w:t>招标人根据设计文件的要求及37号文的规定列出“危险性较大的分部分项工程清单及超过一定规模的危险性较大的分部分项工程清单”中与本招标项目相关的清单项，具体详第5点“打</w:t>
      </w:r>
      <w:r>
        <w:rPr>
          <w:rFonts w:hint="eastAsia" w:ascii="宋体" w:hAnsi="宋体" w:cs="宋体"/>
          <w:color w:val="auto"/>
          <w:kern w:val="0"/>
          <w:sz w:val="22"/>
          <w:szCs w:val="32"/>
          <w:highlight w:val="none"/>
        </w:rPr>
        <w:t>√”标识。</w:t>
      </w:r>
    </w:p>
    <w:p w14:paraId="712AD3E8">
      <w:pPr>
        <w:widowControl/>
        <w:numPr>
          <w:ilvl w:val="0"/>
          <w:numId w:val="4"/>
        </w:numPr>
        <w:autoSpaceDE w:val="0"/>
        <w:autoSpaceDN w:val="0"/>
        <w:adjustRightInd w:val="0"/>
        <w:snapToGrid w:val="0"/>
        <w:spacing w:line="360" w:lineRule="auto"/>
        <w:jc w:val="left"/>
        <w:rPr>
          <w:rFonts w:ascii="宋体" w:hAnsi="宋体" w:cs="宋体"/>
          <w:color w:val="auto"/>
          <w:kern w:val="0"/>
          <w:sz w:val="22"/>
          <w:szCs w:val="32"/>
          <w:highlight w:val="none"/>
        </w:rPr>
      </w:pPr>
      <w:r>
        <w:rPr>
          <w:rFonts w:hint="eastAsia" w:ascii="宋体" w:hAnsi="宋体" w:cs="宋体"/>
          <w:color w:val="auto"/>
          <w:kern w:val="0"/>
          <w:sz w:val="22"/>
          <w:szCs w:val="24"/>
          <w:highlight w:val="none"/>
        </w:rPr>
        <w:t>投标单位同意建设单位在清单中标识的该项请在对应项打“</w:t>
      </w:r>
      <w:r>
        <w:rPr>
          <w:rFonts w:hint="eastAsia" w:ascii="宋体" w:hAnsi="宋体" w:cs="宋体"/>
          <w:color w:val="auto"/>
          <w:kern w:val="0"/>
          <w:sz w:val="22"/>
          <w:szCs w:val="32"/>
          <w:highlight w:val="none"/>
        </w:rPr>
        <w:t>√”标识，并在投标文件中提供相应的安全管理措施。</w:t>
      </w:r>
    </w:p>
    <w:p w14:paraId="11487865">
      <w:pPr>
        <w:widowControl/>
        <w:numPr>
          <w:ilvl w:val="0"/>
          <w:numId w:val="4"/>
        </w:numPr>
        <w:autoSpaceDE w:val="0"/>
        <w:autoSpaceDN w:val="0"/>
        <w:adjustRightInd w:val="0"/>
        <w:snapToGrid w:val="0"/>
        <w:spacing w:line="360" w:lineRule="auto"/>
        <w:jc w:val="left"/>
        <w:rPr>
          <w:rFonts w:ascii="宋体" w:hAnsi="宋体" w:cs="宋体"/>
          <w:color w:val="auto"/>
          <w:kern w:val="0"/>
          <w:sz w:val="22"/>
          <w:szCs w:val="32"/>
          <w:highlight w:val="none"/>
        </w:rPr>
      </w:pPr>
      <w:r>
        <w:rPr>
          <w:rFonts w:hint="eastAsia" w:ascii="宋体" w:hAnsi="宋体" w:cs="宋体"/>
          <w:color w:val="auto"/>
          <w:kern w:val="0"/>
          <w:sz w:val="22"/>
          <w:szCs w:val="24"/>
          <w:highlight w:val="none"/>
        </w:rPr>
        <w:t>投标单位对清单中认为需要补充的该项请在对应项打“</w:t>
      </w:r>
      <w:r>
        <w:rPr>
          <w:rFonts w:hint="eastAsia" w:ascii="宋体" w:hAnsi="宋体" w:cs="宋体"/>
          <w:color w:val="auto"/>
          <w:kern w:val="0"/>
          <w:sz w:val="22"/>
          <w:szCs w:val="32"/>
          <w:highlight w:val="none"/>
        </w:rPr>
        <w:t>√”标识，并在投标文件中提供相应的安全管理措施。</w:t>
      </w:r>
    </w:p>
    <w:p w14:paraId="00390A62">
      <w:pPr>
        <w:widowControl/>
        <w:numPr>
          <w:ilvl w:val="0"/>
          <w:numId w:val="4"/>
        </w:numPr>
        <w:autoSpaceDE w:val="0"/>
        <w:autoSpaceDN w:val="0"/>
        <w:adjustRightInd w:val="0"/>
        <w:snapToGrid w:val="0"/>
        <w:spacing w:line="360" w:lineRule="auto"/>
        <w:jc w:val="left"/>
        <w:rPr>
          <w:rFonts w:ascii="宋体" w:hAnsi="宋体" w:cs="宋体"/>
          <w:color w:val="auto"/>
          <w:kern w:val="0"/>
          <w:sz w:val="22"/>
          <w:szCs w:val="24"/>
          <w:highlight w:val="none"/>
        </w:rPr>
      </w:pPr>
      <w:r>
        <w:rPr>
          <w:rFonts w:hint="eastAsia" w:ascii="宋体" w:hAnsi="宋体" w:cs="宋体"/>
          <w:color w:val="auto"/>
          <w:kern w:val="0"/>
          <w:sz w:val="22"/>
          <w:szCs w:val="32"/>
          <w:highlight w:val="none"/>
        </w:rPr>
        <w:t>投标单位不同意建设单位</w:t>
      </w:r>
      <w:r>
        <w:rPr>
          <w:rFonts w:hint="eastAsia" w:ascii="宋体" w:hAnsi="宋体" w:cs="宋体"/>
          <w:color w:val="auto"/>
          <w:kern w:val="0"/>
          <w:sz w:val="22"/>
          <w:szCs w:val="24"/>
          <w:highlight w:val="none"/>
        </w:rPr>
        <w:t>在清单中标识的该项</w:t>
      </w:r>
      <w:r>
        <w:rPr>
          <w:rFonts w:hint="eastAsia" w:ascii="宋体" w:hAnsi="宋体" w:cs="宋体"/>
          <w:color w:val="auto"/>
          <w:kern w:val="0"/>
          <w:sz w:val="22"/>
          <w:szCs w:val="32"/>
          <w:highlight w:val="none"/>
        </w:rPr>
        <w:t>请在对应项打“×”标识，并在备注栏填上相关说明。</w:t>
      </w:r>
    </w:p>
    <w:p w14:paraId="41915E2F">
      <w:pPr>
        <w:widowControl/>
        <w:numPr>
          <w:ilvl w:val="0"/>
          <w:numId w:val="3"/>
        </w:numPr>
        <w:autoSpaceDE w:val="0"/>
        <w:autoSpaceDN w:val="0"/>
        <w:adjustRightInd w:val="0"/>
        <w:snapToGrid w:val="0"/>
        <w:spacing w:line="360" w:lineRule="auto"/>
        <w:jc w:val="left"/>
        <w:rPr>
          <w:rFonts w:ascii="宋体" w:hAnsi="宋体" w:cs="宋体"/>
          <w:color w:val="auto"/>
          <w:kern w:val="0"/>
          <w:sz w:val="22"/>
          <w:szCs w:val="24"/>
          <w:highlight w:val="none"/>
        </w:rPr>
      </w:pPr>
      <w:r>
        <w:rPr>
          <w:rFonts w:hint="eastAsia" w:ascii="宋体" w:hAnsi="宋体" w:cs="宋体"/>
          <w:color w:val="auto"/>
          <w:kern w:val="0"/>
          <w:sz w:val="22"/>
          <w:szCs w:val="24"/>
          <w:highlight w:val="none"/>
        </w:rPr>
        <w:t>投标单位应当在投标时根据招标人提供的下述第5点清单，在投标文件中编制专项施工方案。</w:t>
      </w:r>
    </w:p>
    <w:p w14:paraId="2431A4BC">
      <w:pPr>
        <w:widowControl/>
        <w:numPr>
          <w:ilvl w:val="0"/>
          <w:numId w:val="3"/>
        </w:numPr>
        <w:autoSpaceDE w:val="0"/>
        <w:autoSpaceDN w:val="0"/>
        <w:adjustRightInd w:val="0"/>
        <w:snapToGrid w:val="0"/>
        <w:spacing w:line="360" w:lineRule="auto"/>
        <w:jc w:val="left"/>
        <w:rPr>
          <w:rFonts w:ascii="宋体" w:hAnsi="宋体" w:cs="宋体"/>
          <w:color w:val="auto"/>
          <w:kern w:val="0"/>
          <w:sz w:val="22"/>
          <w:szCs w:val="24"/>
          <w:highlight w:val="none"/>
        </w:rPr>
      </w:pPr>
      <w:r>
        <w:rPr>
          <w:rFonts w:hint="eastAsia" w:ascii="宋体" w:hAnsi="宋体" w:cs="宋体"/>
          <w:color w:val="auto"/>
          <w:kern w:val="0"/>
          <w:sz w:val="22"/>
          <w:szCs w:val="24"/>
          <w:highlight w:val="none"/>
        </w:rPr>
        <w:t>对于超过一定规模的危大工程，中标单位应当组织召开专家论证会对专项施工方案进行论证。实行施工总承包的，由施工总承包单位组织召开专家论证会。专家论证前专项施工方案应当通过施工总承包单位审核和总监理工程师审查。</w:t>
      </w:r>
    </w:p>
    <w:p w14:paraId="01A0F78D">
      <w:pPr>
        <w:numPr>
          <w:ilvl w:val="255"/>
          <w:numId w:val="0"/>
        </w:numPr>
        <w:autoSpaceDE w:val="0"/>
        <w:autoSpaceDN w:val="0"/>
        <w:adjustRightInd w:val="0"/>
        <w:snapToGrid w:val="0"/>
        <w:spacing w:line="360" w:lineRule="auto"/>
        <w:jc w:val="left"/>
        <w:rPr>
          <w:rFonts w:ascii="宋体" w:hAnsi="宋体" w:cs="宋体"/>
          <w:color w:val="auto"/>
          <w:sz w:val="24"/>
          <w:szCs w:val="28"/>
          <w:highlight w:val="none"/>
        </w:rPr>
      </w:pPr>
      <w:r>
        <w:rPr>
          <w:rFonts w:hint="eastAsia" w:ascii="宋体" w:hAnsi="宋体" w:cs="宋体"/>
          <w:color w:val="auto"/>
          <w:kern w:val="0"/>
          <w:sz w:val="22"/>
          <w:szCs w:val="24"/>
          <w:highlight w:val="none"/>
        </w:rPr>
        <w:t>5、危险性较大的分部分项工程清单及超过一定规模的危险性较大的分部分项工程清单</w:t>
      </w:r>
    </w:p>
    <w:tbl>
      <w:tblPr>
        <w:tblStyle w:val="33"/>
        <w:tblW w:w="499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86"/>
        <w:gridCol w:w="1355"/>
        <w:gridCol w:w="1357"/>
        <w:gridCol w:w="1069"/>
      </w:tblGrid>
      <w:tr w14:paraId="05952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2960" w:type="pct"/>
            <w:tcBorders>
              <w:top w:val="single" w:color="auto" w:sz="4" w:space="0"/>
              <w:left w:val="single" w:color="auto" w:sz="4" w:space="0"/>
              <w:bottom w:val="single" w:color="auto" w:sz="4" w:space="0"/>
              <w:right w:val="single" w:color="auto" w:sz="4" w:space="0"/>
            </w:tcBorders>
            <w:shd w:val="clear" w:color="auto" w:fill="D8D8D8"/>
            <w:noWrap w:val="0"/>
            <w:vAlign w:val="center"/>
          </w:tcPr>
          <w:p w14:paraId="7C57D870">
            <w:pPr>
              <w:shd w:val="clear" w:color="auto" w:fill="auto"/>
              <w:jc w:val="center"/>
              <w:rPr>
                <w:rFonts w:hint="eastAsia" w:ascii="宋体" w:hAnsi="宋体" w:eastAsia="宋体" w:cs="宋体"/>
                <w:b/>
                <w:color w:val="auto"/>
                <w:highlight w:val="none"/>
              </w:rPr>
            </w:pPr>
            <w:r>
              <w:rPr>
                <w:rFonts w:hint="eastAsia" w:ascii="宋体" w:hAnsi="宋体" w:eastAsia="宋体" w:cs="宋体"/>
                <w:b/>
                <w:color w:val="auto"/>
                <w:highlight w:val="none"/>
              </w:rPr>
              <w:t>危险性较大的分部分项工程清单</w:t>
            </w:r>
          </w:p>
        </w:tc>
        <w:tc>
          <w:tcPr>
            <w:tcW w:w="731" w:type="pct"/>
            <w:tcBorders>
              <w:top w:val="single" w:color="auto" w:sz="4" w:space="0"/>
              <w:left w:val="nil"/>
              <w:bottom w:val="single" w:color="auto" w:sz="4" w:space="0"/>
              <w:right w:val="single" w:color="auto" w:sz="4" w:space="0"/>
            </w:tcBorders>
            <w:shd w:val="clear" w:color="auto" w:fill="D8D8D8"/>
            <w:noWrap w:val="0"/>
            <w:vAlign w:val="center"/>
          </w:tcPr>
          <w:p w14:paraId="13121CFF">
            <w:pPr>
              <w:shd w:val="clear" w:color="auto" w:fill="auto"/>
              <w:jc w:val="center"/>
              <w:rPr>
                <w:rFonts w:hint="eastAsia" w:ascii="宋体" w:hAnsi="宋体" w:eastAsia="宋体" w:cs="宋体"/>
                <w:b/>
                <w:color w:val="auto"/>
                <w:highlight w:val="none"/>
              </w:rPr>
            </w:pPr>
            <w:r>
              <w:rPr>
                <w:rFonts w:hint="eastAsia" w:ascii="宋体" w:hAnsi="宋体" w:eastAsia="宋体" w:cs="宋体"/>
                <w:b/>
                <w:color w:val="auto"/>
                <w:highlight w:val="none"/>
              </w:rPr>
              <w:t>招标人</w:t>
            </w:r>
          </w:p>
        </w:tc>
        <w:tc>
          <w:tcPr>
            <w:tcW w:w="732" w:type="pct"/>
            <w:tcBorders>
              <w:top w:val="single" w:color="auto" w:sz="4" w:space="0"/>
              <w:left w:val="nil"/>
              <w:bottom w:val="single" w:color="auto" w:sz="4" w:space="0"/>
              <w:right w:val="single" w:color="auto" w:sz="4" w:space="0"/>
            </w:tcBorders>
            <w:shd w:val="clear" w:color="auto" w:fill="D8D8D8"/>
            <w:noWrap w:val="0"/>
            <w:vAlign w:val="center"/>
          </w:tcPr>
          <w:p w14:paraId="3E2143E5">
            <w:pPr>
              <w:shd w:val="clear" w:color="auto" w:fill="auto"/>
              <w:jc w:val="center"/>
              <w:rPr>
                <w:rFonts w:hint="eastAsia" w:ascii="宋体" w:hAnsi="宋体" w:eastAsia="宋体" w:cs="宋体"/>
                <w:b/>
                <w:color w:val="auto"/>
                <w:highlight w:val="none"/>
              </w:rPr>
            </w:pPr>
            <w:r>
              <w:rPr>
                <w:rFonts w:hint="eastAsia" w:ascii="宋体" w:hAnsi="宋体" w:eastAsia="宋体" w:cs="宋体"/>
                <w:b/>
                <w:color w:val="auto"/>
                <w:highlight w:val="none"/>
              </w:rPr>
              <w:t>投标单位</w:t>
            </w:r>
          </w:p>
        </w:tc>
        <w:tc>
          <w:tcPr>
            <w:tcW w:w="575" w:type="pct"/>
            <w:tcBorders>
              <w:top w:val="single" w:color="auto" w:sz="4" w:space="0"/>
              <w:left w:val="nil"/>
              <w:bottom w:val="single" w:color="auto" w:sz="4" w:space="0"/>
              <w:right w:val="single" w:color="auto" w:sz="4" w:space="0"/>
            </w:tcBorders>
            <w:shd w:val="clear" w:color="auto" w:fill="D8D8D8"/>
            <w:noWrap w:val="0"/>
            <w:vAlign w:val="center"/>
          </w:tcPr>
          <w:p w14:paraId="7A2D613A">
            <w:pPr>
              <w:shd w:val="clear" w:color="auto" w:fill="auto"/>
              <w:jc w:val="center"/>
              <w:rPr>
                <w:rFonts w:hint="eastAsia" w:ascii="宋体" w:hAnsi="宋体" w:eastAsia="宋体" w:cs="宋体"/>
                <w:b/>
                <w:color w:val="auto"/>
                <w:highlight w:val="none"/>
              </w:rPr>
            </w:pPr>
            <w:r>
              <w:rPr>
                <w:rFonts w:hint="eastAsia" w:ascii="宋体" w:hAnsi="宋体" w:eastAsia="宋体" w:cs="宋体"/>
                <w:b/>
                <w:color w:val="auto"/>
                <w:highlight w:val="none"/>
              </w:rPr>
              <w:t>备注</w:t>
            </w:r>
          </w:p>
        </w:tc>
      </w:tr>
      <w:tr w14:paraId="62014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4"/>
            <w:tcBorders>
              <w:top w:val="single" w:color="auto" w:sz="4" w:space="0"/>
              <w:left w:val="single" w:color="auto" w:sz="4" w:space="0"/>
              <w:bottom w:val="single" w:color="auto" w:sz="4" w:space="0"/>
              <w:right w:val="single" w:color="auto" w:sz="4" w:space="0"/>
            </w:tcBorders>
            <w:noWrap w:val="0"/>
            <w:vAlign w:val="center"/>
          </w:tcPr>
          <w:p w14:paraId="4C17F819">
            <w:pPr>
              <w:shd w:val="clear" w:color="auto" w:fill="auto"/>
              <w:rPr>
                <w:rFonts w:hint="eastAsia" w:ascii="宋体" w:hAnsi="宋体" w:eastAsia="宋体" w:cs="宋体"/>
                <w:b/>
                <w:color w:val="auto"/>
                <w:highlight w:val="none"/>
              </w:rPr>
            </w:pPr>
            <w:r>
              <w:rPr>
                <w:rFonts w:hint="eastAsia" w:ascii="宋体" w:hAnsi="宋体" w:eastAsia="宋体" w:cs="宋体"/>
                <w:b/>
                <w:color w:val="auto"/>
                <w:highlight w:val="none"/>
              </w:rPr>
              <w:t>一、基坑支护</w:t>
            </w:r>
          </w:p>
        </w:tc>
      </w:tr>
      <w:tr w14:paraId="76FC3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0" w:type="pct"/>
            <w:tcBorders>
              <w:top w:val="single" w:color="auto" w:sz="4" w:space="0"/>
              <w:left w:val="single" w:color="auto" w:sz="4" w:space="0"/>
              <w:bottom w:val="single" w:color="auto" w:sz="4" w:space="0"/>
              <w:right w:val="single" w:color="auto" w:sz="4" w:space="0"/>
            </w:tcBorders>
            <w:noWrap w:val="0"/>
            <w:vAlign w:val="center"/>
          </w:tcPr>
          <w:p w14:paraId="25283CBC">
            <w:pPr>
              <w:shd w:val="clear" w:color="auto" w:fill="auto"/>
              <w:rPr>
                <w:rFonts w:hint="eastAsia" w:ascii="宋体" w:hAnsi="宋体" w:eastAsia="宋体" w:cs="宋体"/>
                <w:color w:val="auto"/>
                <w:highlight w:val="none"/>
              </w:rPr>
            </w:pPr>
            <w:r>
              <w:rPr>
                <w:rFonts w:hint="eastAsia" w:ascii="宋体" w:hAnsi="宋体" w:eastAsia="宋体" w:cs="宋体"/>
                <w:color w:val="auto"/>
                <w:highlight w:val="none"/>
              </w:rPr>
              <w:t>（一）开挖深度超过3m（含3m）的基坑（槽）的土方开挖、支护、降水工程。</w:t>
            </w:r>
          </w:p>
        </w:tc>
        <w:tc>
          <w:tcPr>
            <w:tcW w:w="731" w:type="pct"/>
            <w:tcBorders>
              <w:top w:val="single" w:color="auto" w:sz="4" w:space="0"/>
              <w:left w:val="nil"/>
              <w:bottom w:val="single" w:color="auto" w:sz="4" w:space="0"/>
              <w:right w:val="single" w:color="auto" w:sz="4" w:space="0"/>
            </w:tcBorders>
            <w:noWrap w:val="0"/>
            <w:vAlign w:val="center"/>
          </w:tcPr>
          <w:p w14:paraId="1A16DDF0">
            <w:pPr>
              <w:shd w:val="clear" w:color="auto" w:fill="auto"/>
              <w:jc w:val="center"/>
              <w:rPr>
                <w:rFonts w:hint="eastAsia" w:ascii="宋体" w:hAnsi="宋体" w:eastAsia="宋体" w:cs="宋体"/>
                <w:b/>
                <w:color w:val="auto"/>
                <w:highlight w:val="none"/>
              </w:rPr>
            </w:pPr>
            <w:r>
              <w:rPr>
                <w:rFonts w:hint="eastAsia" w:ascii="宋体" w:hAnsi="宋体" w:eastAsia="宋体" w:cs="宋体"/>
                <w:color w:val="auto"/>
                <w:sz w:val="24"/>
                <w:szCs w:val="36"/>
                <w:highlight w:val="none"/>
              </w:rPr>
              <w:t>√</w:t>
            </w:r>
          </w:p>
        </w:tc>
        <w:tc>
          <w:tcPr>
            <w:tcW w:w="732" w:type="pct"/>
            <w:tcBorders>
              <w:top w:val="single" w:color="auto" w:sz="4" w:space="0"/>
              <w:left w:val="nil"/>
              <w:bottom w:val="single" w:color="auto" w:sz="4" w:space="0"/>
              <w:right w:val="single" w:color="auto" w:sz="4" w:space="0"/>
            </w:tcBorders>
            <w:noWrap w:val="0"/>
            <w:vAlign w:val="center"/>
          </w:tcPr>
          <w:p w14:paraId="277847DB">
            <w:pPr>
              <w:shd w:val="clear" w:color="auto" w:fill="auto"/>
              <w:jc w:val="center"/>
              <w:rPr>
                <w:rFonts w:hint="eastAsia" w:ascii="宋体" w:hAnsi="宋体" w:eastAsia="宋体" w:cs="宋体"/>
                <w:color w:val="auto"/>
                <w:highlight w:val="none"/>
              </w:rPr>
            </w:pPr>
          </w:p>
        </w:tc>
        <w:tc>
          <w:tcPr>
            <w:tcW w:w="575" w:type="pct"/>
            <w:tcBorders>
              <w:top w:val="single" w:color="auto" w:sz="4" w:space="0"/>
              <w:left w:val="nil"/>
              <w:bottom w:val="single" w:color="auto" w:sz="4" w:space="0"/>
              <w:right w:val="single" w:color="auto" w:sz="4" w:space="0"/>
            </w:tcBorders>
            <w:noWrap w:val="0"/>
            <w:vAlign w:val="center"/>
          </w:tcPr>
          <w:p w14:paraId="1E8982CA">
            <w:pPr>
              <w:shd w:val="clear" w:color="auto" w:fill="auto"/>
              <w:jc w:val="center"/>
              <w:rPr>
                <w:rFonts w:hint="eastAsia" w:ascii="宋体" w:hAnsi="宋体" w:eastAsia="宋体" w:cs="宋体"/>
                <w:color w:val="auto"/>
                <w:highlight w:val="none"/>
              </w:rPr>
            </w:pPr>
          </w:p>
        </w:tc>
      </w:tr>
      <w:tr w14:paraId="0A63A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0" w:type="pct"/>
            <w:tcBorders>
              <w:top w:val="single" w:color="auto" w:sz="4" w:space="0"/>
              <w:left w:val="single" w:color="auto" w:sz="4" w:space="0"/>
              <w:bottom w:val="single" w:color="auto" w:sz="4" w:space="0"/>
              <w:right w:val="single" w:color="auto" w:sz="4" w:space="0"/>
            </w:tcBorders>
            <w:noWrap w:val="0"/>
            <w:vAlign w:val="center"/>
          </w:tcPr>
          <w:p w14:paraId="7DDECB43">
            <w:pPr>
              <w:shd w:val="clear" w:color="auto" w:fill="auto"/>
              <w:rPr>
                <w:rFonts w:hint="eastAsia" w:ascii="宋体" w:hAnsi="宋体" w:eastAsia="宋体" w:cs="宋体"/>
                <w:color w:val="auto"/>
                <w:highlight w:val="none"/>
              </w:rPr>
            </w:pPr>
            <w:r>
              <w:rPr>
                <w:rFonts w:hint="eastAsia" w:ascii="宋体" w:hAnsi="宋体" w:eastAsia="宋体" w:cs="宋体"/>
                <w:color w:val="auto"/>
                <w:highlight w:val="none"/>
              </w:rPr>
              <w:t>（二）开挖深度虽未超过3m，但地质条件、周围环境和地下管线复杂，或影响毗邻建、构筑物安全的基坑（槽）的土方开挖、支护、降水工程。</w:t>
            </w:r>
          </w:p>
        </w:tc>
        <w:tc>
          <w:tcPr>
            <w:tcW w:w="731" w:type="pct"/>
            <w:tcBorders>
              <w:top w:val="single" w:color="auto" w:sz="4" w:space="0"/>
              <w:left w:val="nil"/>
              <w:bottom w:val="single" w:color="auto" w:sz="4" w:space="0"/>
              <w:right w:val="single" w:color="auto" w:sz="4" w:space="0"/>
            </w:tcBorders>
            <w:noWrap w:val="0"/>
            <w:vAlign w:val="center"/>
          </w:tcPr>
          <w:p w14:paraId="2004C235">
            <w:pPr>
              <w:shd w:val="clear" w:color="auto" w:fill="auto"/>
              <w:jc w:val="center"/>
              <w:rPr>
                <w:rFonts w:hint="eastAsia" w:ascii="宋体" w:hAnsi="宋体" w:eastAsia="宋体" w:cs="宋体"/>
                <w:color w:val="auto"/>
                <w:highlight w:val="none"/>
              </w:rPr>
            </w:pPr>
          </w:p>
        </w:tc>
        <w:tc>
          <w:tcPr>
            <w:tcW w:w="732" w:type="pct"/>
            <w:tcBorders>
              <w:top w:val="single" w:color="auto" w:sz="4" w:space="0"/>
              <w:left w:val="nil"/>
              <w:bottom w:val="single" w:color="auto" w:sz="4" w:space="0"/>
              <w:right w:val="single" w:color="auto" w:sz="4" w:space="0"/>
            </w:tcBorders>
            <w:noWrap w:val="0"/>
            <w:vAlign w:val="center"/>
          </w:tcPr>
          <w:p w14:paraId="208B16B2">
            <w:pPr>
              <w:shd w:val="clear" w:color="auto" w:fill="auto"/>
              <w:jc w:val="center"/>
              <w:rPr>
                <w:rFonts w:hint="eastAsia" w:ascii="宋体" w:hAnsi="宋体" w:eastAsia="宋体" w:cs="宋体"/>
                <w:color w:val="auto"/>
                <w:highlight w:val="none"/>
              </w:rPr>
            </w:pPr>
          </w:p>
        </w:tc>
        <w:tc>
          <w:tcPr>
            <w:tcW w:w="575" w:type="pct"/>
            <w:tcBorders>
              <w:top w:val="single" w:color="auto" w:sz="4" w:space="0"/>
              <w:left w:val="nil"/>
              <w:bottom w:val="single" w:color="auto" w:sz="4" w:space="0"/>
              <w:right w:val="single" w:color="auto" w:sz="4" w:space="0"/>
            </w:tcBorders>
            <w:noWrap w:val="0"/>
            <w:vAlign w:val="center"/>
          </w:tcPr>
          <w:p w14:paraId="327E3AF4">
            <w:pPr>
              <w:shd w:val="clear" w:color="auto" w:fill="auto"/>
              <w:jc w:val="center"/>
              <w:rPr>
                <w:rFonts w:hint="eastAsia" w:ascii="宋体" w:hAnsi="宋体" w:eastAsia="宋体" w:cs="宋体"/>
                <w:color w:val="auto"/>
                <w:highlight w:val="none"/>
              </w:rPr>
            </w:pPr>
          </w:p>
        </w:tc>
      </w:tr>
      <w:tr w14:paraId="1179D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4"/>
            <w:tcBorders>
              <w:top w:val="single" w:color="auto" w:sz="4" w:space="0"/>
              <w:left w:val="single" w:color="auto" w:sz="4" w:space="0"/>
              <w:bottom w:val="single" w:color="auto" w:sz="4" w:space="0"/>
              <w:right w:val="single" w:color="auto" w:sz="4" w:space="0"/>
            </w:tcBorders>
            <w:noWrap w:val="0"/>
            <w:vAlign w:val="center"/>
          </w:tcPr>
          <w:p w14:paraId="2C94F334">
            <w:pPr>
              <w:shd w:val="clear" w:color="auto" w:fill="auto"/>
              <w:rPr>
                <w:rFonts w:hint="eastAsia" w:ascii="宋体" w:hAnsi="宋体" w:eastAsia="宋体" w:cs="宋体"/>
                <w:color w:val="auto"/>
                <w:highlight w:val="none"/>
              </w:rPr>
            </w:pPr>
            <w:r>
              <w:rPr>
                <w:rFonts w:hint="eastAsia" w:ascii="宋体" w:hAnsi="宋体" w:eastAsia="宋体" w:cs="宋体"/>
                <w:b/>
                <w:color w:val="auto"/>
                <w:highlight w:val="none"/>
              </w:rPr>
              <w:t>二、模板工程及支撑体系</w:t>
            </w:r>
          </w:p>
        </w:tc>
      </w:tr>
      <w:tr w14:paraId="7B2D9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0" w:type="pct"/>
            <w:tcBorders>
              <w:top w:val="single" w:color="auto" w:sz="4" w:space="0"/>
              <w:left w:val="single" w:color="auto" w:sz="4" w:space="0"/>
              <w:bottom w:val="single" w:color="auto" w:sz="4" w:space="0"/>
              <w:right w:val="single" w:color="auto" w:sz="4" w:space="0"/>
            </w:tcBorders>
            <w:noWrap w:val="0"/>
            <w:vAlign w:val="center"/>
          </w:tcPr>
          <w:p w14:paraId="6FCDF5EE">
            <w:pPr>
              <w:shd w:val="clear" w:color="auto" w:fill="auto"/>
              <w:rPr>
                <w:rFonts w:hint="eastAsia" w:ascii="宋体" w:hAnsi="宋体" w:eastAsia="宋体" w:cs="宋体"/>
                <w:color w:val="auto"/>
                <w:highlight w:val="none"/>
              </w:rPr>
            </w:pPr>
            <w:r>
              <w:rPr>
                <w:rFonts w:hint="eastAsia" w:ascii="宋体" w:hAnsi="宋体" w:eastAsia="宋体" w:cs="宋体"/>
                <w:color w:val="auto"/>
                <w:highlight w:val="none"/>
              </w:rPr>
              <w:t>（一）各类工具式模板工程：包括滑模、爬模、飞模、隧道模等工程。</w:t>
            </w:r>
          </w:p>
        </w:tc>
        <w:tc>
          <w:tcPr>
            <w:tcW w:w="731" w:type="pct"/>
            <w:tcBorders>
              <w:top w:val="single" w:color="auto" w:sz="4" w:space="0"/>
              <w:left w:val="nil"/>
              <w:bottom w:val="single" w:color="auto" w:sz="4" w:space="0"/>
              <w:right w:val="single" w:color="auto" w:sz="4" w:space="0"/>
            </w:tcBorders>
            <w:noWrap w:val="0"/>
            <w:vAlign w:val="center"/>
          </w:tcPr>
          <w:p w14:paraId="564C7F02">
            <w:pPr>
              <w:shd w:val="clear" w:color="auto" w:fill="auto"/>
              <w:jc w:val="center"/>
              <w:rPr>
                <w:rFonts w:hint="eastAsia" w:ascii="宋体" w:hAnsi="宋体" w:eastAsia="宋体" w:cs="宋体"/>
                <w:color w:val="auto"/>
                <w:highlight w:val="none"/>
              </w:rPr>
            </w:pPr>
          </w:p>
        </w:tc>
        <w:tc>
          <w:tcPr>
            <w:tcW w:w="732" w:type="pct"/>
            <w:tcBorders>
              <w:top w:val="single" w:color="auto" w:sz="4" w:space="0"/>
              <w:left w:val="nil"/>
              <w:bottom w:val="single" w:color="auto" w:sz="4" w:space="0"/>
              <w:right w:val="single" w:color="auto" w:sz="4" w:space="0"/>
            </w:tcBorders>
            <w:noWrap w:val="0"/>
            <w:vAlign w:val="center"/>
          </w:tcPr>
          <w:p w14:paraId="71942625">
            <w:pPr>
              <w:shd w:val="clear" w:color="auto" w:fill="auto"/>
              <w:jc w:val="center"/>
              <w:rPr>
                <w:rFonts w:hint="eastAsia" w:ascii="宋体" w:hAnsi="宋体" w:eastAsia="宋体" w:cs="宋体"/>
                <w:color w:val="auto"/>
                <w:highlight w:val="none"/>
              </w:rPr>
            </w:pPr>
          </w:p>
        </w:tc>
        <w:tc>
          <w:tcPr>
            <w:tcW w:w="575" w:type="pct"/>
            <w:tcBorders>
              <w:top w:val="single" w:color="auto" w:sz="4" w:space="0"/>
              <w:left w:val="nil"/>
              <w:bottom w:val="single" w:color="auto" w:sz="4" w:space="0"/>
              <w:right w:val="single" w:color="auto" w:sz="4" w:space="0"/>
            </w:tcBorders>
            <w:noWrap w:val="0"/>
            <w:vAlign w:val="center"/>
          </w:tcPr>
          <w:p w14:paraId="6FF11A14">
            <w:pPr>
              <w:shd w:val="clear" w:color="auto" w:fill="auto"/>
              <w:jc w:val="center"/>
              <w:rPr>
                <w:rFonts w:hint="eastAsia" w:ascii="宋体" w:hAnsi="宋体" w:eastAsia="宋体" w:cs="宋体"/>
                <w:color w:val="auto"/>
                <w:highlight w:val="none"/>
              </w:rPr>
            </w:pPr>
          </w:p>
        </w:tc>
      </w:tr>
      <w:tr w14:paraId="37375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0" w:type="pct"/>
            <w:tcBorders>
              <w:top w:val="single" w:color="auto" w:sz="4" w:space="0"/>
              <w:left w:val="single" w:color="auto" w:sz="4" w:space="0"/>
              <w:bottom w:val="single" w:color="auto" w:sz="4" w:space="0"/>
              <w:right w:val="single" w:color="auto" w:sz="4" w:space="0"/>
            </w:tcBorders>
            <w:noWrap w:val="0"/>
            <w:vAlign w:val="center"/>
          </w:tcPr>
          <w:p w14:paraId="1D782F08">
            <w:pPr>
              <w:shd w:val="clear" w:color="auto" w:fill="auto"/>
              <w:rPr>
                <w:rFonts w:hint="eastAsia" w:ascii="宋体" w:hAnsi="宋体" w:eastAsia="宋体" w:cs="宋体"/>
                <w:color w:val="auto"/>
                <w:highlight w:val="none"/>
              </w:rPr>
            </w:pPr>
            <w:r>
              <w:rPr>
                <w:rFonts w:hint="eastAsia" w:ascii="宋体" w:hAnsi="宋体" w:eastAsia="宋体" w:cs="宋体"/>
                <w:color w:val="auto"/>
                <w:highlight w:val="none"/>
              </w:rPr>
              <w:t>（二）混凝土模板支撑工程：搭设</w:t>
            </w:r>
            <w:bookmarkStart w:id="80" w:name="_GoBack"/>
            <w:r>
              <w:rPr>
                <w:rFonts w:hint="eastAsia" w:ascii="宋体" w:hAnsi="宋体" w:eastAsia="宋体" w:cs="宋体"/>
                <w:color w:val="auto"/>
                <w:highlight w:val="none"/>
              </w:rPr>
              <w:t>高度</w:t>
            </w:r>
            <w:bookmarkEnd w:id="80"/>
            <w:r>
              <w:rPr>
                <w:rFonts w:hint="eastAsia" w:ascii="宋体" w:hAnsi="宋体" w:eastAsia="宋体" w:cs="宋体"/>
                <w:color w:val="auto"/>
                <w:highlight w:val="none"/>
              </w:rPr>
              <w:t>5m及以上，或搭设跨度10m及以上，或施工总荷载（荷载效应基本组合的设计值，以下简称设计值）10kN/m2及以上，或集中线荷载（设计值）15kN/m及以上，或高度大于支撑水平投影宽度且相对独立无联系构件的混凝土模板支撑工程。</w:t>
            </w:r>
          </w:p>
        </w:tc>
        <w:tc>
          <w:tcPr>
            <w:tcW w:w="731" w:type="pct"/>
            <w:tcBorders>
              <w:top w:val="single" w:color="auto" w:sz="4" w:space="0"/>
              <w:left w:val="nil"/>
              <w:bottom w:val="single" w:color="auto" w:sz="4" w:space="0"/>
              <w:right w:val="single" w:color="auto" w:sz="4" w:space="0"/>
            </w:tcBorders>
            <w:noWrap w:val="0"/>
            <w:vAlign w:val="center"/>
          </w:tcPr>
          <w:p w14:paraId="79AFC405">
            <w:pPr>
              <w:shd w:val="clear" w:color="auto" w:fill="auto"/>
              <w:jc w:val="center"/>
              <w:rPr>
                <w:rFonts w:hint="eastAsia" w:ascii="宋体" w:hAnsi="宋体" w:eastAsia="宋体" w:cs="宋体"/>
                <w:color w:val="auto"/>
                <w:highlight w:val="none"/>
              </w:rPr>
            </w:pPr>
          </w:p>
        </w:tc>
        <w:tc>
          <w:tcPr>
            <w:tcW w:w="732" w:type="pct"/>
            <w:tcBorders>
              <w:top w:val="single" w:color="auto" w:sz="4" w:space="0"/>
              <w:left w:val="nil"/>
              <w:bottom w:val="single" w:color="auto" w:sz="4" w:space="0"/>
              <w:right w:val="single" w:color="auto" w:sz="4" w:space="0"/>
            </w:tcBorders>
            <w:noWrap w:val="0"/>
            <w:vAlign w:val="center"/>
          </w:tcPr>
          <w:p w14:paraId="49EF6131">
            <w:pPr>
              <w:shd w:val="clear" w:color="auto" w:fill="auto"/>
              <w:jc w:val="center"/>
              <w:rPr>
                <w:rFonts w:hint="eastAsia" w:ascii="宋体" w:hAnsi="宋体" w:eastAsia="宋体" w:cs="宋体"/>
                <w:color w:val="auto"/>
                <w:highlight w:val="none"/>
              </w:rPr>
            </w:pPr>
          </w:p>
        </w:tc>
        <w:tc>
          <w:tcPr>
            <w:tcW w:w="575" w:type="pct"/>
            <w:tcBorders>
              <w:top w:val="single" w:color="auto" w:sz="4" w:space="0"/>
              <w:left w:val="nil"/>
              <w:bottom w:val="single" w:color="auto" w:sz="4" w:space="0"/>
              <w:right w:val="single" w:color="auto" w:sz="4" w:space="0"/>
            </w:tcBorders>
            <w:noWrap w:val="0"/>
            <w:vAlign w:val="center"/>
          </w:tcPr>
          <w:p w14:paraId="799597BB">
            <w:pPr>
              <w:shd w:val="clear" w:color="auto" w:fill="auto"/>
              <w:jc w:val="center"/>
              <w:rPr>
                <w:rFonts w:hint="eastAsia" w:ascii="宋体" w:hAnsi="宋体" w:eastAsia="宋体" w:cs="宋体"/>
                <w:color w:val="auto"/>
                <w:highlight w:val="none"/>
              </w:rPr>
            </w:pPr>
          </w:p>
        </w:tc>
      </w:tr>
      <w:tr w14:paraId="1507F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0" w:type="pct"/>
            <w:tcBorders>
              <w:top w:val="single" w:color="auto" w:sz="4" w:space="0"/>
              <w:left w:val="single" w:color="auto" w:sz="4" w:space="0"/>
              <w:bottom w:val="single" w:color="auto" w:sz="4" w:space="0"/>
              <w:right w:val="single" w:color="auto" w:sz="4" w:space="0"/>
            </w:tcBorders>
            <w:noWrap w:val="0"/>
            <w:vAlign w:val="center"/>
          </w:tcPr>
          <w:p w14:paraId="473E9E16">
            <w:pPr>
              <w:widowControl/>
              <w:shd w:val="clear" w:color="auto" w:fill="auto"/>
              <w:rPr>
                <w:rFonts w:hint="eastAsia" w:ascii="宋体" w:hAnsi="宋体" w:eastAsia="宋体" w:cs="宋体"/>
                <w:color w:val="auto"/>
                <w:highlight w:val="none"/>
              </w:rPr>
            </w:pPr>
            <w:r>
              <w:rPr>
                <w:rFonts w:hint="eastAsia" w:ascii="宋体" w:hAnsi="宋体" w:eastAsia="宋体" w:cs="宋体"/>
                <w:color w:val="auto"/>
                <w:highlight w:val="none"/>
              </w:rPr>
              <w:t>（三）承重支撑体系：用于钢结构安装等满堂支撑体系。</w:t>
            </w:r>
          </w:p>
        </w:tc>
        <w:tc>
          <w:tcPr>
            <w:tcW w:w="731" w:type="pct"/>
            <w:tcBorders>
              <w:top w:val="single" w:color="auto" w:sz="4" w:space="0"/>
              <w:left w:val="nil"/>
              <w:bottom w:val="single" w:color="auto" w:sz="4" w:space="0"/>
              <w:right w:val="single" w:color="auto" w:sz="4" w:space="0"/>
            </w:tcBorders>
            <w:noWrap w:val="0"/>
            <w:vAlign w:val="center"/>
          </w:tcPr>
          <w:p w14:paraId="5E21F1E6">
            <w:pPr>
              <w:shd w:val="clear" w:color="auto" w:fill="auto"/>
              <w:jc w:val="center"/>
              <w:rPr>
                <w:rFonts w:hint="eastAsia" w:ascii="宋体" w:hAnsi="宋体" w:eastAsia="宋体" w:cs="宋体"/>
                <w:color w:val="auto"/>
                <w:highlight w:val="none"/>
              </w:rPr>
            </w:pPr>
          </w:p>
        </w:tc>
        <w:tc>
          <w:tcPr>
            <w:tcW w:w="732" w:type="pct"/>
            <w:tcBorders>
              <w:top w:val="single" w:color="auto" w:sz="4" w:space="0"/>
              <w:left w:val="nil"/>
              <w:bottom w:val="single" w:color="auto" w:sz="4" w:space="0"/>
              <w:right w:val="single" w:color="auto" w:sz="4" w:space="0"/>
            </w:tcBorders>
            <w:noWrap w:val="0"/>
            <w:vAlign w:val="center"/>
          </w:tcPr>
          <w:p w14:paraId="5E7CD49D">
            <w:pPr>
              <w:shd w:val="clear" w:color="auto" w:fill="auto"/>
              <w:jc w:val="center"/>
              <w:rPr>
                <w:rFonts w:hint="eastAsia" w:ascii="宋体" w:hAnsi="宋体" w:eastAsia="宋体" w:cs="宋体"/>
                <w:color w:val="auto"/>
                <w:highlight w:val="none"/>
              </w:rPr>
            </w:pPr>
          </w:p>
        </w:tc>
        <w:tc>
          <w:tcPr>
            <w:tcW w:w="575" w:type="pct"/>
            <w:tcBorders>
              <w:top w:val="single" w:color="auto" w:sz="4" w:space="0"/>
              <w:left w:val="nil"/>
              <w:bottom w:val="single" w:color="auto" w:sz="4" w:space="0"/>
              <w:right w:val="single" w:color="auto" w:sz="4" w:space="0"/>
            </w:tcBorders>
            <w:noWrap w:val="0"/>
            <w:vAlign w:val="center"/>
          </w:tcPr>
          <w:p w14:paraId="582A3EAB">
            <w:pPr>
              <w:shd w:val="clear" w:color="auto" w:fill="auto"/>
              <w:jc w:val="center"/>
              <w:rPr>
                <w:rFonts w:hint="eastAsia" w:ascii="宋体" w:hAnsi="宋体" w:eastAsia="宋体" w:cs="宋体"/>
                <w:color w:val="auto"/>
                <w:highlight w:val="none"/>
              </w:rPr>
            </w:pPr>
          </w:p>
        </w:tc>
      </w:tr>
      <w:tr w14:paraId="49B5B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4"/>
            <w:tcBorders>
              <w:top w:val="single" w:color="auto" w:sz="4" w:space="0"/>
              <w:left w:val="single" w:color="auto" w:sz="4" w:space="0"/>
              <w:bottom w:val="single" w:color="auto" w:sz="4" w:space="0"/>
              <w:right w:val="single" w:color="auto" w:sz="4" w:space="0"/>
            </w:tcBorders>
            <w:noWrap w:val="0"/>
            <w:vAlign w:val="center"/>
          </w:tcPr>
          <w:p w14:paraId="4D212CF9">
            <w:pPr>
              <w:shd w:val="clear" w:color="auto" w:fill="auto"/>
              <w:rPr>
                <w:rFonts w:hint="eastAsia" w:ascii="宋体" w:hAnsi="宋体" w:eastAsia="宋体" w:cs="宋体"/>
                <w:color w:val="auto"/>
                <w:highlight w:val="none"/>
              </w:rPr>
            </w:pPr>
            <w:r>
              <w:rPr>
                <w:rFonts w:hint="eastAsia" w:ascii="宋体" w:hAnsi="宋体" w:eastAsia="宋体" w:cs="宋体"/>
                <w:b/>
                <w:color w:val="auto"/>
                <w:highlight w:val="none"/>
              </w:rPr>
              <w:t>三、起重吊装及起重机械安装拆卸工程</w:t>
            </w:r>
          </w:p>
        </w:tc>
      </w:tr>
      <w:tr w14:paraId="7591B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0" w:type="pct"/>
            <w:tcBorders>
              <w:top w:val="single" w:color="auto" w:sz="4" w:space="0"/>
              <w:left w:val="single" w:color="auto" w:sz="4" w:space="0"/>
              <w:bottom w:val="single" w:color="auto" w:sz="4" w:space="0"/>
              <w:right w:val="single" w:color="auto" w:sz="4" w:space="0"/>
            </w:tcBorders>
            <w:noWrap w:val="0"/>
            <w:vAlign w:val="center"/>
          </w:tcPr>
          <w:p w14:paraId="1D1A0395">
            <w:pPr>
              <w:widowControl/>
              <w:shd w:val="clear" w:color="auto" w:fill="auto"/>
              <w:rPr>
                <w:rFonts w:hint="eastAsia" w:ascii="宋体" w:hAnsi="宋体" w:eastAsia="宋体" w:cs="宋体"/>
                <w:color w:val="auto"/>
                <w:highlight w:val="none"/>
              </w:rPr>
            </w:pPr>
            <w:r>
              <w:rPr>
                <w:rFonts w:hint="eastAsia" w:ascii="宋体" w:hAnsi="宋体" w:eastAsia="宋体" w:cs="宋体"/>
                <w:color w:val="auto"/>
                <w:highlight w:val="none"/>
              </w:rPr>
              <w:t>（一）采用非常规起重设备、方法，且单件起吊重量在10kN及以上的起重吊装工程。</w:t>
            </w:r>
          </w:p>
        </w:tc>
        <w:tc>
          <w:tcPr>
            <w:tcW w:w="731" w:type="pct"/>
            <w:tcBorders>
              <w:top w:val="single" w:color="auto" w:sz="4" w:space="0"/>
              <w:left w:val="nil"/>
              <w:bottom w:val="single" w:color="auto" w:sz="4" w:space="0"/>
              <w:right w:val="single" w:color="auto" w:sz="4" w:space="0"/>
            </w:tcBorders>
            <w:noWrap w:val="0"/>
            <w:vAlign w:val="center"/>
          </w:tcPr>
          <w:p w14:paraId="464119D3">
            <w:pPr>
              <w:shd w:val="clear" w:color="auto" w:fill="auto"/>
              <w:jc w:val="center"/>
              <w:rPr>
                <w:rFonts w:hint="eastAsia" w:ascii="宋体" w:hAnsi="宋体" w:eastAsia="宋体" w:cs="宋体"/>
                <w:color w:val="auto"/>
                <w:highlight w:val="none"/>
              </w:rPr>
            </w:pPr>
          </w:p>
        </w:tc>
        <w:tc>
          <w:tcPr>
            <w:tcW w:w="732" w:type="pct"/>
            <w:tcBorders>
              <w:top w:val="single" w:color="auto" w:sz="4" w:space="0"/>
              <w:left w:val="nil"/>
              <w:bottom w:val="single" w:color="auto" w:sz="4" w:space="0"/>
              <w:right w:val="single" w:color="auto" w:sz="4" w:space="0"/>
            </w:tcBorders>
            <w:noWrap w:val="0"/>
            <w:vAlign w:val="center"/>
          </w:tcPr>
          <w:p w14:paraId="77149DEA">
            <w:pPr>
              <w:shd w:val="clear" w:color="auto" w:fill="auto"/>
              <w:jc w:val="center"/>
              <w:rPr>
                <w:rFonts w:hint="eastAsia" w:ascii="宋体" w:hAnsi="宋体" w:eastAsia="宋体" w:cs="宋体"/>
                <w:color w:val="auto"/>
                <w:highlight w:val="none"/>
              </w:rPr>
            </w:pPr>
          </w:p>
        </w:tc>
        <w:tc>
          <w:tcPr>
            <w:tcW w:w="575" w:type="pct"/>
            <w:tcBorders>
              <w:top w:val="single" w:color="auto" w:sz="4" w:space="0"/>
              <w:left w:val="nil"/>
              <w:bottom w:val="single" w:color="auto" w:sz="4" w:space="0"/>
              <w:right w:val="single" w:color="auto" w:sz="4" w:space="0"/>
            </w:tcBorders>
            <w:noWrap w:val="0"/>
            <w:vAlign w:val="center"/>
          </w:tcPr>
          <w:p w14:paraId="181BA6C4">
            <w:pPr>
              <w:shd w:val="clear" w:color="auto" w:fill="auto"/>
              <w:jc w:val="center"/>
              <w:rPr>
                <w:rFonts w:hint="eastAsia" w:ascii="宋体" w:hAnsi="宋体" w:eastAsia="宋体" w:cs="宋体"/>
                <w:color w:val="auto"/>
                <w:highlight w:val="none"/>
              </w:rPr>
            </w:pPr>
          </w:p>
        </w:tc>
      </w:tr>
      <w:tr w14:paraId="32FB6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0" w:type="pct"/>
            <w:tcBorders>
              <w:top w:val="single" w:color="auto" w:sz="4" w:space="0"/>
              <w:left w:val="single" w:color="auto" w:sz="4" w:space="0"/>
              <w:bottom w:val="single" w:color="auto" w:sz="4" w:space="0"/>
              <w:right w:val="single" w:color="auto" w:sz="4" w:space="0"/>
            </w:tcBorders>
            <w:noWrap w:val="0"/>
            <w:vAlign w:val="center"/>
          </w:tcPr>
          <w:p w14:paraId="4F84AE89">
            <w:pPr>
              <w:shd w:val="clear" w:color="auto" w:fill="auto"/>
              <w:rPr>
                <w:rFonts w:hint="eastAsia" w:ascii="宋体" w:hAnsi="宋体" w:eastAsia="宋体" w:cs="宋体"/>
                <w:color w:val="auto"/>
                <w:highlight w:val="none"/>
              </w:rPr>
            </w:pPr>
            <w:r>
              <w:rPr>
                <w:rFonts w:hint="eastAsia" w:ascii="宋体" w:hAnsi="宋体" w:eastAsia="宋体" w:cs="宋体"/>
                <w:color w:val="auto"/>
                <w:highlight w:val="none"/>
              </w:rPr>
              <w:t>（二）采用起重机械进行安装的工程。</w:t>
            </w:r>
          </w:p>
        </w:tc>
        <w:tc>
          <w:tcPr>
            <w:tcW w:w="731" w:type="pct"/>
            <w:tcBorders>
              <w:top w:val="single" w:color="auto" w:sz="4" w:space="0"/>
              <w:left w:val="nil"/>
              <w:bottom w:val="single" w:color="auto" w:sz="4" w:space="0"/>
              <w:right w:val="single" w:color="auto" w:sz="4" w:space="0"/>
            </w:tcBorders>
            <w:noWrap w:val="0"/>
            <w:vAlign w:val="center"/>
          </w:tcPr>
          <w:p w14:paraId="2CF55669">
            <w:pPr>
              <w:shd w:val="clear" w:color="auto" w:fill="auto"/>
              <w:jc w:val="center"/>
              <w:rPr>
                <w:rFonts w:hint="eastAsia" w:ascii="宋体" w:hAnsi="宋体" w:eastAsia="宋体" w:cs="宋体"/>
                <w:b/>
                <w:color w:val="auto"/>
                <w:highlight w:val="none"/>
              </w:rPr>
            </w:pPr>
          </w:p>
        </w:tc>
        <w:tc>
          <w:tcPr>
            <w:tcW w:w="732" w:type="pct"/>
            <w:tcBorders>
              <w:top w:val="single" w:color="auto" w:sz="4" w:space="0"/>
              <w:left w:val="nil"/>
              <w:bottom w:val="single" w:color="auto" w:sz="4" w:space="0"/>
              <w:right w:val="single" w:color="auto" w:sz="4" w:space="0"/>
            </w:tcBorders>
            <w:noWrap w:val="0"/>
            <w:vAlign w:val="center"/>
          </w:tcPr>
          <w:p w14:paraId="3559DA02">
            <w:pPr>
              <w:shd w:val="clear" w:color="auto" w:fill="auto"/>
              <w:jc w:val="center"/>
              <w:rPr>
                <w:rFonts w:hint="eastAsia" w:ascii="宋体" w:hAnsi="宋体" w:eastAsia="宋体" w:cs="宋体"/>
                <w:color w:val="auto"/>
                <w:highlight w:val="none"/>
              </w:rPr>
            </w:pPr>
          </w:p>
        </w:tc>
        <w:tc>
          <w:tcPr>
            <w:tcW w:w="575" w:type="pct"/>
            <w:tcBorders>
              <w:top w:val="single" w:color="auto" w:sz="4" w:space="0"/>
              <w:left w:val="nil"/>
              <w:bottom w:val="single" w:color="auto" w:sz="4" w:space="0"/>
              <w:right w:val="single" w:color="auto" w:sz="4" w:space="0"/>
            </w:tcBorders>
            <w:noWrap w:val="0"/>
            <w:vAlign w:val="center"/>
          </w:tcPr>
          <w:p w14:paraId="559B2065">
            <w:pPr>
              <w:shd w:val="clear" w:color="auto" w:fill="auto"/>
              <w:jc w:val="center"/>
              <w:rPr>
                <w:rFonts w:hint="eastAsia" w:ascii="宋体" w:hAnsi="宋体" w:eastAsia="宋体" w:cs="宋体"/>
                <w:color w:val="auto"/>
                <w:highlight w:val="none"/>
              </w:rPr>
            </w:pPr>
          </w:p>
        </w:tc>
      </w:tr>
      <w:tr w14:paraId="35A3B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0" w:type="pct"/>
            <w:tcBorders>
              <w:top w:val="single" w:color="auto" w:sz="4" w:space="0"/>
              <w:left w:val="single" w:color="auto" w:sz="4" w:space="0"/>
              <w:bottom w:val="single" w:color="auto" w:sz="4" w:space="0"/>
              <w:right w:val="single" w:color="auto" w:sz="4" w:space="0"/>
            </w:tcBorders>
            <w:noWrap w:val="0"/>
            <w:vAlign w:val="center"/>
          </w:tcPr>
          <w:p w14:paraId="2A5A542D">
            <w:pPr>
              <w:shd w:val="clear" w:color="auto" w:fill="auto"/>
              <w:rPr>
                <w:rFonts w:hint="eastAsia" w:ascii="宋体" w:hAnsi="宋体" w:eastAsia="宋体" w:cs="宋体"/>
                <w:color w:val="auto"/>
                <w:highlight w:val="none"/>
              </w:rPr>
            </w:pPr>
            <w:r>
              <w:rPr>
                <w:rFonts w:hint="eastAsia" w:ascii="宋体" w:hAnsi="宋体" w:eastAsia="宋体" w:cs="宋体"/>
                <w:color w:val="auto"/>
                <w:highlight w:val="none"/>
              </w:rPr>
              <w:t>（三）起重机械安装和拆卸工程。</w:t>
            </w:r>
          </w:p>
        </w:tc>
        <w:tc>
          <w:tcPr>
            <w:tcW w:w="731" w:type="pct"/>
            <w:tcBorders>
              <w:top w:val="single" w:color="auto" w:sz="4" w:space="0"/>
              <w:left w:val="nil"/>
              <w:bottom w:val="single" w:color="auto" w:sz="4" w:space="0"/>
              <w:right w:val="single" w:color="auto" w:sz="4" w:space="0"/>
            </w:tcBorders>
            <w:noWrap w:val="0"/>
            <w:vAlign w:val="center"/>
          </w:tcPr>
          <w:p w14:paraId="39C42373">
            <w:pPr>
              <w:shd w:val="clear" w:color="auto" w:fill="auto"/>
              <w:jc w:val="center"/>
              <w:rPr>
                <w:rFonts w:hint="eastAsia" w:ascii="宋体" w:hAnsi="宋体" w:eastAsia="宋体" w:cs="宋体"/>
                <w:color w:val="auto"/>
                <w:highlight w:val="none"/>
              </w:rPr>
            </w:pPr>
            <w:r>
              <w:rPr>
                <w:rFonts w:hint="eastAsia" w:ascii="宋体" w:hAnsi="宋体" w:eastAsia="宋体" w:cs="宋体"/>
                <w:color w:val="auto"/>
                <w:sz w:val="24"/>
                <w:szCs w:val="36"/>
                <w:highlight w:val="none"/>
              </w:rPr>
              <w:t>√</w:t>
            </w:r>
          </w:p>
        </w:tc>
        <w:tc>
          <w:tcPr>
            <w:tcW w:w="732" w:type="pct"/>
            <w:tcBorders>
              <w:top w:val="single" w:color="auto" w:sz="4" w:space="0"/>
              <w:left w:val="nil"/>
              <w:bottom w:val="single" w:color="auto" w:sz="4" w:space="0"/>
              <w:right w:val="single" w:color="auto" w:sz="4" w:space="0"/>
            </w:tcBorders>
            <w:noWrap w:val="0"/>
            <w:vAlign w:val="center"/>
          </w:tcPr>
          <w:p w14:paraId="7EC393B8">
            <w:pPr>
              <w:shd w:val="clear" w:color="auto" w:fill="auto"/>
              <w:jc w:val="center"/>
              <w:rPr>
                <w:rFonts w:hint="eastAsia" w:ascii="宋体" w:hAnsi="宋体" w:eastAsia="宋体" w:cs="宋体"/>
                <w:color w:val="auto"/>
                <w:highlight w:val="none"/>
              </w:rPr>
            </w:pPr>
          </w:p>
        </w:tc>
        <w:tc>
          <w:tcPr>
            <w:tcW w:w="575" w:type="pct"/>
            <w:tcBorders>
              <w:top w:val="single" w:color="auto" w:sz="4" w:space="0"/>
              <w:left w:val="nil"/>
              <w:bottom w:val="single" w:color="auto" w:sz="4" w:space="0"/>
              <w:right w:val="single" w:color="auto" w:sz="4" w:space="0"/>
            </w:tcBorders>
            <w:noWrap w:val="0"/>
            <w:vAlign w:val="center"/>
          </w:tcPr>
          <w:p w14:paraId="05079085">
            <w:pPr>
              <w:shd w:val="clear" w:color="auto" w:fill="auto"/>
              <w:jc w:val="center"/>
              <w:rPr>
                <w:rFonts w:hint="eastAsia" w:ascii="宋体" w:hAnsi="宋体" w:eastAsia="宋体" w:cs="宋体"/>
                <w:color w:val="auto"/>
                <w:highlight w:val="none"/>
              </w:rPr>
            </w:pPr>
          </w:p>
        </w:tc>
      </w:tr>
      <w:tr w14:paraId="1E4BB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4"/>
            <w:tcBorders>
              <w:top w:val="single" w:color="auto" w:sz="4" w:space="0"/>
              <w:left w:val="single" w:color="auto" w:sz="4" w:space="0"/>
              <w:bottom w:val="single" w:color="auto" w:sz="4" w:space="0"/>
              <w:right w:val="single" w:color="auto" w:sz="4" w:space="0"/>
            </w:tcBorders>
            <w:noWrap w:val="0"/>
            <w:vAlign w:val="center"/>
          </w:tcPr>
          <w:p w14:paraId="56E78159">
            <w:pPr>
              <w:shd w:val="clear" w:color="auto" w:fill="auto"/>
              <w:rPr>
                <w:rFonts w:hint="eastAsia" w:ascii="宋体" w:hAnsi="宋体" w:eastAsia="宋体" w:cs="宋体"/>
                <w:color w:val="auto"/>
                <w:highlight w:val="none"/>
              </w:rPr>
            </w:pPr>
            <w:r>
              <w:rPr>
                <w:rFonts w:hint="eastAsia" w:ascii="宋体" w:hAnsi="宋体" w:eastAsia="宋体" w:cs="宋体"/>
                <w:b/>
                <w:color w:val="auto"/>
                <w:highlight w:val="none"/>
              </w:rPr>
              <w:t>四、脚手架工程</w:t>
            </w:r>
          </w:p>
        </w:tc>
      </w:tr>
      <w:tr w14:paraId="5638A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0" w:type="pct"/>
            <w:tcBorders>
              <w:top w:val="single" w:color="auto" w:sz="4" w:space="0"/>
              <w:left w:val="single" w:color="auto" w:sz="4" w:space="0"/>
              <w:bottom w:val="single" w:color="auto" w:sz="4" w:space="0"/>
              <w:right w:val="single" w:color="auto" w:sz="4" w:space="0"/>
            </w:tcBorders>
            <w:noWrap w:val="0"/>
            <w:vAlign w:val="center"/>
          </w:tcPr>
          <w:p w14:paraId="493BCE9C">
            <w:pPr>
              <w:shd w:val="clear" w:color="auto" w:fill="auto"/>
              <w:rPr>
                <w:rFonts w:hint="eastAsia" w:ascii="宋体" w:hAnsi="宋体" w:eastAsia="宋体" w:cs="宋体"/>
                <w:color w:val="auto"/>
                <w:highlight w:val="none"/>
              </w:rPr>
            </w:pPr>
            <w:r>
              <w:rPr>
                <w:rFonts w:hint="eastAsia" w:ascii="宋体" w:hAnsi="宋体" w:eastAsia="宋体" w:cs="宋体"/>
                <w:color w:val="auto"/>
                <w:highlight w:val="none"/>
              </w:rPr>
              <w:t>（一）搭设高度24m及以上的落地式钢管脚手架工程（包括采光井、电梯井脚手架）。</w:t>
            </w:r>
          </w:p>
        </w:tc>
        <w:tc>
          <w:tcPr>
            <w:tcW w:w="731" w:type="pct"/>
            <w:tcBorders>
              <w:top w:val="single" w:color="auto" w:sz="4" w:space="0"/>
              <w:left w:val="nil"/>
              <w:bottom w:val="single" w:color="auto" w:sz="4" w:space="0"/>
              <w:right w:val="single" w:color="auto" w:sz="4" w:space="0"/>
            </w:tcBorders>
            <w:noWrap w:val="0"/>
            <w:vAlign w:val="center"/>
          </w:tcPr>
          <w:p w14:paraId="5132B0FC">
            <w:pPr>
              <w:shd w:val="clear" w:color="auto" w:fill="auto"/>
              <w:jc w:val="center"/>
              <w:rPr>
                <w:rFonts w:hint="eastAsia" w:ascii="宋体" w:hAnsi="宋体" w:eastAsia="宋体" w:cs="宋体"/>
                <w:color w:val="auto"/>
                <w:highlight w:val="none"/>
              </w:rPr>
            </w:pPr>
          </w:p>
        </w:tc>
        <w:tc>
          <w:tcPr>
            <w:tcW w:w="732" w:type="pct"/>
            <w:tcBorders>
              <w:top w:val="single" w:color="auto" w:sz="4" w:space="0"/>
              <w:left w:val="nil"/>
              <w:bottom w:val="single" w:color="auto" w:sz="4" w:space="0"/>
              <w:right w:val="single" w:color="auto" w:sz="4" w:space="0"/>
            </w:tcBorders>
            <w:noWrap w:val="0"/>
            <w:vAlign w:val="center"/>
          </w:tcPr>
          <w:p w14:paraId="2C47C5D5">
            <w:pPr>
              <w:shd w:val="clear" w:color="auto" w:fill="auto"/>
              <w:jc w:val="center"/>
              <w:rPr>
                <w:rFonts w:hint="eastAsia" w:ascii="宋体" w:hAnsi="宋体" w:eastAsia="宋体" w:cs="宋体"/>
                <w:color w:val="auto"/>
                <w:highlight w:val="none"/>
              </w:rPr>
            </w:pPr>
          </w:p>
        </w:tc>
        <w:tc>
          <w:tcPr>
            <w:tcW w:w="575" w:type="pct"/>
            <w:tcBorders>
              <w:top w:val="single" w:color="auto" w:sz="4" w:space="0"/>
              <w:left w:val="nil"/>
              <w:bottom w:val="single" w:color="auto" w:sz="4" w:space="0"/>
              <w:right w:val="single" w:color="auto" w:sz="4" w:space="0"/>
            </w:tcBorders>
            <w:noWrap w:val="0"/>
            <w:vAlign w:val="center"/>
          </w:tcPr>
          <w:p w14:paraId="486EE8D7">
            <w:pPr>
              <w:shd w:val="clear" w:color="auto" w:fill="auto"/>
              <w:jc w:val="center"/>
              <w:rPr>
                <w:rFonts w:hint="eastAsia" w:ascii="宋体" w:hAnsi="宋体" w:eastAsia="宋体" w:cs="宋体"/>
                <w:color w:val="auto"/>
                <w:highlight w:val="none"/>
              </w:rPr>
            </w:pPr>
          </w:p>
        </w:tc>
      </w:tr>
      <w:tr w14:paraId="22ECB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0" w:type="pct"/>
            <w:tcBorders>
              <w:top w:val="single" w:color="auto" w:sz="4" w:space="0"/>
              <w:left w:val="single" w:color="auto" w:sz="4" w:space="0"/>
              <w:bottom w:val="single" w:color="auto" w:sz="4" w:space="0"/>
              <w:right w:val="single" w:color="auto" w:sz="4" w:space="0"/>
            </w:tcBorders>
            <w:noWrap w:val="0"/>
            <w:vAlign w:val="center"/>
          </w:tcPr>
          <w:p w14:paraId="241FCAF9">
            <w:pPr>
              <w:shd w:val="clear" w:color="auto" w:fill="auto"/>
              <w:rPr>
                <w:rFonts w:hint="eastAsia" w:ascii="宋体" w:hAnsi="宋体" w:eastAsia="宋体" w:cs="宋体"/>
                <w:color w:val="auto"/>
                <w:highlight w:val="none"/>
              </w:rPr>
            </w:pPr>
            <w:r>
              <w:rPr>
                <w:rFonts w:hint="eastAsia" w:ascii="宋体" w:hAnsi="宋体" w:eastAsia="宋体" w:cs="宋体"/>
                <w:color w:val="auto"/>
                <w:highlight w:val="none"/>
              </w:rPr>
              <w:t>（二）附着式升降脚手架工程。</w:t>
            </w:r>
          </w:p>
        </w:tc>
        <w:tc>
          <w:tcPr>
            <w:tcW w:w="731" w:type="pct"/>
            <w:tcBorders>
              <w:top w:val="single" w:color="auto" w:sz="4" w:space="0"/>
              <w:left w:val="nil"/>
              <w:bottom w:val="single" w:color="auto" w:sz="4" w:space="0"/>
              <w:right w:val="single" w:color="auto" w:sz="4" w:space="0"/>
            </w:tcBorders>
            <w:noWrap w:val="0"/>
            <w:vAlign w:val="center"/>
          </w:tcPr>
          <w:p w14:paraId="295DC7A6">
            <w:pPr>
              <w:shd w:val="clear" w:color="auto" w:fill="auto"/>
              <w:jc w:val="center"/>
              <w:rPr>
                <w:rFonts w:hint="eastAsia" w:ascii="宋体" w:hAnsi="宋体" w:eastAsia="宋体" w:cs="宋体"/>
                <w:color w:val="auto"/>
                <w:highlight w:val="none"/>
              </w:rPr>
            </w:pPr>
          </w:p>
        </w:tc>
        <w:tc>
          <w:tcPr>
            <w:tcW w:w="732" w:type="pct"/>
            <w:tcBorders>
              <w:top w:val="single" w:color="auto" w:sz="4" w:space="0"/>
              <w:left w:val="nil"/>
              <w:bottom w:val="single" w:color="auto" w:sz="4" w:space="0"/>
              <w:right w:val="single" w:color="auto" w:sz="4" w:space="0"/>
            </w:tcBorders>
            <w:noWrap w:val="0"/>
            <w:vAlign w:val="center"/>
          </w:tcPr>
          <w:p w14:paraId="4990EA98">
            <w:pPr>
              <w:shd w:val="clear" w:color="auto" w:fill="auto"/>
              <w:jc w:val="center"/>
              <w:rPr>
                <w:rFonts w:hint="eastAsia" w:ascii="宋体" w:hAnsi="宋体" w:eastAsia="宋体" w:cs="宋体"/>
                <w:color w:val="auto"/>
                <w:highlight w:val="none"/>
              </w:rPr>
            </w:pPr>
          </w:p>
        </w:tc>
        <w:tc>
          <w:tcPr>
            <w:tcW w:w="575" w:type="pct"/>
            <w:tcBorders>
              <w:top w:val="single" w:color="auto" w:sz="4" w:space="0"/>
              <w:left w:val="nil"/>
              <w:bottom w:val="single" w:color="auto" w:sz="4" w:space="0"/>
              <w:right w:val="single" w:color="auto" w:sz="4" w:space="0"/>
            </w:tcBorders>
            <w:noWrap w:val="0"/>
            <w:vAlign w:val="center"/>
          </w:tcPr>
          <w:p w14:paraId="16AC1E2A">
            <w:pPr>
              <w:shd w:val="clear" w:color="auto" w:fill="auto"/>
              <w:jc w:val="center"/>
              <w:rPr>
                <w:rFonts w:hint="eastAsia" w:ascii="宋体" w:hAnsi="宋体" w:eastAsia="宋体" w:cs="宋体"/>
                <w:color w:val="auto"/>
                <w:highlight w:val="none"/>
              </w:rPr>
            </w:pPr>
          </w:p>
        </w:tc>
      </w:tr>
      <w:tr w14:paraId="3DA0D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0" w:type="pct"/>
            <w:tcBorders>
              <w:top w:val="single" w:color="auto" w:sz="4" w:space="0"/>
              <w:left w:val="single" w:color="auto" w:sz="4" w:space="0"/>
              <w:bottom w:val="single" w:color="auto" w:sz="4" w:space="0"/>
              <w:right w:val="single" w:color="auto" w:sz="4" w:space="0"/>
            </w:tcBorders>
            <w:noWrap w:val="0"/>
            <w:vAlign w:val="center"/>
          </w:tcPr>
          <w:p w14:paraId="0A883389">
            <w:pPr>
              <w:shd w:val="clear" w:color="auto" w:fill="auto"/>
              <w:rPr>
                <w:rFonts w:hint="eastAsia" w:ascii="宋体" w:hAnsi="宋体" w:eastAsia="宋体" w:cs="宋体"/>
                <w:color w:val="auto"/>
                <w:highlight w:val="none"/>
              </w:rPr>
            </w:pPr>
            <w:r>
              <w:rPr>
                <w:rFonts w:hint="eastAsia" w:ascii="宋体" w:hAnsi="宋体" w:eastAsia="宋体" w:cs="宋体"/>
                <w:color w:val="auto"/>
                <w:highlight w:val="none"/>
              </w:rPr>
              <w:t>（三）悬挑式脚手架工程。</w:t>
            </w:r>
          </w:p>
        </w:tc>
        <w:tc>
          <w:tcPr>
            <w:tcW w:w="731" w:type="pct"/>
            <w:tcBorders>
              <w:top w:val="single" w:color="auto" w:sz="4" w:space="0"/>
              <w:left w:val="nil"/>
              <w:bottom w:val="single" w:color="auto" w:sz="4" w:space="0"/>
              <w:right w:val="single" w:color="auto" w:sz="4" w:space="0"/>
            </w:tcBorders>
            <w:noWrap w:val="0"/>
            <w:vAlign w:val="center"/>
          </w:tcPr>
          <w:p w14:paraId="35DEE36C">
            <w:pPr>
              <w:shd w:val="clear" w:color="auto" w:fill="auto"/>
              <w:jc w:val="center"/>
              <w:rPr>
                <w:rFonts w:hint="eastAsia" w:ascii="宋体" w:hAnsi="宋体" w:eastAsia="宋体" w:cs="宋体"/>
                <w:b/>
                <w:color w:val="auto"/>
                <w:highlight w:val="none"/>
              </w:rPr>
            </w:pPr>
            <w:r>
              <w:rPr>
                <w:rFonts w:hint="eastAsia" w:ascii="宋体" w:hAnsi="宋体" w:eastAsia="宋体" w:cs="宋体"/>
                <w:color w:val="auto"/>
                <w:sz w:val="24"/>
                <w:szCs w:val="36"/>
                <w:highlight w:val="none"/>
              </w:rPr>
              <w:t>√</w:t>
            </w:r>
          </w:p>
        </w:tc>
        <w:tc>
          <w:tcPr>
            <w:tcW w:w="732" w:type="pct"/>
            <w:tcBorders>
              <w:top w:val="single" w:color="auto" w:sz="4" w:space="0"/>
              <w:left w:val="nil"/>
              <w:bottom w:val="single" w:color="auto" w:sz="4" w:space="0"/>
              <w:right w:val="single" w:color="auto" w:sz="4" w:space="0"/>
            </w:tcBorders>
            <w:noWrap w:val="0"/>
            <w:vAlign w:val="center"/>
          </w:tcPr>
          <w:p w14:paraId="64198153">
            <w:pPr>
              <w:shd w:val="clear" w:color="auto" w:fill="auto"/>
              <w:jc w:val="center"/>
              <w:rPr>
                <w:rFonts w:hint="eastAsia" w:ascii="宋体" w:hAnsi="宋体" w:eastAsia="宋体" w:cs="宋体"/>
                <w:color w:val="auto"/>
                <w:highlight w:val="none"/>
              </w:rPr>
            </w:pPr>
          </w:p>
        </w:tc>
        <w:tc>
          <w:tcPr>
            <w:tcW w:w="575" w:type="pct"/>
            <w:tcBorders>
              <w:top w:val="single" w:color="auto" w:sz="4" w:space="0"/>
              <w:left w:val="nil"/>
              <w:bottom w:val="single" w:color="auto" w:sz="4" w:space="0"/>
              <w:right w:val="single" w:color="auto" w:sz="4" w:space="0"/>
            </w:tcBorders>
            <w:noWrap w:val="0"/>
            <w:vAlign w:val="center"/>
          </w:tcPr>
          <w:p w14:paraId="62299033">
            <w:pPr>
              <w:shd w:val="clear" w:color="auto" w:fill="auto"/>
              <w:jc w:val="center"/>
              <w:rPr>
                <w:rFonts w:hint="eastAsia" w:ascii="宋体" w:hAnsi="宋体" w:eastAsia="宋体" w:cs="宋体"/>
                <w:color w:val="auto"/>
                <w:highlight w:val="none"/>
              </w:rPr>
            </w:pPr>
          </w:p>
        </w:tc>
      </w:tr>
      <w:tr w14:paraId="7AF35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0" w:type="pct"/>
            <w:tcBorders>
              <w:top w:val="single" w:color="auto" w:sz="4" w:space="0"/>
              <w:left w:val="single" w:color="auto" w:sz="4" w:space="0"/>
              <w:bottom w:val="single" w:color="auto" w:sz="4" w:space="0"/>
              <w:right w:val="single" w:color="auto" w:sz="4" w:space="0"/>
            </w:tcBorders>
            <w:noWrap w:val="0"/>
            <w:vAlign w:val="center"/>
          </w:tcPr>
          <w:p w14:paraId="2BBD6949">
            <w:pPr>
              <w:shd w:val="clear" w:color="auto" w:fill="auto"/>
              <w:rPr>
                <w:rFonts w:hint="eastAsia" w:ascii="宋体" w:hAnsi="宋体" w:eastAsia="宋体" w:cs="宋体"/>
                <w:color w:val="auto"/>
                <w:highlight w:val="none"/>
              </w:rPr>
            </w:pPr>
            <w:r>
              <w:rPr>
                <w:rFonts w:hint="eastAsia" w:ascii="宋体" w:hAnsi="宋体" w:eastAsia="宋体" w:cs="宋体"/>
                <w:color w:val="auto"/>
                <w:highlight w:val="none"/>
              </w:rPr>
              <w:t>（四）高处作业吊篮。</w:t>
            </w:r>
          </w:p>
        </w:tc>
        <w:tc>
          <w:tcPr>
            <w:tcW w:w="731" w:type="pct"/>
            <w:tcBorders>
              <w:top w:val="single" w:color="auto" w:sz="4" w:space="0"/>
              <w:left w:val="nil"/>
              <w:bottom w:val="single" w:color="auto" w:sz="4" w:space="0"/>
              <w:right w:val="single" w:color="auto" w:sz="4" w:space="0"/>
            </w:tcBorders>
            <w:noWrap w:val="0"/>
            <w:vAlign w:val="center"/>
          </w:tcPr>
          <w:p w14:paraId="16F26ED5">
            <w:pPr>
              <w:shd w:val="clear" w:color="auto" w:fill="auto"/>
              <w:jc w:val="center"/>
              <w:rPr>
                <w:rFonts w:hint="eastAsia" w:ascii="宋体" w:hAnsi="宋体" w:eastAsia="宋体" w:cs="宋体"/>
                <w:color w:val="auto"/>
                <w:highlight w:val="none"/>
              </w:rPr>
            </w:pPr>
          </w:p>
        </w:tc>
        <w:tc>
          <w:tcPr>
            <w:tcW w:w="732" w:type="pct"/>
            <w:tcBorders>
              <w:top w:val="single" w:color="auto" w:sz="4" w:space="0"/>
              <w:left w:val="nil"/>
              <w:bottom w:val="single" w:color="auto" w:sz="4" w:space="0"/>
              <w:right w:val="single" w:color="auto" w:sz="4" w:space="0"/>
            </w:tcBorders>
            <w:noWrap w:val="0"/>
            <w:vAlign w:val="center"/>
          </w:tcPr>
          <w:p w14:paraId="22210E00">
            <w:pPr>
              <w:shd w:val="clear" w:color="auto" w:fill="auto"/>
              <w:jc w:val="center"/>
              <w:rPr>
                <w:rFonts w:hint="eastAsia" w:ascii="宋体" w:hAnsi="宋体" w:eastAsia="宋体" w:cs="宋体"/>
                <w:color w:val="auto"/>
                <w:highlight w:val="none"/>
              </w:rPr>
            </w:pPr>
          </w:p>
        </w:tc>
        <w:tc>
          <w:tcPr>
            <w:tcW w:w="575" w:type="pct"/>
            <w:tcBorders>
              <w:top w:val="single" w:color="auto" w:sz="4" w:space="0"/>
              <w:left w:val="nil"/>
              <w:bottom w:val="single" w:color="auto" w:sz="4" w:space="0"/>
              <w:right w:val="single" w:color="auto" w:sz="4" w:space="0"/>
            </w:tcBorders>
            <w:noWrap w:val="0"/>
            <w:vAlign w:val="center"/>
          </w:tcPr>
          <w:p w14:paraId="163349CB">
            <w:pPr>
              <w:shd w:val="clear" w:color="auto" w:fill="auto"/>
              <w:jc w:val="center"/>
              <w:rPr>
                <w:rFonts w:hint="eastAsia" w:ascii="宋体" w:hAnsi="宋体" w:eastAsia="宋体" w:cs="宋体"/>
                <w:color w:val="auto"/>
                <w:highlight w:val="none"/>
              </w:rPr>
            </w:pPr>
          </w:p>
        </w:tc>
      </w:tr>
      <w:tr w14:paraId="3F800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0" w:type="pct"/>
            <w:tcBorders>
              <w:top w:val="single" w:color="auto" w:sz="4" w:space="0"/>
              <w:left w:val="single" w:color="auto" w:sz="4" w:space="0"/>
              <w:bottom w:val="single" w:color="auto" w:sz="4" w:space="0"/>
              <w:right w:val="single" w:color="auto" w:sz="4" w:space="0"/>
            </w:tcBorders>
            <w:noWrap w:val="0"/>
            <w:vAlign w:val="center"/>
          </w:tcPr>
          <w:p w14:paraId="294DC59E">
            <w:pPr>
              <w:shd w:val="clear" w:color="auto" w:fill="auto"/>
              <w:rPr>
                <w:rFonts w:hint="eastAsia" w:ascii="宋体" w:hAnsi="宋体" w:eastAsia="宋体" w:cs="宋体"/>
                <w:color w:val="auto"/>
                <w:highlight w:val="none"/>
              </w:rPr>
            </w:pPr>
            <w:r>
              <w:rPr>
                <w:rFonts w:hint="eastAsia" w:ascii="宋体" w:hAnsi="宋体" w:eastAsia="宋体" w:cs="宋体"/>
                <w:color w:val="auto"/>
                <w:highlight w:val="none"/>
              </w:rPr>
              <w:t>（五）卸料平台、操作平台工程。</w:t>
            </w:r>
          </w:p>
        </w:tc>
        <w:tc>
          <w:tcPr>
            <w:tcW w:w="731" w:type="pct"/>
            <w:tcBorders>
              <w:top w:val="single" w:color="auto" w:sz="4" w:space="0"/>
              <w:left w:val="nil"/>
              <w:bottom w:val="single" w:color="auto" w:sz="4" w:space="0"/>
              <w:right w:val="single" w:color="auto" w:sz="4" w:space="0"/>
            </w:tcBorders>
            <w:noWrap w:val="0"/>
            <w:vAlign w:val="center"/>
          </w:tcPr>
          <w:p w14:paraId="7B7C471D">
            <w:pPr>
              <w:shd w:val="clear" w:color="auto" w:fill="auto"/>
              <w:jc w:val="center"/>
              <w:rPr>
                <w:rFonts w:hint="eastAsia" w:ascii="宋体" w:hAnsi="宋体" w:eastAsia="宋体" w:cs="宋体"/>
                <w:b/>
                <w:color w:val="auto"/>
                <w:highlight w:val="none"/>
              </w:rPr>
            </w:pPr>
            <w:r>
              <w:rPr>
                <w:rFonts w:hint="eastAsia" w:ascii="宋体" w:hAnsi="宋体" w:eastAsia="宋体" w:cs="宋体"/>
                <w:color w:val="auto"/>
                <w:sz w:val="24"/>
                <w:szCs w:val="36"/>
                <w:highlight w:val="none"/>
              </w:rPr>
              <w:t>√</w:t>
            </w:r>
          </w:p>
        </w:tc>
        <w:tc>
          <w:tcPr>
            <w:tcW w:w="732" w:type="pct"/>
            <w:tcBorders>
              <w:top w:val="single" w:color="auto" w:sz="4" w:space="0"/>
              <w:left w:val="nil"/>
              <w:bottom w:val="single" w:color="auto" w:sz="4" w:space="0"/>
              <w:right w:val="single" w:color="auto" w:sz="4" w:space="0"/>
            </w:tcBorders>
            <w:noWrap w:val="0"/>
            <w:vAlign w:val="center"/>
          </w:tcPr>
          <w:p w14:paraId="71E7F433">
            <w:pPr>
              <w:shd w:val="clear" w:color="auto" w:fill="auto"/>
              <w:jc w:val="center"/>
              <w:rPr>
                <w:rFonts w:hint="eastAsia" w:ascii="宋体" w:hAnsi="宋体" w:eastAsia="宋体" w:cs="宋体"/>
                <w:color w:val="auto"/>
                <w:highlight w:val="none"/>
              </w:rPr>
            </w:pPr>
          </w:p>
        </w:tc>
        <w:tc>
          <w:tcPr>
            <w:tcW w:w="575" w:type="pct"/>
            <w:tcBorders>
              <w:top w:val="single" w:color="auto" w:sz="4" w:space="0"/>
              <w:left w:val="nil"/>
              <w:bottom w:val="single" w:color="auto" w:sz="4" w:space="0"/>
              <w:right w:val="single" w:color="auto" w:sz="4" w:space="0"/>
            </w:tcBorders>
            <w:noWrap w:val="0"/>
            <w:vAlign w:val="center"/>
          </w:tcPr>
          <w:p w14:paraId="3D6D4DBA">
            <w:pPr>
              <w:shd w:val="clear" w:color="auto" w:fill="auto"/>
              <w:jc w:val="center"/>
              <w:rPr>
                <w:rFonts w:hint="eastAsia" w:ascii="宋体" w:hAnsi="宋体" w:eastAsia="宋体" w:cs="宋体"/>
                <w:color w:val="auto"/>
                <w:highlight w:val="none"/>
              </w:rPr>
            </w:pPr>
          </w:p>
        </w:tc>
      </w:tr>
      <w:tr w14:paraId="215D6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0" w:type="pct"/>
            <w:tcBorders>
              <w:top w:val="single" w:color="auto" w:sz="4" w:space="0"/>
              <w:left w:val="single" w:color="auto" w:sz="4" w:space="0"/>
              <w:bottom w:val="single" w:color="auto" w:sz="4" w:space="0"/>
              <w:right w:val="single" w:color="auto" w:sz="4" w:space="0"/>
            </w:tcBorders>
            <w:noWrap w:val="0"/>
            <w:vAlign w:val="center"/>
          </w:tcPr>
          <w:p w14:paraId="52186FC1">
            <w:pPr>
              <w:shd w:val="clear" w:color="auto" w:fill="auto"/>
              <w:rPr>
                <w:rFonts w:hint="eastAsia" w:ascii="宋体" w:hAnsi="宋体" w:eastAsia="宋体" w:cs="宋体"/>
                <w:color w:val="auto"/>
                <w:highlight w:val="none"/>
              </w:rPr>
            </w:pPr>
            <w:r>
              <w:rPr>
                <w:rFonts w:hint="eastAsia" w:ascii="宋体" w:hAnsi="宋体" w:eastAsia="宋体" w:cs="宋体"/>
                <w:color w:val="auto"/>
                <w:highlight w:val="none"/>
              </w:rPr>
              <w:t>（六）异型脚手架工程。</w:t>
            </w:r>
          </w:p>
        </w:tc>
        <w:tc>
          <w:tcPr>
            <w:tcW w:w="731" w:type="pct"/>
            <w:tcBorders>
              <w:top w:val="single" w:color="auto" w:sz="4" w:space="0"/>
              <w:left w:val="nil"/>
              <w:bottom w:val="single" w:color="auto" w:sz="4" w:space="0"/>
              <w:right w:val="single" w:color="auto" w:sz="4" w:space="0"/>
            </w:tcBorders>
            <w:noWrap w:val="0"/>
            <w:vAlign w:val="center"/>
          </w:tcPr>
          <w:p w14:paraId="612889BE">
            <w:pPr>
              <w:shd w:val="clear" w:color="auto" w:fill="auto"/>
              <w:jc w:val="center"/>
              <w:rPr>
                <w:rFonts w:hint="eastAsia" w:ascii="宋体" w:hAnsi="宋体" w:eastAsia="宋体" w:cs="宋体"/>
                <w:color w:val="auto"/>
                <w:highlight w:val="none"/>
              </w:rPr>
            </w:pPr>
          </w:p>
        </w:tc>
        <w:tc>
          <w:tcPr>
            <w:tcW w:w="732" w:type="pct"/>
            <w:tcBorders>
              <w:top w:val="single" w:color="auto" w:sz="4" w:space="0"/>
              <w:left w:val="nil"/>
              <w:bottom w:val="single" w:color="auto" w:sz="4" w:space="0"/>
              <w:right w:val="single" w:color="auto" w:sz="4" w:space="0"/>
            </w:tcBorders>
            <w:noWrap w:val="0"/>
            <w:vAlign w:val="center"/>
          </w:tcPr>
          <w:p w14:paraId="61C24A4D">
            <w:pPr>
              <w:shd w:val="clear" w:color="auto" w:fill="auto"/>
              <w:jc w:val="center"/>
              <w:rPr>
                <w:rFonts w:hint="eastAsia" w:ascii="宋体" w:hAnsi="宋体" w:eastAsia="宋体" w:cs="宋体"/>
                <w:color w:val="auto"/>
                <w:highlight w:val="none"/>
              </w:rPr>
            </w:pPr>
          </w:p>
        </w:tc>
        <w:tc>
          <w:tcPr>
            <w:tcW w:w="575" w:type="pct"/>
            <w:tcBorders>
              <w:top w:val="single" w:color="auto" w:sz="4" w:space="0"/>
              <w:left w:val="nil"/>
              <w:bottom w:val="single" w:color="auto" w:sz="4" w:space="0"/>
              <w:right w:val="single" w:color="auto" w:sz="4" w:space="0"/>
            </w:tcBorders>
            <w:noWrap w:val="0"/>
            <w:vAlign w:val="center"/>
          </w:tcPr>
          <w:p w14:paraId="5A8AEC33">
            <w:pPr>
              <w:shd w:val="clear" w:color="auto" w:fill="auto"/>
              <w:jc w:val="center"/>
              <w:rPr>
                <w:rFonts w:hint="eastAsia" w:ascii="宋体" w:hAnsi="宋体" w:eastAsia="宋体" w:cs="宋体"/>
                <w:color w:val="auto"/>
                <w:highlight w:val="none"/>
              </w:rPr>
            </w:pPr>
          </w:p>
        </w:tc>
      </w:tr>
      <w:tr w14:paraId="2C5E9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4"/>
            <w:tcBorders>
              <w:top w:val="single" w:color="auto" w:sz="4" w:space="0"/>
              <w:left w:val="single" w:color="auto" w:sz="4" w:space="0"/>
              <w:bottom w:val="single" w:color="auto" w:sz="4" w:space="0"/>
              <w:right w:val="single" w:color="auto" w:sz="4" w:space="0"/>
            </w:tcBorders>
            <w:noWrap w:val="0"/>
            <w:vAlign w:val="center"/>
          </w:tcPr>
          <w:p w14:paraId="2C86B830">
            <w:pPr>
              <w:shd w:val="clear" w:color="auto" w:fill="auto"/>
              <w:rPr>
                <w:rFonts w:hint="eastAsia" w:ascii="宋体" w:hAnsi="宋体" w:eastAsia="宋体" w:cs="宋体"/>
                <w:color w:val="auto"/>
                <w:highlight w:val="none"/>
              </w:rPr>
            </w:pPr>
            <w:r>
              <w:rPr>
                <w:rFonts w:hint="eastAsia" w:ascii="宋体" w:hAnsi="宋体" w:eastAsia="宋体" w:cs="宋体"/>
                <w:b/>
                <w:color w:val="auto"/>
                <w:highlight w:val="none"/>
              </w:rPr>
              <w:t>五、拆除工程</w:t>
            </w:r>
          </w:p>
        </w:tc>
      </w:tr>
      <w:tr w14:paraId="1CBEF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0" w:type="pct"/>
            <w:tcBorders>
              <w:top w:val="single" w:color="auto" w:sz="4" w:space="0"/>
              <w:left w:val="single" w:color="auto" w:sz="4" w:space="0"/>
              <w:bottom w:val="single" w:color="auto" w:sz="4" w:space="0"/>
              <w:right w:val="single" w:color="auto" w:sz="4" w:space="0"/>
            </w:tcBorders>
            <w:noWrap w:val="0"/>
            <w:vAlign w:val="center"/>
          </w:tcPr>
          <w:p w14:paraId="06F346BC">
            <w:pPr>
              <w:shd w:val="clear" w:color="auto" w:fill="auto"/>
              <w:rPr>
                <w:rFonts w:hint="eastAsia" w:ascii="宋体" w:hAnsi="宋体" w:eastAsia="宋体" w:cs="宋体"/>
                <w:color w:val="auto"/>
                <w:highlight w:val="none"/>
              </w:rPr>
            </w:pPr>
            <w:r>
              <w:rPr>
                <w:rFonts w:hint="eastAsia" w:ascii="宋体" w:hAnsi="宋体" w:eastAsia="宋体" w:cs="宋体"/>
                <w:color w:val="auto"/>
                <w:highlight w:val="none"/>
              </w:rPr>
              <w:t>可能影响行人、交通、电力设施、通讯设施或其它建、构筑物安全的拆除工程。</w:t>
            </w:r>
          </w:p>
        </w:tc>
        <w:tc>
          <w:tcPr>
            <w:tcW w:w="731" w:type="pct"/>
            <w:tcBorders>
              <w:top w:val="single" w:color="auto" w:sz="4" w:space="0"/>
              <w:left w:val="nil"/>
              <w:bottom w:val="single" w:color="auto" w:sz="4" w:space="0"/>
              <w:right w:val="single" w:color="auto" w:sz="4" w:space="0"/>
            </w:tcBorders>
            <w:noWrap w:val="0"/>
            <w:vAlign w:val="center"/>
          </w:tcPr>
          <w:p w14:paraId="01BD208D">
            <w:pPr>
              <w:shd w:val="clear" w:color="auto" w:fill="auto"/>
              <w:jc w:val="center"/>
              <w:rPr>
                <w:rFonts w:hint="eastAsia" w:ascii="宋体" w:hAnsi="宋体" w:eastAsia="宋体" w:cs="宋体"/>
                <w:color w:val="auto"/>
                <w:highlight w:val="none"/>
              </w:rPr>
            </w:pPr>
            <w:r>
              <w:rPr>
                <w:rFonts w:hint="eastAsia" w:ascii="宋体" w:hAnsi="宋体" w:eastAsia="宋体" w:cs="宋体"/>
                <w:color w:val="auto"/>
                <w:sz w:val="24"/>
                <w:szCs w:val="36"/>
                <w:highlight w:val="none"/>
              </w:rPr>
              <w:t>√</w:t>
            </w:r>
          </w:p>
        </w:tc>
        <w:tc>
          <w:tcPr>
            <w:tcW w:w="732" w:type="pct"/>
            <w:tcBorders>
              <w:top w:val="single" w:color="auto" w:sz="4" w:space="0"/>
              <w:left w:val="nil"/>
              <w:bottom w:val="single" w:color="auto" w:sz="4" w:space="0"/>
              <w:right w:val="single" w:color="auto" w:sz="4" w:space="0"/>
            </w:tcBorders>
            <w:noWrap w:val="0"/>
            <w:vAlign w:val="center"/>
          </w:tcPr>
          <w:p w14:paraId="7D7E20D1">
            <w:pPr>
              <w:shd w:val="clear" w:color="auto" w:fill="auto"/>
              <w:jc w:val="center"/>
              <w:rPr>
                <w:rFonts w:hint="eastAsia" w:ascii="宋体" w:hAnsi="宋体" w:eastAsia="宋体" w:cs="宋体"/>
                <w:color w:val="auto"/>
                <w:highlight w:val="none"/>
              </w:rPr>
            </w:pPr>
          </w:p>
        </w:tc>
        <w:tc>
          <w:tcPr>
            <w:tcW w:w="575" w:type="pct"/>
            <w:tcBorders>
              <w:top w:val="single" w:color="auto" w:sz="4" w:space="0"/>
              <w:left w:val="nil"/>
              <w:bottom w:val="single" w:color="auto" w:sz="4" w:space="0"/>
              <w:right w:val="single" w:color="auto" w:sz="4" w:space="0"/>
            </w:tcBorders>
            <w:noWrap w:val="0"/>
            <w:vAlign w:val="center"/>
          </w:tcPr>
          <w:p w14:paraId="7BE5E813">
            <w:pPr>
              <w:shd w:val="clear" w:color="auto" w:fill="auto"/>
              <w:jc w:val="center"/>
              <w:rPr>
                <w:rFonts w:hint="eastAsia" w:ascii="宋体" w:hAnsi="宋体" w:eastAsia="宋体" w:cs="宋体"/>
                <w:color w:val="auto"/>
                <w:highlight w:val="none"/>
              </w:rPr>
            </w:pPr>
          </w:p>
        </w:tc>
      </w:tr>
      <w:tr w14:paraId="6B48E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4"/>
            <w:tcBorders>
              <w:top w:val="single" w:color="auto" w:sz="4" w:space="0"/>
              <w:left w:val="single" w:color="auto" w:sz="4" w:space="0"/>
              <w:bottom w:val="single" w:color="auto" w:sz="4" w:space="0"/>
              <w:right w:val="single" w:color="auto" w:sz="4" w:space="0"/>
            </w:tcBorders>
            <w:noWrap w:val="0"/>
            <w:vAlign w:val="center"/>
          </w:tcPr>
          <w:p w14:paraId="3A349DA3">
            <w:pPr>
              <w:shd w:val="clear" w:color="auto" w:fill="auto"/>
              <w:rPr>
                <w:rFonts w:hint="eastAsia" w:ascii="宋体" w:hAnsi="宋体" w:eastAsia="宋体" w:cs="宋体"/>
                <w:color w:val="auto"/>
                <w:highlight w:val="none"/>
              </w:rPr>
            </w:pPr>
            <w:r>
              <w:rPr>
                <w:rFonts w:hint="eastAsia" w:ascii="宋体" w:hAnsi="宋体" w:eastAsia="宋体" w:cs="宋体"/>
                <w:b/>
                <w:color w:val="auto"/>
                <w:highlight w:val="none"/>
              </w:rPr>
              <w:t>六、暗挖工程</w:t>
            </w:r>
          </w:p>
        </w:tc>
      </w:tr>
      <w:tr w14:paraId="1C905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960" w:type="pct"/>
            <w:tcBorders>
              <w:top w:val="single" w:color="auto" w:sz="4" w:space="0"/>
              <w:left w:val="single" w:color="auto" w:sz="4" w:space="0"/>
              <w:bottom w:val="single" w:color="auto" w:sz="4" w:space="0"/>
              <w:right w:val="single" w:color="auto" w:sz="4" w:space="0"/>
            </w:tcBorders>
            <w:noWrap w:val="0"/>
            <w:vAlign w:val="center"/>
          </w:tcPr>
          <w:p w14:paraId="44743191">
            <w:pPr>
              <w:shd w:val="clear" w:color="auto" w:fill="auto"/>
              <w:rPr>
                <w:rFonts w:hint="eastAsia" w:ascii="宋体" w:hAnsi="宋体" w:eastAsia="宋体" w:cs="宋体"/>
                <w:color w:val="auto"/>
                <w:highlight w:val="none"/>
              </w:rPr>
            </w:pPr>
            <w:r>
              <w:rPr>
                <w:rFonts w:hint="eastAsia" w:ascii="宋体" w:hAnsi="宋体" w:eastAsia="宋体" w:cs="宋体"/>
                <w:color w:val="auto"/>
                <w:highlight w:val="none"/>
              </w:rPr>
              <w:t>采用矿山法、盾构法、顶管法施工的隧道、洞室工程。</w:t>
            </w:r>
          </w:p>
        </w:tc>
        <w:tc>
          <w:tcPr>
            <w:tcW w:w="731" w:type="pct"/>
            <w:tcBorders>
              <w:top w:val="single" w:color="auto" w:sz="4" w:space="0"/>
              <w:left w:val="nil"/>
              <w:bottom w:val="single" w:color="auto" w:sz="4" w:space="0"/>
              <w:right w:val="single" w:color="auto" w:sz="4" w:space="0"/>
            </w:tcBorders>
            <w:noWrap w:val="0"/>
            <w:vAlign w:val="center"/>
          </w:tcPr>
          <w:p w14:paraId="479EED04">
            <w:pPr>
              <w:shd w:val="clear" w:color="auto" w:fill="auto"/>
              <w:jc w:val="center"/>
              <w:rPr>
                <w:rFonts w:hint="eastAsia" w:ascii="宋体" w:hAnsi="宋体" w:eastAsia="宋体" w:cs="宋体"/>
                <w:color w:val="auto"/>
                <w:highlight w:val="none"/>
              </w:rPr>
            </w:pPr>
          </w:p>
        </w:tc>
        <w:tc>
          <w:tcPr>
            <w:tcW w:w="732" w:type="pct"/>
            <w:tcBorders>
              <w:top w:val="single" w:color="auto" w:sz="4" w:space="0"/>
              <w:left w:val="nil"/>
              <w:bottom w:val="single" w:color="auto" w:sz="4" w:space="0"/>
              <w:right w:val="single" w:color="auto" w:sz="4" w:space="0"/>
            </w:tcBorders>
            <w:noWrap w:val="0"/>
            <w:vAlign w:val="center"/>
          </w:tcPr>
          <w:p w14:paraId="4F129442">
            <w:pPr>
              <w:shd w:val="clear" w:color="auto" w:fill="auto"/>
              <w:jc w:val="center"/>
              <w:rPr>
                <w:rFonts w:hint="eastAsia" w:ascii="宋体" w:hAnsi="宋体" w:eastAsia="宋体" w:cs="宋体"/>
                <w:color w:val="auto"/>
                <w:highlight w:val="none"/>
              </w:rPr>
            </w:pPr>
          </w:p>
        </w:tc>
        <w:tc>
          <w:tcPr>
            <w:tcW w:w="575" w:type="pct"/>
            <w:tcBorders>
              <w:top w:val="single" w:color="auto" w:sz="4" w:space="0"/>
              <w:left w:val="nil"/>
              <w:bottom w:val="single" w:color="auto" w:sz="4" w:space="0"/>
              <w:right w:val="single" w:color="auto" w:sz="4" w:space="0"/>
            </w:tcBorders>
            <w:noWrap w:val="0"/>
            <w:vAlign w:val="center"/>
          </w:tcPr>
          <w:p w14:paraId="3CBA5D0F">
            <w:pPr>
              <w:shd w:val="clear" w:color="auto" w:fill="auto"/>
              <w:jc w:val="center"/>
              <w:rPr>
                <w:rFonts w:hint="eastAsia" w:ascii="宋体" w:hAnsi="宋体" w:eastAsia="宋体" w:cs="宋体"/>
                <w:color w:val="auto"/>
                <w:highlight w:val="none"/>
              </w:rPr>
            </w:pPr>
          </w:p>
        </w:tc>
      </w:tr>
      <w:tr w14:paraId="6353E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4"/>
            <w:tcBorders>
              <w:top w:val="single" w:color="auto" w:sz="4" w:space="0"/>
              <w:left w:val="single" w:color="auto" w:sz="4" w:space="0"/>
              <w:bottom w:val="single" w:color="auto" w:sz="4" w:space="0"/>
              <w:right w:val="single" w:color="auto" w:sz="4" w:space="0"/>
            </w:tcBorders>
            <w:noWrap w:val="0"/>
            <w:vAlign w:val="center"/>
          </w:tcPr>
          <w:p w14:paraId="395A758B">
            <w:pPr>
              <w:shd w:val="clear" w:color="auto" w:fill="auto"/>
              <w:rPr>
                <w:rFonts w:hint="eastAsia" w:ascii="宋体" w:hAnsi="宋体" w:eastAsia="宋体" w:cs="宋体"/>
                <w:color w:val="auto"/>
                <w:highlight w:val="none"/>
              </w:rPr>
            </w:pPr>
            <w:r>
              <w:rPr>
                <w:rFonts w:hint="eastAsia" w:ascii="宋体" w:hAnsi="宋体" w:eastAsia="宋体" w:cs="宋体"/>
                <w:b/>
                <w:color w:val="auto"/>
                <w:highlight w:val="none"/>
              </w:rPr>
              <w:t>七、其它</w:t>
            </w:r>
          </w:p>
        </w:tc>
      </w:tr>
      <w:tr w14:paraId="4C777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0" w:type="pct"/>
            <w:tcBorders>
              <w:top w:val="single" w:color="auto" w:sz="4" w:space="0"/>
              <w:left w:val="single" w:color="auto" w:sz="4" w:space="0"/>
              <w:bottom w:val="single" w:color="auto" w:sz="4" w:space="0"/>
              <w:right w:val="single" w:color="auto" w:sz="4" w:space="0"/>
            </w:tcBorders>
            <w:noWrap w:val="0"/>
            <w:vAlign w:val="center"/>
          </w:tcPr>
          <w:p w14:paraId="1C79113A">
            <w:pPr>
              <w:shd w:val="clear" w:color="auto" w:fill="auto"/>
              <w:rPr>
                <w:rFonts w:hint="eastAsia" w:ascii="宋体" w:hAnsi="宋体" w:eastAsia="宋体" w:cs="宋体"/>
                <w:color w:val="auto"/>
                <w:highlight w:val="none"/>
              </w:rPr>
            </w:pPr>
            <w:r>
              <w:rPr>
                <w:rFonts w:hint="eastAsia" w:ascii="宋体" w:hAnsi="宋体" w:eastAsia="宋体" w:cs="宋体"/>
                <w:color w:val="auto"/>
                <w:highlight w:val="none"/>
              </w:rPr>
              <w:t>（一）建筑幕墙安装工程。</w:t>
            </w:r>
          </w:p>
        </w:tc>
        <w:tc>
          <w:tcPr>
            <w:tcW w:w="731" w:type="pct"/>
            <w:tcBorders>
              <w:top w:val="single" w:color="auto" w:sz="4" w:space="0"/>
              <w:left w:val="nil"/>
              <w:bottom w:val="single" w:color="auto" w:sz="4" w:space="0"/>
              <w:right w:val="single" w:color="auto" w:sz="4" w:space="0"/>
            </w:tcBorders>
            <w:noWrap w:val="0"/>
            <w:vAlign w:val="center"/>
          </w:tcPr>
          <w:p w14:paraId="348E380A">
            <w:pPr>
              <w:shd w:val="clear" w:color="auto" w:fill="auto"/>
              <w:jc w:val="center"/>
              <w:rPr>
                <w:rFonts w:hint="eastAsia" w:ascii="宋体" w:hAnsi="宋体" w:eastAsia="宋体" w:cs="宋体"/>
                <w:color w:val="auto"/>
                <w:highlight w:val="none"/>
              </w:rPr>
            </w:pPr>
          </w:p>
        </w:tc>
        <w:tc>
          <w:tcPr>
            <w:tcW w:w="732" w:type="pct"/>
            <w:tcBorders>
              <w:top w:val="single" w:color="auto" w:sz="4" w:space="0"/>
              <w:left w:val="nil"/>
              <w:bottom w:val="single" w:color="auto" w:sz="4" w:space="0"/>
              <w:right w:val="single" w:color="auto" w:sz="4" w:space="0"/>
            </w:tcBorders>
            <w:noWrap w:val="0"/>
            <w:vAlign w:val="center"/>
          </w:tcPr>
          <w:p w14:paraId="3C83520F">
            <w:pPr>
              <w:shd w:val="clear" w:color="auto" w:fill="auto"/>
              <w:jc w:val="center"/>
              <w:rPr>
                <w:rFonts w:hint="eastAsia" w:ascii="宋体" w:hAnsi="宋体" w:eastAsia="宋体" w:cs="宋体"/>
                <w:color w:val="auto"/>
                <w:highlight w:val="none"/>
              </w:rPr>
            </w:pPr>
          </w:p>
        </w:tc>
        <w:tc>
          <w:tcPr>
            <w:tcW w:w="575" w:type="pct"/>
            <w:tcBorders>
              <w:top w:val="single" w:color="auto" w:sz="4" w:space="0"/>
              <w:left w:val="nil"/>
              <w:bottom w:val="single" w:color="auto" w:sz="4" w:space="0"/>
              <w:right w:val="single" w:color="auto" w:sz="4" w:space="0"/>
            </w:tcBorders>
            <w:noWrap w:val="0"/>
            <w:vAlign w:val="center"/>
          </w:tcPr>
          <w:p w14:paraId="0A36B8AA">
            <w:pPr>
              <w:shd w:val="clear" w:color="auto" w:fill="auto"/>
              <w:jc w:val="center"/>
              <w:rPr>
                <w:rFonts w:hint="eastAsia" w:ascii="宋体" w:hAnsi="宋体" w:eastAsia="宋体" w:cs="宋体"/>
                <w:color w:val="auto"/>
                <w:highlight w:val="none"/>
              </w:rPr>
            </w:pPr>
          </w:p>
        </w:tc>
      </w:tr>
      <w:tr w14:paraId="4AFA3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0" w:type="pct"/>
            <w:tcBorders>
              <w:top w:val="single" w:color="auto" w:sz="4" w:space="0"/>
              <w:left w:val="single" w:color="auto" w:sz="4" w:space="0"/>
              <w:bottom w:val="single" w:color="auto" w:sz="4" w:space="0"/>
              <w:right w:val="single" w:color="auto" w:sz="4" w:space="0"/>
            </w:tcBorders>
            <w:noWrap w:val="0"/>
            <w:vAlign w:val="center"/>
          </w:tcPr>
          <w:p w14:paraId="7CD63894">
            <w:pPr>
              <w:shd w:val="clear" w:color="auto" w:fill="auto"/>
              <w:rPr>
                <w:rFonts w:hint="eastAsia" w:ascii="宋体" w:hAnsi="宋体" w:eastAsia="宋体" w:cs="宋体"/>
                <w:color w:val="auto"/>
                <w:highlight w:val="none"/>
              </w:rPr>
            </w:pPr>
            <w:r>
              <w:rPr>
                <w:rFonts w:hint="eastAsia" w:ascii="宋体" w:hAnsi="宋体" w:eastAsia="宋体" w:cs="宋体"/>
                <w:color w:val="auto"/>
                <w:highlight w:val="none"/>
              </w:rPr>
              <w:t>（二）钢结构、网架和索膜结构安装工程。</w:t>
            </w:r>
          </w:p>
        </w:tc>
        <w:tc>
          <w:tcPr>
            <w:tcW w:w="731" w:type="pct"/>
            <w:tcBorders>
              <w:top w:val="single" w:color="auto" w:sz="4" w:space="0"/>
              <w:left w:val="nil"/>
              <w:bottom w:val="single" w:color="auto" w:sz="4" w:space="0"/>
              <w:right w:val="single" w:color="auto" w:sz="4" w:space="0"/>
            </w:tcBorders>
            <w:noWrap w:val="0"/>
            <w:vAlign w:val="center"/>
          </w:tcPr>
          <w:p w14:paraId="0C1D26C8">
            <w:pPr>
              <w:shd w:val="clear" w:color="auto" w:fill="auto"/>
              <w:jc w:val="center"/>
              <w:rPr>
                <w:rFonts w:hint="eastAsia" w:ascii="宋体" w:hAnsi="宋体" w:eastAsia="宋体" w:cs="宋体"/>
                <w:b/>
                <w:color w:val="auto"/>
                <w:highlight w:val="none"/>
              </w:rPr>
            </w:pPr>
            <w:r>
              <w:rPr>
                <w:rFonts w:hint="eastAsia" w:ascii="宋体" w:hAnsi="宋体" w:eastAsia="宋体" w:cs="宋体"/>
                <w:color w:val="auto"/>
                <w:sz w:val="24"/>
                <w:szCs w:val="36"/>
                <w:highlight w:val="none"/>
              </w:rPr>
              <w:t>√</w:t>
            </w:r>
          </w:p>
        </w:tc>
        <w:tc>
          <w:tcPr>
            <w:tcW w:w="732" w:type="pct"/>
            <w:tcBorders>
              <w:top w:val="single" w:color="auto" w:sz="4" w:space="0"/>
              <w:left w:val="nil"/>
              <w:bottom w:val="single" w:color="auto" w:sz="4" w:space="0"/>
              <w:right w:val="single" w:color="auto" w:sz="4" w:space="0"/>
            </w:tcBorders>
            <w:noWrap w:val="0"/>
            <w:vAlign w:val="center"/>
          </w:tcPr>
          <w:p w14:paraId="252DEBB5">
            <w:pPr>
              <w:shd w:val="clear" w:color="auto" w:fill="auto"/>
              <w:jc w:val="center"/>
              <w:rPr>
                <w:rFonts w:hint="eastAsia" w:ascii="宋体" w:hAnsi="宋体" w:eastAsia="宋体" w:cs="宋体"/>
                <w:color w:val="auto"/>
                <w:highlight w:val="none"/>
              </w:rPr>
            </w:pPr>
          </w:p>
        </w:tc>
        <w:tc>
          <w:tcPr>
            <w:tcW w:w="575" w:type="pct"/>
            <w:tcBorders>
              <w:top w:val="single" w:color="auto" w:sz="4" w:space="0"/>
              <w:left w:val="nil"/>
              <w:bottom w:val="single" w:color="auto" w:sz="4" w:space="0"/>
              <w:right w:val="single" w:color="auto" w:sz="4" w:space="0"/>
            </w:tcBorders>
            <w:noWrap w:val="0"/>
            <w:vAlign w:val="center"/>
          </w:tcPr>
          <w:p w14:paraId="4413FC0B">
            <w:pPr>
              <w:shd w:val="clear" w:color="auto" w:fill="auto"/>
              <w:jc w:val="center"/>
              <w:rPr>
                <w:rFonts w:hint="eastAsia" w:ascii="宋体" w:hAnsi="宋体" w:eastAsia="宋体" w:cs="宋体"/>
                <w:color w:val="auto"/>
                <w:highlight w:val="none"/>
              </w:rPr>
            </w:pPr>
          </w:p>
        </w:tc>
      </w:tr>
      <w:tr w14:paraId="11086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0" w:type="pct"/>
            <w:tcBorders>
              <w:top w:val="single" w:color="auto" w:sz="4" w:space="0"/>
              <w:left w:val="single" w:color="auto" w:sz="4" w:space="0"/>
              <w:bottom w:val="single" w:color="auto" w:sz="4" w:space="0"/>
              <w:right w:val="single" w:color="auto" w:sz="4" w:space="0"/>
            </w:tcBorders>
            <w:noWrap w:val="0"/>
            <w:vAlign w:val="center"/>
          </w:tcPr>
          <w:p w14:paraId="2F539C26">
            <w:pPr>
              <w:shd w:val="clear" w:color="auto" w:fill="auto"/>
              <w:rPr>
                <w:rFonts w:hint="eastAsia" w:ascii="宋体" w:hAnsi="宋体" w:eastAsia="宋体" w:cs="宋体"/>
                <w:color w:val="auto"/>
                <w:highlight w:val="none"/>
              </w:rPr>
            </w:pPr>
            <w:r>
              <w:rPr>
                <w:rFonts w:hint="eastAsia" w:ascii="宋体" w:hAnsi="宋体" w:eastAsia="宋体" w:cs="宋体"/>
                <w:color w:val="auto"/>
                <w:highlight w:val="none"/>
              </w:rPr>
              <w:t>（三）人工挖孔桩工程。</w:t>
            </w:r>
          </w:p>
        </w:tc>
        <w:tc>
          <w:tcPr>
            <w:tcW w:w="731" w:type="pct"/>
            <w:tcBorders>
              <w:top w:val="single" w:color="auto" w:sz="4" w:space="0"/>
              <w:left w:val="nil"/>
              <w:bottom w:val="single" w:color="auto" w:sz="4" w:space="0"/>
              <w:right w:val="single" w:color="auto" w:sz="4" w:space="0"/>
            </w:tcBorders>
            <w:noWrap w:val="0"/>
            <w:vAlign w:val="center"/>
          </w:tcPr>
          <w:p w14:paraId="3203430F">
            <w:pPr>
              <w:shd w:val="clear" w:color="auto" w:fill="auto"/>
              <w:jc w:val="center"/>
              <w:rPr>
                <w:rFonts w:hint="eastAsia" w:ascii="宋体" w:hAnsi="宋体" w:eastAsia="宋体" w:cs="宋体"/>
                <w:color w:val="auto"/>
                <w:highlight w:val="none"/>
              </w:rPr>
            </w:pPr>
          </w:p>
        </w:tc>
        <w:tc>
          <w:tcPr>
            <w:tcW w:w="732" w:type="pct"/>
            <w:tcBorders>
              <w:top w:val="single" w:color="auto" w:sz="4" w:space="0"/>
              <w:left w:val="nil"/>
              <w:bottom w:val="single" w:color="auto" w:sz="4" w:space="0"/>
              <w:right w:val="single" w:color="auto" w:sz="4" w:space="0"/>
            </w:tcBorders>
            <w:noWrap w:val="0"/>
            <w:vAlign w:val="center"/>
          </w:tcPr>
          <w:p w14:paraId="63F6ADB8">
            <w:pPr>
              <w:shd w:val="clear" w:color="auto" w:fill="auto"/>
              <w:jc w:val="center"/>
              <w:rPr>
                <w:rFonts w:hint="eastAsia" w:ascii="宋体" w:hAnsi="宋体" w:eastAsia="宋体" w:cs="宋体"/>
                <w:color w:val="auto"/>
                <w:highlight w:val="none"/>
              </w:rPr>
            </w:pPr>
          </w:p>
        </w:tc>
        <w:tc>
          <w:tcPr>
            <w:tcW w:w="575" w:type="pct"/>
            <w:tcBorders>
              <w:top w:val="single" w:color="auto" w:sz="4" w:space="0"/>
              <w:left w:val="nil"/>
              <w:bottom w:val="single" w:color="auto" w:sz="4" w:space="0"/>
              <w:right w:val="single" w:color="auto" w:sz="4" w:space="0"/>
            </w:tcBorders>
            <w:noWrap w:val="0"/>
            <w:vAlign w:val="center"/>
          </w:tcPr>
          <w:p w14:paraId="4BF3A601">
            <w:pPr>
              <w:shd w:val="clear" w:color="auto" w:fill="auto"/>
              <w:jc w:val="center"/>
              <w:rPr>
                <w:rFonts w:hint="eastAsia" w:ascii="宋体" w:hAnsi="宋体" w:eastAsia="宋体" w:cs="宋体"/>
                <w:color w:val="auto"/>
                <w:highlight w:val="none"/>
              </w:rPr>
            </w:pPr>
          </w:p>
        </w:tc>
      </w:tr>
      <w:tr w14:paraId="61053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0" w:type="pct"/>
            <w:tcBorders>
              <w:top w:val="single" w:color="auto" w:sz="4" w:space="0"/>
              <w:left w:val="single" w:color="auto" w:sz="4" w:space="0"/>
              <w:bottom w:val="single" w:color="auto" w:sz="4" w:space="0"/>
              <w:right w:val="single" w:color="auto" w:sz="4" w:space="0"/>
            </w:tcBorders>
            <w:noWrap w:val="0"/>
            <w:vAlign w:val="center"/>
          </w:tcPr>
          <w:p w14:paraId="443BCDB9">
            <w:pPr>
              <w:shd w:val="clear" w:color="auto" w:fill="auto"/>
              <w:rPr>
                <w:rFonts w:hint="eastAsia" w:ascii="宋体" w:hAnsi="宋体" w:eastAsia="宋体" w:cs="宋体"/>
                <w:color w:val="auto"/>
                <w:highlight w:val="none"/>
              </w:rPr>
            </w:pPr>
            <w:r>
              <w:rPr>
                <w:rFonts w:hint="eastAsia" w:ascii="宋体" w:hAnsi="宋体" w:eastAsia="宋体" w:cs="宋体"/>
                <w:color w:val="auto"/>
                <w:highlight w:val="none"/>
              </w:rPr>
              <w:t>（四）水下作业工程。</w:t>
            </w:r>
          </w:p>
        </w:tc>
        <w:tc>
          <w:tcPr>
            <w:tcW w:w="731" w:type="pct"/>
            <w:tcBorders>
              <w:top w:val="single" w:color="auto" w:sz="4" w:space="0"/>
              <w:left w:val="nil"/>
              <w:bottom w:val="single" w:color="auto" w:sz="4" w:space="0"/>
              <w:right w:val="single" w:color="auto" w:sz="4" w:space="0"/>
            </w:tcBorders>
            <w:noWrap w:val="0"/>
            <w:vAlign w:val="center"/>
          </w:tcPr>
          <w:p w14:paraId="55127B13">
            <w:pPr>
              <w:shd w:val="clear" w:color="auto" w:fill="auto"/>
              <w:jc w:val="center"/>
              <w:rPr>
                <w:rFonts w:hint="eastAsia" w:ascii="宋体" w:hAnsi="宋体" w:eastAsia="宋体" w:cs="宋体"/>
                <w:b/>
                <w:color w:val="auto"/>
                <w:highlight w:val="none"/>
              </w:rPr>
            </w:pPr>
          </w:p>
        </w:tc>
        <w:tc>
          <w:tcPr>
            <w:tcW w:w="732" w:type="pct"/>
            <w:tcBorders>
              <w:top w:val="single" w:color="auto" w:sz="4" w:space="0"/>
              <w:left w:val="nil"/>
              <w:bottom w:val="single" w:color="auto" w:sz="4" w:space="0"/>
              <w:right w:val="single" w:color="auto" w:sz="4" w:space="0"/>
            </w:tcBorders>
            <w:noWrap w:val="0"/>
            <w:vAlign w:val="center"/>
          </w:tcPr>
          <w:p w14:paraId="5379357E">
            <w:pPr>
              <w:shd w:val="clear" w:color="auto" w:fill="auto"/>
              <w:jc w:val="center"/>
              <w:rPr>
                <w:rFonts w:hint="eastAsia" w:ascii="宋体" w:hAnsi="宋体" w:eastAsia="宋体" w:cs="宋体"/>
                <w:color w:val="auto"/>
                <w:highlight w:val="none"/>
              </w:rPr>
            </w:pPr>
          </w:p>
        </w:tc>
        <w:tc>
          <w:tcPr>
            <w:tcW w:w="575" w:type="pct"/>
            <w:tcBorders>
              <w:top w:val="single" w:color="auto" w:sz="4" w:space="0"/>
              <w:left w:val="nil"/>
              <w:bottom w:val="single" w:color="auto" w:sz="4" w:space="0"/>
              <w:right w:val="single" w:color="auto" w:sz="4" w:space="0"/>
            </w:tcBorders>
            <w:noWrap w:val="0"/>
            <w:vAlign w:val="center"/>
          </w:tcPr>
          <w:p w14:paraId="73B5F022">
            <w:pPr>
              <w:shd w:val="clear" w:color="auto" w:fill="auto"/>
              <w:jc w:val="center"/>
              <w:rPr>
                <w:rFonts w:hint="eastAsia" w:ascii="宋体" w:hAnsi="宋体" w:eastAsia="宋体" w:cs="宋体"/>
                <w:color w:val="auto"/>
                <w:highlight w:val="none"/>
              </w:rPr>
            </w:pPr>
          </w:p>
        </w:tc>
      </w:tr>
      <w:tr w14:paraId="428F2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0" w:type="pct"/>
            <w:tcBorders>
              <w:top w:val="single" w:color="auto" w:sz="4" w:space="0"/>
              <w:left w:val="single" w:color="auto" w:sz="4" w:space="0"/>
              <w:bottom w:val="single" w:color="auto" w:sz="4" w:space="0"/>
              <w:right w:val="single" w:color="auto" w:sz="4" w:space="0"/>
            </w:tcBorders>
            <w:noWrap w:val="0"/>
            <w:vAlign w:val="center"/>
          </w:tcPr>
          <w:p w14:paraId="2FBF128D">
            <w:pPr>
              <w:shd w:val="clear" w:color="auto" w:fill="auto"/>
              <w:rPr>
                <w:rFonts w:hint="eastAsia" w:ascii="宋体" w:hAnsi="宋体" w:eastAsia="宋体" w:cs="宋体"/>
                <w:color w:val="auto"/>
                <w:highlight w:val="none"/>
              </w:rPr>
            </w:pPr>
            <w:r>
              <w:rPr>
                <w:rFonts w:hint="eastAsia" w:ascii="宋体" w:hAnsi="宋体" w:eastAsia="宋体" w:cs="宋体"/>
                <w:color w:val="auto"/>
                <w:highlight w:val="none"/>
              </w:rPr>
              <w:t>（五）装配式建筑混凝土预制构件安装工程。</w:t>
            </w:r>
          </w:p>
        </w:tc>
        <w:tc>
          <w:tcPr>
            <w:tcW w:w="731" w:type="pct"/>
            <w:tcBorders>
              <w:top w:val="single" w:color="auto" w:sz="4" w:space="0"/>
              <w:left w:val="nil"/>
              <w:bottom w:val="single" w:color="auto" w:sz="4" w:space="0"/>
              <w:right w:val="single" w:color="auto" w:sz="4" w:space="0"/>
            </w:tcBorders>
            <w:noWrap w:val="0"/>
            <w:vAlign w:val="center"/>
          </w:tcPr>
          <w:p w14:paraId="1B9D9553">
            <w:pPr>
              <w:shd w:val="clear" w:color="auto" w:fill="auto"/>
              <w:jc w:val="center"/>
              <w:rPr>
                <w:rFonts w:hint="eastAsia" w:ascii="宋体" w:hAnsi="宋体" w:eastAsia="宋体" w:cs="宋体"/>
                <w:color w:val="auto"/>
                <w:highlight w:val="none"/>
              </w:rPr>
            </w:pPr>
          </w:p>
        </w:tc>
        <w:tc>
          <w:tcPr>
            <w:tcW w:w="732" w:type="pct"/>
            <w:tcBorders>
              <w:top w:val="single" w:color="auto" w:sz="4" w:space="0"/>
              <w:left w:val="nil"/>
              <w:bottom w:val="single" w:color="auto" w:sz="4" w:space="0"/>
              <w:right w:val="single" w:color="auto" w:sz="4" w:space="0"/>
            </w:tcBorders>
            <w:noWrap w:val="0"/>
            <w:vAlign w:val="center"/>
          </w:tcPr>
          <w:p w14:paraId="11307E80">
            <w:pPr>
              <w:shd w:val="clear" w:color="auto" w:fill="auto"/>
              <w:jc w:val="center"/>
              <w:rPr>
                <w:rFonts w:hint="eastAsia" w:ascii="宋体" w:hAnsi="宋体" w:eastAsia="宋体" w:cs="宋体"/>
                <w:color w:val="auto"/>
                <w:highlight w:val="none"/>
              </w:rPr>
            </w:pPr>
          </w:p>
        </w:tc>
        <w:tc>
          <w:tcPr>
            <w:tcW w:w="575" w:type="pct"/>
            <w:tcBorders>
              <w:top w:val="single" w:color="auto" w:sz="4" w:space="0"/>
              <w:left w:val="nil"/>
              <w:bottom w:val="single" w:color="auto" w:sz="4" w:space="0"/>
              <w:right w:val="single" w:color="auto" w:sz="4" w:space="0"/>
            </w:tcBorders>
            <w:noWrap w:val="0"/>
            <w:vAlign w:val="center"/>
          </w:tcPr>
          <w:p w14:paraId="488C297C">
            <w:pPr>
              <w:shd w:val="clear" w:color="auto" w:fill="auto"/>
              <w:jc w:val="center"/>
              <w:rPr>
                <w:rFonts w:hint="eastAsia" w:ascii="宋体" w:hAnsi="宋体" w:eastAsia="宋体" w:cs="宋体"/>
                <w:color w:val="auto"/>
                <w:highlight w:val="none"/>
              </w:rPr>
            </w:pPr>
          </w:p>
        </w:tc>
      </w:tr>
      <w:tr w14:paraId="00347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0" w:type="pct"/>
            <w:tcBorders>
              <w:top w:val="single" w:color="auto" w:sz="4" w:space="0"/>
              <w:left w:val="single" w:color="auto" w:sz="4" w:space="0"/>
              <w:bottom w:val="single" w:color="auto" w:sz="4" w:space="0"/>
              <w:right w:val="single" w:color="auto" w:sz="4" w:space="0"/>
            </w:tcBorders>
            <w:noWrap w:val="0"/>
            <w:vAlign w:val="center"/>
          </w:tcPr>
          <w:p w14:paraId="53B93877">
            <w:pPr>
              <w:shd w:val="clear" w:color="auto" w:fill="auto"/>
              <w:rPr>
                <w:rFonts w:hint="eastAsia" w:ascii="宋体" w:hAnsi="宋体" w:eastAsia="宋体" w:cs="宋体"/>
                <w:color w:val="auto"/>
                <w:highlight w:val="none"/>
              </w:rPr>
            </w:pPr>
            <w:r>
              <w:rPr>
                <w:rFonts w:hint="eastAsia" w:ascii="宋体" w:hAnsi="宋体" w:eastAsia="宋体" w:cs="宋体"/>
                <w:color w:val="auto"/>
                <w:highlight w:val="none"/>
              </w:rPr>
              <w:t>（六）采用新技术、新工艺、新材料、新设备可能影响工程施工安全，尚无国家、行业及地方技术标准的分部分项工程。</w:t>
            </w:r>
          </w:p>
        </w:tc>
        <w:tc>
          <w:tcPr>
            <w:tcW w:w="731" w:type="pct"/>
            <w:tcBorders>
              <w:top w:val="single" w:color="auto" w:sz="4" w:space="0"/>
              <w:left w:val="nil"/>
              <w:bottom w:val="single" w:color="auto" w:sz="4" w:space="0"/>
              <w:right w:val="single" w:color="auto" w:sz="4" w:space="0"/>
            </w:tcBorders>
            <w:noWrap w:val="0"/>
            <w:vAlign w:val="center"/>
          </w:tcPr>
          <w:p w14:paraId="2E8F8DA5">
            <w:pPr>
              <w:shd w:val="clear" w:color="auto" w:fill="auto"/>
              <w:jc w:val="center"/>
              <w:rPr>
                <w:rFonts w:hint="eastAsia" w:ascii="宋体" w:hAnsi="宋体" w:eastAsia="宋体" w:cs="宋体"/>
                <w:b/>
                <w:color w:val="auto"/>
                <w:highlight w:val="none"/>
              </w:rPr>
            </w:pPr>
          </w:p>
        </w:tc>
        <w:tc>
          <w:tcPr>
            <w:tcW w:w="732" w:type="pct"/>
            <w:tcBorders>
              <w:top w:val="single" w:color="auto" w:sz="4" w:space="0"/>
              <w:left w:val="nil"/>
              <w:bottom w:val="single" w:color="auto" w:sz="4" w:space="0"/>
              <w:right w:val="single" w:color="auto" w:sz="4" w:space="0"/>
            </w:tcBorders>
            <w:noWrap w:val="0"/>
            <w:vAlign w:val="center"/>
          </w:tcPr>
          <w:p w14:paraId="3C374106">
            <w:pPr>
              <w:shd w:val="clear" w:color="auto" w:fill="auto"/>
              <w:jc w:val="center"/>
              <w:rPr>
                <w:rFonts w:hint="eastAsia" w:ascii="宋体" w:hAnsi="宋体" w:eastAsia="宋体" w:cs="宋体"/>
                <w:color w:val="auto"/>
                <w:highlight w:val="none"/>
              </w:rPr>
            </w:pPr>
          </w:p>
        </w:tc>
        <w:tc>
          <w:tcPr>
            <w:tcW w:w="575" w:type="pct"/>
            <w:tcBorders>
              <w:top w:val="single" w:color="auto" w:sz="4" w:space="0"/>
              <w:left w:val="nil"/>
              <w:bottom w:val="single" w:color="auto" w:sz="4" w:space="0"/>
              <w:right w:val="single" w:color="auto" w:sz="4" w:space="0"/>
            </w:tcBorders>
            <w:noWrap w:val="0"/>
            <w:vAlign w:val="center"/>
          </w:tcPr>
          <w:p w14:paraId="36C8A196">
            <w:pPr>
              <w:shd w:val="clear" w:color="auto" w:fill="auto"/>
              <w:jc w:val="center"/>
              <w:rPr>
                <w:rFonts w:hint="eastAsia" w:ascii="宋体" w:hAnsi="宋体" w:eastAsia="宋体" w:cs="宋体"/>
                <w:color w:val="auto"/>
                <w:highlight w:val="none"/>
              </w:rPr>
            </w:pPr>
          </w:p>
        </w:tc>
      </w:tr>
      <w:tr w14:paraId="08BA3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2960" w:type="pct"/>
            <w:tcBorders>
              <w:top w:val="single" w:color="auto" w:sz="4" w:space="0"/>
              <w:left w:val="single" w:color="auto" w:sz="4" w:space="0"/>
              <w:bottom w:val="single" w:color="auto" w:sz="4" w:space="0"/>
              <w:right w:val="single" w:color="auto" w:sz="4" w:space="0"/>
            </w:tcBorders>
            <w:shd w:val="clear" w:color="auto" w:fill="D8D8D8"/>
            <w:noWrap w:val="0"/>
            <w:vAlign w:val="center"/>
          </w:tcPr>
          <w:p w14:paraId="42E8A521">
            <w:pPr>
              <w:shd w:val="clear" w:color="auto" w:fill="auto"/>
              <w:jc w:val="center"/>
              <w:rPr>
                <w:rFonts w:hint="eastAsia" w:ascii="宋体" w:hAnsi="宋体" w:eastAsia="宋体" w:cs="宋体"/>
                <w:b/>
                <w:color w:val="auto"/>
                <w:highlight w:val="none"/>
              </w:rPr>
            </w:pPr>
            <w:r>
              <w:rPr>
                <w:rFonts w:hint="eastAsia" w:ascii="宋体" w:hAnsi="宋体" w:eastAsia="宋体" w:cs="宋体"/>
                <w:b/>
                <w:color w:val="auto"/>
                <w:highlight w:val="none"/>
              </w:rPr>
              <w:t>超过一定规模的危险性较大的分部分项工程清单</w:t>
            </w:r>
          </w:p>
        </w:tc>
        <w:tc>
          <w:tcPr>
            <w:tcW w:w="731" w:type="pct"/>
            <w:tcBorders>
              <w:top w:val="single" w:color="auto" w:sz="4" w:space="0"/>
              <w:left w:val="nil"/>
              <w:bottom w:val="single" w:color="auto" w:sz="4" w:space="0"/>
              <w:right w:val="single" w:color="auto" w:sz="4" w:space="0"/>
            </w:tcBorders>
            <w:shd w:val="clear" w:color="auto" w:fill="D8D8D8"/>
            <w:noWrap w:val="0"/>
            <w:vAlign w:val="center"/>
          </w:tcPr>
          <w:p w14:paraId="44E9B878">
            <w:pPr>
              <w:shd w:val="clear" w:color="auto" w:fill="auto"/>
              <w:jc w:val="center"/>
              <w:rPr>
                <w:rFonts w:hint="eastAsia" w:ascii="宋体" w:hAnsi="宋体" w:eastAsia="宋体" w:cs="宋体"/>
                <w:b/>
                <w:color w:val="auto"/>
                <w:highlight w:val="none"/>
              </w:rPr>
            </w:pPr>
            <w:r>
              <w:rPr>
                <w:rFonts w:hint="eastAsia" w:ascii="宋体" w:hAnsi="宋体" w:eastAsia="宋体" w:cs="宋体"/>
                <w:b/>
                <w:color w:val="auto"/>
                <w:highlight w:val="none"/>
              </w:rPr>
              <w:t>招标人</w:t>
            </w:r>
          </w:p>
        </w:tc>
        <w:tc>
          <w:tcPr>
            <w:tcW w:w="732" w:type="pct"/>
            <w:tcBorders>
              <w:top w:val="single" w:color="auto" w:sz="4" w:space="0"/>
              <w:left w:val="nil"/>
              <w:bottom w:val="single" w:color="auto" w:sz="4" w:space="0"/>
              <w:right w:val="single" w:color="auto" w:sz="4" w:space="0"/>
            </w:tcBorders>
            <w:shd w:val="clear" w:color="auto" w:fill="D8D8D8"/>
            <w:noWrap w:val="0"/>
            <w:vAlign w:val="center"/>
          </w:tcPr>
          <w:p w14:paraId="3A2C46B5">
            <w:pPr>
              <w:shd w:val="clear" w:color="auto" w:fill="auto"/>
              <w:jc w:val="center"/>
              <w:rPr>
                <w:rFonts w:hint="eastAsia" w:ascii="宋体" w:hAnsi="宋体" w:eastAsia="宋体" w:cs="宋体"/>
                <w:b/>
                <w:color w:val="auto"/>
                <w:highlight w:val="none"/>
              </w:rPr>
            </w:pPr>
            <w:r>
              <w:rPr>
                <w:rFonts w:hint="eastAsia" w:ascii="宋体" w:hAnsi="宋体" w:eastAsia="宋体" w:cs="宋体"/>
                <w:b/>
                <w:color w:val="auto"/>
                <w:highlight w:val="none"/>
              </w:rPr>
              <w:t>投标单位</w:t>
            </w:r>
          </w:p>
        </w:tc>
        <w:tc>
          <w:tcPr>
            <w:tcW w:w="575" w:type="pct"/>
            <w:tcBorders>
              <w:top w:val="single" w:color="auto" w:sz="4" w:space="0"/>
              <w:left w:val="nil"/>
              <w:bottom w:val="single" w:color="auto" w:sz="4" w:space="0"/>
              <w:right w:val="single" w:color="auto" w:sz="4" w:space="0"/>
            </w:tcBorders>
            <w:shd w:val="clear" w:color="auto" w:fill="D8D8D8"/>
            <w:noWrap w:val="0"/>
            <w:vAlign w:val="center"/>
          </w:tcPr>
          <w:p w14:paraId="1B7FFFC0">
            <w:pPr>
              <w:shd w:val="clear" w:color="auto" w:fill="auto"/>
              <w:jc w:val="center"/>
              <w:rPr>
                <w:rFonts w:hint="eastAsia" w:ascii="宋体" w:hAnsi="宋体" w:eastAsia="宋体" w:cs="宋体"/>
                <w:b/>
                <w:color w:val="auto"/>
                <w:highlight w:val="none"/>
              </w:rPr>
            </w:pPr>
            <w:r>
              <w:rPr>
                <w:rFonts w:hint="eastAsia" w:ascii="宋体" w:hAnsi="宋体" w:eastAsia="宋体" w:cs="宋体"/>
                <w:b/>
                <w:color w:val="auto"/>
                <w:highlight w:val="none"/>
              </w:rPr>
              <w:t>备注</w:t>
            </w:r>
          </w:p>
        </w:tc>
      </w:tr>
      <w:tr w14:paraId="42036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4"/>
            <w:tcBorders>
              <w:top w:val="single" w:color="auto" w:sz="4" w:space="0"/>
              <w:left w:val="single" w:color="auto" w:sz="4" w:space="0"/>
              <w:bottom w:val="single" w:color="auto" w:sz="4" w:space="0"/>
              <w:right w:val="single" w:color="auto" w:sz="4" w:space="0"/>
            </w:tcBorders>
            <w:noWrap w:val="0"/>
            <w:vAlign w:val="center"/>
          </w:tcPr>
          <w:p w14:paraId="4EEC4973">
            <w:pPr>
              <w:shd w:val="clear" w:color="auto" w:fill="auto"/>
              <w:rPr>
                <w:rFonts w:hint="eastAsia" w:ascii="宋体" w:hAnsi="宋体" w:eastAsia="宋体" w:cs="宋体"/>
                <w:b/>
                <w:color w:val="auto"/>
                <w:highlight w:val="none"/>
              </w:rPr>
            </w:pPr>
            <w:r>
              <w:rPr>
                <w:rFonts w:hint="eastAsia" w:ascii="宋体" w:hAnsi="宋体" w:eastAsia="宋体" w:cs="宋体"/>
                <w:b/>
                <w:color w:val="auto"/>
                <w:highlight w:val="none"/>
              </w:rPr>
              <w:t>一、深基坑工程</w:t>
            </w:r>
          </w:p>
        </w:tc>
      </w:tr>
      <w:tr w14:paraId="1D420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0" w:type="pct"/>
            <w:tcBorders>
              <w:top w:val="single" w:color="auto" w:sz="4" w:space="0"/>
              <w:left w:val="single" w:color="auto" w:sz="4" w:space="0"/>
              <w:bottom w:val="single" w:color="auto" w:sz="4" w:space="0"/>
              <w:right w:val="single" w:color="auto" w:sz="4" w:space="0"/>
            </w:tcBorders>
            <w:noWrap w:val="0"/>
            <w:vAlign w:val="center"/>
          </w:tcPr>
          <w:p w14:paraId="3182102B">
            <w:pPr>
              <w:shd w:val="clear" w:color="auto" w:fill="auto"/>
              <w:rPr>
                <w:rFonts w:hint="eastAsia" w:ascii="宋体" w:hAnsi="宋体" w:eastAsia="宋体" w:cs="宋体"/>
                <w:color w:val="auto"/>
                <w:highlight w:val="none"/>
              </w:rPr>
            </w:pPr>
            <w:r>
              <w:rPr>
                <w:rFonts w:hint="eastAsia" w:ascii="宋体" w:hAnsi="宋体" w:eastAsia="宋体" w:cs="宋体"/>
                <w:color w:val="auto"/>
                <w:highlight w:val="none"/>
              </w:rPr>
              <w:t>开挖深度超过5m（含5m）的基坑（槽）的土方开挖、支护、降水工程。</w:t>
            </w:r>
          </w:p>
        </w:tc>
        <w:tc>
          <w:tcPr>
            <w:tcW w:w="731" w:type="pct"/>
            <w:tcBorders>
              <w:top w:val="single" w:color="auto" w:sz="4" w:space="0"/>
              <w:left w:val="nil"/>
              <w:bottom w:val="single" w:color="auto" w:sz="4" w:space="0"/>
              <w:right w:val="single" w:color="auto" w:sz="4" w:space="0"/>
            </w:tcBorders>
            <w:noWrap w:val="0"/>
            <w:vAlign w:val="center"/>
          </w:tcPr>
          <w:p w14:paraId="7B402638">
            <w:pPr>
              <w:shd w:val="clear" w:color="auto" w:fill="auto"/>
              <w:jc w:val="center"/>
              <w:rPr>
                <w:rFonts w:hint="eastAsia" w:ascii="宋体" w:hAnsi="宋体" w:eastAsia="宋体" w:cs="宋体"/>
                <w:b/>
                <w:color w:val="auto"/>
                <w:highlight w:val="none"/>
              </w:rPr>
            </w:pPr>
            <w:r>
              <w:rPr>
                <w:rFonts w:hint="eastAsia" w:ascii="宋体" w:hAnsi="宋体" w:eastAsia="宋体" w:cs="宋体"/>
                <w:color w:val="auto"/>
                <w:sz w:val="24"/>
                <w:szCs w:val="36"/>
                <w:highlight w:val="none"/>
              </w:rPr>
              <w:t>√</w:t>
            </w:r>
          </w:p>
        </w:tc>
        <w:tc>
          <w:tcPr>
            <w:tcW w:w="732" w:type="pct"/>
            <w:tcBorders>
              <w:top w:val="single" w:color="auto" w:sz="4" w:space="0"/>
              <w:left w:val="nil"/>
              <w:bottom w:val="single" w:color="auto" w:sz="4" w:space="0"/>
              <w:right w:val="single" w:color="auto" w:sz="4" w:space="0"/>
            </w:tcBorders>
            <w:noWrap w:val="0"/>
            <w:vAlign w:val="center"/>
          </w:tcPr>
          <w:p w14:paraId="341E27A7">
            <w:pPr>
              <w:shd w:val="clear" w:color="auto" w:fill="auto"/>
              <w:jc w:val="center"/>
              <w:rPr>
                <w:rFonts w:hint="eastAsia" w:ascii="宋体" w:hAnsi="宋体" w:eastAsia="宋体" w:cs="宋体"/>
                <w:color w:val="auto"/>
                <w:highlight w:val="none"/>
              </w:rPr>
            </w:pPr>
          </w:p>
        </w:tc>
        <w:tc>
          <w:tcPr>
            <w:tcW w:w="575" w:type="pct"/>
            <w:tcBorders>
              <w:top w:val="single" w:color="auto" w:sz="4" w:space="0"/>
              <w:left w:val="nil"/>
              <w:bottom w:val="single" w:color="auto" w:sz="4" w:space="0"/>
              <w:right w:val="single" w:color="auto" w:sz="4" w:space="0"/>
            </w:tcBorders>
            <w:noWrap w:val="0"/>
            <w:vAlign w:val="center"/>
          </w:tcPr>
          <w:p w14:paraId="703E5F8C">
            <w:pPr>
              <w:shd w:val="clear" w:color="auto" w:fill="auto"/>
              <w:jc w:val="center"/>
              <w:rPr>
                <w:rFonts w:hint="eastAsia" w:ascii="宋体" w:hAnsi="宋体" w:eastAsia="宋体" w:cs="宋体"/>
                <w:color w:val="auto"/>
                <w:highlight w:val="none"/>
              </w:rPr>
            </w:pPr>
          </w:p>
        </w:tc>
      </w:tr>
      <w:tr w14:paraId="4C0F9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4"/>
            <w:tcBorders>
              <w:top w:val="single" w:color="auto" w:sz="4" w:space="0"/>
              <w:left w:val="single" w:color="auto" w:sz="4" w:space="0"/>
              <w:bottom w:val="single" w:color="auto" w:sz="4" w:space="0"/>
              <w:right w:val="single" w:color="auto" w:sz="4" w:space="0"/>
            </w:tcBorders>
            <w:noWrap w:val="0"/>
            <w:vAlign w:val="center"/>
          </w:tcPr>
          <w:p w14:paraId="642C666A">
            <w:pPr>
              <w:shd w:val="clear" w:color="auto" w:fill="auto"/>
              <w:rPr>
                <w:rFonts w:hint="eastAsia" w:ascii="宋体" w:hAnsi="宋体" w:eastAsia="宋体" w:cs="宋体"/>
                <w:color w:val="auto"/>
                <w:highlight w:val="none"/>
              </w:rPr>
            </w:pPr>
            <w:r>
              <w:rPr>
                <w:rFonts w:hint="eastAsia" w:ascii="宋体" w:hAnsi="宋体" w:eastAsia="宋体" w:cs="宋体"/>
                <w:b/>
                <w:color w:val="auto"/>
                <w:highlight w:val="none"/>
              </w:rPr>
              <w:t>二、模板工程及支撑体系</w:t>
            </w:r>
          </w:p>
        </w:tc>
      </w:tr>
      <w:tr w14:paraId="77BE1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0" w:type="pct"/>
            <w:tcBorders>
              <w:top w:val="single" w:color="auto" w:sz="4" w:space="0"/>
              <w:left w:val="single" w:color="auto" w:sz="4" w:space="0"/>
              <w:bottom w:val="single" w:color="auto" w:sz="4" w:space="0"/>
              <w:right w:val="single" w:color="auto" w:sz="4" w:space="0"/>
            </w:tcBorders>
            <w:noWrap w:val="0"/>
            <w:vAlign w:val="center"/>
          </w:tcPr>
          <w:p w14:paraId="2D6E800B">
            <w:pPr>
              <w:shd w:val="clear" w:color="auto" w:fill="auto"/>
              <w:rPr>
                <w:rFonts w:hint="eastAsia" w:ascii="宋体" w:hAnsi="宋体" w:eastAsia="宋体" w:cs="宋体"/>
                <w:color w:val="auto"/>
                <w:highlight w:val="none"/>
              </w:rPr>
            </w:pPr>
            <w:r>
              <w:rPr>
                <w:rFonts w:hint="eastAsia" w:ascii="宋体" w:hAnsi="宋体" w:eastAsia="宋体" w:cs="宋体"/>
                <w:color w:val="auto"/>
                <w:highlight w:val="none"/>
              </w:rPr>
              <w:t>（一）各类工具式模板工程：包括滑模、爬模、飞模、隧道模等工程。</w:t>
            </w:r>
          </w:p>
        </w:tc>
        <w:tc>
          <w:tcPr>
            <w:tcW w:w="731" w:type="pct"/>
            <w:tcBorders>
              <w:top w:val="single" w:color="auto" w:sz="4" w:space="0"/>
              <w:left w:val="nil"/>
              <w:bottom w:val="single" w:color="auto" w:sz="4" w:space="0"/>
              <w:right w:val="single" w:color="auto" w:sz="4" w:space="0"/>
            </w:tcBorders>
            <w:noWrap w:val="0"/>
            <w:vAlign w:val="center"/>
          </w:tcPr>
          <w:p w14:paraId="5BA2528D">
            <w:pPr>
              <w:shd w:val="clear" w:color="auto" w:fill="auto"/>
              <w:jc w:val="center"/>
              <w:rPr>
                <w:rFonts w:hint="eastAsia" w:ascii="宋体" w:hAnsi="宋体" w:eastAsia="宋体" w:cs="宋体"/>
                <w:b/>
                <w:color w:val="auto"/>
                <w:highlight w:val="none"/>
              </w:rPr>
            </w:pPr>
          </w:p>
        </w:tc>
        <w:tc>
          <w:tcPr>
            <w:tcW w:w="732" w:type="pct"/>
            <w:tcBorders>
              <w:top w:val="single" w:color="auto" w:sz="4" w:space="0"/>
              <w:left w:val="nil"/>
              <w:bottom w:val="single" w:color="auto" w:sz="4" w:space="0"/>
              <w:right w:val="single" w:color="auto" w:sz="4" w:space="0"/>
            </w:tcBorders>
            <w:noWrap w:val="0"/>
            <w:vAlign w:val="center"/>
          </w:tcPr>
          <w:p w14:paraId="317EC25A">
            <w:pPr>
              <w:shd w:val="clear" w:color="auto" w:fill="auto"/>
              <w:jc w:val="center"/>
              <w:rPr>
                <w:rFonts w:hint="eastAsia" w:ascii="宋体" w:hAnsi="宋体" w:eastAsia="宋体" w:cs="宋体"/>
                <w:color w:val="auto"/>
                <w:highlight w:val="none"/>
              </w:rPr>
            </w:pPr>
          </w:p>
        </w:tc>
        <w:tc>
          <w:tcPr>
            <w:tcW w:w="575" w:type="pct"/>
            <w:tcBorders>
              <w:top w:val="single" w:color="auto" w:sz="4" w:space="0"/>
              <w:left w:val="nil"/>
              <w:bottom w:val="single" w:color="auto" w:sz="4" w:space="0"/>
              <w:right w:val="single" w:color="auto" w:sz="4" w:space="0"/>
            </w:tcBorders>
            <w:noWrap w:val="0"/>
            <w:vAlign w:val="center"/>
          </w:tcPr>
          <w:p w14:paraId="29B302CF">
            <w:pPr>
              <w:shd w:val="clear" w:color="auto" w:fill="auto"/>
              <w:jc w:val="center"/>
              <w:rPr>
                <w:rFonts w:hint="eastAsia" w:ascii="宋体" w:hAnsi="宋体" w:eastAsia="宋体" w:cs="宋体"/>
                <w:color w:val="auto"/>
                <w:highlight w:val="none"/>
              </w:rPr>
            </w:pPr>
          </w:p>
        </w:tc>
      </w:tr>
      <w:tr w14:paraId="7BCA2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0" w:type="pct"/>
            <w:tcBorders>
              <w:top w:val="single" w:color="auto" w:sz="4" w:space="0"/>
              <w:left w:val="single" w:color="auto" w:sz="4" w:space="0"/>
              <w:bottom w:val="single" w:color="auto" w:sz="4" w:space="0"/>
              <w:right w:val="single" w:color="auto" w:sz="4" w:space="0"/>
            </w:tcBorders>
            <w:noWrap w:val="0"/>
            <w:vAlign w:val="center"/>
          </w:tcPr>
          <w:p w14:paraId="2C5D85ED">
            <w:pPr>
              <w:shd w:val="clear" w:color="auto" w:fill="auto"/>
              <w:rPr>
                <w:rFonts w:hint="eastAsia" w:ascii="宋体" w:hAnsi="宋体" w:eastAsia="宋体" w:cs="宋体"/>
                <w:color w:val="auto"/>
                <w:highlight w:val="none"/>
              </w:rPr>
            </w:pPr>
            <w:r>
              <w:rPr>
                <w:rFonts w:hint="eastAsia" w:ascii="宋体" w:hAnsi="宋体" w:eastAsia="宋体" w:cs="宋体"/>
                <w:color w:val="auto"/>
                <w:highlight w:val="none"/>
              </w:rPr>
              <w:t>（二）混凝土模板支撑工程：搭设高度8m及以上，或搭设跨度18m及以上，或施工总荷载（设计值）15kN/m2及以上，或集中线荷载（设计值）20kN/m及以上。</w:t>
            </w:r>
          </w:p>
        </w:tc>
        <w:tc>
          <w:tcPr>
            <w:tcW w:w="731" w:type="pct"/>
            <w:tcBorders>
              <w:top w:val="single" w:color="auto" w:sz="4" w:space="0"/>
              <w:left w:val="nil"/>
              <w:bottom w:val="single" w:color="auto" w:sz="4" w:space="0"/>
              <w:right w:val="single" w:color="auto" w:sz="4" w:space="0"/>
            </w:tcBorders>
            <w:noWrap w:val="0"/>
            <w:vAlign w:val="center"/>
          </w:tcPr>
          <w:p w14:paraId="2B606B8C">
            <w:pPr>
              <w:shd w:val="clear" w:color="auto" w:fill="auto"/>
              <w:jc w:val="center"/>
              <w:rPr>
                <w:rFonts w:hint="eastAsia" w:ascii="宋体" w:hAnsi="宋体" w:eastAsia="宋体" w:cs="宋体"/>
                <w:color w:val="auto"/>
                <w:highlight w:val="none"/>
              </w:rPr>
            </w:pPr>
          </w:p>
        </w:tc>
        <w:tc>
          <w:tcPr>
            <w:tcW w:w="732" w:type="pct"/>
            <w:tcBorders>
              <w:top w:val="single" w:color="auto" w:sz="4" w:space="0"/>
              <w:left w:val="nil"/>
              <w:bottom w:val="single" w:color="auto" w:sz="4" w:space="0"/>
              <w:right w:val="single" w:color="auto" w:sz="4" w:space="0"/>
            </w:tcBorders>
            <w:noWrap w:val="0"/>
            <w:vAlign w:val="center"/>
          </w:tcPr>
          <w:p w14:paraId="37F44151">
            <w:pPr>
              <w:shd w:val="clear" w:color="auto" w:fill="auto"/>
              <w:jc w:val="center"/>
              <w:rPr>
                <w:rFonts w:hint="eastAsia" w:ascii="宋体" w:hAnsi="宋体" w:eastAsia="宋体" w:cs="宋体"/>
                <w:color w:val="auto"/>
                <w:highlight w:val="none"/>
              </w:rPr>
            </w:pPr>
          </w:p>
        </w:tc>
        <w:tc>
          <w:tcPr>
            <w:tcW w:w="575" w:type="pct"/>
            <w:tcBorders>
              <w:top w:val="single" w:color="auto" w:sz="4" w:space="0"/>
              <w:left w:val="nil"/>
              <w:bottom w:val="single" w:color="auto" w:sz="4" w:space="0"/>
              <w:right w:val="single" w:color="auto" w:sz="4" w:space="0"/>
            </w:tcBorders>
            <w:noWrap w:val="0"/>
            <w:vAlign w:val="center"/>
          </w:tcPr>
          <w:p w14:paraId="0BB7293C">
            <w:pPr>
              <w:shd w:val="clear" w:color="auto" w:fill="auto"/>
              <w:jc w:val="center"/>
              <w:rPr>
                <w:rFonts w:hint="eastAsia" w:ascii="宋体" w:hAnsi="宋体" w:eastAsia="宋体" w:cs="宋体"/>
                <w:color w:val="auto"/>
                <w:highlight w:val="none"/>
              </w:rPr>
            </w:pPr>
          </w:p>
        </w:tc>
      </w:tr>
      <w:tr w14:paraId="324AE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0" w:type="pct"/>
            <w:tcBorders>
              <w:top w:val="single" w:color="auto" w:sz="4" w:space="0"/>
              <w:left w:val="single" w:color="auto" w:sz="4" w:space="0"/>
              <w:bottom w:val="single" w:color="auto" w:sz="4" w:space="0"/>
              <w:right w:val="single" w:color="auto" w:sz="4" w:space="0"/>
            </w:tcBorders>
            <w:noWrap w:val="0"/>
            <w:vAlign w:val="center"/>
          </w:tcPr>
          <w:p w14:paraId="7C644BFB">
            <w:pPr>
              <w:shd w:val="clear" w:color="auto" w:fill="auto"/>
              <w:rPr>
                <w:rFonts w:hint="eastAsia" w:ascii="宋体" w:hAnsi="宋体" w:eastAsia="宋体" w:cs="宋体"/>
                <w:color w:val="auto"/>
                <w:highlight w:val="none"/>
              </w:rPr>
            </w:pPr>
            <w:r>
              <w:rPr>
                <w:rFonts w:hint="eastAsia" w:ascii="宋体" w:hAnsi="宋体" w:eastAsia="宋体" w:cs="宋体"/>
                <w:color w:val="auto"/>
                <w:highlight w:val="none"/>
              </w:rPr>
              <w:t>（三）承重支撑体系：用于钢结构安装等满堂支撑体系，承受单点集中荷载7kN及以上。</w:t>
            </w:r>
          </w:p>
        </w:tc>
        <w:tc>
          <w:tcPr>
            <w:tcW w:w="731" w:type="pct"/>
            <w:tcBorders>
              <w:top w:val="single" w:color="auto" w:sz="4" w:space="0"/>
              <w:left w:val="nil"/>
              <w:bottom w:val="single" w:color="auto" w:sz="4" w:space="0"/>
              <w:right w:val="single" w:color="auto" w:sz="4" w:space="0"/>
            </w:tcBorders>
            <w:noWrap w:val="0"/>
            <w:vAlign w:val="center"/>
          </w:tcPr>
          <w:p w14:paraId="6B6E0E2E">
            <w:pPr>
              <w:shd w:val="clear" w:color="auto" w:fill="auto"/>
              <w:jc w:val="center"/>
              <w:rPr>
                <w:rFonts w:hint="eastAsia" w:ascii="宋体" w:hAnsi="宋体" w:eastAsia="宋体" w:cs="宋体"/>
                <w:b/>
                <w:color w:val="auto"/>
                <w:highlight w:val="none"/>
              </w:rPr>
            </w:pPr>
          </w:p>
        </w:tc>
        <w:tc>
          <w:tcPr>
            <w:tcW w:w="732" w:type="pct"/>
            <w:tcBorders>
              <w:top w:val="single" w:color="auto" w:sz="4" w:space="0"/>
              <w:left w:val="nil"/>
              <w:bottom w:val="single" w:color="auto" w:sz="4" w:space="0"/>
              <w:right w:val="single" w:color="auto" w:sz="4" w:space="0"/>
            </w:tcBorders>
            <w:noWrap w:val="0"/>
            <w:vAlign w:val="center"/>
          </w:tcPr>
          <w:p w14:paraId="6D25224B">
            <w:pPr>
              <w:shd w:val="clear" w:color="auto" w:fill="auto"/>
              <w:jc w:val="center"/>
              <w:rPr>
                <w:rFonts w:hint="eastAsia" w:ascii="宋体" w:hAnsi="宋体" w:eastAsia="宋体" w:cs="宋体"/>
                <w:color w:val="auto"/>
                <w:highlight w:val="none"/>
              </w:rPr>
            </w:pPr>
          </w:p>
        </w:tc>
        <w:tc>
          <w:tcPr>
            <w:tcW w:w="575" w:type="pct"/>
            <w:tcBorders>
              <w:top w:val="single" w:color="auto" w:sz="4" w:space="0"/>
              <w:left w:val="nil"/>
              <w:bottom w:val="single" w:color="auto" w:sz="4" w:space="0"/>
              <w:right w:val="single" w:color="auto" w:sz="4" w:space="0"/>
            </w:tcBorders>
            <w:noWrap w:val="0"/>
            <w:vAlign w:val="center"/>
          </w:tcPr>
          <w:p w14:paraId="7E4B8067">
            <w:pPr>
              <w:shd w:val="clear" w:color="auto" w:fill="auto"/>
              <w:jc w:val="center"/>
              <w:rPr>
                <w:rFonts w:hint="eastAsia" w:ascii="宋体" w:hAnsi="宋体" w:eastAsia="宋体" w:cs="宋体"/>
                <w:color w:val="auto"/>
                <w:highlight w:val="none"/>
              </w:rPr>
            </w:pPr>
          </w:p>
        </w:tc>
      </w:tr>
      <w:tr w14:paraId="020AB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4"/>
            <w:tcBorders>
              <w:top w:val="single" w:color="auto" w:sz="4" w:space="0"/>
              <w:left w:val="single" w:color="auto" w:sz="4" w:space="0"/>
              <w:bottom w:val="single" w:color="auto" w:sz="4" w:space="0"/>
              <w:right w:val="single" w:color="auto" w:sz="4" w:space="0"/>
            </w:tcBorders>
            <w:noWrap w:val="0"/>
            <w:vAlign w:val="center"/>
          </w:tcPr>
          <w:p w14:paraId="4E55623F">
            <w:pPr>
              <w:shd w:val="clear" w:color="auto" w:fill="auto"/>
              <w:rPr>
                <w:rFonts w:hint="eastAsia" w:ascii="宋体" w:hAnsi="宋体" w:eastAsia="宋体" w:cs="宋体"/>
                <w:color w:val="auto"/>
                <w:highlight w:val="none"/>
              </w:rPr>
            </w:pPr>
            <w:r>
              <w:rPr>
                <w:rFonts w:hint="eastAsia" w:ascii="宋体" w:hAnsi="宋体" w:eastAsia="宋体" w:cs="宋体"/>
                <w:b/>
                <w:color w:val="auto"/>
                <w:highlight w:val="none"/>
              </w:rPr>
              <w:t>三、起重吊装及起重机械安装拆卸工程</w:t>
            </w:r>
          </w:p>
        </w:tc>
      </w:tr>
      <w:tr w14:paraId="1EE94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0" w:type="pct"/>
            <w:tcBorders>
              <w:top w:val="single" w:color="auto" w:sz="4" w:space="0"/>
              <w:left w:val="single" w:color="auto" w:sz="4" w:space="0"/>
              <w:bottom w:val="single" w:color="auto" w:sz="4" w:space="0"/>
              <w:right w:val="single" w:color="auto" w:sz="4" w:space="0"/>
            </w:tcBorders>
            <w:noWrap w:val="0"/>
            <w:vAlign w:val="center"/>
          </w:tcPr>
          <w:p w14:paraId="358D5916">
            <w:pPr>
              <w:shd w:val="clear" w:color="auto" w:fill="auto"/>
              <w:rPr>
                <w:rFonts w:hint="eastAsia" w:ascii="宋体" w:hAnsi="宋体" w:eastAsia="宋体" w:cs="宋体"/>
                <w:color w:val="auto"/>
                <w:highlight w:val="none"/>
              </w:rPr>
            </w:pPr>
            <w:r>
              <w:rPr>
                <w:rFonts w:hint="eastAsia" w:ascii="宋体" w:hAnsi="宋体" w:eastAsia="宋体" w:cs="宋体"/>
                <w:color w:val="auto"/>
                <w:highlight w:val="none"/>
              </w:rPr>
              <w:t>（一）采用非常规起重设备、方法，且单件起吊重量在100kN及以上的起重吊装工程。</w:t>
            </w:r>
          </w:p>
        </w:tc>
        <w:tc>
          <w:tcPr>
            <w:tcW w:w="731" w:type="pct"/>
            <w:tcBorders>
              <w:top w:val="single" w:color="auto" w:sz="4" w:space="0"/>
              <w:left w:val="nil"/>
              <w:bottom w:val="single" w:color="auto" w:sz="4" w:space="0"/>
              <w:right w:val="single" w:color="auto" w:sz="4" w:space="0"/>
            </w:tcBorders>
            <w:noWrap w:val="0"/>
            <w:vAlign w:val="center"/>
          </w:tcPr>
          <w:p w14:paraId="0BBF116C">
            <w:pPr>
              <w:shd w:val="clear" w:color="auto" w:fill="auto"/>
              <w:jc w:val="center"/>
              <w:rPr>
                <w:rFonts w:hint="eastAsia" w:ascii="宋体" w:hAnsi="宋体" w:eastAsia="宋体" w:cs="宋体"/>
                <w:b/>
                <w:color w:val="auto"/>
                <w:highlight w:val="none"/>
              </w:rPr>
            </w:pPr>
          </w:p>
        </w:tc>
        <w:tc>
          <w:tcPr>
            <w:tcW w:w="732" w:type="pct"/>
            <w:tcBorders>
              <w:top w:val="single" w:color="auto" w:sz="4" w:space="0"/>
              <w:left w:val="nil"/>
              <w:bottom w:val="single" w:color="auto" w:sz="4" w:space="0"/>
              <w:right w:val="single" w:color="auto" w:sz="4" w:space="0"/>
            </w:tcBorders>
            <w:noWrap w:val="0"/>
            <w:vAlign w:val="center"/>
          </w:tcPr>
          <w:p w14:paraId="0628759A">
            <w:pPr>
              <w:shd w:val="clear" w:color="auto" w:fill="auto"/>
              <w:jc w:val="center"/>
              <w:rPr>
                <w:rFonts w:hint="eastAsia" w:ascii="宋体" w:hAnsi="宋体" w:eastAsia="宋体" w:cs="宋体"/>
                <w:color w:val="auto"/>
                <w:highlight w:val="none"/>
              </w:rPr>
            </w:pPr>
          </w:p>
        </w:tc>
        <w:tc>
          <w:tcPr>
            <w:tcW w:w="575" w:type="pct"/>
            <w:tcBorders>
              <w:top w:val="single" w:color="auto" w:sz="4" w:space="0"/>
              <w:left w:val="nil"/>
              <w:bottom w:val="single" w:color="auto" w:sz="4" w:space="0"/>
              <w:right w:val="single" w:color="auto" w:sz="4" w:space="0"/>
            </w:tcBorders>
            <w:noWrap w:val="0"/>
            <w:vAlign w:val="center"/>
          </w:tcPr>
          <w:p w14:paraId="1BB4BCF8">
            <w:pPr>
              <w:shd w:val="clear" w:color="auto" w:fill="auto"/>
              <w:jc w:val="center"/>
              <w:rPr>
                <w:rFonts w:hint="eastAsia" w:ascii="宋体" w:hAnsi="宋体" w:eastAsia="宋体" w:cs="宋体"/>
                <w:color w:val="auto"/>
                <w:highlight w:val="none"/>
              </w:rPr>
            </w:pPr>
          </w:p>
        </w:tc>
      </w:tr>
      <w:tr w14:paraId="0DC57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0" w:type="pct"/>
            <w:tcBorders>
              <w:top w:val="single" w:color="auto" w:sz="4" w:space="0"/>
              <w:left w:val="single" w:color="auto" w:sz="4" w:space="0"/>
              <w:bottom w:val="single" w:color="auto" w:sz="4" w:space="0"/>
              <w:right w:val="single" w:color="auto" w:sz="4" w:space="0"/>
            </w:tcBorders>
            <w:noWrap w:val="0"/>
            <w:vAlign w:val="center"/>
          </w:tcPr>
          <w:p w14:paraId="6043CFE9">
            <w:pPr>
              <w:shd w:val="clear" w:color="auto" w:fill="auto"/>
              <w:rPr>
                <w:rFonts w:hint="eastAsia" w:ascii="宋体" w:hAnsi="宋体" w:eastAsia="宋体" w:cs="宋体"/>
                <w:color w:val="auto"/>
                <w:highlight w:val="none"/>
              </w:rPr>
            </w:pPr>
            <w:r>
              <w:rPr>
                <w:rFonts w:hint="eastAsia" w:ascii="宋体" w:hAnsi="宋体" w:eastAsia="宋体" w:cs="宋体"/>
                <w:color w:val="auto"/>
                <w:highlight w:val="none"/>
              </w:rPr>
              <w:t>（二）起重量300kN及以上，或搭设总高度200m及以上，或搭设基础标高在200m及以上的起重机械安装和拆卸工程。</w:t>
            </w:r>
          </w:p>
        </w:tc>
        <w:tc>
          <w:tcPr>
            <w:tcW w:w="731" w:type="pct"/>
            <w:tcBorders>
              <w:top w:val="single" w:color="auto" w:sz="4" w:space="0"/>
              <w:left w:val="nil"/>
              <w:bottom w:val="single" w:color="auto" w:sz="4" w:space="0"/>
              <w:right w:val="single" w:color="auto" w:sz="4" w:space="0"/>
            </w:tcBorders>
            <w:noWrap w:val="0"/>
            <w:vAlign w:val="center"/>
          </w:tcPr>
          <w:p w14:paraId="1EE89436">
            <w:pPr>
              <w:shd w:val="clear" w:color="auto" w:fill="auto"/>
              <w:jc w:val="center"/>
              <w:rPr>
                <w:rFonts w:hint="eastAsia" w:ascii="宋体" w:hAnsi="宋体" w:eastAsia="宋体" w:cs="宋体"/>
                <w:color w:val="auto"/>
                <w:highlight w:val="none"/>
              </w:rPr>
            </w:pPr>
          </w:p>
        </w:tc>
        <w:tc>
          <w:tcPr>
            <w:tcW w:w="732" w:type="pct"/>
            <w:tcBorders>
              <w:top w:val="single" w:color="auto" w:sz="4" w:space="0"/>
              <w:left w:val="nil"/>
              <w:bottom w:val="single" w:color="auto" w:sz="4" w:space="0"/>
              <w:right w:val="single" w:color="auto" w:sz="4" w:space="0"/>
            </w:tcBorders>
            <w:noWrap w:val="0"/>
            <w:vAlign w:val="center"/>
          </w:tcPr>
          <w:p w14:paraId="10DAE487">
            <w:pPr>
              <w:shd w:val="clear" w:color="auto" w:fill="auto"/>
              <w:jc w:val="center"/>
              <w:rPr>
                <w:rFonts w:hint="eastAsia" w:ascii="宋体" w:hAnsi="宋体" w:eastAsia="宋体" w:cs="宋体"/>
                <w:color w:val="auto"/>
                <w:highlight w:val="none"/>
              </w:rPr>
            </w:pPr>
          </w:p>
        </w:tc>
        <w:tc>
          <w:tcPr>
            <w:tcW w:w="575" w:type="pct"/>
            <w:tcBorders>
              <w:top w:val="single" w:color="auto" w:sz="4" w:space="0"/>
              <w:left w:val="nil"/>
              <w:bottom w:val="single" w:color="auto" w:sz="4" w:space="0"/>
              <w:right w:val="single" w:color="auto" w:sz="4" w:space="0"/>
            </w:tcBorders>
            <w:noWrap w:val="0"/>
            <w:vAlign w:val="center"/>
          </w:tcPr>
          <w:p w14:paraId="284107A5">
            <w:pPr>
              <w:shd w:val="clear" w:color="auto" w:fill="auto"/>
              <w:jc w:val="center"/>
              <w:rPr>
                <w:rFonts w:hint="eastAsia" w:ascii="宋体" w:hAnsi="宋体" w:eastAsia="宋体" w:cs="宋体"/>
                <w:color w:val="auto"/>
                <w:highlight w:val="none"/>
              </w:rPr>
            </w:pPr>
          </w:p>
        </w:tc>
      </w:tr>
      <w:tr w14:paraId="4E428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4"/>
            <w:tcBorders>
              <w:top w:val="single" w:color="auto" w:sz="4" w:space="0"/>
              <w:left w:val="single" w:color="auto" w:sz="4" w:space="0"/>
              <w:bottom w:val="single" w:color="auto" w:sz="4" w:space="0"/>
              <w:right w:val="single" w:color="auto" w:sz="4" w:space="0"/>
            </w:tcBorders>
            <w:noWrap w:val="0"/>
            <w:vAlign w:val="center"/>
          </w:tcPr>
          <w:p w14:paraId="27E69D5E">
            <w:pPr>
              <w:shd w:val="clear" w:color="auto" w:fill="auto"/>
              <w:rPr>
                <w:rFonts w:hint="eastAsia" w:ascii="宋体" w:hAnsi="宋体" w:eastAsia="宋体" w:cs="宋体"/>
                <w:b/>
                <w:color w:val="auto"/>
                <w:highlight w:val="none"/>
              </w:rPr>
            </w:pPr>
            <w:r>
              <w:rPr>
                <w:rFonts w:hint="eastAsia" w:ascii="宋体" w:hAnsi="宋体" w:eastAsia="宋体" w:cs="宋体"/>
                <w:b/>
                <w:color w:val="auto"/>
                <w:highlight w:val="none"/>
              </w:rPr>
              <w:t>四、脚手架工程</w:t>
            </w:r>
          </w:p>
        </w:tc>
      </w:tr>
      <w:tr w14:paraId="5C971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0" w:type="pct"/>
            <w:tcBorders>
              <w:top w:val="single" w:color="auto" w:sz="4" w:space="0"/>
              <w:left w:val="single" w:color="auto" w:sz="4" w:space="0"/>
              <w:bottom w:val="single" w:color="auto" w:sz="4" w:space="0"/>
              <w:right w:val="single" w:color="auto" w:sz="4" w:space="0"/>
            </w:tcBorders>
            <w:noWrap w:val="0"/>
            <w:vAlign w:val="center"/>
          </w:tcPr>
          <w:p w14:paraId="1445D090">
            <w:pPr>
              <w:shd w:val="clear" w:color="auto" w:fill="auto"/>
              <w:rPr>
                <w:rFonts w:hint="eastAsia" w:ascii="宋体" w:hAnsi="宋体" w:eastAsia="宋体" w:cs="宋体"/>
                <w:color w:val="auto"/>
                <w:highlight w:val="none"/>
              </w:rPr>
            </w:pPr>
            <w:r>
              <w:rPr>
                <w:rFonts w:hint="eastAsia" w:ascii="宋体" w:hAnsi="宋体" w:eastAsia="宋体" w:cs="宋体"/>
                <w:color w:val="auto"/>
                <w:highlight w:val="none"/>
              </w:rPr>
              <w:t>（一）搭设高度50m及以上的落地式钢管脚手架工程。</w:t>
            </w:r>
          </w:p>
        </w:tc>
        <w:tc>
          <w:tcPr>
            <w:tcW w:w="731" w:type="pct"/>
            <w:tcBorders>
              <w:top w:val="single" w:color="auto" w:sz="4" w:space="0"/>
              <w:left w:val="nil"/>
              <w:bottom w:val="single" w:color="auto" w:sz="4" w:space="0"/>
              <w:right w:val="single" w:color="auto" w:sz="4" w:space="0"/>
            </w:tcBorders>
            <w:noWrap w:val="0"/>
            <w:vAlign w:val="center"/>
          </w:tcPr>
          <w:p w14:paraId="08E4CCDE">
            <w:pPr>
              <w:shd w:val="clear" w:color="auto" w:fill="auto"/>
              <w:jc w:val="center"/>
              <w:rPr>
                <w:rFonts w:hint="eastAsia" w:ascii="宋体" w:hAnsi="宋体" w:eastAsia="宋体" w:cs="宋体"/>
                <w:color w:val="auto"/>
                <w:highlight w:val="none"/>
              </w:rPr>
            </w:pPr>
          </w:p>
        </w:tc>
        <w:tc>
          <w:tcPr>
            <w:tcW w:w="732" w:type="pct"/>
            <w:tcBorders>
              <w:top w:val="single" w:color="auto" w:sz="4" w:space="0"/>
              <w:left w:val="nil"/>
              <w:bottom w:val="single" w:color="auto" w:sz="4" w:space="0"/>
              <w:right w:val="single" w:color="auto" w:sz="4" w:space="0"/>
            </w:tcBorders>
            <w:noWrap w:val="0"/>
            <w:vAlign w:val="center"/>
          </w:tcPr>
          <w:p w14:paraId="5910F7F3">
            <w:pPr>
              <w:shd w:val="clear" w:color="auto" w:fill="auto"/>
              <w:jc w:val="center"/>
              <w:rPr>
                <w:rFonts w:hint="eastAsia" w:ascii="宋体" w:hAnsi="宋体" w:eastAsia="宋体" w:cs="宋体"/>
                <w:color w:val="auto"/>
                <w:highlight w:val="none"/>
              </w:rPr>
            </w:pPr>
          </w:p>
        </w:tc>
        <w:tc>
          <w:tcPr>
            <w:tcW w:w="575" w:type="pct"/>
            <w:tcBorders>
              <w:top w:val="single" w:color="auto" w:sz="4" w:space="0"/>
              <w:left w:val="nil"/>
              <w:bottom w:val="single" w:color="auto" w:sz="4" w:space="0"/>
              <w:right w:val="single" w:color="auto" w:sz="4" w:space="0"/>
            </w:tcBorders>
            <w:noWrap w:val="0"/>
            <w:vAlign w:val="center"/>
          </w:tcPr>
          <w:p w14:paraId="39B05025">
            <w:pPr>
              <w:shd w:val="clear" w:color="auto" w:fill="auto"/>
              <w:jc w:val="center"/>
              <w:rPr>
                <w:rFonts w:hint="eastAsia" w:ascii="宋体" w:hAnsi="宋体" w:eastAsia="宋体" w:cs="宋体"/>
                <w:color w:val="auto"/>
                <w:highlight w:val="none"/>
              </w:rPr>
            </w:pPr>
          </w:p>
        </w:tc>
      </w:tr>
      <w:tr w14:paraId="431A1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0" w:type="pct"/>
            <w:tcBorders>
              <w:top w:val="single" w:color="auto" w:sz="4" w:space="0"/>
              <w:left w:val="single" w:color="auto" w:sz="4" w:space="0"/>
              <w:bottom w:val="single" w:color="auto" w:sz="4" w:space="0"/>
              <w:right w:val="single" w:color="auto" w:sz="4" w:space="0"/>
            </w:tcBorders>
            <w:noWrap w:val="0"/>
            <w:vAlign w:val="center"/>
          </w:tcPr>
          <w:p w14:paraId="304EC200">
            <w:pPr>
              <w:shd w:val="clear" w:color="auto" w:fill="auto"/>
              <w:rPr>
                <w:rFonts w:hint="eastAsia" w:ascii="宋体" w:hAnsi="宋体" w:eastAsia="宋体" w:cs="宋体"/>
                <w:color w:val="auto"/>
                <w:highlight w:val="none"/>
              </w:rPr>
            </w:pPr>
            <w:r>
              <w:rPr>
                <w:rFonts w:hint="eastAsia" w:ascii="宋体" w:hAnsi="宋体" w:eastAsia="宋体" w:cs="宋体"/>
                <w:color w:val="auto"/>
                <w:highlight w:val="none"/>
              </w:rPr>
              <w:t>（二）提升高度在150m及以上的附着式升降脚手架工程或附着式升降操作平台工程。</w:t>
            </w:r>
          </w:p>
        </w:tc>
        <w:tc>
          <w:tcPr>
            <w:tcW w:w="731" w:type="pct"/>
            <w:tcBorders>
              <w:top w:val="single" w:color="auto" w:sz="4" w:space="0"/>
              <w:left w:val="nil"/>
              <w:bottom w:val="single" w:color="auto" w:sz="4" w:space="0"/>
              <w:right w:val="single" w:color="auto" w:sz="4" w:space="0"/>
            </w:tcBorders>
            <w:noWrap w:val="0"/>
            <w:vAlign w:val="center"/>
          </w:tcPr>
          <w:p w14:paraId="7B71F064">
            <w:pPr>
              <w:shd w:val="clear" w:color="auto" w:fill="auto"/>
              <w:jc w:val="center"/>
              <w:rPr>
                <w:rFonts w:hint="eastAsia" w:ascii="宋体" w:hAnsi="宋体" w:eastAsia="宋体" w:cs="宋体"/>
                <w:b/>
                <w:color w:val="auto"/>
                <w:highlight w:val="none"/>
              </w:rPr>
            </w:pPr>
          </w:p>
        </w:tc>
        <w:tc>
          <w:tcPr>
            <w:tcW w:w="732" w:type="pct"/>
            <w:tcBorders>
              <w:top w:val="single" w:color="auto" w:sz="4" w:space="0"/>
              <w:left w:val="nil"/>
              <w:bottom w:val="single" w:color="auto" w:sz="4" w:space="0"/>
              <w:right w:val="single" w:color="auto" w:sz="4" w:space="0"/>
            </w:tcBorders>
            <w:noWrap w:val="0"/>
            <w:vAlign w:val="center"/>
          </w:tcPr>
          <w:p w14:paraId="76D54078">
            <w:pPr>
              <w:shd w:val="clear" w:color="auto" w:fill="auto"/>
              <w:jc w:val="center"/>
              <w:rPr>
                <w:rFonts w:hint="eastAsia" w:ascii="宋体" w:hAnsi="宋体" w:eastAsia="宋体" w:cs="宋体"/>
                <w:color w:val="auto"/>
                <w:highlight w:val="none"/>
              </w:rPr>
            </w:pPr>
          </w:p>
        </w:tc>
        <w:tc>
          <w:tcPr>
            <w:tcW w:w="575" w:type="pct"/>
            <w:tcBorders>
              <w:top w:val="single" w:color="auto" w:sz="4" w:space="0"/>
              <w:left w:val="nil"/>
              <w:bottom w:val="single" w:color="auto" w:sz="4" w:space="0"/>
              <w:right w:val="single" w:color="auto" w:sz="4" w:space="0"/>
            </w:tcBorders>
            <w:noWrap w:val="0"/>
            <w:vAlign w:val="center"/>
          </w:tcPr>
          <w:p w14:paraId="39706D8A">
            <w:pPr>
              <w:shd w:val="clear" w:color="auto" w:fill="auto"/>
              <w:jc w:val="center"/>
              <w:rPr>
                <w:rFonts w:hint="eastAsia" w:ascii="宋体" w:hAnsi="宋体" w:eastAsia="宋体" w:cs="宋体"/>
                <w:color w:val="auto"/>
                <w:highlight w:val="none"/>
              </w:rPr>
            </w:pPr>
          </w:p>
        </w:tc>
      </w:tr>
      <w:tr w14:paraId="62191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0" w:type="pct"/>
            <w:tcBorders>
              <w:top w:val="single" w:color="auto" w:sz="4" w:space="0"/>
              <w:left w:val="single" w:color="auto" w:sz="4" w:space="0"/>
              <w:bottom w:val="single" w:color="auto" w:sz="4" w:space="0"/>
              <w:right w:val="single" w:color="auto" w:sz="4" w:space="0"/>
            </w:tcBorders>
            <w:noWrap w:val="0"/>
            <w:vAlign w:val="center"/>
          </w:tcPr>
          <w:p w14:paraId="00F5E554">
            <w:pPr>
              <w:shd w:val="clear" w:color="auto" w:fill="auto"/>
              <w:rPr>
                <w:rFonts w:hint="eastAsia" w:ascii="宋体" w:hAnsi="宋体" w:eastAsia="宋体" w:cs="宋体"/>
                <w:color w:val="auto"/>
                <w:highlight w:val="none"/>
              </w:rPr>
            </w:pPr>
            <w:r>
              <w:rPr>
                <w:rFonts w:hint="eastAsia" w:ascii="宋体" w:hAnsi="宋体" w:eastAsia="宋体" w:cs="宋体"/>
                <w:color w:val="auto"/>
                <w:highlight w:val="none"/>
              </w:rPr>
              <w:t>（三）分段架体搭设高度20m及以上的悬挑式脚手架工程。</w:t>
            </w:r>
          </w:p>
        </w:tc>
        <w:tc>
          <w:tcPr>
            <w:tcW w:w="731" w:type="pct"/>
            <w:tcBorders>
              <w:top w:val="single" w:color="auto" w:sz="4" w:space="0"/>
              <w:left w:val="nil"/>
              <w:bottom w:val="single" w:color="auto" w:sz="4" w:space="0"/>
              <w:right w:val="single" w:color="auto" w:sz="4" w:space="0"/>
            </w:tcBorders>
            <w:noWrap w:val="0"/>
            <w:vAlign w:val="center"/>
          </w:tcPr>
          <w:p w14:paraId="5EB8483D">
            <w:pPr>
              <w:shd w:val="clear" w:color="auto" w:fill="auto"/>
              <w:jc w:val="center"/>
              <w:rPr>
                <w:rFonts w:hint="eastAsia" w:ascii="宋体" w:hAnsi="宋体" w:eastAsia="宋体" w:cs="宋体"/>
                <w:color w:val="auto"/>
                <w:highlight w:val="none"/>
              </w:rPr>
            </w:pPr>
            <w:r>
              <w:rPr>
                <w:rFonts w:hint="eastAsia" w:ascii="宋体" w:hAnsi="宋体" w:eastAsia="宋体" w:cs="宋体"/>
                <w:color w:val="auto"/>
                <w:sz w:val="24"/>
                <w:szCs w:val="36"/>
                <w:highlight w:val="none"/>
              </w:rPr>
              <w:t>√</w:t>
            </w:r>
          </w:p>
        </w:tc>
        <w:tc>
          <w:tcPr>
            <w:tcW w:w="732" w:type="pct"/>
            <w:tcBorders>
              <w:top w:val="single" w:color="auto" w:sz="4" w:space="0"/>
              <w:left w:val="nil"/>
              <w:bottom w:val="single" w:color="auto" w:sz="4" w:space="0"/>
              <w:right w:val="single" w:color="auto" w:sz="4" w:space="0"/>
            </w:tcBorders>
            <w:noWrap w:val="0"/>
            <w:vAlign w:val="center"/>
          </w:tcPr>
          <w:p w14:paraId="2477DFF2">
            <w:pPr>
              <w:shd w:val="clear" w:color="auto" w:fill="auto"/>
              <w:jc w:val="center"/>
              <w:rPr>
                <w:rFonts w:hint="eastAsia" w:ascii="宋体" w:hAnsi="宋体" w:eastAsia="宋体" w:cs="宋体"/>
                <w:color w:val="auto"/>
                <w:highlight w:val="none"/>
              </w:rPr>
            </w:pPr>
          </w:p>
        </w:tc>
        <w:tc>
          <w:tcPr>
            <w:tcW w:w="575" w:type="pct"/>
            <w:tcBorders>
              <w:top w:val="single" w:color="auto" w:sz="4" w:space="0"/>
              <w:left w:val="nil"/>
              <w:bottom w:val="single" w:color="auto" w:sz="4" w:space="0"/>
              <w:right w:val="single" w:color="auto" w:sz="4" w:space="0"/>
            </w:tcBorders>
            <w:noWrap w:val="0"/>
            <w:vAlign w:val="center"/>
          </w:tcPr>
          <w:p w14:paraId="56FA3A75">
            <w:pPr>
              <w:shd w:val="clear" w:color="auto" w:fill="auto"/>
              <w:jc w:val="center"/>
              <w:rPr>
                <w:rFonts w:hint="eastAsia" w:ascii="宋体" w:hAnsi="宋体" w:eastAsia="宋体" w:cs="宋体"/>
                <w:color w:val="auto"/>
                <w:highlight w:val="none"/>
              </w:rPr>
            </w:pPr>
          </w:p>
        </w:tc>
      </w:tr>
      <w:tr w14:paraId="788AA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4"/>
            <w:tcBorders>
              <w:top w:val="single" w:color="auto" w:sz="4" w:space="0"/>
              <w:left w:val="single" w:color="auto" w:sz="4" w:space="0"/>
              <w:bottom w:val="single" w:color="auto" w:sz="4" w:space="0"/>
              <w:right w:val="single" w:color="auto" w:sz="4" w:space="0"/>
            </w:tcBorders>
            <w:noWrap w:val="0"/>
            <w:vAlign w:val="center"/>
          </w:tcPr>
          <w:p w14:paraId="1455935E">
            <w:pPr>
              <w:shd w:val="clear" w:color="auto" w:fill="auto"/>
              <w:rPr>
                <w:rFonts w:hint="eastAsia" w:ascii="宋体" w:hAnsi="宋体" w:eastAsia="宋体" w:cs="宋体"/>
                <w:b/>
                <w:color w:val="auto"/>
                <w:highlight w:val="none"/>
              </w:rPr>
            </w:pPr>
            <w:r>
              <w:rPr>
                <w:rFonts w:hint="eastAsia" w:ascii="宋体" w:hAnsi="宋体" w:eastAsia="宋体" w:cs="宋体"/>
                <w:b/>
                <w:color w:val="auto"/>
                <w:highlight w:val="none"/>
              </w:rPr>
              <w:t>五、拆除工程</w:t>
            </w:r>
          </w:p>
        </w:tc>
      </w:tr>
      <w:tr w14:paraId="5BF79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0" w:type="pct"/>
            <w:tcBorders>
              <w:top w:val="single" w:color="auto" w:sz="4" w:space="0"/>
              <w:left w:val="single" w:color="auto" w:sz="4" w:space="0"/>
              <w:bottom w:val="single" w:color="auto" w:sz="4" w:space="0"/>
              <w:right w:val="single" w:color="auto" w:sz="4" w:space="0"/>
            </w:tcBorders>
            <w:noWrap w:val="0"/>
            <w:vAlign w:val="center"/>
          </w:tcPr>
          <w:p w14:paraId="79E34703">
            <w:pPr>
              <w:shd w:val="clear" w:color="auto" w:fill="auto"/>
              <w:rPr>
                <w:rFonts w:hint="eastAsia" w:ascii="宋体" w:hAnsi="宋体" w:eastAsia="宋体" w:cs="宋体"/>
                <w:color w:val="auto"/>
                <w:highlight w:val="none"/>
              </w:rPr>
            </w:pPr>
            <w:r>
              <w:rPr>
                <w:rFonts w:hint="eastAsia" w:ascii="宋体" w:hAnsi="宋体" w:eastAsia="宋体" w:cs="宋体"/>
                <w:color w:val="auto"/>
                <w:highlight w:val="none"/>
              </w:rPr>
              <w:t>（一）码头、桥梁、高架、烟囱、水塔或拆除中容易引起有毒有害气（液）体或粉尘扩散、易燃易爆事故发生的特殊建、构筑物的拆除工程。</w:t>
            </w:r>
          </w:p>
        </w:tc>
        <w:tc>
          <w:tcPr>
            <w:tcW w:w="731" w:type="pct"/>
            <w:tcBorders>
              <w:top w:val="single" w:color="auto" w:sz="4" w:space="0"/>
              <w:left w:val="nil"/>
              <w:bottom w:val="single" w:color="auto" w:sz="4" w:space="0"/>
              <w:right w:val="single" w:color="auto" w:sz="4" w:space="0"/>
            </w:tcBorders>
            <w:noWrap w:val="0"/>
            <w:vAlign w:val="center"/>
          </w:tcPr>
          <w:p w14:paraId="7C0F37C3">
            <w:pPr>
              <w:shd w:val="clear" w:color="auto" w:fill="auto"/>
              <w:jc w:val="center"/>
              <w:rPr>
                <w:rFonts w:hint="eastAsia" w:ascii="宋体" w:hAnsi="宋体" w:eastAsia="宋体" w:cs="宋体"/>
                <w:color w:val="auto"/>
                <w:highlight w:val="none"/>
              </w:rPr>
            </w:pPr>
          </w:p>
        </w:tc>
        <w:tc>
          <w:tcPr>
            <w:tcW w:w="732" w:type="pct"/>
            <w:tcBorders>
              <w:top w:val="single" w:color="auto" w:sz="4" w:space="0"/>
              <w:left w:val="nil"/>
              <w:bottom w:val="single" w:color="auto" w:sz="4" w:space="0"/>
              <w:right w:val="single" w:color="auto" w:sz="4" w:space="0"/>
            </w:tcBorders>
            <w:noWrap w:val="0"/>
            <w:vAlign w:val="center"/>
          </w:tcPr>
          <w:p w14:paraId="27FFA4EB">
            <w:pPr>
              <w:shd w:val="clear" w:color="auto" w:fill="auto"/>
              <w:jc w:val="center"/>
              <w:rPr>
                <w:rFonts w:hint="eastAsia" w:ascii="宋体" w:hAnsi="宋体" w:eastAsia="宋体" w:cs="宋体"/>
                <w:color w:val="auto"/>
                <w:highlight w:val="none"/>
              </w:rPr>
            </w:pPr>
          </w:p>
        </w:tc>
        <w:tc>
          <w:tcPr>
            <w:tcW w:w="575" w:type="pct"/>
            <w:tcBorders>
              <w:top w:val="single" w:color="auto" w:sz="4" w:space="0"/>
              <w:left w:val="nil"/>
              <w:bottom w:val="single" w:color="auto" w:sz="4" w:space="0"/>
              <w:right w:val="single" w:color="auto" w:sz="4" w:space="0"/>
            </w:tcBorders>
            <w:noWrap w:val="0"/>
            <w:vAlign w:val="center"/>
          </w:tcPr>
          <w:p w14:paraId="38526C24">
            <w:pPr>
              <w:shd w:val="clear" w:color="auto" w:fill="auto"/>
              <w:jc w:val="center"/>
              <w:rPr>
                <w:rFonts w:hint="eastAsia" w:ascii="宋体" w:hAnsi="宋体" w:eastAsia="宋体" w:cs="宋体"/>
                <w:color w:val="auto"/>
                <w:highlight w:val="none"/>
              </w:rPr>
            </w:pPr>
          </w:p>
        </w:tc>
      </w:tr>
      <w:tr w14:paraId="5DB5D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0" w:type="pct"/>
            <w:tcBorders>
              <w:top w:val="single" w:color="auto" w:sz="4" w:space="0"/>
              <w:left w:val="single" w:color="auto" w:sz="4" w:space="0"/>
              <w:bottom w:val="single" w:color="auto" w:sz="4" w:space="0"/>
              <w:right w:val="single" w:color="auto" w:sz="4" w:space="0"/>
            </w:tcBorders>
            <w:noWrap w:val="0"/>
            <w:vAlign w:val="center"/>
          </w:tcPr>
          <w:p w14:paraId="69BF5FF6">
            <w:pPr>
              <w:shd w:val="clear" w:color="auto" w:fill="auto"/>
              <w:rPr>
                <w:rFonts w:hint="eastAsia" w:ascii="宋体" w:hAnsi="宋体" w:eastAsia="宋体" w:cs="宋体"/>
                <w:color w:val="auto"/>
                <w:highlight w:val="none"/>
              </w:rPr>
            </w:pPr>
            <w:r>
              <w:rPr>
                <w:rFonts w:hint="eastAsia" w:ascii="宋体" w:hAnsi="宋体" w:eastAsia="宋体" w:cs="宋体"/>
                <w:color w:val="auto"/>
                <w:highlight w:val="none"/>
              </w:rPr>
              <w:t>（二）文物保护建筑、优秀历史建筑或历史文化风貌区影响范围内的拆除工程。</w:t>
            </w:r>
          </w:p>
        </w:tc>
        <w:tc>
          <w:tcPr>
            <w:tcW w:w="731" w:type="pct"/>
            <w:tcBorders>
              <w:top w:val="single" w:color="auto" w:sz="4" w:space="0"/>
              <w:left w:val="nil"/>
              <w:bottom w:val="single" w:color="auto" w:sz="4" w:space="0"/>
              <w:right w:val="single" w:color="auto" w:sz="4" w:space="0"/>
            </w:tcBorders>
            <w:noWrap w:val="0"/>
            <w:vAlign w:val="center"/>
          </w:tcPr>
          <w:p w14:paraId="31A7DDC5">
            <w:pPr>
              <w:shd w:val="clear" w:color="auto" w:fill="auto"/>
              <w:jc w:val="center"/>
              <w:rPr>
                <w:rFonts w:hint="eastAsia" w:ascii="宋体" w:hAnsi="宋体" w:eastAsia="宋体" w:cs="宋体"/>
                <w:b/>
                <w:color w:val="auto"/>
                <w:highlight w:val="none"/>
              </w:rPr>
            </w:pPr>
          </w:p>
        </w:tc>
        <w:tc>
          <w:tcPr>
            <w:tcW w:w="732" w:type="pct"/>
            <w:tcBorders>
              <w:top w:val="single" w:color="auto" w:sz="4" w:space="0"/>
              <w:left w:val="nil"/>
              <w:bottom w:val="single" w:color="auto" w:sz="4" w:space="0"/>
              <w:right w:val="single" w:color="auto" w:sz="4" w:space="0"/>
            </w:tcBorders>
            <w:noWrap w:val="0"/>
            <w:vAlign w:val="center"/>
          </w:tcPr>
          <w:p w14:paraId="41E29B1C">
            <w:pPr>
              <w:shd w:val="clear" w:color="auto" w:fill="auto"/>
              <w:jc w:val="center"/>
              <w:rPr>
                <w:rFonts w:hint="eastAsia" w:ascii="宋体" w:hAnsi="宋体" w:eastAsia="宋体" w:cs="宋体"/>
                <w:color w:val="auto"/>
                <w:highlight w:val="none"/>
              </w:rPr>
            </w:pPr>
          </w:p>
        </w:tc>
        <w:tc>
          <w:tcPr>
            <w:tcW w:w="575" w:type="pct"/>
            <w:tcBorders>
              <w:top w:val="single" w:color="auto" w:sz="4" w:space="0"/>
              <w:left w:val="nil"/>
              <w:bottom w:val="single" w:color="auto" w:sz="4" w:space="0"/>
              <w:right w:val="single" w:color="auto" w:sz="4" w:space="0"/>
            </w:tcBorders>
            <w:noWrap w:val="0"/>
            <w:vAlign w:val="center"/>
          </w:tcPr>
          <w:p w14:paraId="3E0ADC73">
            <w:pPr>
              <w:shd w:val="clear" w:color="auto" w:fill="auto"/>
              <w:jc w:val="center"/>
              <w:rPr>
                <w:rFonts w:hint="eastAsia" w:ascii="宋体" w:hAnsi="宋体" w:eastAsia="宋体" w:cs="宋体"/>
                <w:color w:val="auto"/>
                <w:highlight w:val="none"/>
              </w:rPr>
            </w:pPr>
          </w:p>
        </w:tc>
      </w:tr>
      <w:tr w14:paraId="2A6F2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4"/>
            <w:tcBorders>
              <w:top w:val="single" w:color="auto" w:sz="4" w:space="0"/>
              <w:left w:val="single" w:color="auto" w:sz="4" w:space="0"/>
              <w:bottom w:val="single" w:color="auto" w:sz="4" w:space="0"/>
              <w:right w:val="single" w:color="auto" w:sz="4" w:space="0"/>
            </w:tcBorders>
            <w:noWrap w:val="0"/>
            <w:vAlign w:val="center"/>
          </w:tcPr>
          <w:p w14:paraId="57AC9DAF">
            <w:pPr>
              <w:shd w:val="clear" w:color="auto" w:fill="auto"/>
              <w:rPr>
                <w:rFonts w:hint="eastAsia" w:ascii="宋体" w:hAnsi="宋体" w:eastAsia="宋体" w:cs="宋体"/>
                <w:b/>
                <w:color w:val="auto"/>
                <w:highlight w:val="none"/>
              </w:rPr>
            </w:pPr>
            <w:r>
              <w:rPr>
                <w:rFonts w:hint="eastAsia" w:ascii="宋体" w:hAnsi="宋体" w:eastAsia="宋体" w:cs="宋体"/>
                <w:b/>
                <w:color w:val="auto"/>
                <w:highlight w:val="none"/>
              </w:rPr>
              <w:t>六、暗挖工程</w:t>
            </w:r>
          </w:p>
        </w:tc>
      </w:tr>
      <w:tr w14:paraId="7B594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0" w:type="pct"/>
            <w:tcBorders>
              <w:top w:val="single" w:color="auto" w:sz="4" w:space="0"/>
              <w:left w:val="single" w:color="auto" w:sz="4" w:space="0"/>
              <w:bottom w:val="single" w:color="auto" w:sz="4" w:space="0"/>
              <w:right w:val="single" w:color="auto" w:sz="4" w:space="0"/>
            </w:tcBorders>
            <w:noWrap w:val="0"/>
            <w:vAlign w:val="center"/>
          </w:tcPr>
          <w:p w14:paraId="17EA0C8A">
            <w:pPr>
              <w:shd w:val="clear" w:color="auto" w:fill="auto"/>
              <w:rPr>
                <w:rFonts w:hint="eastAsia" w:ascii="宋体" w:hAnsi="宋体" w:eastAsia="宋体" w:cs="宋体"/>
                <w:color w:val="auto"/>
                <w:highlight w:val="none"/>
              </w:rPr>
            </w:pPr>
            <w:r>
              <w:rPr>
                <w:rFonts w:hint="eastAsia" w:ascii="宋体" w:hAnsi="宋体" w:eastAsia="宋体" w:cs="宋体"/>
                <w:color w:val="auto"/>
                <w:highlight w:val="none"/>
              </w:rPr>
              <w:t>采用矿山法、盾构法、顶管法施工的隧道、洞室工程。</w:t>
            </w:r>
          </w:p>
        </w:tc>
        <w:tc>
          <w:tcPr>
            <w:tcW w:w="731" w:type="pct"/>
            <w:tcBorders>
              <w:top w:val="single" w:color="auto" w:sz="4" w:space="0"/>
              <w:left w:val="nil"/>
              <w:bottom w:val="single" w:color="auto" w:sz="4" w:space="0"/>
              <w:right w:val="single" w:color="auto" w:sz="4" w:space="0"/>
            </w:tcBorders>
            <w:noWrap w:val="0"/>
            <w:vAlign w:val="center"/>
          </w:tcPr>
          <w:p w14:paraId="67430B20">
            <w:pPr>
              <w:shd w:val="clear" w:color="auto" w:fill="auto"/>
              <w:jc w:val="center"/>
              <w:rPr>
                <w:rFonts w:hint="eastAsia" w:ascii="宋体" w:hAnsi="宋体" w:eastAsia="宋体" w:cs="宋体"/>
                <w:b/>
                <w:color w:val="auto"/>
                <w:highlight w:val="none"/>
              </w:rPr>
            </w:pPr>
          </w:p>
        </w:tc>
        <w:tc>
          <w:tcPr>
            <w:tcW w:w="732" w:type="pct"/>
            <w:tcBorders>
              <w:top w:val="single" w:color="auto" w:sz="4" w:space="0"/>
              <w:left w:val="nil"/>
              <w:bottom w:val="single" w:color="auto" w:sz="4" w:space="0"/>
              <w:right w:val="single" w:color="auto" w:sz="4" w:space="0"/>
            </w:tcBorders>
            <w:noWrap w:val="0"/>
            <w:vAlign w:val="center"/>
          </w:tcPr>
          <w:p w14:paraId="46E039E4">
            <w:pPr>
              <w:shd w:val="clear" w:color="auto" w:fill="auto"/>
              <w:jc w:val="center"/>
              <w:rPr>
                <w:rFonts w:hint="eastAsia" w:ascii="宋体" w:hAnsi="宋体" w:eastAsia="宋体" w:cs="宋体"/>
                <w:color w:val="auto"/>
                <w:highlight w:val="none"/>
              </w:rPr>
            </w:pPr>
          </w:p>
        </w:tc>
        <w:tc>
          <w:tcPr>
            <w:tcW w:w="575" w:type="pct"/>
            <w:tcBorders>
              <w:top w:val="single" w:color="auto" w:sz="4" w:space="0"/>
              <w:left w:val="nil"/>
              <w:bottom w:val="single" w:color="auto" w:sz="4" w:space="0"/>
              <w:right w:val="single" w:color="auto" w:sz="4" w:space="0"/>
            </w:tcBorders>
            <w:noWrap w:val="0"/>
            <w:vAlign w:val="center"/>
          </w:tcPr>
          <w:p w14:paraId="4CC731CC">
            <w:pPr>
              <w:shd w:val="clear" w:color="auto" w:fill="auto"/>
              <w:jc w:val="center"/>
              <w:rPr>
                <w:rFonts w:hint="eastAsia" w:ascii="宋体" w:hAnsi="宋体" w:eastAsia="宋体" w:cs="宋体"/>
                <w:color w:val="auto"/>
                <w:highlight w:val="none"/>
              </w:rPr>
            </w:pPr>
          </w:p>
        </w:tc>
      </w:tr>
      <w:tr w14:paraId="2976E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4"/>
            <w:tcBorders>
              <w:top w:val="single" w:color="auto" w:sz="4" w:space="0"/>
              <w:left w:val="single" w:color="auto" w:sz="4" w:space="0"/>
              <w:bottom w:val="single" w:color="auto" w:sz="4" w:space="0"/>
              <w:right w:val="single" w:color="auto" w:sz="4" w:space="0"/>
            </w:tcBorders>
            <w:noWrap w:val="0"/>
            <w:vAlign w:val="center"/>
          </w:tcPr>
          <w:p w14:paraId="7C8D813F">
            <w:pPr>
              <w:shd w:val="clear" w:color="auto" w:fill="auto"/>
              <w:rPr>
                <w:rFonts w:hint="eastAsia" w:ascii="宋体" w:hAnsi="宋体" w:eastAsia="宋体" w:cs="宋体"/>
                <w:b/>
                <w:color w:val="auto"/>
                <w:highlight w:val="none"/>
              </w:rPr>
            </w:pPr>
            <w:r>
              <w:rPr>
                <w:rFonts w:hint="eastAsia" w:ascii="宋体" w:hAnsi="宋体" w:eastAsia="宋体" w:cs="宋体"/>
                <w:b/>
                <w:color w:val="auto"/>
                <w:highlight w:val="none"/>
              </w:rPr>
              <w:t>七、其它</w:t>
            </w:r>
          </w:p>
        </w:tc>
      </w:tr>
      <w:tr w14:paraId="50209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0" w:type="pct"/>
            <w:tcBorders>
              <w:top w:val="single" w:color="auto" w:sz="4" w:space="0"/>
              <w:left w:val="single" w:color="auto" w:sz="4" w:space="0"/>
              <w:bottom w:val="single" w:color="auto" w:sz="4" w:space="0"/>
              <w:right w:val="single" w:color="auto" w:sz="4" w:space="0"/>
            </w:tcBorders>
            <w:noWrap w:val="0"/>
            <w:vAlign w:val="center"/>
          </w:tcPr>
          <w:p w14:paraId="19387186">
            <w:pPr>
              <w:shd w:val="clear" w:color="auto" w:fill="auto"/>
              <w:rPr>
                <w:rFonts w:hint="eastAsia" w:ascii="宋体" w:hAnsi="宋体" w:eastAsia="宋体" w:cs="宋体"/>
                <w:color w:val="auto"/>
                <w:highlight w:val="none"/>
              </w:rPr>
            </w:pPr>
            <w:r>
              <w:rPr>
                <w:rFonts w:hint="eastAsia" w:ascii="宋体" w:hAnsi="宋体" w:eastAsia="宋体" w:cs="宋体"/>
                <w:color w:val="auto"/>
                <w:highlight w:val="none"/>
              </w:rPr>
              <w:t>（一）施工高度50m及以上的建筑幕墙安装工程。</w:t>
            </w:r>
          </w:p>
        </w:tc>
        <w:tc>
          <w:tcPr>
            <w:tcW w:w="731" w:type="pct"/>
            <w:tcBorders>
              <w:top w:val="single" w:color="auto" w:sz="4" w:space="0"/>
              <w:left w:val="nil"/>
              <w:bottom w:val="single" w:color="auto" w:sz="4" w:space="0"/>
              <w:right w:val="single" w:color="auto" w:sz="4" w:space="0"/>
            </w:tcBorders>
            <w:noWrap w:val="0"/>
            <w:vAlign w:val="center"/>
          </w:tcPr>
          <w:p w14:paraId="44E2FC50">
            <w:pPr>
              <w:shd w:val="clear" w:color="auto" w:fill="auto"/>
              <w:jc w:val="center"/>
              <w:rPr>
                <w:rFonts w:hint="eastAsia" w:ascii="宋体" w:hAnsi="宋体" w:eastAsia="宋体" w:cs="宋体"/>
                <w:b/>
                <w:color w:val="auto"/>
                <w:highlight w:val="none"/>
              </w:rPr>
            </w:pPr>
          </w:p>
        </w:tc>
        <w:tc>
          <w:tcPr>
            <w:tcW w:w="732" w:type="pct"/>
            <w:tcBorders>
              <w:top w:val="single" w:color="auto" w:sz="4" w:space="0"/>
              <w:left w:val="nil"/>
              <w:bottom w:val="single" w:color="auto" w:sz="4" w:space="0"/>
              <w:right w:val="single" w:color="auto" w:sz="4" w:space="0"/>
            </w:tcBorders>
            <w:noWrap w:val="0"/>
            <w:vAlign w:val="center"/>
          </w:tcPr>
          <w:p w14:paraId="28DD7532">
            <w:pPr>
              <w:shd w:val="clear" w:color="auto" w:fill="auto"/>
              <w:jc w:val="center"/>
              <w:rPr>
                <w:rFonts w:hint="eastAsia" w:ascii="宋体" w:hAnsi="宋体" w:eastAsia="宋体" w:cs="宋体"/>
                <w:color w:val="auto"/>
                <w:highlight w:val="none"/>
              </w:rPr>
            </w:pPr>
          </w:p>
        </w:tc>
        <w:tc>
          <w:tcPr>
            <w:tcW w:w="575" w:type="pct"/>
            <w:tcBorders>
              <w:top w:val="single" w:color="auto" w:sz="4" w:space="0"/>
              <w:left w:val="nil"/>
              <w:bottom w:val="single" w:color="auto" w:sz="4" w:space="0"/>
              <w:right w:val="single" w:color="auto" w:sz="4" w:space="0"/>
            </w:tcBorders>
            <w:noWrap w:val="0"/>
            <w:vAlign w:val="center"/>
          </w:tcPr>
          <w:p w14:paraId="4966056C">
            <w:pPr>
              <w:shd w:val="clear" w:color="auto" w:fill="auto"/>
              <w:jc w:val="center"/>
              <w:rPr>
                <w:rFonts w:hint="eastAsia" w:ascii="宋体" w:hAnsi="宋体" w:eastAsia="宋体" w:cs="宋体"/>
                <w:color w:val="auto"/>
                <w:highlight w:val="none"/>
              </w:rPr>
            </w:pPr>
          </w:p>
        </w:tc>
      </w:tr>
      <w:tr w14:paraId="625C1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0" w:type="pct"/>
            <w:tcBorders>
              <w:top w:val="single" w:color="auto" w:sz="4" w:space="0"/>
              <w:left w:val="single" w:color="auto" w:sz="4" w:space="0"/>
              <w:bottom w:val="single" w:color="auto" w:sz="4" w:space="0"/>
              <w:right w:val="single" w:color="auto" w:sz="4" w:space="0"/>
            </w:tcBorders>
            <w:noWrap w:val="0"/>
            <w:vAlign w:val="center"/>
          </w:tcPr>
          <w:p w14:paraId="2A7BBB37">
            <w:pPr>
              <w:shd w:val="clear" w:color="auto" w:fill="auto"/>
              <w:rPr>
                <w:rFonts w:hint="eastAsia" w:ascii="宋体" w:hAnsi="宋体" w:eastAsia="宋体" w:cs="宋体"/>
                <w:color w:val="auto"/>
                <w:highlight w:val="none"/>
              </w:rPr>
            </w:pPr>
            <w:r>
              <w:rPr>
                <w:rFonts w:hint="eastAsia" w:ascii="宋体" w:hAnsi="宋体" w:eastAsia="宋体" w:cs="宋体"/>
                <w:color w:val="auto"/>
                <w:highlight w:val="none"/>
              </w:rPr>
              <w:t>（二）跨度36m及以上的钢结构安装工程，或跨度60m及以上的网架和索膜结构安装工程。</w:t>
            </w:r>
          </w:p>
        </w:tc>
        <w:tc>
          <w:tcPr>
            <w:tcW w:w="731" w:type="pct"/>
            <w:tcBorders>
              <w:top w:val="single" w:color="auto" w:sz="4" w:space="0"/>
              <w:left w:val="nil"/>
              <w:bottom w:val="single" w:color="auto" w:sz="4" w:space="0"/>
              <w:right w:val="single" w:color="auto" w:sz="4" w:space="0"/>
            </w:tcBorders>
            <w:noWrap w:val="0"/>
            <w:vAlign w:val="center"/>
          </w:tcPr>
          <w:p w14:paraId="0452EF83">
            <w:pPr>
              <w:shd w:val="clear" w:color="auto" w:fill="auto"/>
              <w:jc w:val="center"/>
              <w:rPr>
                <w:rFonts w:hint="eastAsia" w:ascii="宋体" w:hAnsi="宋体" w:eastAsia="宋体" w:cs="宋体"/>
                <w:color w:val="auto"/>
                <w:highlight w:val="none"/>
              </w:rPr>
            </w:pPr>
          </w:p>
        </w:tc>
        <w:tc>
          <w:tcPr>
            <w:tcW w:w="732" w:type="pct"/>
            <w:tcBorders>
              <w:top w:val="single" w:color="auto" w:sz="4" w:space="0"/>
              <w:left w:val="nil"/>
              <w:bottom w:val="single" w:color="auto" w:sz="4" w:space="0"/>
              <w:right w:val="single" w:color="auto" w:sz="4" w:space="0"/>
            </w:tcBorders>
            <w:noWrap w:val="0"/>
            <w:vAlign w:val="center"/>
          </w:tcPr>
          <w:p w14:paraId="7BC7BA35">
            <w:pPr>
              <w:shd w:val="clear" w:color="auto" w:fill="auto"/>
              <w:jc w:val="center"/>
              <w:rPr>
                <w:rFonts w:hint="eastAsia" w:ascii="宋体" w:hAnsi="宋体" w:eastAsia="宋体" w:cs="宋体"/>
                <w:color w:val="auto"/>
                <w:highlight w:val="none"/>
              </w:rPr>
            </w:pPr>
          </w:p>
        </w:tc>
        <w:tc>
          <w:tcPr>
            <w:tcW w:w="575" w:type="pct"/>
            <w:tcBorders>
              <w:top w:val="single" w:color="auto" w:sz="4" w:space="0"/>
              <w:left w:val="nil"/>
              <w:bottom w:val="single" w:color="auto" w:sz="4" w:space="0"/>
              <w:right w:val="single" w:color="auto" w:sz="4" w:space="0"/>
            </w:tcBorders>
            <w:noWrap w:val="0"/>
            <w:vAlign w:val="center"/>
          </w:tcPr>
          <w:p w14:paraId="05AFF86B">
            <w:pPr>
              <w:shd w:val="clear" w:color="auto" w:fill="auto"/>
              <w:jc w:val="center"/>
              <w:rPr>
                <w:rFonts w:hint="eastAsia" w:ascii="宋体" w:hAnsi="宋体" w:eastAsia="宋体" w:cs="宋体"/>
                <w:color w:val="auto"/>
                <w:highlight w:val="none"/>
              </w:rPr>
            </w:pPr>
          </w:p>
        </w:tc>
      </w:tr>
      <w:tr w14:paraId="762DC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0" w:type="pct"/>
            <w:tcBorders>
              <w:top w:val="single" w:color="auto" w:sz="4" w:space="0"/>
              <w:left w:val="single" w:color="auto" w:sz="4" w:space="0"/>
              <w:bottom w:val="single" w:color="auto" w:sz="4" w:space="0"/>
              <w:right w:val="single" w:color="auto" w:sz="4" w:space="0"/>
            </w:tcBorders>
            <w:noWrap w:val="0"/>
            <w:vAlign w:val="center"/>
          </w:tcPr>
          <w:p w14:paraId="483BD182">
            <w:pPr>
              <w:shd w:val="clear" w:color="auto" w:fill="auto"/>
              <w:rPr>
                <w:rFonts w:hint="eastAsia" w:ascii="宋体" w:hAnsi="宋体" w:eastAsia="宋体" w:cs="宋体"/>
                <w:color w:val="auto"/>
                <w:highlight w:val="none"/>
              </w:rPr>
            </w:pPr>
            <w:r>
              <w:rPr>
                <w:rFonts w:hint="eastAsia" w:ascii="宋体" w:hAnsi="宋体" w:eastAsia="宋体" w:cs="宋体"/>
                <w:color w:val="auto"/>
                <w:highlight w:val="none"/>
              </w:rPr>
              <w:t>（三）开挖深度16m及以上的人工挖孔桩工程。</w:t>
            </w:r>
          </w:p>
        </w:tc>
        <w:tc>
          <w:tcPr>
            <w:tcW w:w="731" w:type="pct"/>
            <w:tcBorders>
              <w:top w:val="single" w:color="auto" w:sz="4" w:space="0"/>
              <w:left w:val="nil"/>
              <w:bottom w:val="single" w:color="auto" w:sz="4" w:space="0"/>
              <w:right w:val="single" w:color="auto" w:sz="4" w:space="0"/>
            </w:tcBorders>
            <w:noWrap w:val="0"/>
            <w:vAlign w:val="center"/>
          </w:tcPr>
          <w:p w14:paraId="1BF677C7">
            <w:pPr>
              <w:shd w:val="clear" w:color="auto" w:fill="auto"/>
              <w:jc w:val="center"/>
              <w:rPr>
                <w:rFonts w:hint="eastAsia" w:ascii="宋体" w:hAnsi="宋体" w:eastAsia="宋体" w:cs="宋体"/>
                <w:color w:val="auto"/>
                <w:highlight w:val="none"/>
              </w:rPr>
            </w:pPr>
          </w:p>
        </w:tc>
        <w:tc>
          <w:tcPr>
            <w:tcW w:w="732" w:type="pct"/>
            <w:tcBorders>
              <w:top w:val="single" w:color="auto" w:sz="4" w:space="0"/>
              <w:left w:val="nil"/>
              <w:bottom w:val="single" w:color="auto" w:sz="4" w:space="0"/>
              <w:right w:val="single" w:color="auto" w:sz="4" w:space="0"/>
            </w:tcBorders>
            <w:noWrap w:val="0"/>
            <w:vAlign w:val="center"/>
          </w:tcPr>
          <w:p w14:paraId="2E7DF46E">
            <w:pPr>
              <w:shd w:val="clear" w:color="auto" w:fill="auto"/>
              <w:jc w:val="center"/>
              <w:rPr>
                <w:rFonts w:hint="eastAsia" w:ascii="宋体" w:hAnsi="宋体" w:eastAsia="宋体" w:cs="宋体"/>
                <w:color w:val="auto"/>
                <w:highlight w:val="none"/>
              </w:rPr>
            </w:pPr>
          </w:p>
        </w:tc>
        <w:tc>
          <w:tcPr>
            <w:tcW w:w="575" w:type="pct"/>
            <w:tcBorders>
              <w:top w:val="single" w:color="auto" w:sz="4" w:space="0"/>
              <w:left w:val="nil"/>
              <w:bottom w:val="single" w:color="auto" w:sz="4" w:space="0"/>
              <w:right w:val="single" w:color="auto" w:sz="4" w:space="0"/>
            </w:tcBorders>
            <w:noWrap w:val="0"/>
            <w:vAlign w:val="center"/>
          </w:tcPr>
          <w:p w14:paraId="1B24FF0B">
            <w:pPr>
              <w:shd w:val="clear" w:color="auto" w:fill="auto"/>
              <w:jc w:val="center"/>
              <w:rPr>
                <w:rFonts w:hint="eastAsia" w:ascii="宋体" w:hAnsi="宋体" w:eastAsia="宋体" w:cs="宋体"/>
                <w:color w:val="auto"/>
                <w:highlight w:val="none"/>
              </w:rPr>
            </w:pPr>
          </w:p>
        </w:tc>
      </w:tr>
      <w:tr w14:paraId="10258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0" w:type="pct"/>
            <w:tcBorders>
              <w:top w:val="single" w:color="auto" w:sz="4" w:space="0"/>
              <w:left w:val="single" w:color="auto" w:sz="4" w:space="0"/>
              <w:bottom w:val="single" w:color="auto" w:sz="4" w:space="0"/>
              <w:right w:val="single" w:color="auto" w:sz="4" w:space="0"/>
            </w:tcBorders>
            <w:noWrap w:val="0"/>
            <w:vAlign w:val="center"/>
          </w:tcPr>
          <w:p w14:paraId="4F45F662">
            <w:pPr>
              <w:shd w:val="clear" w:color="auto" w:fill="auto"/>
              <w:rPr>
                <w:rFonts w:hint="eastAsia" w:ascii="宋体" w:hAnsi="宋体" w:eastAsia="宋体" w:cs="宋体"/>
                <w:color w:val="auto"/>
                <w:highlight w:val="none"/>
              </w:rPr>
            </w:pPr>
            <w:r>
              <w:rPr>
                <w:rFonts w:hint="eastAsia" w:ascii="宋体" w:hAnsi="宋体" w:eastAsia="宋体" w:cs="宋体"/>
                <w:color w:val="auto"/>
                <w:highlight w:val="none"/>
              </w:rPr>
              <w:t>（四）水下作业工程。</w:t>
            </w:r>
          </w:p>
        </w:tc>
        <w:tc>
          <w:tcPr>
            <w:tcW w:w="731" w:type="pct"/>
            <w:tcBorders>
              <w:top w:val="single" w:color="auto" w:sz="4" w:space="0"/>
              <w:left w:val="nil"/>
              <w:bottom w:val="single" w:color="auto" w:sz="4" w:space="0"/>
              <w:right w:val="single" w:color="auto" w:sz="4" w:space="0"/>
            </w:tcBorders>
            <w:noWrap w:val="0"/>
            <w:vAlign w:val="center"/>
          </w:tcPr>
          <w:p w14:paraId="761894F1">
            <w:pPr>
              <w:shd w:val="clear" w:color="auto" w:fill="auto"/>
              <w:jc w:val="center"/>
              <w:rPr>
                <w:rFonts w:hint="eastAsia" w:ascii="宋体" w:hAnsi="宋体" w:eastAsia="宋体" w:cs="宋体"/>
                <w:b/>
                <w:color w:val="auto"/>
                <w:highlight w:val="none"/>
              </w:rPr>
            </w:pPr>
          </w:p>
        </w:tc>
        <w:tc>
          <w:tcPr>
            <w:tcW w:w="732" w:type="pct"/>
            <w:tcBorders>
              <w:top w:val="single" w:color="auto" w:sz="4" w:space="0"/>
              <w:left w:val="nil"/>
              <w:bottom w:val="single" w:color="auto" w:sz="4" w:space="0"/>
              <w:right w:val="single" w:color="auto" w:sz="4" w:space="0"/>
            </w:tcBorders>
            <w:noWrap w:val="0"/>
            <w:vAlign w:val="center"/>
          </w:tcPr>
          <w:p w14:paraId="1F91455E">
            <w:pPr>
              <w:shd w:val="clear" w:color="auto" w:fill="auto"/>
              <w:jc w:val="center"/>
              <w:rPr>
                <w:rFonts w:hint="eastAsia" w:ascii="宋体" w:hAnsi="宋体" w:eastAsia="宋体" w:cs="宋体"/>
                <w:color w:val="auto"/>
                <w:highlight w:val="none"/>
              </w:rPr>
            </w:pPr>
          </w:p>
        </w:tc>
        <w:tc>
          <w:tcPr>
            <w:tcW w:w="575" w:type="pct"/>
            <w:tcBorders>
              <w:top w:val="single" w:color="auto" w:sz="4" w:space="0"/>
              <w:left w:val="nil"/>
              <w:bottom w:val="single" w:color="auto" w:sz="4" w:space="0"/>
              <w:right w:val="single" w:color="auto" w:sz="4" w:space="0"/>
            </w:tcBorders>
            <w:noWrap w:val="0"/>
            <w:vAlign w:val="center"/>
          </w:tcPr>
          <w:p w14:paraId="48E16AC3">
            <w:pPr>
              <w:shd w:val="clear" w:color="auto" w:fill="auto"/>
              <w:jc w:val="center"/>
              <w:rPr>
                <w:rFonts w:hint="eastAsia" w:ascii="宋体" w:hAnsi="宋体" w:eastAsia="宋体" w:cs="宋体"/>
                <w:color w:val="auto"/>
                <w:highlight w:val="none"/>
              </w:rPr>
            </w:pPr>
          </w:p>
        </w:tc>
      </w:tr>
      <w:tr w14:paraId="20B01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0" w:type="pct"/>
            <w:tcBorders>
              <w:top w:val="single" w:color="auto" w:sz="4" w:space="0"/>
              <w:left w:val="single" w:color="auto" w:sz="4" w:space="0"/>
              <w:bottom w:val="single" w:color="auto" w:sz="4" w:space="0"/>
              <w:right w:val="single" w:color="auto" w:sz="4" w:space="0"/>
            </w:tcBorders>
            <w:noWrap w:val="0"/>
            <w:vAlign w:val="center"/>
          </w:tcPr>
          <w:p w14:paraId="71C3A3B3">
            <w:pPr>
              <w:shd w:val="clear" w:color="auto" w:fill="auto"/>
              <w:rPr>
                <w:rFonts w:hint="eastAsia" w:ascii="宋体" w:hAnsi="宋体" w:eastAsia="宋体" w:cs="宋体"/>
                <w:color w:val="auto"/>
                <w:highlight w:val="none"/>
              </w:rPr>
            </w:pPr>
            <w:r>
              <w:rPr>
                <w:rFonts w:hint="eastAsia" w:ascii="宋体" w:hAnsi="宋体" w:eastAsia="宋体" w:cs="宋体"/>
                <w:color w:val="auto"/>
                <w:highlight w:val="none"/>
              </w:rPr>
              <w:t>（五）重量1000kN及以上的大型结构整体顶升、平移、转体等施工工艺。</w:t>
            </w:r>
          </w:p>
        </w:tc>
        <w:tc>
          <w:tcPr>
            <w:tcW w:w="731" w:type="pct"/>
            <w:tcBorders>
              <w:top w:val="single" w:color="auto" w:sz="4" w:space="0"/>
              <w:left w:val="nil"/>
              <w:bottom w:val="single" w:color="auto" w:sz="4" w:space="0"/>
              <w:right w:val="single" w:color="auto" w:sz="4" w:space="0"/>
            </w:tcBorders>
            <w:noWrap w:val="0"/>
            <w:vAlign w:val="center"/>
          </w:tcPr>
          <w:p w14:paraId="521574DB">
            <w:pPr>
              <w:shd w:val="clear" w:color="auto" w:fill="auto"/>
              <w:jc w:val="center"/>
              <w:rPr>
                <w:rFonts w:hint="eastAsia" w:ascii="宋体" w:hAnsi="宋体" w:eastAsia="宋体" w:cs="宋体"/>
                <w:color w:val="auto"/>
                <w:highlight w:val="none"/>
              </w:rPr>
            </w:pPr>
          </w:p>
        </w:tc>
        <w:tc>
          <w:tcPr>
            <w:tcW w:w="732" w:type="pct"/>
            <w:tcBorders>
              <w:top w:val="single" w:color="auto" w:sz="4" w:space="0"/>
              <w:left w:val="nil"/>
              <w:bottom w:val="single" w:color="auto" w:sz="4" w:space="0"/>
              <w:right w:val="single" w:color="auto" w:sz="4" w:space="0"/>
            </w:tcBorders>
            <w:noWrap w:val="0"/>
            <w:vAlign w:val="center"/>
          </w:tcPr>
          <w:p w14:paraId="3E0197A8">
            <w:pPr>
              <w:shd w:val="clear" w:color="auto" w:fill="auto"/>
              <w:jc w:val="center"/>
              <w:rPr>
                <w:rFonts w:hint="eastAsia" w:ascii="宋体" w:hAnsi="宋体" w:eastAsia="宋体" w:cs="宋体"/>
                <w:color w:val="auto"/>
                <w:highlight w:val="none"/>
              </w:rPr>
            </w:pPr>
          </w:p>
        </w:tc>
        <w:tc>
          <w:tcPr>
            <w:tcW w:w="575" w:type="pct"/>
            <w:tcBorders>
              <w:top w:val="single" w:color="auto" w:sz="4" w:space="0"/>
              <w:left w:val="nil"/>
              <w:bottom w:val="single" w:color="auto" w:sz="4" w:space="0"/>
              <w:right w:val="single" w:color="auto" w:sz="4" w:space="0"/>
            </w:tcBorders>
            <w:noWrap w:val="0"/>
            <w:vAlign w:val="center"/>
          </w:tcPr>
          <w:p w14:paraId="5A3D2020">
            <w:pPr>
              <w:shd w:val="clear" w:color="auto" w:fill="auto"/>
              <w:jc w:val="center"/>
              <w:rPr>
                <w:rFonts w:hint="eastAsia" w:ascii="宋体" w:hAnsi="宋体" w:eastAsia="宋体" w:cs="宋体"/>
                <w:color w:val="auto"/>
                <w:highlight w:val="none"/>
              </w:rPr>
            </w:pPr>
          </w:p>
        </w:tc>
      </w:tr>
      <w:tr w14:paraId="469AB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0" w:type="pct"/>
            <w:tcBorders>
              <w:top w:val="single" w:color="auto" w:sz="4" w:space="0"/>
              <w:left w:val="single" w:color="auto" w:sz="4" w:space="0"/>
              <w:bottom w:val="single" w:color="auto" w:sz="4" w:space="0"/>
              <w:right w:val="single" w:color="auto" w:sz="4" w:space="0"/>
            </w:tcBorders>
            <w:noWrap w:val="0"/>
            <w:vAlign w:val="center"/>
          </w:tcPr>
          <w:p w14:paraId="76EB5E51">
            <w:pPr>
              <w:shd w:val="clear" w:color="auto" w:fill="auto"/>
              <w:rPr>
                <w:rFonts w:hint="eastAsia" w:ascii="宋体" w:hAnsi="宋体" w:eastAsia="宋体" w:cs="宋体"/>
                <w:color w:val="auto"/>
                <w:highlight w:val="none"/>
              </w:rPr>
            </w:pPr>
            <w:r>
              <w:rPr>
                <w:rFonts w:hint="eastAsia" w:ascii="宋体" w:hAnsi="宋体" w:eastAsia="宋体" w:cs="宋体"/>
                <w:color w:val="auto"/>
                <w:highlight w:val="none"/>
              </w:rPr>
              <w:t>（六）采用新技术、新工艺、新材料、新设备可能影响工程施工安全，尚无国家、行业及地方技术标准的分部分项工程。</w:t>
            </w:r>
          </w:p>
        </w:tc>
        <w:tc>
          <w:tcPr>
            <w:tcW w:w="731" w:type="pct"/>
            <w:tcBorders>
              <w:top w:val="single" w:color="auto" w:sz="4" w:space="0"/>
              <w:left w:val="nil"/>
              <w:bottom w:val="single" w:color="auto" w:sz="4" w:space="0"/>
              <w:right w:val="single" w:color="auto" w:sz="4" w:space="0"/>
            </w:tcBorders>
            <w:noWrap w:val="0"/>
            <w:vAlign w:val="center"/>
          </w:tcPr>
          <w:p w14:paraId="26E3200C">
            <w:pPr>
              <w:shd w:val="clear" w:color="auto" w:fill="auto"/>
              <w:jc w:val="center"/>
              <w:rPr>
                <w:rFonts w:hint="eastAsia" w:ascii="宋体" w:hAnsi="宋体" w:eastAsia="宋体" w:cs="宋体"/>
                <w:b/>
                <w:color w:val="auto"/>
                <w:highlight w:val="none"/>
              </w:rPr>
            </w:pPr>
          </w:p>
        </w:tc>
        <w:tc>
          <w:tcPr>
            <w:tcW w:w="732" w:type="pct"/>
            <w:tcBorders>
              <w:top w:val="single" w:color="auto" w:sz="4" w:space="0"/>
              <w:left w:val="nil"/>
              <w:bottom w:val="single" w:color="auto" w:sz="4" w:space="0"/>
              <w:right w:val="single" w:color="auto" w:sz="4" w:space="0"/>
            </w:tcBorders>
            <w:noWrap w:val="0"/>
            <w:vAlign w:val="center"/>
          </w:tcPr>
          <w:p w14:paraId="3B56F11E">
            <w:pPr>
              <w:shd w:val="clear" w:color="auto" w:fill="auto"/>
              <w:jc w:val="center"/>
              <w:rPr>
                <w:rFonts w:hint="eastAsia" w:ascii="宋体" w:hAnsi="宋体" w:eastAsia="宋体" w:cs="宋体"/>
                <w:color w:val="auto"/>
                <w:highlight w:val="none"/>
              </w:rPr>
            </w:pPr>
          </w:p>
        </w:tc>
        <w:tc>
          <w:tcPr>
            <w:tcW w:w="575" w:type="pct"/>
            <w:tcBorders>
              <w:top w:val="single" w:color="auto" w:sz="4" w:space="0"/>
              <w:left w:val="nil"/>
              <w:bottom w:val="single" w:color="auto" w:sz="4" w:space="0"/>
              <w:right w:val="single" w:color="auto" w:sz="4" w:space="0"/>
            </w:tcBorders>
            <w:noWrap w:val="0"/>
            <w:vAlign w:val="center"/>
          </w:tcPr>
          <w:p w14:paraId="7E20B16B">
            <w:pPr>
              <w:shd w:val="clear" w:color="auto" w:fill="auto"/>
              <w:jc w:val="center"/>
              <w:rPr>
                <w:rFonts w:hint="eastAsia" w:ascii="宋体" w:hAnsi="宋体" w:eastAsia="宋体" w:cs="宋体"/>
                <w:color w:val="auto"/>
                <w:highlight w:val="none"/>
              </w:rPr>
            </w:pPr>
          </w:p>
        </w:tc>
      </w:tr>
      <w:tr w14:paraId="7EF4C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0" w:type="pct"/>
            <w:tcBorders>
              <w:top w:val="single" w:color="auto" w:sz="4" w:space="0"/>
              <w:left w:val="single" w:color="auto" w:sz="4" w:space="0"/>
              <w:bottom w:val="single" w:color="auto" w:sz="4" w:space="0"/>
              <w:right w:val="single" w:color="auto" w:sz="4" w:space="0"/>
            </w:tcBorders>
            <w:noWrap w:val="0"/>
            <w:vAlign w:val="center"/>
          </w:tcPr>
          <w:p w14:paraId="2CAD3DF0">
            <w:pPr>
              <w:shd w:val="clear" w:color="auto" w:fill="auto"/>
              <w:rPr>
                <w:rFonts w:hint="eastAsia" w:ascii="宋体" w:hAnsi="宋体" w:eastAsia="宋体" w:cs="宋体"/>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七</w:t>
            </w:r>
            <w:r>
              <w:rPr>
                <w:rFonts w:hint="eastAsia" w:ascii="宋体" w:hAnsi="宋体" w:eastAsia="宋体" w:cs="宋体"/>
                <w:color w:val="auto"/>
                <w:highlight w:val="none"/>
                <w:lang w:eastAsia="zh-CN"/>
              </w:rPr>
              <w:t>）高边坡</w:t>
            </w:r>
          </w:p>
        </w:tc>
        <w:tc>
          <w:tcPr>
            <w:tcW w:w="731" w:type="pct"/>
            <w:tcBorders>
              <w:top w:val="single" w:color="auto" w:sz="4" w:space="0"/>
              <w:left w:val="nil"/>
              <w:bottom w:val="single" w:color="auto" w:sz="4" w:space="0"/>
              <w:right w:val="single" w:color="auto" w:sz="4" w:space="0"/>
            </w:tcBorders>
            <w:noWrap w:val="0"/>
            <w:vAlign w:val="center"/>
          </w:tcPr>
          <w:p w14:paraId="1EF36AE8">
            <w:pPr>
              <w:shd w:val="clear" w:color="auto" w:fill="auto"/>
              <w:jc w:val="center"/>
              <w:rPr>
                <w:rFonts w:hint="eastAsia" w:ascii="宋体" w:hAnsi="宋体" w:eastAsia="宋体" w:cs="宋体"/>
                <w:b/>
                <w:color w:val="auto"/>
                <w:highlight w:val="none"/>
              </w:rPr>
            </w:pPr>
          </w:p>
        </w:tc>
        <w:tc>
          <w:tcPr>
            <w:tcW w:w="732" w:type="pct"/>
            <w:tcBorders>
              <w:top w:val="single" w:color="auto" w:sz="4" w:space="0"/>
              <w:left w:val="nil"/>
              <w:bottom w:val="single" w:color="auto" w:sz="4" w:space="0"/>
              <w:right w:val="single" w:color="auto" w:sz="4" w:space="0"/>
            </w:tcBorders>
            <w:noWrap w:val="0"/>
            <w:vAlign w:val="center"/>
          </w:tcPr>
          <w:p w14:paraId="52CFC25A">
            <w:pPr>
              <w:shd w:val="clear" w:color="auto" w:fill="auto"/>
              <w:jc w:val="center"/>
              <w:rPr>
                <w:rFonts w:hint="eastAsia" w:ascii="宋体" w:hAnsi="宋体" w:eastAsia="宋体" w:cs="宋体"/>
                <w:color w:val="auto"/>
                <w:highlight w:val="none"/>
              </w:rPr>
            </w:pPr>
          </w:p>
        </w:tc>
        <w:tc>
          <w:tcPr>
            <w:tcW w:w="575" w:type="pct"/>
            <w:tcBorders>
              <w:top w:val="single" w:color="auto" w:sz="4" w:space="0"/>
              <w:left w:val="nil"/>
              <w:bottom w:val="single" w:color="auto" w:sz="4" w:space="0"/>
              <w:right w:val="single" w:color="auto" w:sz="4" w:space="0"/>
            </w:tcBorders>
            <w:noWrap w:val="0"/>
            <w:vAlign w:val="center"/>
          </w:tcPr>
          <w:p w14:paraId="2FB3B75B">
            <w:pPr>
              <w:shd w:val="clear" w:color="auto" w:fill="auto"/>
              <w:jc w:val="center"/>
              <w:rPr>
                <w:rFonts w:hint="eastAsia" w:ascii="宋体" w:hAnsi="宋体" w:eastAsia="宋体" w:cs="宋体"/>
                <w:color w:val="auto"/>
                <w:highlight w:val="none"/>
              </w:rPr>
            </w:pPr>
          </w:p>
        </w:tc>
      </w:tr>
      <w:tr w14:paraId="03719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0" w:type="pct"/>
            <w:tcBorders>
              <w:top w:val="single" w:color="auto" w:sz="4" w:space="0"/>
              <w:left w:val="single" w:color="auto" w:sz="4" w:space="0"/>
              <w:bottom w:val="single" w:color="auto" w:sz="4" w:space="0"/>
              <w:right w:val="single" w:color="auto" w:sz="4" w:space="0"/>
            </w:tcBorders>
            <w:noWrap w:val="0"/>
            <w:vAlign w:val="center"/>
          </w:tcPr>
          <w:p w14:paraId="041215C0">
            <w:pPr>
              <w:shd w:val="clear" w:color="auto" w:fill="auto"/>
              <w:rPr>
                <w:rFonts w:hint="eastAsia" w:ascii="宋体" w:hAnsi="宋体" w:eastAsia="宋体" w:cs="宋体"/>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八</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雨水管顶管施工</w:t>
            </w:r>
          </w:p>
        </w:tc>
        <w:tc>
          <w:tcPr>
            <w:tcW w:w="731" w:type="pct"/>
            <w:tcBorders>
              <w:top w:val="single" w:color="auto" w:sz="4" w:space="0"/>
              <w:left w:val="nil"/>
              <w:bottom w:val="single" w:color="auto" w:sz="4" w:space="0"/>
              <w:right w:val="single" w:color="auto" w:sz="4" w:space="0"/>
            </w:tcBorders>
            <w:noWrap w:val="0"/>
            <w:vAlign w:val="center"/>
          </w:tcPr>
          <w:p w14:paraId="511F07C9">
            <w:pPr>
              <w:shd w:val="clear" w:color="auto" w:fill="auto"/>
              <w:jc w:val="center"/>
              <w:rPr>
                <w:rFonts w:hint="eastAsia" w:ascii="宋体" w:hAnsi="宋体" w:eastAsia="宋体" w:cs="宋体"/>
                <w:b/>
                <w:color w:val="auto"/>
                <w:highlight w:val="none"/>
              </w:rPr>
            </w:pPr>
          </w:p>
        </w:tc>
        <w:tc>
          <w:tcPr>
            <w:tcW w:w="732" w:type="pct"/>
            <w:tcBorders>
              <w:top w:val="single" w:color="auto" w:sz="4" w:space="0"/>
              <w:left w:val="nil"/>
              <w:bottom w:val="single" w:color="auto" w:sz="4" w:space="0"/>
              <w:right w:val="single" w:color="auto" w:sz="4" w:space="0"/>
            </w:tcBorders>
            <w:noWrap w:val="0"/>
            <w:vAlign w:val="center"/>
          </w:tcPr>
          <w:p w14:paraId="66AEF8ED">
            <w:pPr>
              <w:shd w:val="clear" w:color="auto" w:fill="auto"/>
              <w:jc w:val="center"/>
              <w:rPr>
                <w:rFonts w:hint="eastAsia" w:ascii="宋体" w:hAnsi="宋体" w:eastAsia="宋体" w:cs="宋体"/>
                <w:color w:val="auto"/>
                <w:highlight w:val="none"/>
              </w:rPr>
            </w:pPr>
          </w:p>
        </w:tc>
        <w:tc>
          <w:tcPr>
            <w:tcW w:w="575" w:type="pct"/>
            <w:tcBorders>
              <w:top w:val="single" w:color="auto" w:sz="4" w:space="0"/>
              <w:left w:val="nil"/>
              <w:bottom w:val="single" w:color="auto" w:sz="4" w:space="0"/>
              <w:right w:val="single" w:color="auto" w:sz="4" w:space="0"/>
            </w:tcBorders>
            <w:noWrap w:val="0"/>
            <w:vAlign w:val="center"/>
          </w:tcPr>
          <w:p w14:paraId="1C509297">
            <w:pPr>
              <w:shd w:val="clear" w:color="auto" w:fill="auto"/>
              <w:jc w:val="center"/>
              <w:rPr>
                <w:rFonts w:hint="eastAsia" w:ascii="宋体" w:hAnsi="宋体" w:eastAsia="宋体" w:cs="宋体"/>
                <w:color w:val="auto"/>
                <w:highlight w:val="none"/>
              </w:rPr>
            </w:pPr>
          </w:p>
        </w:tc>
      </w:tr>
    </w:tbl>
    <w:p w14:paraId="20BCB3BE">
      <w:pPr>
        <w:topLinePunct/>
        <w:adjustRightInd w:val="0"/>
        <w:snapToGrid w:val="0"/>
        <w:spacing w:line="360" w:lineRule="auto"/>
        <w:rPr>
          <w:rFonts w:hint="eastAsia" w:ascii="宋体" w:hAnsi="宋体"/>
          <w:color w:val="auto"/>
          <w:spacing w:val="4"/>
          <w:kern w:val="0"/>
          <w:sz w:val="24"/>
          <w:szCs w:val="24"/>
          <w:highlight w:val="none"/>
        </w:rPr>
      </w:pPr>
    </w:p>
    <w:p w14:paraId="27403EE7">
      <w:pPr>
        <w:topLinePunct/>
        <w:adjustRightInd w:val="0"/>
        <w:snapToGrid w:val="0"/>
        <w:spacing w:line="360" w:lineRule="auto"/>
        <w:ind w:firstLine="436" w:firstLineChars="200"/>
        <w:rPr>
          <w:rFonts w:ascii="宋体" w:hAnsi="宋体" w:cs="宋体"/>
          <w:color w:val="auto"/>
          <w:spacing w:val="4"/>
          <w:kern w:val="0"/>
          <w:szCs w:val="21"/>
          <w:highlight w:val="none"/>
        </w:rPr>
      </w:pPr>
    </w:p>
    <w:p w14:paraId="00C8959D">
      <w:pPr>
        <w:snapToGrid w:val="0"/>
        <w:spacing w:line="360" w:lineRule="auto"/>
        <w:ind w:firstLine="4320" w:firstLineChars="1800"/>
        <w:rPr>
          <w:rFonts w:ascii="宋体" w:hAnsi="宋体" w:cs="宋体"/>
          <w:color w:val="auto"/>
          <w:sz w:val="24"/>
          <w:szCs w:val="20"/>
          <w:highlight w:val="none"/>
        </w:rPr>
      </w:pPr>
      <w:r>
        <w:rPr>
          <w:rFonts w:hint="eastAsia" w:ascii="宋体" w:hAnsi="宋体" w:cs="宋体"/>
          <w:color w:val="auto"/>
          <w:sz w:val="24"/>
          <w:szCs w:val="20"/>
          <w:highlight w:val="none"/>
        </w:rPr>
        <w:t>投标人名称（盖章）：</w:t>
      </w:r>
    </w:p>
    <w:p w14:paraId="622A18D0">
      <w:pPr>
        <w:snapToGrid w:val="0"/>
        <w:spacing w:line="360" w:lineRule="auto"/>
        <w:ind w:firstLine="4320" w:firstLineChars="1800"/>
        <w:rPr>
          <w:rFonts w:ascii="宋体" w:hAnsi="宋体" w:cs="宋体"/>
          <w:color w:val="auto"/>
          <w:sz w:val="24"/>
          <w:szCs w:val="20"/>
          <w:highlight w:val="none"/>
        </w:rPr>
      </w:pPr>
      <w:r>
        <w:rPr>
          <w:rFonts w:hint="eastAsia" w:ascii="宋体" w:hAnsi="宋体" w:cs="宋体"/>
          <w:color w:val="auto"/>
          <w:sz w:val="24"/>
          <w:szCs w:val="20"/>
          <w:highlight w:val="none"/>
        </w:rPr>
        <w:t>日期：     年   月   日</w:t>
      </w:r>
    </w:p>
    <w:p w14:paraId="732646C8">
      <w:pPr>
        <w:rPr>
          <w:rFonts w:ascii="宋体" w:hAnsi="宋体" w:cs="宋体"/>
          <w:color w:val="auto"/>
          <w:sz w:val="32"/>
          <w:szCs w:val="32"/>
          <w:highlight w:val="none"/>
        </w:rPr>
      </w:pPr>
      <w:bookmarkStart w:id="63" w:name="_Toc26315"/>
      <w:r>
        <w:rPr>
          <w:rFonts w:hint="eastAsia" w:ascii="宋体" w:hAnsi="宋体" w:cs="宋体"/>
          <w:color w:val="auto"/>
          <w:sz w:val="32"/>
          <w:szCs w:val="32"/>
          <w:highlight w:val="none"/>
        </w:rPr>
        <w:br w:type="page"/>
      </w:r>
    </w:p>
    <w:p w14:paraId="3E4A658A">
      <w:pPr>
        <w:snapToGrid w:val="0"/>
        <w:spacing w:line="360" w:lineRule="auto"/>
        <w:rPr>
          <w:rFonts w:ascii="宋体" w:hAnsi="宋体" w:cs="宋体"/>
          <w:bCs/>
          <w:color w:val="auto"/>
          <w:sz w:val="24"/>
          <w:szCs w:val="24"/>
          <w:highlight w:val="none"/>
        </w:rPr>
      </w:pPr>
      <w:r>
        <w:rPr>
          <w:rFonts w:hint="eastAsia" w:cs="宋体"/>
          <w:bCs/>
          <w:color w:val="auto"/>
          <w:kern w:val="0"/>
          <w:sz w:val="24"/>
          <w:szCs w:val="24"/>
          <w:highlight w:val="none"/>
        </w:rPr>
        <w:t>技术标格式十</w:t>
      </w:r>
    </w:p>
    <w:p w14:paraId="5A700D94">
      <w:pPr>
        <w:snapToGrid w:val="0"/>
        <w:spacing w:line="360" w:lineRule="auto"/>
        <w:jc w:val="center"/>
        <w:rPr>
          <w:rFonts w:ascii="宋体" w:hAnsi="宋体" w:cs="宋体"/>
          <w:bCs/>
          <w:color w:val="auto"/>
          <w:sz w:val="24"/>
          <w:szCs w:val="24"/>
          <w:highlight w:val="none"/>
        </w:rPr>
      </w:pPr>
    </w:p>
    <w:p w14:paraId="4F14EE35">
      <w:pPr>
        <w:snapToGrid w:val="0"/>
        <w:spacing w:line="360" w:lineRule="auto"/>
        <w:jc w:val="center"/>
        <w:rPr>
          <w:rFonts w:ascii="宋体" w:hAnsi="宋体" w:cs="宋体"/>
          <w:b/>
          <w:color w:val="auto"/>
          <w:sz w:val="36"/>
          <w:szCs w:val="36"/>
          <w:highlight w:val="none"/>
        </w:rPr>
      </w:pPr>
      <w:r>
        <w:rPr>
          <w:rFonts w:hint="eastAsia" w:ascii="宋体" w:hAnsi="宋体" w:cs="宋体"/>
          <w:b/>
          <w:color w:val="auto"/>
          <w:sz w:val="36"/>
          <w:szCs w:val="36"/>
          <w:highlight w:val="none"/>
        </w:rPr>
        <w:t>参与编制技术标投标文件人员名单</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3"/>
        <w:gridCol w:w="1470"/>
        <w:gridCol w:w="2520"/>
        <w:gridCol w:w="2415"/>
        <w:gridCol w:w="1448"/>
      </w:tblGrid>
      <w:tr w14:paraId="2ED37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9116" w:type="dxa"/>
            <w:gridSpan w:val="5"/>
            <w:tcBorders>
              <w:top w:val="single" w:color="auto" w:sz="4" w:space="0"/>
              <w:left w:val="single" w:color="auto" w:sz="4" w:space="0"/>
              <w:bottom w:val="single" w:color="auto" w:sz="4" w:space="0"/>
              <w:right w:val="single" w:color="auto" w:sz="4" w:space="0"/>
            </w:tcBorders>
            <w:noWrap/>
            <w:vAlign w:val="center"/>
          </w:tcPr>
          <w:p w14:paraId="3D3D1D6C">
            <w:pPr>
              <w:tabs>
                <w:tab w:val="left" w:pos="720"/>
              </w:tabs>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投标单位名称</w:t>
            </w:r>
          </w:p>
        </w:tc>
      </w:tr>
      <w:tr w14:paraId="50CB5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263" w:type="dxa"/>
            <w:tcBorders>
              <w:top w:val="single" w:color="auto" w:sz="4" w:space="0"/>
              <w:left w:val="single" w:color="auto" w:sz="4" w:space="0"/>
              <w:bottom w:val="single" w:color="auto" w:sz="4" w:space="0"/>
              <w:right w:val="single" w:color="auto" w:sz="4" w:space="0"/>
            </w:tcBorders>
            <w:noWrap/>
            <w:vAlign w:val="center"/>
          </w:tcPr>
          <w:p w14:paraId="6B6B4167">
            <w:pPr>
              <w:tabs>
                <w:tab w:val="left" w:pos="720"/>
              </w:tabs>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姓名</w:t>
            </w:r>
          </w:p>
        </w:tc>
        <w:tc>
          <w:tcPr>
            <w:tcW w:w="1470" w:type="dxa"/>
            <w:tcBorders>
              <w:top w:val="single" w:color="auto" w:sz="4" w:space="0"/>
              <w:left w:val="single" w:color="auto" w:sz="4" w:space="0"/>
              <w:bottom w:val="single" w:color="auto" w:sz="4" w:space="0"/>
              <w:right w:val="single" w:color="auto" w:sz="4" w:space="0"/>
            </w:tcBorders>
            <w:noWrap/>
            <w:vAlign w:val="center"/>
          </w:tcPr>
          <w:p w14:paraId="33E7537B">
            <w:pPr>
              <w:tabs>
                <w:tab w:val="left" w:pos="720"/>
              </w:tabs>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职务</w:t>
            </w:r>
          </w:p>
        </w:tc>
        <w:tc>
          <w:tcPr>
            <w:tcW w:w="2520" w:type="dxa"/>
            <w:tcBorders>
              <w:top w:val="single" w:color="auto" w:sz="4" w:space="0"/>
              <w:left w:val="single" w:color="auto" w:sz="4" w:space="0"/>
              <w:bottom w:val="single" w:color="auto" w:sz="4" w:space="0"/>
              <w:right w:val="single" w:color="auto" w:sz="4" w:space="0"/>
            </w:tcBorders>
            <w:noWrap/>
            <w:vAlign w:val="center"/>
          </w:tcPr>
          <w:p w14:paraId="45BD4F94">
            <w:pPr>
              <w:tabs>
                <w:tab w:val="left" w:pos="720"/>
              </w:tabs>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所承担工作</w:t>
            </w:r>
          </w:p>
        </w:tc>
        <w:tc>
          <w:tcPr>
            <w:tcW w:w="2415" w:type="dxa"/>
            <w:tcBorders>
              <w:top w:val="single" w:color="auto" w:sz="4" w:space="0"/>
              <w:left w:val="single" w:color="auto" w:sz="4" w:space="0"/>
              <w:bottom w:val="single" w:color="auto" w:sz="4" w:space="0"/>
              <w:right w:val="single" w:color="auto" w:sz="4" w:space="0"/>
            </w:tcBorders>
            <w:noWrap/>
            <w:vAlign w:val="center"/>
          </w:tcPr>
          <w:p w14:paraId="70F45EAD">
            <w:pPr>
              <w:tabs>
                <w:tab w:val="left" w:pos="720"/>
              </w:tabs>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身份证号码</w:t>
            </w:r>
          </w:p>
        </w:tc>
        <w:tc>
          <w:tcPr>
            <w:tcW w:w="1448" w:type="dxa"/>
            <w:tcBorders>
              <w:top w:val="single" w:color="auto" w:sz="4" w:space="0"/>
              <w:left w:val="single" w:color="auto" w:sz="4" w:space="0"/>
              <w:bottom w:val="single" w:color="auto" w:sz="4" w:space="0"/>
              <w:right w:val="single" w:color="auto" w:sz="4" w:space="0"/>
            </w:tcBorders>
            <w:noWrap/>
            <w:vAlign w:val="center"/>
          </w:tcPr>
          <w:p w14:paraId="5C101728">
            <w:pPr>
              <w:tabs>
                <w:tab w:val="left" w:pos="720"/>
              </w:tabs>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本人签名栏</w:t>
            </w:r>
          </w:p>
        </w:tc>
      </w:tr>
      <w:tr w14:paraId="4A2D8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263" w:type="dxa"/>
            <w:tcBorders>
              <w:top w:val="single" w:color="auto" w:sz="4" w:space="0"/>
              <w:left w:val="single" w:color="auto" w:sz="4" w:space="0"/>
              <w:bottom w:val="single" w:color="auto" w:sz="4" w:space="0"/>
              <w:right w:val="single" w:color="auto" w:sz="4" w:space="0"/>
            </w:tcBorders>
            <w:noWrap/>
            <w:vAlign w:val="center"/>
          </w:tcPr>
          <w:p w14:paraId="08A73711">
            <w:pPr>
              <w:tabs>
                <w:tab w:val="left" w:pos="720"/>
              </w:tabs>
              <w:snapToGrid w:val="0"/>
              <w:spacing w:line="360" w:lineRule="auto"/>
              <w:jc w:val="center"/>
              <w:rPr>
                <w:rFonts w:ascii="宋体" w:hAnsi="宋体" w:cs="宋体"/>
                <w:color w:val="auto"/>
                <w:szCs w:val="21"/>
                <w:highlight w:val="none"/>
              </w:rPr>
            </w:pPr>
          </w:p>
        </w:tc>
        <w:tc>
          <w:tcPr>
            <w:tcW w:w="1470" w:type="dxa"/>
            <w:tcBorders>
              <w:top w:val="single" w:color="auto" w:sz="4" w:space="0"/>
              <w:left w:val="single" w:color="auto" w:sz="4" w:space="0"/>
              <w:bottom w:val="single" w:color="auto" w:sz="4" w:space="0"/>
              <w:right w:val="single" w:color="auto" w:sz="4" w:space="0"/>
            </w:tcBorders>
            <w:noWrap/>
            <w:vAlign w:val="center"/>
          </w:tcPr>
          <w:p w14:paraId="5DE960A8">
            <w:pPr>
              <w:tabs>
                <w:tab w:val="left" w:pos="720"/>
              </w:tabs>
              <w:snapToGrid w:val="0"/>
              <w:spacing w:line="360" w:lineRule="auto"/>
              <w:jc w:val="center"/>
              <w:rPr>
                <w:rFonts w:ascii="宋体" w:hAnsi="宋体" w:cs="宋体"/>
                <w:color w:val="auto"/>
                <w:szCs w:val="21"/>
                <w:highlight w:val="none"/>
              </w:rPr>
            </w:pPr>
          </w:p>
        </w:tc>
        <w:tc>
          <w:tcPr>
            <w:tcW w:w="2520" w:type="dxa"/>
            <w:tcBorders>
              <w:top w:val="single" w:color="auto" w:sz="4" w:space="0"/>
              <w:left w:val="single" w:color="auto" w:sz="4" w:space="0"/>
              <w:bottom w:val="single" w:color="auto" w:sz="4" w:space="0"/>
              <w:right w:val="single" w:color="auto" w:sz="4" w:space="0"/>
            </w:tcBorders>
            <w:noWrap/>
            <w:vAlign w:val="center"/>
          </w:tcPr>
          <w:p w14:paraId="1D0B65AD">
            <w:pPr>
              <w:tabs>
                <w:tab w:val="left" w:pos="720"/>
              </w:tabs>
              <w:snapToGrid w:val="0"/>
              <w:spacing w:line="360" w:lineRule="auto"/>
              <w:jc w:val="center"/>
              <w:rPr>
                <w:rFonts w:ascii="宋体" w:hAnsi="宋体" w:cs="宋体"/>
                <w:color w:val="auto"/>
                <w:szCs w:val="21"/>
                <w:highlight w:val="none"/>
              </w:rPr>
            </w:pPr>
          </w:p>
        </w:tc>
        <w:tc>
          <w:tcPr>
            <w:tcW w:w="2415" w:type="dxa"/>
            <w:tcBorders>
              <w:top w:val="single" w:color="auto" w:sz="4" w:space="0"/>
              <w:left w:val="single" w:color="auto" w:sz="4" w:space="0"/>
              <w:bottom w:val="single" w:color="auto" w:sz="4" w:space="0"/>
              <w:right w:val="single" w:color="auto" w:sz="4" w:space="0"/>
            </w:tcBorders>
            <w:noWrap/>
            <w:vAlign w:val="center"/>
          </w:tcPr>
          <w:p w14:paraId="2341DE5E">
            <w:pPr>
              <w:tabs>
                <w:tab w:val="left" w:pos="720"/>
              </w:tabs>
              <w:snapToGrid w:val="0"/>
              <w:spacing w:line="360" w:lineRule="auto"/>
              <w:jc w:val="center"/>
              <w:rPr>
                <w:rFonts w:ascii="宋体" w:hAnsi="宋体" w:cs="宋体"/>
                <w:color w:val="auto"/>
                <w:szCs w:val="21"/>
                <w:highlight w:val="none"/>
              </w:rPr>
            </w:pPr>
          </w:p>
        </w:tc>
        <w:tc>
          <w:tcPr>
            <w:tcW w:w="1448" w:type="dxa"/>
            <w:tcBorders>
              <w:top w:val="single" w:color="auto" w:sz="4" w:space="0"/>
              <w:left w:val="single" w:color="auto" w:sz="4" w:space="0"/>
              <w:bottom w:val="single" w:color="auto" w:sz="4" w:space="0"/>
              <w:right w:val="single" w:color="auto" w:sz="4" w:space="0"/>
            </w:tcBorders>
            <w:noWrap/>
            <w:vAlign w:val="center"/>
          </w:tcPr>
          <w:p w14:paraId="757BC266">
            <w:pPr>
              <w:tabs>
                <w:tab w:val="left" w:pos="720"/>
              </w:tabs>
              <w:snapToGrid w:val="0"/>
              <w:spacing w:line="360" w:lineRule="auto"/>
              <w:jc w:val="center"/>
              <w:rPr>
                <w:rFonts w:ascii="宋体" w:hAnsi="宋体" w:cs="宋体"/>
                <w:color w:val="auto"/>
                <w:szCs w:val="21"/>
                <w:highlight w:val="none"/>
              </w:rPr>
            </w:pPr>
          </w:p>
        </w:tc>
      </w:tr>
      <w:tr w14:paraId="25B1D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263" w:type="dxa"/>
            <w:tcBorders>
              <w:top w:val="single" w:color="auto" w:sz="4" w:space="0"/>
              <w:left w:val="single" w:color="auto" w:sz="4" w:space="0"/>
              <w:bottom w:val="single" w:color="auto" w:sz="4" w:space="0"/>
              <w:right w:val="single" w:color="auto" w:sz="4" w:space="0"/>
            </w:tcBorders>
            <w:noWrap/>
            <w:vAlign w:val="center"/>
          </w:tcPr>
          <w:p w14:paraId="360B4595">
            <w:pPr>
              <w:tabs>
                <w:tab w:val="left" w:pos="720"/>
              </w:tabs>
              <w:snapToGrid w:val="0"/>
              <w:spacing w:line="360" w:lineRule="auto"/>
              <w:jc w:val="center"/>
              <w:rPr>
                <w:rFonts w:ascii="宋体" w:hAnsi="宋体" w:cs="宋体"/>
                <w:color w:val="auto"/>
                <w:szCs w:val="21"/>
                <w:highlight w:val="none"/>
              </w:rPr>
            </w:pPr>
          </w:p>
        </w:tc>
        <w:tc>
          <w:tcPr>
            <w:tcW w:w="1470" w:type="dxa"/>
            <w:tcBorders>
              <w:top w:val="single" w:color="auto" w:sz="4" w:space="0"/>
              <w:left w:val="single" w:color="auto" w:sz="4" w:space="0"/>
              <w:bottom w:val="single" w:color="auto" w:sz="4" w:space="0"/>
              <w:right w:val="single" w:color="auto" w:sz="4" w:space="0"/>
            </w:tcBorders>
            <w:noWrap/>
            <w:vAlign w:val="center"/>
          </w:tcPr>
          <w:p w14:paraId="0BEE6EB0">
            <w:pPr>
              <w:tabs>
                <w:tab w:val="left" w:pos="720"/>
              </w:tabs>
              <w:snapToGrid w:val="0"/>
              <w:spacing w:line="360" w:lineRule="auto"/>
              <w:jc w:val="center"/>
              <w:rPr>
                <w:rFonts w:ascii="宋体" w:hAnsi="宋体" w:cs="宋体"/>
                <w:color w:val="auto"/>
                <w:szCs w:val="21"/>
                <w:highlight w:val="none"/>
              </w:rPr>
            </w:pPr>
          </w:p>
        </w:tc>
        <w:tc>
          <w:tcPr>
            <w:tcW w:w="2520" w:type="dxa"/>
            <w:tcBorders>
              <w:top w:val="single" w:color="auto" w:sz="4" w:space="0"/>
              <w:left w:val="single" w:color="auto" w:sz="4" w:space="0"/>
              <w:bottom w:val="single" w:color="auto" w:sz="4" w:space="0"/>
              <w:right w:val="single" w:color="auto" w:sz="4" w:space="0"/>
            </w:tcBorders>
            <w:noWrap/>
            <w:vAlign w:val="center"/>
          </w:tcPr>
          <w:p w14:paraId="53273B68">
            <w:pPr>
              <w:tabs>
                <w:tab w:val="left" w:pos="720"/>
              </w:tabs>
              <w:snapToGrid w:val="0"/>
              <w:spacing w:line="360" w:lineRule="auto"/>
              <w:jc w:val="center"/>
              <w:rPr>
                <w:rFonts w:ascii="宋体" w:hAnsi="宋体" w:cs="宋体"/>
                <w:color w:val="auto"/>
                <w:szCs w:val="21"/>
                <w:highlight w:val="none"/>
              </w:rPr>
            </w:pPr>
          </w:p>
        </w:tc>
        <w:tc>
          <w:tcPr>
            <w:tcW w:w="2415" w:type="dxa"/>
            <w:tcBorders>
              <w:top w:val="single" w:color="auto" w:sz="4" w:space="0"/>
              <w:left w:val="single" w:color="auto" w:sz="4" w:space="0"/>
              <w:bottom w:val="single" w:color="auto" w:sz="4" w:space="0"/>
              <w:right w:val="single" w:color="auto" w:sz="4" w:space="0"/>
            </w:tcBorders>
            <w:noWrap/>
            <w:vAlign w:val="center"/>
          </w:tcPr>
          <w:p w14:paraId="3C27D07D">
            <w:pPr>
              <w:tabs>
                <w:tab w:val="left" w:pos="720"/>
              </w:tabs>
              <w:snapToGrid w:val="0"/>
              <w:spacing w:line="360" w:lineRule="auto"/>
              <w:jc w:val="center"/>
              <w:rPr>
                <w:rFonts w:ascii="宋体" w:hAnsi="宋体" w:cs="宋体"/>
                <w:color w:val="auto"/>
                <w:szCs w:val="21"/>
                <w:highlight w:val="none"/>
              </w:rPr>
            </w:pPr>
          </w:p>
        </w:tc>
        <w:tc>
          <w:tcPr>
            <w:tcW w:w="1448" w:type="dxa"/>
            <w:tcBorders>
              <w:top w:val="single" w:color="auto" w:sz="4" w:space="0"/>
              <w:left w:val="single" w:color="auto" w:sz="4" w:space="0"/>
              <w:bottom w:val="single" w:color="auto" w:sz="4" w:space="0"/>
              <w:right w:val="single" w:color="auto" w:sz="4" w:space="0"/>
            </w:tcBorders>
            <w:noWrap/>
            <w:vAlign w:val="center"/>
          </w:tcPr>
          <w:p w14:paraId="3B6C2CE5">
            <w:pPr>
              <w:tabs>
                <w:tab w:val="left" w:pos="720"/>
              </w:tabs>
              <w:snapToGrid w:val="0"/>
              <w:spacing w:line="360" w:lineRule="auto"/>
              <w:jc w:val="center"/>
              <w:rPr>
                <w:rFonts w:ascii="宋体" w:hAnsi="宋体" w:cs="宋体"/>
                <w:color w:val="auto"/>
                <w:szCs w:val="21"/>
                <w:highlight w:val="none"/>
              </w:rPr>
            </w:pPr>
          </w:p>
        </w:tc>
      </w:tr>
      <w:tr w14:paraId="179CF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263" w:type="dxa"/>
            <w:tcBorders>
              <w:top w:val="single" w:color="auto" w:sz="4" w:space="0"/>
              <w:left w:val="single" w:color="auto" w:sz="4" w:space="0"/>
              <w:bottom w:val="single" w:color="auto" w:sz="4" w:space="0"/>
              <w:right w:val="single" w:color="auto" w:sz="4" w:space="0"/>
            </w:tcBorders>
            <w:noWrap/>
            <w:vAlign w:val="center"/>
          </w:tcPr>
          <w:p w14:paraId="372B3BB4">
            <w:pPr>
              <w:tabs>
                <w:tab w:val="left" w:pos="720"/>
              </w:tabs>
              <w:snapToGrid w:val="0"/>
              <w:spacing w:line="360" w:lineRule="auto"/>
              <w:jc w:val="center"/>
              <w:rPr>
                <w:rFonts w:ascii="宋体" w:hAnsi="宋体" w:cs="宋体"/>
                <w:color w:val="auto"/>
                <w:szCs w:val="21"/>
                <w:highlight w:val="none"/>
              </w:rPr>
            </w:pPr>
          </w:p>
        </w:tc>
        <w:tc>
          <w:tcPr>
            <w:tcW w:w="1470" w:type="dxa"/>
            <w:tcBorders>
              <w:top w:val="single" w:color="auto" w:sz="4" w:space="0"/>
              <w:left w:val="single" w:color="auto" w:sz="4" w:space="0"/>
              <w:bottom w:val="single" w:color="auto" w:sz="4" w:space="0"/>
              <w:right w:val="single" w:color="auto" w:sz="4" w:space="0"/>
            </w:tcBorders>
            <w:noWrap/>
            <w:vAlign w:val="center"/>
          </w:tcPr>
          <w:p w14:paraId="040724E4">
            <w:pPr>
              <w:tabs>
                <w:tab w:val="left" w:pos="720"/>
              </w:tabs>
              <w:snapToGrid w:val="0"/>
              <w:spacing w:line="360" w:lineRule="auto"/>
              <w:jc w:val="center"/>
              <w:rPr>
                <w:rFonts w:ascii="宋体" w:hAnsi="宋体" w:cs="宋体"/>
                <w:color w:val="auto"/>
                <w:szCs w:val="21"/>
                <w:highlight w:val="none"/>
              </w:rPr>
            </w:pPr>
          </w:p>
        </w:tc>
        <w:tc>
          <w:tcPr>
            <w:tcW w:w="2520" w:type="dxa"/>
            <w:tcBorders>
              <w:top w:val="single" w:color="auto" w:sz="4" w:space="0"/>
              <w:left w:val="single" w:color="auto" w:sz="4" w:space="0"/>
              <w:bottom w:val="single" w:color="auto" w:sz="4" w:space="0"/>
              <w:right w:val="single" w:color="auto" w:sz="4" w:space="0"/>
            </w:tcBorders>
            <w:noWrap/>
            <w:vAlign w:val="center"/>
          </w:tcPr>
          <w:p w14:paraId="4086F55C">
            <w:pPr>
              <w:tabs>
                <w:tab w:val="left" w:pos="720"/>
              </w:tabs>
              <w:snapToGrid w:val="0"/>
              <w:spacing w:line="360" w:lineRule="auto"/>
              <w:jc w:val="center"/>
              <w:rPr>
                <w:rFonts w:ascii="宋体" w:hAnsi="宋体" w:cs="宋体"/>
                <w:color w:val="auto"/>
                <w:szCs w:val="21"/>
                <w:highlight w:val="none"/>
              </w:rPr>
            </w:pPr>
          </w:p>
        </w:tc>
        <w:tc>
          <w:tcPr>
            <w:tcW w:w="2415" w:type="dxa"/>
            <w:tcBorders>
              <w:top w:val="single" w:color="auto" w:sz="4" w:space="0"/>
              <w:left w:val="single" w:color="auto" w:sz="4" w:space="0"/>
              <w:bottom w:val="single" w:color="auto" w:sz="4" w:space="0"/>
              <w:right w:val="single" w:color="auto" w:sz="4" w:space="0"/>
            </w:tcBorders>
            <w:noWrap/>
            <w:vAlign w:val="center"/>
          </w:tcPr>
          <w:p w14:paraId="494CD78F">
            <w:pPr>
              <w:tabs>
                <w:tab w:val="left" w:pos="720"/>
              </w:tabs>
              <w:snapToGrid w:val="0"/>
              <w:spacing w:line="360" w:lineRule="auto"/>
              <w:jc w:val="center"/>
              <w:rPr>
                <w:rFonts w:ascii="宋体" w:hAnsi="宋体" w:cs="宋体"/>
                <w:color w:val="auto"/>
                <w:szCs w:val="21"/>
                <w:highlight w:val="none"/>
              </w:rPr>
            </w:pPr>
          </w:p>
        </w:tc>
        <w:tc>
          <w:tcPr>
            <w:tcW w:w="1448" w:type="dxa"/>
            <w:tcBorders>
              <w:top w:val="single" w:color="auto" w:sz="4" w:space="0"/>
              <w:left w:val="single" w:color="auto" w:sz="4" w:space="0"/>
              <w:bottom w:val="single" w:color="auto" w:sz="4" w:space="0"/>
              <w:right w:val="single" w:color="auto" w:sz="4" w:space="0"/>
            </w:tcBorders>
            <w:noWrap/>
            <w:vAlign w:val="center"/>
          </w:tcPr>
          <w:p w14:paraId="10C3F772">
            <w:pPr>
              <w:tabs>
                <w:tab w:val="left" w:pos="720"/>
              </w:tabs>
              <w:snapToGrid w:val="0"/>
              <w:spacing w:line="360" w:lineRule="auto"/>
              <w:jc w:val="center"/>
              <w:rPr>
                <w:rFonts w:ascii="宋体" w:hAnsi="宋体" w:cs="宋体"/>
                <w:color w:val="auto"/>
                <w:szCs w:val="21"/>
                <w:highlight w:val="none"/>
              </w:rPr>
            </w:pPr>
          </w:p>
        </w:tc>
      </w:tr>
      <w:tr w14:paraId="3C145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263" w:type="dxa"/>
            <w:tcBorders>
              <w:top w:val="single" w:color="auto" w:sz="4" w:space="0"/>
              <w:left w:val="single" w:color="auto" w:sz="4" w:space="0"/>
              <w:bottom w:val="single" w:color="auto" w:sz="4" w:space="0"/>
              <w:right w:val="single" w:color="auto" w:sz="4" w:space="0"/>
            </w:tcBorders>
            <w:noWrap/>
            <w:vAlign w:val="center"/>
          </w:tcPr>
          <w:p w14:paraId="3F78D79B">
            <w:pPr>
              <w:tabs>
                <w:tab w:val="left" w:pos="720"/>
              </w:tabs>
              <w:snapToGrid w:val="0"/>
              <w:spacing w:line="360" w:lineRule="auto"/>
              <w:jc w:val="center"/>
              <w:rPr>
                <w:rFonts w:ascii="宋体" w:hAnsi="宋体" w:cs="宋体"/>
                <w:color w:val="auto"/>
                <w:szCs w:val="21"/>
                <w:highlight w:val="none"/>
              </w:rPr>
            </w:pPr>
          </w:p>
        </w:tc>
        <w:tc>
          <w:tcPr>
            <w:tcW w:w="1470" w:type="dxa"/>
            <w:tcBorders>
              <w:top w:val="single" w:color="auto" w:sz="4" w:space="0"/>
              <w:left w:val="single" w:color="auto" w:sz="4" w:space="0"/>
              <w:bottom w:val="single" w:color="auto" w:sz="4" w:space="0"/>
              <w:right w:val="single" w:color="auto" w:sz="4" w:space="0"/>
            </w:tcBorders>
            <w:noWrap/>
            <w:vAlign w:val="center"/>
          </w:tcPr>
          <w:p w14:paraId="335271D1">
            <w:pPr>
              <w:tabs>
                <w:tab w:val="left" w:pos="720"/>
              </w:tabs>
              <w:snapToGrid w:val="0"/>
              <w:spacing w:line="360" w:lineRule="auto"/>
              <w:jc w:val="center"/>
              <w:rPr>
                <w:rFonts w:ascii="宋体" w:hAnsi="宋体" w:cs="宋体"/>
                <w:color w:val="auto"/>
                <w:szCs w:val="21"/>
                <w:highlight w:val="none"/>
              </w:rPr>
            </w:pPr>
          </w:p>
        </w:tc>
        <w:tc>
          <w:tcPr>
            <w:tcW w:w="2520" w:type="dxa"/>
            <w:tcBorders>
              <w:top w:val="single" w:color="auto" w:sz="4" w:space="0"/>
              <w:left w:val="single" w:color="auto" w:sz="4" w:space="0"/>
              <w:bottom w:val="single" w:color="auto" w:sz="4" w:space="0"/>
              <w:right w:val="single" w:color="auto" w:sz="4" w:space="0"/>
            </w:tcBorders>
            <w:noWrap/>
            <w:vAlign w:val="center"/>
          </w:tcPr>
          <w:p w14:paraId="5F9C137E">
            <w:pPr>
              <w:tabs>
                <w:tab w:val="left" w:pos="720"/>
              </w:tabs>
              <w:snapToGrid w:val="0"/>
              <w:spacing w:line="360" w:lineRule="auto"/>
              <w:jc w:val="center"/>
              <w:rPr>
                <w:rFonts w:ascii="宋体" w:hAnsi="宋体" w:cs="宋体"/>
                <w:color w:val="auto"/>
                <w:szCs w:val="21"/>
                <w:highlight w:val="none"/>
              </w:rPr>
            </w:pPr>
          </w:p>
        </w:tc>
        <w:tc>
          <w:tcPr>
            <w:tcW w:w="2415" w:type="dxa"/>
            <w:tcBorders>
              <w:top w:val="single" w:color="auto" w:sz="4" w:space="0"/>
              <w:left w:val="single" w:color="auto" w:sz="4" w:space="0"/>
              <w:bottom w:val="single" w:color="auto" w:sz="4" w:space="0"/>
              <w:right w:val="single" w:color="auto" w:sz="4" w:space="0"/>
            </w:tcBorders>
            <w:noWrap/>
            <w:vAlign w:val="center"/>
          </w:tcPr>
          <w:p w14:paraId="6D1C30D5">
            <w:pPr>
              <w:tabs>
                <w:tab w:val="left" w:pos="720"/>
              </w:tabs>
              <w:snapToGrid w:val="0"/>
              <w:spacing w:line="360" w:lineRule="auto"/>
              <w:jc w:val="center"/>
              <w:rPr>
                <w:rFonts w:ascii="宋体" w:hAnsi="宋体" w:cs="宋体"/>
                <w:color w:val="auto"/>
                <w:szCs w:val="21"/>
                <w:highlight w:val="none"/>
              </w:rPr>
            </w:pPr>
          </w:p>
        </w:tc>
        <w:tc>
          <w:tcPr>
            <w:tcW w:w="1448" w:type="dxa"/>
            <w:tcBorders>
              <w:top w:val="single" w:color="auto" w:sz="4" w:space="0"/>
              <w:left w:val="single" w:color="auto" w:sz="4" w:space="0"/>
              <w:bottom w:val="single" w:color="auto" w:sz="4" w:space="0"/>
              <w:right w:val="single" w:color="auto" w:sz="4" w:space="0"/>
            </w:tcBorders>
            <w:noWrap/>
            <w:vAlign w:val="center"/>
          </w:tcPr>
          <w:p w14:paraId="53B4516E">
            <w:pPr>
              <w:tabs>
                <w:tab w:val="left" w:pos="720"/>
              </w:tabs>
              <w:snapToGrid w:val="0"/>
              <w:spacing w:line="360" w:lineRule="auto"/>
              <w:jc w:val="center"/>
              <w:rPr>
                <w:rFonts w:ascii="宋体" w:hAnsi="宋体" w:cs="宋体"/>
                <w:color w:val="auto"/>
                <w:szCs w:val="21"/>
                <w:highlight w:val="none"/>
              </w:rPr>
            </w:pPr>
          </w:p>
        </w:tc>
      </w:tr>
      <w:tr w14:paraId="48EBC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263" w:type="dxa"/>
            <w:tcBorders>
              <w:top w:val="single" w:color="auto" w:sz="4" w:space="0"/>
              <w:left w:val="single" w:color="auto" w:sz="4" w:space="0"/>
              <w:bottom w:val="single" w:color="auto" w:sz="4" w:space="0"/>
              <w:right w:val="single" w:color="auto" w:sz="4" w:space="0"/>
            </w:tcBorders>
            <w:noWrap/>
            <w:vAlign w:val="center"/>
          </w:tcPr>
          <w:p w14:paraId="7F5DCB4C">
            <w:pPr>
              <w:tabs>
                <w:tab w:val="left" w:pos="720"/>
              </w:tabs>
              <w:snapToGrid w:val="0"/>
              <w:spacing w:line="360" w:lineRule="auto"/>
              <w:jc w:val="center"/>
              <w:rPr>
                <w:rFonts w:ascii="宋体" w:hAnsi="宋体" w:cs="宋体"/>
                <w:color w:val="auto"/>
                <w:szCs w:val="21"/>
                <w:highlight w:val="none"/>
              </w:rPr>
            </w:pPr>
          </w:p>
        </w:tc>
        <w:tc>
          <w:tcPr>
            <w:tcW w:w="1470" w:type="dxa"/>
            <w:tcBorders>
              <w:top w:val="single" w:color="auto" w:sz="4" w:space="0"/>
              <w:left w:val="single" w:color="auto" w:sz="4" w:space="0"/>
              <w:bottom w:val="single" w:color="auto" w:sz="4" w:space="0"/>
              <w:right w:val="single" w:color="auto" w:sz="4" w:space="0"/>
            </w:tcBorders>
            <w:noWrap/>
            <w:vAlign w:val="center"/>
          </w:tcPr>
          <w:p w14:paraId="634FB1A5">
            <w:pPr>
              <w:tabs>
                <w:tab w:val="left" w:pos="720"/>
              </w:tabs>
              <w:snapToGrid w:val="0"/>
              <w:spacing w:line="360" w:lineRule="auto"/>
              <w:jc w:val="center"/>
              <w:rPr>
                <w:rFonts w:ascii="宋体" w:hAnsi="宋体" w:cs="宋体"/>
                <w:color w:val="auto"/>
                <w:szCs w:val="21"/>
                <w:highlight w:val="none"/>
              </w:rPr>
            </w:pPr>
          </w:p>
        </w:tc>
        <w:tc>
          <w:tcPr>
            <w:tcW w:w="2520" w:type="dxa"/>
            <w:tcBorders>
              <w:top w:val="single" w:color="auto" w:sz="4" w:space="0"/>
              <w:left w:val="single" w:color="auto" w:sz="4" w:space="0"/>
              <w:bottom w:val="single" w:color="auto" w:sz="4" w:space="0"/>
              <w:right w:val="single" w:color="auto" w:sz="4" w:space="0"/>
            </w:tcBorders>
            <w:noWrap/>
            <w:vAlign w:val="center"/>
          </w:tcPr>
          <w:p w14:paraId="6C486B5B">
            <w:pPr>
              <w:tabs>
                <w:tab w:val="left" w:pos="720"/>
              </w:tabs>
              <w:snapToGrid w:val="0"/>
              <w:spacing w:line="360" w:lineRule="auto"/>
              <w:jc w:val="center"/>
              <w:rPr>
                <w:rFonts w:ascii="宋体" w:hAnsi="宋体" w:cs="宋体"/>
                <w:color w:val="auto"/>
                <w:szCs w:val="21"/>
                <w:highlight w:val="none"/>
              </w:rPr>
            </w:pPr>
          </w:p>
        </w:tc>
        <w:tc>
          <w:tcPr>
            <w:tcW w:w="2415" w:type="dxa"/>
            <w:tcBorders>
              <w:top w:val="single" w:color="auto" w:sz="4" w:space="0"/>
              <w:left w:val="single" w:color="auto" w:sz="4" w:space="0"/>
              <w:bottom w:val="single" w:color="auto" w:sz="4" w:space="0"/>
              <w:right w:val="single" w:color="auto" w:sz="4" w:space="0"/>
            </w:tcBorders>
            <w:noWrap/>
            <w:vAlign w:val="center"/>
          </w:tcPr>
          <w:p w14:paraId="71FB56D7">
            <w:pPr>
              <w:tabs>
                <w:tab w:val="left" w:pos="720"/>
              </w:tabs>
              <w:snapToGrid w:val="0"/>
              <w:spacing w:line="360" w:lineRule="auto"/>
              <w:jc w:val="center"/>
              <w:rPr>
                <w:rFonts w:ascii="宋体" w:hAnsi="宋体" w:cs="宋体"/>
                <w:color w:val="auto"/>
                <w:szCs w:val="21"/>
                <w:highlight w:val="none"/>
              </w:rPr>
            </w:pPr>
          </w:p>
        </w:tc>
        <w:tc>
          <w:tcPr>
            <w:tcW w:w="1448" w:type="dxa"/>
            <w:tcBorders>
              <w:top w:val="single" w:color="auto" w:sz="4" w:space="0"/>
              <w:left w:val="single" w:color="auto" w:sz="4" w:space="0"/>
              <w:bottom w:val="single" w:color="auto" w:sz="4" w:space="0"/>
              <w:right w:val="single" w:color="auto" w:sz="4" w:space="0"/>
            </w:tcBorders>
            <w:noWrap/>
            <w:vAlign w:val="center"/>
          </w:tcPr>
          <w:p w14:paraId="75715AB8">
            <w:pPr>
              <w:tabs>
                <w:tab w:val="left" w:pos="720"/>
              </w:tabs>
              <w:snapToGrid w:val="0"/>
              <w:spacing w:line="360" w:lineRule="auto"/>
              <w:jc w:val="center"/>
              <w:rPr>
                <w:rFonts w:ascii="宋体" w:hAnsi="宋体" w:cs="宋体"/>
                <w:color w:val="auto"/>
                <w:szCs w:val="21"/>
                <w:highlight w:val="none"/>
              </w:rPr>
            </w:pPr>
          </w:p>
        </w:tc>
      </w:tr>
      <w:tr w14:paraId="5BFE4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263" w:type="dxa"/>
            <w:tcBorders>
              <w:top w:val="single" w:color="auto" w:sz="4" w:space="0"/>
              <w:left w:val="single" w:color="auto" w:sz="4" w:space="0"/>
              <w:bottom w:val="single" w:color="auto" w:sz="4" w:space="0"/>
              <w:right w:val="single" w:color="auto" w:sz="4" w:space="0"/>
            </w:tcBorders>
            <w:noWrap/>
            <w:vAlign w:val="center"/>
          </w:tcPr>
          <w:p w14:paraId="6B8149BF">
            <w:pPr>
              <w:tabs>
                <w:tab w:val="left" w:pos="720"/>
              </w:tabs>
              <w:snapToGrid w:val="0"/>
              <w:spacing w:line="360" w:lineRule="auto"/>
              <w:jc w:val="center"/>
              <w:rPr>
                <w:rFonts w:ascii="宋体" w:hAnsi="宋体" w:cs="宋体"/>
                <w:color w:val="auto"/>
                <w:szCs w:val="21"/>
                <w:highlight w:val="none"/>
              </w:rPr>
            </w:pPr>
          </w:p>
        </w:tc>
        <w:tc>
          <w:tcPr>
            <w:tcW w:w="1470" w:type="dxa"/>
            <w:tcBorders>
              <w:top w:val="single" w:color="auto" w:sz="4" w:space="0"/>
              <w:left w:val="single" w:color="auto" w:sz="4" w:space="0"/>
              <w:bottom w:val="single" w:color="auto" w:sz="4" w:space="0"/>
              <w:right w:val="single" w:color="auto" w:sz="4" w:space="0"/>
            </w:tcBorders>
            <w:noWrap/>
            <w:vAlign w:val="center"/>
          </w:tcPr>
          <w:p w14:paraId="3737F429">
            <w:pPr>
              <w:tabs>
                <w:tab w:val="left" w:pos="720"/>
              </w:tabs>
              <w:snapToGrid w:val="0"/>
              <w:spacing w:line="360" w:lineRule="auto"/>
              <w:jc w:val="center"/>
              <w:rPr>
                <w:rFonts w:ascii="宋体" w:hAnsi="宋体" w:cs="宋体"/>
                <w:color w:val="auto"/>
                <w:szCs w:val="21"/>
                <w:highlight w:val="none"/>
              </w:rPr>
            </w:pPr>
          </w:p>
        </w:tc>
        <w:tc>
          <w:tcPr>
            <w:tcW w:w="2520" w:type="dxa"/>
            <w:tcBorders>
              <w:top w:val="single" w:color="auto" w:sz="4" w:space="0"/>
              <w:left w:val="single" w:color="auto" w:sz="4" w:space="0"/>
              <w:bottom w:val="single" w:color="auto" w:sz="4" w:space="0"/>
              <w:right w:val="single" w:color="auto" w:sz="4" w:space="0"/>
            </w:tcBorders>
            <w:noWrap/>
            <w:vAlign w:val="center"/>
          </w:tcPr>
          <w:p w14:paraId="59ED8CAB">
            <w:pPr>
              <w:tabs>
                <w:tab w:val="left" w:pos="720"/>
              </w:tabs>
              <w:snapToGrid w:val="0"/>
              <w:spacing w:line="360" w:lineRule="auto"/>
              <w:jc w:val="center"/>
              <w:rPr>
                <w:rFonts w:ascii="宋体" w:hAnsi="宋体" w:cs="宋体"/>
                <w:color w:val="auto"/>
                <w:szCs w:val="21"/>
                <w:highlight w:val="none"/>
              </w:rPr>
            </w:pPr>
          </w:p>
        </w:tc>
        <w:tc>
          <w:tcPr>
            <w:tcW w:w="2415" w:type="dxa"/>
            <w:tcBorders>
              <w:top w:val="single" w:color="auto" w:sz="4" w:space="0"/>
              <w:left w:val="single" w:color="auto" w:sz="4" w:space="0"/>
              <w:bottom w:val="single" w:color="auto" w:sz="4" w:space="0"/>
              <w:right w:val="single" w:color="auto" w:sz="4" w:space="0"/>
            </w:tcBorders>
            <w:noWrap/>
            <w:vAlign w:val="center"/>
          </w:tcPr>
          <w:p w14:paraId="5A977882">
            <w:pPr>
              <w:tabs>
                <w:tab w:val="left" w:pos="720"/>
              </w:tabs>
              <w:snapToGrid w:val="0"/>
              <w:spacing w:line="360" w:lineRule="auto"/>
              <w:jc w:val="center"/>
              <w:rPr>
                <w:rFonts w:ascii="宋体" w:hAnsi="宋体" w:cs="宋体"/>
                <w:color w:val="auto"/>
                <w:szCs w:val="21"/>
                <w:highlight w:val="none"/>
              </w:rPr>
            </w:pPr>
          </w:p>
        </w:tc>
        <w:tc>
          <w:tcPr>
            <w:tcW w:w="1448" w:type="dxa"/>
            <w:tcBorders>
              <w:top w:val="single" w:color="auto" w:sz="4" w:space="0"/>
              <w:left w:val="single" w:color="auto" w:sz="4" w:space="0"/>
              <w:bottom w:val="single" w:color="auto" w:sz="4" w:space="0"/>
              <w:right w:val="single" w:color="auto" w:sz="4" w:space="0"/>
            </w:tcBorders>
            <w:noWrap/>
            <w:vAlign w:val="center"/>
          </w:tcPr>
          <w:p w14:paraId="6577BDF3">
            <w:pPr>
              <w:tabs>
                <w:tab w:val="left" w:pos="720"/>
              </w:tabs>
              <w:snapToGrid w:val="0"/>
              <w:spacing w:line="360" w:lineRule="auto"/>
              <w:jc w:val="center"/>
              <w:rPr>
                <w:rFonts w:ascii="宋体" w:hAnsi="宋体" w:cs="宋体"/>
                <w:color w:val="auto"/>
                <w:szCs w:val="21"/>
                <w:highlight w:val="none"/>
              </w:rPr>
            </w:pPr>
          </w:p>
        </w:tc>
      </w:tr>
      <w:tr w14:paraId="1A402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63" w:type="dxa"/>
            <w:tcBorders>
              <w:top w:val="single" w:color="auto" w:sz="4" w:space="0"/>
              <w:left w:val="single" w:color="auto" w:sz="4" w:space="0"/>
              <w:bottom w:val="single" w:color="auto" w:sz="4" w:space="0"/>
              <w:right w:val="single" w:color="auto" w:sz="4" w:space="0"/>
            </w:tcBorders>
            <w:noWrap/>
            <w:vAlign w:val="center"/>
          </w:tcPr>
          <w:p w14:paraId="1A164782">
            <w:pPr>
              <w:tabs>
                <w:tab w:val="left" w:pos="720"/>
              </w:tabs>
              <w:snapToGrid w:val="0"/>
              <w:spacing w:line="360" w:lineRule="auto"/>
              <w:jc w:val="center"/>
              <w:rPr>
                <w:rFonts w:ascii="宋体" w:hAnsi="宋体" w:cs="宋体"/>
                <w:color w:val="auto"/>
                <w:szCs w:val="21"/>
                <w:highlight w:val="none"/>
              </w:rPr>
            </w:pPr>
          </w:p>
        </w:tc>
        <w:tc>
          <w:tcPr>
            <w:tcW w:w="1470" w:type="dxa"/>
            <w:tcBorders>
              <w:top w:val="single" w:color="auto" w:sz="4" w:space="0"/>
              <w:left w:val="single" w:color="auto" w:sz="4" w:space="0"/>
              <w:bottom w:val="single" w:color="auto" w:sz="4" w:space="0"/>
              <w:right w:val="single" w:color="auto" w:sz="4" w:space="0"/>
            </w:tcBorders>
            <w:noWrap/>
            <w:vAlign w:val="center"/>
          </w:tcPr>
          <w:p w14:paraId="348CBF0F">
            <w:pPr>
              <w:tabs>
                <w:tab w:val="left" w:pos="720"/>
              </w:tabs>
              <w:snapToGrid w:val="0"/>
              <w:spacing w:line="360" w:lineRule="auto"/>
              <w:jc w:val="center"/>
              <w:rPr>
                <w:rFonts w:ascii="宋体" w:hAnsi="宋体" w:cs="宋体"/>
                <w:color w:val="auto"/>
                <w:szCs w:val="21"/>
                <w:highlight w:val="none"/>
              </w:rPr>
            </w:pPr>
          </w:p>
        </w:tc>
        <w:tc>
          <w:tcPr>
            <w:tcW w:w="2520" w:type="dxa"/>
            <w:tcBorders>
              <w:top w:val="single" w:color="auto" w:sz="4" w:space="0"/>
              <w:left w:val="single" w:color="auto" w:sz="4" w:space="0"/>
              <w:bottom w:val="single" w:color="auto" w:sz="4" w:space="0"/>
              <w:right w:val="single" w:color="auto" w:sz="4" w:space="0"/>
            </w:tcBorders>
            <w:noWrap/>
            <w:vAlign w:val="center"/>
          </w:tcPr>
          <w:p w14:paraId="5815CA86">
            <w:pPr>
              <w:tabs>
                <w:tab w:val="left" w:pos="720"/>
              </w:tabs>
              <w:snapToGrid w:val="0"/>
              <w:spacing w:line="360" w:lineRule="auto"/>
              <w:jc w:val="center"/>
              <w:rPr>
                <w:rFonts w:ascii="宋体" w:hAnsi="宋体" w:cs="宋体"/>
                <w:color w:val="auto"/>
                <w:szCs w:val="21"/>
                <w:highlight w:val="none"/>
              </w:rPr>
            </w:pPr>
          </w:p>
        </w:tc>
        <w:tc>
          <w:tcPr>
            <w:tcW w:w="2415" w:type="dxa"/>
            <w:tcBorders>
              <w:top w:val="single" w:color="auto" w:sz="4" w:space="0"/>
              <w:left w:val="single" w:color="auto" w:sz="4" w:space="0"/>
              <w:bottom w:val="single" w:color="auto" w:sz="4" w:space="0"/>
              <w:right w:val="single" w:color="auto" w:sz="4" w:space="0"/>
            </w:tcBorders>
            <w:noWrap/>
            <w:vAlign w:val="center"/>
          </w:tcPr>
          <w:p w14:paraId="6AD3D5F6">
            <w:pPr>
              <w:tabs>
                <w:tab w:val="left" w:pos="720"/>
              </w:tabs>
              <w:snapToGrid w:val="0"/>
              <w:spacing w:line="360" w:lineRule="auto"/>
              <w:jc w:val="center"/>
              <w:rPr>
                <w:rFonts w:ascii="宋体" w:hAnsi="宋体" w:cs="宋体"/>
                <w:color w:val="auto"/>
                <w:szCs w:val="21"/>
                <w:highlight w:val="none"/>
              </w:rPr>
            </w:pPr>
          </w:p>
        </w:tc>
        <w:tc>
          <w:tcPr>
            <w:tcW w:w="1448" w:type="dxa"/>
            <w:tcBorders>
              <w:top w:val="single" w:color="auto" w:sz="4" w:space="0"/>
              <w:left w:val="single" w:color="auto" w:sz="4" w:space="0"/>
              <w:bottom w:val="single" w:color="auto" w:sz="4" w:space="0"/>
              <w:right w:val="single" w:color="auto" w:sz="4" w:space="0"/>
            </w:tcBorders>
            <w:noWrap/>
            <w:vAlign w:val="center"/>
          </w:tcPr>
          <w:p w14:paraId="6E879B64">
            <w:pPr>
              <w:tabs>
                <w:tab w:val="left" w:pos="720"/>
              </w:tabs>
              <w:snapToGrid w:val="0"/>
              <w:spacing w:line="360" w:lineRule="auto"/>
              <w:jc w:val="center"/>
              <w:rPr>
                <w:rFonts w:ascii="宋体" w:hAnsi="宋体" w:cs="宋体"/>
                <w:color w:val="auto"/>
                <w:szCs w:val="21"/>
                <w:highlight w:val="none"/>
              </w:rPr>
            </w:pPr>
          </w:p>
        </w:tc>
      </w:tr>
      <w:tr w14:paraId="01046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263" w:type="dxa"/>
            <w:tcBorders>
              <w:top w:val="single" w:color="auto" w:sz="4" w:space="0"/>
              <w:left w:val="single" w:color="auto" w:sz="4" w:space="0"/>
              <w:bottom w:val="single" w:color="auto" w:sz="4" w:space="0"/>
              <w:right w:val="single" w:color="auto" w:sz="4" w:space="0"/>
            </w:tcBorders>
            <w:noWrap/>
            <w:vAlign w:val="center"/>
          </w:tcPr>
          <w:p w14:paraId="1689FB14">
            <w:pPr>
              <w:tabs>
                <w:tab w:val="left" w:pos="720"/>
              </w:tabs>
              <w:snapToGrid w:val="0"/>
              <w:spacing w:line="360" w:lineRule="auto"/>
              <w:jc w:val="center"/>
              <w:rPr>
                <w:rFonts w:ascii="宋体" w:hAnsi="宋体" w:cs="宋体"/>
                <w:color w:val="auto"/>
                <w:szCs w:val="21"/>
                <w:highlight w:val="none"/>
              </w:rPr>
            </w:pPr>
          </w:p>
        </w:tc>
        <w:tc>
          <w:tcPr>
            <w:tcW w:w="1470" w:type="dxa"/>
            <w:tcBorders>
              <w:top w:val="single" w:color="auto" w:sz="4" w:space="0"/>
              <w:left w:val="single" w:color="auto" w:sz="4" w:space="0"/>
              <w:bottom w:val="single" w:color="auto" w:sz="4" w:space="0"/>
              <w:right w:val="single" w:color="auto" w:sz="4" w:space="0"/>
            </w:tcBorders>
            <w:noWrap/>
            <w:vAlign w:val="center"/>
          </w:tcPr>
          <w:p w14:paraId="6DD5D3CA">
            <w:pPr>
              <w:tabs>
                <w:tab w:val="left" w:pos="720"/>
              </w:tabs>
              <w:snapToGrid w:val="0"/>
              <w:spacing w:line="360" w:lineRule="auto"/>
              <w:jc w:val="center"/>
              <w:rPr>
                <w:rFonts w:ascii="宋体" w:hAnsi="宋体" w:cs="宋体"/>
                <w:color w:val="auto"/>
                <w:szCs w:val="21"/>
                <w:highlight w:val="none"/>
              </w:rPr>
            </w:pPr>
          </w:p>
        </w:tc>
        <w:tc>
          <w:tcPr>
            <w:tcW w:w="2520" w:type="dxa"/>
            <w:tcBorders>
              <w:top w:val="single" w:color="auto" w:sz="4" w:space="0"/>
              <w:left w:val="single" w:color="auto" w:sz="4" w:space="0"/>
              <w:bottom w:val="single" w:color="auto" w:sz="4" w:space="0"/>
              <w:right w:val="single" w:color="auto" w:sz="4" w:space="0"/>
            </w:tcBorders>
            <w:noWrap/>
            <w:vAlign w:val="center"/>
          </w:tcPr>
          <w:p w14:paraId="1F8956E5">
            <w:pPr>
              <w:tabs>
                <w:tab w:val="left" w:pos="720"/>
              </w:tabs>
              <w:snapToGrid w:val="0"/>
              <w:spacing w:line="360" w:lineRule="auto"/>
              <w:jc w:val="center"/>
              <w:rPr>
                <w:rFonts w:ascii="宋体" w:hAnsi="宋体" w:cs="宋体"/>
                <w:color w:val="auto"/>
                <w:szCs w:val="21"/>
                <w:highlight w:val="none"/>
              </w:rPr>
            </w:pPr>
          </w:p>
        </w:tc>
        <w:tc>
          <w:tcPr>
            <w:tcW w:w="2415" w:type="dxa"/>
            <w:tcBorders>
              <w:top w:val="single" w:color="auto" w:sz="4" w:space="0"/>
              <w:left w:val="single" w:color="auto" w:sz="4" w:space="0"/>
              <w:bottom w:val="single" w:color="auto" w:sz="4" w:space="0"/>
              <w:right w:val="single" w:color="auto" w:sz="4" w:space="0"/>
            </w:tcBorders>
            <w:noWrap/>
            <w:vAlign w:val="center"/>
          </w:tcPr>
          <w:p w14:paraId="064AB564">
            <w:pPr>
              <w:tabs>
                <w:tab w:val="left" w:pos="720"/>
              </w:tabs>
              <w:snapToGrid w:val="0"/>
              <w:spacing w:line="360" w:lineRule="auto"/>
              <w:jc w:val="center"/>
              <w:rPr>
                <w:rFonts w:ascii="宋体" w:hAnsi="宋体" w:cs="宋体"/>
                <w:color w:val="auto"/>
                <w:szCs w:val="21"/>
                <w:highlight w:val="none"/>
              </w:rPr>
            </w:pPr>
          </w:p>
        </w:tc>
        <w:tc>
          <w:tcPr>
            <w:tcW w:w="1448" w:type="dxa"/>
            <w:tcBorders>
              <w:top w:val="single" w:color="auto" w:sz="4" w:space="0"/>
              <w:left w:val="single" w:color="auto" w:sz="4" w:space="0"/>
              <w:bottom w:val="single" w:color="auto" w:sz="4" w:space="0"/>
              <w:right w:val="single" w:color="auto" w:sz="4" w:space="0"/>
            </w:tcBorders>
            <w:noWrap/>
            <w:vAlign w:val="center"/>
          </w:tcPr>
          <w:p w14:paraId="66A4F992">
            <w:pPr>
              <w:tabs>
                <w:tab w:val="left" w:pos="720"/>
              </w:tabs>
              <w:snapToGrid w:val="0"/>
              <w:spacing w:line="360" w:lineRule="auto"/>
              <w:jc w:val="center"/>
              <w:rPr>
                <w:rFonts w:ascii="宋体" w:hAnsi="宋体" w:cs="宋体"/>
                <w:color w:val="auto"/>
                <w:szCs w:val="21"/>
                <w:highlight w:val="none"/>
              </w:rPr>
            </w:pPr>
          </w:p>
        </w:tc>
      </w:tr>
    </w:tbl>
    <w:p w14:paraId="1E83D4B7">
      <w:pPr>
        <w:autoSpaceDE w:val="0"/>
        <w:autoSpaceDN w:val="0"/>
        <w:adjustRightInd w:val="0"/>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注：1.参与编制技术标书所有人员名单应包括如编制技术投标方案、负责清样校对、负责打印及复印等所有人员在内的人员名单。</w:t>
      </w:r>
    </w:p>
    <w:p w14:paraId="4ABABFE0">
      <w:pPr>
        <w:autoSpaceDE w:val="0"/>
        <w:autoSpaceDN w:val="0"/>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2.上述人员须为投标单位人员，须提供</w:t>
      </w:r>
      <w:r>
        <w:rPr>
          <w:rFonts w:ascii="宋体" w:hAnsi="宋体" w:cs="宋体"/>
          <w:b/>
          <w:color w:val="auto"/>
          <w:sz w:val="24"/>
          <w:szCs w:val="24"/>
          <w:highlight w:val="none"/>
        </w:rPr>
        <w:t>2025年</w:t>
      </w:r>
      <w:r>
        <w:rPr>
          <w:rFonts w:hint="eastAsia" w:ascii="宋体" w:hAnsi="宋体" w:cs="宋体"/>
          <w:b/>
          <w:color w:val="auto"/>
          <w:sz w:val="24"/>
          <w:szCs w:val="24"/>
          <w:highlight w:val="none"/>
          <w:lang w:val="en-US" w:eastAsia="zh-CN"/>
        </w:rPr>
        <w:t>10</w:t>
      </w:r>
      <w:r>
        <w:rPr>
          <w:rFonts w:hint="eastAsia" w:ascii="宋体" w:hAnsi="宋体" w:cs="宋体"/>
          <w:b/>
          <w:color w:val="auto"/>
          <w:sz w:val="24"/>
          <w:szCs w:val="24"/>
          <w:highlight w:val="none"/>
          <w:lang w:eastAsia="zh-CN"/>
        </w:rPr>
        <w:t>月或</w:t>
      </w:r>
      <w:r>
        <w:rPr>
          <w:rFonts w:hint="eastAsia" w:ascii="宋体" w:hAnsi="宋体" w:cs="宋体"/>
          <w:b/>
          <w:color w:val="auto"/>
          <w:sz w:val="24"/>
          <w:szCs w:val="24"/>
          <w:highlight w:val="none"/>
          <w:lang w:val="en-US" w:eastAsia="zh-CN"/>
        </w:rPr>
        <w:t>11</w:t>
      </w:r>
      <w:r>
        <w:rPr>
          <w:rFonts w:hint="eastAsia" w:ascii="宋体" w:hAnsi="宋体" w:cs="宋体"/>
          <w:b/>
          <w:color w:val="auto"/>
          <w:sz w:val="24"/>
          <w:szCs w:val="24"/>
          <w:highlight w:val="none"/>
          <w:lang w:eastAsia="zh-CN"/>
        </w:rPr>
        <w:t>月</w:t>
      </w:r>
      <w:r>
        <w:rPr>
          <w:rFonts w:hint="eastAsia" w:ascii="宋体" w:hAnsi="宋体" w:cs="宋体"/>
          <w:color w:val="auto"/>
          <w:sz w:val="24"/>
          <w:szCs w:val="24"/>
          <w:highlight w:val="none"/>
        </w:rPr>
        <w:t>在本公司缴纳社保的有效社保证明。</w:t>
      </w:r>
    </w:p>
    <w:p w14:paraId="197698C8">
      <w:pPr>
        <w:pStyle w:val="26"/>
        <w:rPr>
          <w:color w:val="auto"/>
          <w:highlight w:val="none"/>
        </w:rPr>
      </w:pPr>
    </w:p>
    <w:p w14:paraId="757492BD">
      <w:pPr>
        <w:rPr>
          <w:rFonts w:ascii="宋体" w:hAnsi="宋体" w:cs="宋体"/>
          <w:color w:val="auto"/>
          <w:sz w:val="24"/>
          <w:szCs w:val="24"/>
          <w:highlight w:val="none"/>
        </w:rPr>
      </w:pPr>
    </w:p>
    <w:p w14:paraId="661F5FAD">
      <w:pPr>
        <w:rPr>
          <w:rFonts w:ascii="宋体" w:hAnsi="宋体" w:cs="宋体"/>
          <w:color w:val="auto"/>
          <w:sz w:val="24"/>
          <w:szCs w:val="24"/>
          <w:highlight w:val="none"/>
        </w:rPr>
        <w:sectPr>
          <w:pgSz w:w="11906" w:h="16838"/>
          <w:pgMar w:top="1247" w:right="1418" w:bottom="1191" w:left="1418" w:header="851" w:footer="992" w:gutter="0"/>
          <w:cols w:space="720" w:num="1"/>
          <w:docGrid w:type="lines" w:linePitch="312" w:charSpace="0"/>
        </w:sectPr>
      </w:pPr>
    </w:p>
    <w:p w14:paraId="0D5A0161">
      <w:pPr>
        <w:autoSpaceDE w:val="0"/>
        <w:autoSpaceDN w:val="0"/>
        <w:adjustRightInd w:val="0"/>
        <w:snapToGrid w:val="0"/>
        <w:spacing w:line="360" w:lineRule="auto"/>
        <w:jc w:val="center"/>
        <w:rPr>
          <w:rFonts w:ascii="宋体" w:hAnsi="宋体" w:cs="宋体"/>
          <w:color w:val="auto"/>
          <w:sz w:val="32"/>
          <w:szCs w:val="32"/>
          <w:highlight w:val="none"/>
          <w:lang w:val="zh-CN"/>
        </w:rPr>
      </w:pPr>
      <w:r>
        <w:rPr>
          <w:rFonts w:hint="eastAsia" w:ascii="宋体" w:hAnsi="宋体" w:cs="宋体"/>
          <w:color w:val="auto"/>
          <w:sz w:val="32"/>
          <w:szCs w:val="32"/>
          <w:highlight w:val="none"/>
        </w:rPr>
        <w:t>二、经济标投标文件格式</w:t>
      </w:r>
      <w:bookmarkEnd w:id="63"/>
    </w:p>
    <w:p w14:paraId="6AC7AD97">
      <w:pPr>
        <w:widowControl/>
        <w:snapToGrid w:val="0"/>
        <w:spacing w:line="360" w:lineRule="auto"/>
        <w:jc w:val="left"/>
        <w:outlineLvl w:val="2"/>
        <w:rPr>
          <w:rFonts w:ascii="宋体" w:hAnsi="宋体" w:cs="宋体"/>
          <w:bCs/>
          <w:color w:val="auto"/>
          <w:spacing w:val="4"/>
          <w:sz w:val="24"/>
          <w:szCs w:val="24"/>
          <w:highlight w:val="none"/>
        </w:rPr>
      </w:pPr>
      <w:bookmarkStart w:id="64" w:name="_Toc16171"/>
    </w:p>
    <w:p w14:paraId="34A07066">
      <w:pPr>
        <w:widowControl/>
        <w:snapToGrid w:val="0"/>
        <w:spacing w:line="360" w:lineRule="auto"/>
        <w:jc w:val="left"/>
        <w:outlineLvl w:val="2"/>
        <w:rPr>
          <w:rFonts w:ascii="宋体" w:hAnsi="宋体" w:cs="宋体"/>
          <w:b/>
          <w:bCs/>
          <w:color w:val="auto"/>
          <w:kern w:val="0"/>
          <w:sz w:val="44"/>
          <w:szCs w:val="44"/>
          <w:highlight w:val="none"/>
          <w:lang w:val="zh-CN"/>
        </w:rPr>
      </w:pPr>
      <w:r>
        <w:rPr>
          <w:rFonts w:hint="eastAsia" w:ascii="宋体" w:hAnsi="宋体" w:cs="宋体"/>
          <w:bCs/>
          <w:color w:val="auto"/>
          <w:spacing w:val="4"/>
          <w:sz w:val="24"/>
          <w:szCs w:val="24"/>
          <w:highlight w:val="none"/>
        </w:rPr>
        <w:t>经济标格式一</w:t>
      </w:r>
      <w:bookmarkEnd w:id="64"/>
    </w:p>
    <w:p w14:paraId="1D935587">
      <w:pPr>
        <w:widowControl/>
        <w:topLinePunct/>
        <w:adjustRightInd w:val="0"/>
        <w:snapToGrid w:val="0"/>
        <w:spacing w:line="360" w:lineRule="auto"/>
        <w:jc w:val="center"/>
        <w:outlineLvl w:val="1"/>
        <w:rPr>
          <w:rFonts w:ascii="宋体" w:hAnsi="宋体" w:cs="宋体"/>
          <w:b/>
          <w:bCs/>
          <w:color w:val="auto"/>
          <w:spacing w:val="4"/>
          <w:kern w:val="0"/>
          <w:sz w:val="36"/>
          <w:szCs w:val="36"/>
          <w:highlight w:val="none"/>
        </w:rPr>
      </w:pPr>
      <w:bookmarkStart w:id="65" w:name="_Toc21286"/>
    </w:p>
    <w:p w14:paraId="29787939">
      <w:pPr>
        <w:widowControl/>
        <w:topLinePunct/>
        <w:adjustRightInd w:val="0"/>
        <w:snapToGrid w:val="0"/>
        <w:spacing w:line="360" w:lineRule="auto"/>
        <w:jc w:val="center"/>
        <w:outlineLvl w:val="1"/>
        <w:rPr>
          <w:rFonts w:ascii="宋体" w:hAnsi="宋体" w:cs="宋体"/>
          <w:b/>
          <w:bCs/>
          <w:color w:val="auto"/>
          <w:spacing w:val="4"/>
          <w:kern w:val="0"/>
          <w:sz w:val="36"/>
          <w:szCs w:val="36"/>
          <w:highlight w:val="none"/>
        </w:rPr>
      </w:pPr>
      <w:r>
        <w:rPr>
          <w:rFonts w:hint="eastAsia" w:ascii="宋体" w:hAnsi="宋体" w:cs="宋体"/>
          <w:b/>
          <w:bCs/>
          <w:color w:val="auto"/>
          <w:spacing w:val="4"/>
          <w:kern w:val="0"/>
          <w:sz w:val="36"/>
          <w:szCs w:val="36"/>
          <w:highlight w:val="none"/>
        </w:rPr>
        <w:t>广州建设工程施工招标投标书（经济标）</w:t>
      </w:r>
      <w:bookmarkEnd w:id="65"/>
    </w:p>
    <w:tbl>
      <w:tblPr>
        <w:tblStyle w:val="33"/>
        <w:tblW w:w="91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34"/>
        <w:gridCol w:w="5858"/>
      </w:tblGrid>
      <w:tr w14:paraId="0D6CF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3334" w:type="dxa"/>
            <w:tcBorders>
              <w:top w:val="single" w:color="auto" w:sz="4" w:space="0"/>
              <w:left w:val="single" w:color="auto" w:sz="4" w:space="0"/>
              <w:bottom w:val="single" w:color="auto" w:sz="4" w:space="0"/>
              <w:right w:val="single" w:color="auto" w:sz="4" w:space="0"/>
            </w:tcBorders>
            <w:noWrap/>
            <w:vAlign w:val="center"/>
          </w:tcPr>
          <w:p w14:paraId="43A6FF33">
            <w:pPr>
              <w:autoSpaceDE w:val="0"/>
              <w:autoSpaceDN w:val="0"/>
              <w:adjustRightInd w:val="0"/>
              <w:snapToGrid w:val="0"/>
              <w:jc w:val="center"/>
              <w:rPr>
                <w:rFonts w:ascii="宋体" w:hAnsi="宋体" w:cs="宋体"/>
                <w:bCs/>
                <w:color w:val="auto"/>
                <w:sz w:val="24"/>
                <w:szCs w:val="24"/>
                <w:highlight w:val="none"/>
                <w:lang w:val="zh-CN"/>
              </w:rPr>
            </w:pPr>
            <w:r>
              <w:rPr>
                <w:rFonts w:hint="eastAsia" w:ascii="宋体" w:hAnsi="宋体" w:cs="宋体"/>
                <w:color w:val="auto"/>
                <w:sz w:val="24"/>
                <w:szCs w:val="24"/>
                <w:highlight w:val="none"/>
                <w:lang w:val="zh-CN"/>
              </w:rPr>
              <w:t>工程名称</w:t>
            </w:r>
          </w:p>
        </w:tc>
        <w:tc>
          <w:tcPr>
            <w:tcW w:w="5858" w:type="dxa"/>
            <w:tcBorders>
              <w:top w:val="single" w:color="auto" w:sz="4" w:space="0"/>
              <w:left w:val="single" w:color="auto" w:sz="4" w:space="0"/>
              <w:bottom w:val="single" w:color="auto" w:sz="4" w:space="0"/>
              <w:right w:val="single" w:color="auto" w:sz="4" w:space="0"/>
            </w:tcBorders>
            <w:noWrap/>
            <w:vAlign w:val="center"/>
          </w:tcPr>
          <w:p w14:paraId="0497B01E">
            <w:pPr>
              <w:autoSpaceDE w:val="0"/>
              <w:autoSpaceDN w:val="0"/>
              <w:adjustRightInd w:val="0"/>
              <w:snapToGrid w:val="0"/>
              <w:rPr>
                <w:rFonts w:ascii="宋体" w:hAnsi="宋体" w:cs="宋体"/>
                <w:bCs/>
                <w:color w:val="auto"/>
                <w:sz w:val="24"/>
                <w:szCs w:val="24"/>
                <w:highlight w:val="none"/>
                <w:lang w:val="zh-CN"/>
              </w:rPr>
            </w:pPr>
          </w:p>
        </w:tc>
      </w:tr>
      <w:tr w14:paraId="4D0E6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3334" w:type="dxa"/>
            <w:vMerge w:val="restart"/>
            <w:tcBorders>
              <w:top w:val="single" w:color="auto" w:sz="4" w:space="0"/>
              <w:left w:val="single" w:color="auto" w:sz="4" w:space="0"/>
              <w:bottom w:val="single" w:color="auto" w:sz="4" w:space="0"/>
              <w:right w:val="single" w:color="auto" w:sz="4" w:space="0"/>
            </w:tcBorders>
            <w:noWrap/>
            <w:vAlign w:val="center"/>
          </w:tcPr>
          <w:p w14:paraId="2BDAC999">
            <w:pPr>
              <w:autoSpaceDE w:val="0"/>
              <w:autoSpaceDN w:val="0"/>
              <w:adjustRightInd w:val="0"/>
              <w:snapToGrid w:val="0"/>
              <w:jc w:val="center"/>
              <w:rPr>
                <w:rFonts w:ascii="宋体" w:hAnsi="宋体" w:cs="宋体"/>
                <w:bCs/>
                <w:color w:val="auto"/>
                <w:sz w:val="24"/>
                <w:szCs w:val="24"/>
                <w:highlight w:val="none"/>
                <w:lang w:val="zh-CN"/>
              </w:rPr>
            </w:pPr>
            <w:r>
              <w:rPr>
                <w:rFonts w:hint="eastAsia" w:ascii="宋体" w:hAnsi="宋体" w:cs="宋体"/>
                <w:color w:val="auto"/>
                <w:sz w:val="24"/>
                <w:szCs w:val="24"/>
                <w:highlight w:val="none"/>
                <w:lang w:val="zh-CN"/>
              </w:rPr>
              <w:t>投标总报价（元）</w:t>
            </w:r>
          </w:p>
        </w:tc>
        <w:tc>
          <w:tcPr>
            <w:tcW w:w="5858" w:type="dxa"/>
            <w:tcBorders>
              <w:top w:val="single" w:color="auto" w:sz="4" w:space="0"/>
              <w:left w:val="single" w:color="auto" w:sz="4" w:space="0"/>
              <w:bottom w:val="single" w:color="auto" w:sz="4" w:space="0"/>
              <w:right w:val="single" w:color="auto" w:sz="4" w:space="0"/>
            </w:tcBorders>
            <w:noWrap/>
            <w:vAlign w:val="center"/>
          </w:tcPr>
          <w:p w14:paraId="4A70E63F">
            <w:pPr>
              <w:autoSpaceDE w:val="0"/>
              <w:autoSpaceDN w:val="0"/>
              <w:adjustRightInd w:val="0"/>
              <w:snapToGrid w:val="0"/>
              <w:rPr>
                <w:rFonts w:ascii="宋体" w:hAnsi="宋体" w:cs="宋体"/>
                <w:bCs/>
                <w:color w:val="auto"/>
                <w:sz w:val="24"/>
                <w:szCs w:val="24"/>
                <w:highlight w:val="none"/>
                <w:lang w:val="zh-CN"/>
              </w:rPr>
            </w:pPr>
            <w:r>
              <w:rPr>
                <w:rFonts w:hint="eastAsia" w:ascii="宋体" w:hAnsi="宋体" w:cs="宋体"/>
                <w:color w:val="auto"/>
                <w:sz w:val="24"/>
                <w:szCs w:val="24"/>
                <w:highlight w:val="none"/>
              </w:rPr>
              <w:t>大写：</w:t>
            </w:r>
          </w:p>
        </w:tc>
      </w:tr>
      <w:tr w14:paraId="12645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5" w:hRule="atLeast"/>
          <w:jc w:val="center"/>
        </w:trPr>
        <w:tc>
          <w:tcPr>
            <w:tcW w:w="3334" w:type="dxa"/>
            <w:vMerge w:val="continue"/>
            <w:tcBorders>
              <w:top w:val="single" w:color="auto" w:sz="4" w:space="0"/>
              <w:left w:val="single" w:color="auto" w:sz="4" w:space="0"/>
              <w:bottom w:val="single" w:color="auto" w:sz="4" w:space="0"/>
              <w:right w:val="single" w:color="auto" w:sz="4" w:space="0"/>
            </w:tcBorders>
            <w:noWrap/>
            <w:vAlign w:val="center"/>
          </w:tcPr>
          <w:p w14:paraId="5CD0BC8D">
            <w:pPr>
              <w:widowControl/>
              <w:snapToGrid w:val="0"/>
              <w:jc w:val="center"/>
              <w:rPr>
                <w:rFonts w:ascii="宋体" w:hAnsi="宋体" w:cs="宋体"/>
                <w:bCs/>
                <w:color w:val="auto"/>
                <w:sz w:val="24"/>
                <w:szCs w:val="24"/>
                <w:highlight w:val="none"/>
                <w:lang w:val="zh-CN"/>
              </w:rPr>
            </w:pPr>
          </w:p>
        </w:tc>
        <w:tc>
          <w:tcPr>
            <w:tcW w:w="5858" w:type="dxa"/>
            <w:tcBorders>
              <w:top w:val="single" w:color="auto" w:sz="4" w:space="0"/>
              <w:left w:val="single" w:color="auto" w:sz="4" w:space="0"/>
              <w:bottom w:val="single" w:color="auto" w:sz="4" w:space="0"/>
              <w:right w:val="single" w:color="auto" w:sz="4" w:space="0"/>
            </w:tcBorders>
            <w:noWrap/>
            <w:vAlign w:val="center"/>
          </w:tcPr>
          <w:p w14:paraId="79663971">
            <w:pPr>
              <w:autoSpaceDE w:val="0"/>
              <w:autoSpaceDN w:val="0"/>
              <w:adjustRightInd w:val="0"/>
              <w:snapToGrid w:val="0"/>
              <w:rPr>
                <w:rFonts w:ascii="宋体" w:hAnsi="宋体" w:cs="宋体"/>
                <w:bCs/>
                <w:color w:val="auto"/>
                <w:sz w:val="24"/>
                <w:szCs w:val="24"/>
                <w:highlight w:val="none"/>
                <w:lang w:val="zh-CN"/>
              </w:rPr>
            </w:pPr>
            <w:r>
              <w:rPr>
                <w:rFonts w:hint="eastAsia" w:ascii="宋体" w:hAnsi="宋体" w:cs="宋体"/>
                <w:color w:val="auto"/>
                <w:sz w:val="24"/>
                <w:szCs w:val="24"/>
                <w:highlight w:val="none"/>
              </w:rPr>
              <w:t>小写：</w:t>
            </w:r>
          </w:p>
        </w:tc>
      </w:tr>
      <w:tr w14:paraId="3AE0C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3334" w:type="dxa"/>
            <w:vMerge w:val="restart"/>
            <w:tcBorders>
              <w:top w:val="single" w:color="auto" w:sz="4" w:space="0"/>
              <w:left w:val="single" w:color="auto" w:sz="4" w:space="0"/>
              <w:bottom w:val="single" w:color="auto" w:sz="4" w:space="0"/>
              <w:right w:val="single" w:color="auto" w:sz="4" w:space="0"/>
            </w:tcBorders>
            <w:noWrap/>
            <w:vAlign w:val="center"/>
          </w:tcPr>
          <w:p w14:paraId="0D279FCA">
            <w:pPr>
              <w:autoSpaceDE w:val="0"/>
              <w:autoSpaceDN w:val="0"/>
              <w:adjustRightInd w:val="0"/>
              <w:snapToGrid w:val="0"/>
              <w:jc w:val="center"/>
              <w:rPr>
                <w:rFonts w:ascii="宋体" w:hAnsi="宋体" w:cs="宋体"/>
                <w:bCs/>
                <w:color w:val="auto"/>
                <w:sz w:val="24"/>
                <w:szCs w:val="24"/>
                <w:highlight w:val="none"/>
                <w:lang w:val="zh-CN"/>
              </w:rPr>
            </w:pPr>
            <w:r>
              <w:rPr>
                <w:rFonts w:hint="eastAsia" w:ascii="宋体" w:hAnsi="宋体" w:cs="宋体"/>
                <w:color w:val="auto"/>
                <w:sz w:val="24"/>
                <w:szCs w:val="24"/>
                <w:highlight w:val="none"/>
                <w:lang w:val="zh-CN"/>
              </w:rPr>
              <w:t>其中：</w:t>
            </w:r>
            <w:r>
              <w:rPr>
                <w:rFonts w:hint="eastAsia" w:ascii="宋体" w:hAnsi="宋体" w:cs="宋体"/>
                <w:bCs/>
                <w:color w:val="auto"/>
                <w:sz w:val="24"/>
                <w:szCs w:val="24"/>
                <w:highlight w:val="none"/>
                <w:lang w:val="zh-CN"/>
              </w:rPr>
              <w:t>人工费</w:t>
            </w:r>
            <w:r>
              <w:rPr>
                <w:rFonts w:hint="eastAsia" w:ascii="宋体" w:hAnsi="宋体" w:cs="宋体"/>
                <w:color w:val="auto"/>
                <w:sz w:val="24"/>
                <w:szCs w:val="24"/>
                <w:highlight w:val="none"/>
                <w:lang w:val="zh-CN"/>
              </w:rPr>
              <w:t>（元）</w:t>
            </w:r>
          </w:p>
        </w:tc>
        <w:tc>
          <w:tcPr>
            <w:tcW w:w="5858" w:type="dxa"/>
            <w:tcBorders>
              <w:top w:val="single" w:color="auto" w:sz="4" w:space="0"/>
              <w:left w:val="single" w:color="auto" w:sz="4" w:space="0"/>
              <w:bottom w:val="single" w:color="auto" w:sz="4" w:space="0"/>
              <w:right w:val="single" w:color="auto" w:sz="4" w:space="0"/>
            </w:tcBorders>
            <w:noWrap/>
            <w:vAlign w:val="center"/>
          </w:tcPr>
          <w:p w14:paraId="0DC42ACF">
            <w:pPr>
              <w:autoSpaceDE w:val="0"/>
              <w:autoSpaceDN w:val="0"/>
              <w:adjustRightInd w:val="0"/>
              <w:snapToGrid w:val="0"/>
              <w:rPr>
                <w:rFonts w:ascii="宋体" w:hAnsi="宋体" w:cs="宋体"/>
                <w:bCs/>
                <w:color w:val="auto"/>
                <w:sz w:val="24"/>
                <w:szCs w:val="24"/>
                <w:highlight w:val="none"/>
                <w:lang w:val="zh-CN"/>
              </w:rPr>
            </w:pPr>
            <w:r>
              <w:rPr>
                <w:rFonts w:hint="eastAsia" w:ascii="宋体" w:hAnsi="宋体" w:cs="宋体"/>
                <w:color w:val="auto"/>
                <w:sz w:val="24"/>
                <w:szCs w:val="24"/>
                <w:highlight w:val="none"/>
              </w:rPr>
              <w:t>大写：</w:t>
            </w:r>
          </w:p>
        </w:tc>
      </w:tr>
      <w:tr w14:paraId="07DA4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3334" w:type="dxa"/>
            <w:vMerge w:val="continue"/>
            <w:tcBorders>
              <w:top w:val="single" w:color="auto" w:sz="4" w:space="0"/>
              <w:left w:val="single" w:color="auto" w:sz="4" w:space="0"/>
              <w:bottom w:val="single" w:color="auto" w:sz="4" w:space="0"/>
              <w:right w:val="single" w:color="auto" w:sz="4" w:space="0"/>
            </w:tcBorders>
            <w:noWrap/>
            <w:vAlign w:val="center"/>
          </w:tcPr>
          <w:p w14:paraId="0CA604BB">
            <w:pPr>
              <w:widowControl/>
              <w:snapToGrid w:val="0"/>
              <w:jc w:val="center"/>
              <w:rPr>
                <w:rFonts w:ascii="宋体" w:hAnsi="宋体" w:cs="宋体"/>
                <w:bCs/>
                <w:color w:val="auto"/>
                <w:sz w:val="24"/>
                <w:szCs w:val="24"/>
                <w:highlight w:val="none"/>
                <w:lang w:val="zh-CN"/>
              </w:rPr>
            </w:pPr>
          </w:p>
        </w:tc>
        <w:tc>
          <w:tcPr>
            <w:tcW w:w="5858" w:type="dxa"/>
            <w:tcBorders>
              <w:top w:val="single" w:color="auto" w:sz="4" w:space="0"/>
              <w:left w:val="single" w:color="auto" w:sz="4" w:space="0"/>
              <w:bottom w:val="single" w:color="auto" w:sz="4" w:space="0"/>
              <w:right w:val="single" w:color="auto" w:sz="4" w:space="0"/>
            </w:tcBorders>
            <w:noWrap/>
            <w:vAlign w:val="center"/>
          </w:tcPr>
          <w:p w14:paraId="327E232A">
            <w:pPr>
              <w:autoSpaceDE w:val="0"/>
              <w:autoSpaceDN w:val="0"/>
              <w:adjustRightInd w:val="0"/>
              <w:snapToGrid w:val="0"/>
              <w:rPr>
                <w:rFonts w:ascii="宋体" w:hAnsi="宋体" w:cs="宋体"/>
                <w:bCs/>
                <w:color w:val="auto"/>
                <w:sz w:val="24"/>
                <w:szCs w:val="24"/>
                <w:highlight w:val="none"/>
                <w:lang w:val="zh-CN"/>
              </w:rPr>
            </w:pPr>
            <w:r>
              <w:rPr>
                <w:rFonts w:hint="eastAsia" w:ascii="宋体" w:hAnsi="宋体" w:cs="宋体"/>
                <w:color w:val="auto"/>
                <w:sz w:val="24"/>
                <w:szCs w:val="24"/>
                <w:highlight w:val="none"/>
              </w:rPr>
              <w:t>小写：</w:t>
            </w:r>
          </w:p>
        </w:tc>
      </w:tr>
      <w:tr w14:paraId="51FBD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3" w:hRule="atLeast"/>
          <w:jc w:val="center"/>
        </w:trPr>
        <w:tc>
          <w:tcPr>
            <w:tcW w:w="3334" w:type="dxa"/>
            <w:vMerge w:val="restart"/>
            <w:tcBorders>
              <w:top w:val="single" w:color="auto" w:sz="4" w:space="0"/>
              <w:left w:val="single" w:color="auto" w:sz="4" w:space="0"/>
              <w:right w:val="single" w:color="auto" w:sz="4" w:space="0"/>
            </w:tcBorders>
            <w:noWrap/>
            <w:vAlign w:val="center"/>
          </w:tcPr>
          <w:p w14:paraId="710A1BF3">
            <w:pPr>
              <w:widowControl/>
              <w:snapToGrid w:val="0"/>
              <w:jc w:val="left"/>
              <w:rPr>
                <w:rFonts w:ascii="宋体" w:hAnsi="宋体" w:cs="宋体"/>
                <w:b/>
                <w:color w:val="auto"/>
                <w:sz w:val="24"/>
                <w:szCs w:val="24"/>
                <w:highlight w:val="none"/>
                <w:lang w:val="zh-CN"/>
              </w:rPr>
            </w:pPr>
            <w:r>
              <w:rPr>
                <w:rFonts w:hint="eastAsia" w:ascii="宋体" w:hAnsi="宋体" w:cs="宋体"/>
                <w:bCs/>
                <w:color w:val="auto"/>
                <w:sz w:val="24"/>
                <w:szCs w:val="24"/>
                <w:highlight w:val="none"/>
                <w:lang w:val="zh-CN"/>
              </w:rPr>
              <w:t>其中：</w:t>
            </w:r>
            <w:r>
              <w:rPr>
                <w:rFonts w:hint="eastAsia" w:ascii="宋体" w:hAnsi="宋体" w:cs="宋体"/>
                <w:color w:val="auto"/>
                <w:sz w:val="24"/>
                <w:szCs w:val="24"/>
                <w:highlight w:val="none"/>
                <w:lang w:val="zh-CN"/>
              </w:rPr>
              <w:t>绿色施工安全防护措施费（元）</w:t>
            </w:r>
          </w:p>
        </w:tc>
        <w:tc>
          <w:tcPr>
            <w:tcW w:w="5858" w:type="dxa"/>
            <w:tcBorders>
              <w:top w:val="single" w:color="auto" w:sz="4" w:space="0"/>
              <w:left w:val="single" w:color="auto" w:sz="4" w:space="0"/>
              <w:bottom w:val="single" w:color="auto" w:sz="4" w:space="0"/>
              <w:right w:val="single" w:color="auto" w:sz="4" w:space="0"/>
            </w:tcBorders>
            <w:noWrap/>
            <w:vAlign w:val="center"/>
          </w:tcPr>
          <w:p w14:paraId="037E0F97">
            <w:pPr>
              <w:autoSpaceDE w:val="0"/>
              <w:autoSpaceDN w:val="0"/>
              <w:adjustRightInd w:val="0"/>
              <w:snapToGrid w:val="0"/>
              <w:rPr>
                <w:rFonts w:ascii="宋体" w:hAnsi="宋体" w:cs="宋体"/>
                <w:bCs/>
                <w:color w:val="auto"/>
                <w:sz w:val="24"/>
                <w:szCs w:val="24"/>
                <w:highlight w:val="none"/>
                <w:lang w:val="zh-CN"/>
              </w:rPr>
            </w:pPr>
            <w:r>
              <w:rPr>
                <w:rFonts w:hint="eastAsia" w:ascii="宋体" w:hAnsi="宋体" w:cs="宋体"/>
                <w:color w:val="auto"/>
                <w:sz w:val="24"/>
                <w:szCs w:val="24"/>
                <w:highlight w:val="none"/>
              </w:rPr>
              <w:t>大写：</w:t>
            </w:r>
          </w:p>
        </w:tc>
      </w:tr>
      <w:tr w14:paraId="6A404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3" w:hRule="atLeast"/>
          <w:jc w:val="center"/>
        </w:trPr>
        <w:tc>
          <w:tcPr>
            <w:tcW w:w="3334" w:type="dxa"/>
            <w:vMerge w:val="continue"/>
            <w:tcBorders>
              <w:left w:val="single" w:color="auto" w:sz="4" w:space="0"/>
              <w:right w:val="single" w:color="auto" w:sz="4" w:space="0"/>
            </w:tcBorders>
            <w:noWrap/>
            <w:vAlign w:val="center"/>
          </w:tcPr>
          <w:p w14:paraId="6E12765B">
            <w:pPr>
              <w:widowControl/>
              <w:snapToGrid w:val="0"/>
              <w:jc w:val="left"/>
              <w:rPr>
                <w:rFonts w:ascii="宋体" w:hAnsi="宋体" w:cs="宋体"/>
                <w:bCs/>
                <w:color w:val="auto"/>
                <w:sz w:val="24"/>
                <w:szCs w:val="24"/>
                <w:highlight w:val="none"/>
                <w:lang w:val="zh-CN"/>
              </w:rPr>
            </w:pPr>
          </w:p>
        </w:tc>
        <w:tc>
          <w:tcPr>
            <w:tcW w:w="5858" w:type="dxa"/>
            <w:tcBorders>
              <w:top w:val="single" w:color="auto" w:sz="4" w:space="0"/>
              <w:left w:val="single" w:color="auto" w:sz="4" w:space="0"/>
              <w:bottom w:val="single" w:color="auto" w:sz="4" w:space="0"/>
              <w:right w:val="single" w:color="auto" w:sz="4" w:space="0"/>
            </w:tcBorders>
            <w:noWrap/>
            <w:vAlign w:val="center"/>
          </w:tcPr>
          <w:p w14:paraId="1BBB1364">
            <w:pPr>
              <w:autoSpaceDE w:val="0"/>
              <w:autoSpaceDN w:val="0"/>
              <w:adjustRightInd w:val="0"/>
              <w:snapToGrid w:val="0"/>
              <w:rPr>
                <w:rFonts w:ascii="宋体" w:hAnsi="宋体" w:cs="宋体"/>
                <w:bCs/>
                <w:color w:val="auto"/>
                <w:sz w:val="24"/>
                <w:szCs w:val="24"/>
                <w:highlight w:val="none"/>
                <w:lang w:val="zh-CN"/>
              </w:rPr>
            </w:pPr>
            <w:r>
              <w:rPr>
                <w:rFonts w:hint="eastAsia" w:ascii="宋体" w:hAnsi="宋体" w:cs="宋体"/>
                <w:color w:val="auto"/>
                <w:sz w:val="24"/>
                <w:szCs w:val="24"/>
                <w:highlight w:val="none"/>
              </w:rPr>
              <w:t>小写：</w:t>
            </w:r>
          </w:p>
        </w:tc>
      </w:tr>
      <w:tr w14:paraId="1FCE5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3334" w:type="dxa"/>
            <w:vMerge w:val="restart"/>
            <w:tcBorders>
              <w:left w:val="single" w:color="auto" w:sz="4" w:space="0"/>
              <w:right w:val="single" w:color="auto" w:sz="4" w:space="0"/>
            </w:tcBorders>
            <w:noWrap/>
            <w:vAlign w:val="center"/>
          </w:tcPr>
          <w:p w14:paraId="656D4D61">
            <w:pPr>
              <w:widowControl/>
              <w:snapToGrid w:val="0"/>
              <w:jc w:val="left"/>
              <w:rPr>
                <w:rFonts w:ascii="宋体" w:hAnsi="宋体" w:cs="宋体"/>
                <w:bCs/>
                <w:color w:val="auto"/>
                <w:sz w:val="24"/>
                <w:szCs w:val="24"/>
                <w:highlight w:val="none"/>
                <w:lang w:val="zh-CN"/>
              </w:rPr>
            </w:pPr>
            <w:r>
              <w:rPr>
                <w:rFonts w:hint="eastAsia" w:ascii="宋体" w:hAnsi="宋体" w:cs="宋体"/>
                <w:bCs/>
                <w:color w:val="auto"/>
                <w:sz w:val="24"/>
                <w:szCs w:val="24"/>
                <w:highlight w:val="none"/>
                <w:lang w:val="zh-CN"/>
              </w:rPr>
              <w:t>其中：暂列金额</w:t>
            </w:r>
            <w:r>
              <w:rPr>
                <w:rFonts w:hint="eastAsia" w:ascii="宋体" w:hAnsi="宋体" w:cs="宋体"/>
                <w:color w:val="auto"/>
                <w:sz w:val="24"/>
                <w:szCs w:val="24"/>
                <w:highlight w:val="none"/>
                <w:lang w:val="zh-CN"/>
              </w:rPr>
              <w:t>（元）</w:t>
            </w:r>
          </w:p>
        </w:tc>
        <w:tc>
          <w:tcPr>
            <w:tcW w:w="5858" w:type="dxa"/>
            <w:tcBorders>
              <w:top w:val="single" w:color="auto" w:sz="4" w:space="0"/>
              <w:left w:val="single" w:color="auto" w:sz="4" w:space="0"/>
              <w:bottom w:val="single" w:color="auto" w:sz="4" w:space="0"/>
              <w:right w:val="single" w:color="auto" w:sz="4" w:space="0"/>
            </w:tcBorders>
            <w:noWrap/>
            <w:vAlign w:val="center"/>
          </w:tcPr>
          <w:p w14:paraId="61CF56AD">
            <w:pPr>
              <w:autoSpaceDE w:val="0"/>
              <w:autoSpaceDN w:val="0"/>
              <w:adjustRightInd w:val="0"/>
              <w:snapToGrid w:val="0"/>
              <w:rPr>
                <w:rFonts w:ascii="宋体" w:hAnsi="宋体" w:cs="宋体"/>
                <w:bCs/>
                <w:color w:val="auto"/>
                <w:sz w:val="24"/>
                <w:szCs w:val="24"/>
                <w:highlight w:val="none"/>
                <w:lang w:val="zh-CN"/>
              </w:rPr>
            </w:pPr>
            <w:r>
              <w:rPr>
                <w:rFonts w:hint="eastAsia" w:ascii="宋体" w:hAnsi="宋体" w:cs="宋体"/>
                <w:color w:val="auto"/>
                <w:sz w:val="24"/>
                <w:szCs w:val="24"/>
                <w:highlight w:val="none"/>
              </w:rPr>
              <w:t>大写：</w:t>
            </w:r>
          </w:p>
        </w:tc>
      </w:tr>
      <w:tr w14:paraId="46207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3334" w:type="dxa"/>
            <w:vMerge w:val="continue"/>
            <w:tcBorders>
              <w:left w:val="single" w:color="auto" w:sz="4" w:space="0"/>
              <w:bottom w:val="single" w:color="auto" w:sz="4" w:space="0"/>
              <w:right w:val="single" w:color="auto" w:sz="4" w:space="0"/>
            </w:tcBorders>
            <w:noWrap/>
            <w:vAlign w:val="center"/>
          </w:tcPr>
          <w:p w14:paraId="06E62178">
            <w:pPr>
              <w:widowControl/>
              <w:snapToGrid w:val="0"/>
              <w:spacing w:line="360" w:lineRule="auto"/>
              <w:jc w:val="left"/>
              <w:rPr>
                <w:rFonts w:ascii="宋体" w:hAnsi="宋体" w:cs="宋体"/>
                <w:bCs/>
                <w:color w:val="auto"/>
                <w:sz w:val="24"/>
                <w:szCs w:val="24"/>
                <w:highlight w:val="none"/>
                <w:lang w:val="zh-CN"/>
              </w:rPr>
            </w:pPr>
          </w:p>
        </w:tc>
        <w:tc>
          <w:tcPr>
            <w:tcW w:w="5858" w:type="dxa"/>
            <w:tcBorders>
              <w:top w:val="single" w:color="auto" w:sz="4" w:space="0"/>
              <w:left w:val="single" w:color="auto" w:sz="4" w:space="0"/>
              <w:bottom w:val="single" w:color="auto" w:sz="4" w:space="0"/>
              <w:right w:val="single" w:color="auto" w:sz="4" w:space="0"/>
            </w:tcBorders>
            <w:noWrap/>
            <w:vAlign w:val="center"/>
          </w:tcPr>
          <w:p w14:paraId="032403EC">
            <w:pPr>
              <w:autoSpaceDE w:val="0"/>
              <w:autoSpaceDN w:val="0"/>
              <w:adjustRightInd w:val="0"/>
              <w:snapToGrid w:val="0"/>
              <w:rPr>
                <w:rFonts w:ascii="宋体" w:hAnsi="宋体" w:cs="宋体"/>
                <w:bCs/>
                <w:color w:val="auto"/>
                <w:sz w:val="24"/>
                <w:szCs w:val="24"/>
                <w:highlight w:val="none"/>
                <w:lang w:val="zh-CN"/>
              </w:rPr>
            </w:pPr>
            <w:r>
              <w:rPr>
                <w:rFonts w:hint="eastAsia" w:ascii="宋体" w:hAnsi="宋体" w:cs="宋体"/>
                <w:color w:val="auto"/>
                <w:sz w:val="24"/>
                <w:szCs w:val="24"/>
                <w:highlight w:val="none"/>
              </w:rPr>
              <w:t>小写：</w:t>
            </w:r>
          </w:p>
        </w:tc>
      </w:tr>
      <w:tr w14:paraId="5695F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3334" w:type="dxa"/>
            <w:vMerge w:val="restart"/>
            <w:tcBorders>
              <w:left w:val="single" w:color="auto" w:sz="4" w:space="0"/>
              <w:right w:val="single" w:color="auto" w:sz="4" w:space="0"/>
            </w:tcBorders>
            <w:noWrap/>
            <w:vAlign w:val="center"/>
          </w:tcPr>
          <w:p w14:paraId="362A84B3">
            <w:pPr>
              <w:widowControl/>
              <w:snapToGrid w:val="0"/>
              <w:jc w:val="left"/>
              <w:rPr>
                <w:rFonts w:ascii="宋体" w:hAnsi="宋体" w:cs="宋体"/>
                <w:bCs/>
                <w:color w:val="auto"/>
                <w:sz w:val="24"/>
                <w:szCs w:val="24"/>
                <w:highlight w:val="none"/>
                <w:lang w:val="zh-CN"/>
              </w:rPr>
            </w:pPr>
            <w:r>
              <w:rPr>
                <w:rFonts w:hint="eastAsia" w:ascii="宋体" w:hAnsi="宋体" w:cs="宋体"/>
                <w:bCs/>
                <w:color w:val="auto"/>
                <w:sz w:val="24"/>
                <w:szCs w:val="24"/>
                <w:highlight w:val="none"/>
                <w:lang w:val="zh-CN"/>
              </w:rPr>
              <w:t>其中：暂估价</w:t>
            </w:r>
            <w:r>
              <w:rPr>
                <w:rFonts w:hint="eastAsia" w:ascii="宋体" w:hAnsi="宋体" w:cs="宋体"/>
                <w:color w:val="auto"/>
                <w:sz w:val="24"/>
                <w:szCs w:val="24"/>
                <w:highlight w:val="none"/>
                <w:lang w:val="zh-CN"/>
              </w:rPr>
              <w:t>（元）</w:t>
            </w:r>
          </w:p>
        </w:tc>
        <w:tc>
          <w:tcPr>
            <w:tcW w:w="5858" w:type="dxa"/>
            <w:tcBorders>
              <w:top w:val="single" w:color="auto" w:sz="4" w:space="0"/>
              <w:left w:val="single" w:color="auto" w:sz="4" w:space="0"/>
              <w:bottom w:val="single" w:color="auto" w:sz="4" w:space="0"/>
              <w:right w:val="single" w:color="auto" w:sz="4" w:space="0"/>
            </w:tcBorders>
            <w:noWrap/>
            <w:vAlign w:val="center"/>
          </w:tcPr>
          <w:p w14:paraId="664311FE">
            <w:pPr>
              <w:autoSpaceDE w:val="0"/>
              <w:autoSpaceDN w:val="0"/>
              <w:adjustRightInd w:val="0"/>
              <w:snapToGrid w:val="0"/>
              <w:rPr>
                <w:rFonts w:ascii="宋体" w:hAnsi="宋体" w:cs="宋体"/>
                <w:bCs/>
                <w:color w:val="auto"/>
                <w:sz w:val="24"/>
                <w:szCs w:val="24"/>
                <w:highlight w:val="none"/>
                <w:lang w:val="zh-CN"/>
              </w:rPr>
            </w:pPr>
            <w:r>
              <w:rPr>
                <w:rFonts w:hint="eastAsia" w:ascii="宋体" w:hAnsi="宋体" w:cs="宋体"/>
                <w:color w:val="auto"/>
                <w:sz w:val="24"/>
                <w:szCs w:val="24"/>
                <w:highlight w:val="none"/>
              </w:rPr>
              <w:t>大写：</w:t>
            </w:r>
          </w:p>
        </w:tc>
      </w:tr>
      <w:tr w14:paraId="2CD9A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3334" w:type="dxa"/>
            <w:vMerge w:val="continue"/>
            <w:tcBorders>
              <w:left w:val="single" w:color="auto" w:sz="4" w:space="0"/>
              <w:bottom w:val="single" w:color="auto" w:sz="4" w:space="0"/>
              <w:right w:val="single" w:color="auto" w:sz="4" w:space="0"/>
            </w:tcBorders>
            <w:noWrap/>
            <w:vAlign w:val="center"/>
          </w:tcPr>
          <w:p w14:paraId="4B18893C">
            <w:pPr>
              <w:widowControl/>
              <w:snapToGrid w:val="0"/>
              <w:spacing w:line="360" w:lineRule="auto"/>
              <w:jc w:val="left"/>
              <w:rPr>
                <w:rFonts w:ascii="宋体" w:hAnsi="宋体" w:cs="宋体"/>
                <w:bCs/>
                <w:color w:val="auto"/>
                <w:sz w:val="24"/>
                <w:szCs w:val="24"/>
                <w:highlight w:val="none"/>
                <w:lang w:val="zh-CN"/>
              </w:rPr>
            </w:pPr>
          </w:p>
        </w:tc>
        <w:tc>
          <w:tcPr>
            <w:tcW w:w="5858" w:type="dxa"/>
            <w:tcBorders>
              <w:top w:val="single" w:color="auto" w:sz="4" w:space="0"/>
              <w:left w:val="single" w:color="auto" w:sz="4" w:space="0"/>
              <w:bottom w:val="single" w:color="auto" w:sz="4" w:space="0"/>
              <w:right w:val="single" w:color="auto" w:sz="4" w:space="0"/>
            </w:tcBorders>
            <w:noWrap/>
            <w:vAlign w:val="center"/>
          </w:tcPr>
          <w:p w14:paraId="758FD14A">
            <w:pPr>
              <w:autoSpaceDE w:val="0"/>
              <w:autoSpaceDN w:val="0"/>
              <w:adjustRightInd w:val="0"/>
              <w:snapToGrid w:val="0"/>
              <w:rPr>
                <w:rFonts w:ascii="宋体" w:hAnsi="宋体" w:cs="宋体"/>
                <w:bCs/>
                <w:color w:val="auto"/>
                <w:sz w:val="24"/>
                <w:szCs w:val="24"/>
                <w:highlight w:val="none"/>
                <w:lang w:val="zh-CN"/>
              </w:rPr>
            </w:pPr>
            <w:r>
              <w:rPr>
                <w:rFonts w:hint="eastAsia" w:ascii="宋体" w:hAnsi="宋体" w:cs="宋体"/>
                <w:color w:val="auto"/>
                <w:sz w:val="24"/>
                <w:szCs w:val="24"/>
                <w:highlight w:val="none"/>
              </w:rPr>
              <w:t>小写：</w:t>
            </w:r>
          </w:p>
        </w:tc>
      </w:tr>
    </w:tbl>
    <w:p w14:paraId="49E6BD4C">
      <w:pPr>
        <w:widowControl/>
        <w:snapToGrid w:val="0"/>
        <w:spacing w:line="360" w:lineRule="auto"/>
        <w:jc w:val="left"/>
        <w:outlineLvl w:val="2"/>
        <w:rPr>
          <w:rFonts w:ascii="宋体" w:hAnsi="宋体" w:cs="宋体"/>
          <w:color w:val="auto"/>
          <w:kern w:val="0"/>
          <w:sz w:val="24"/>
          <w:szCs w:val="24"/>
          <w:highlight w:val="none"/>
        </w:rPr>
      </w:pPr>
    </w:p>
    <w:p w14:paraId="528A8E2E">
      <w:pPr>
        <w:widowControl/>
        <w:snapToGrid w:val="0"/>
        <w:spacing w:line="360" w:lineRule="auto"/>
        <w:jc w:val="left"/>
        <w:outlineLvl w:val="2"/>
        <w:rPr>
          <w:rFonts w:ascii="宋体" w:hAnsi="宋体" w:cs="宋体"/>
          <w:bCs/>
          <w:color w:val="auto"/>
          <w:kern w:val="0"/>
          <w:sz w:val="24"/>
          <w:szCs w:val="24"/>
          <w:highlight w:val="none"/>
        </w:rPr>
      </w:pPr>
      <w:r>
        <w:rPr>
          <w:rFonts w:hint="eastAsia" w:ascii="宋体" w:hAnsi="宋体" w:cs="宋体"/>
          <w:color w:val="auto"/>
          <w:kern w:val="0"/>
          <w:sz w:val="24"/>
          <w:szCs w:val="24"/>
          <w:highlight w:val="none"/>
        </w:rPr>
        <w:br w:type="page"/>
      </w:r>
      <w:bookmarkStart w:id="66" w:name="_Toc30992"/>
      <w:r>
        <w:rPr>
          <w:rFonts w:hint="eastAsia" w:ascii="宋体" w:hAnsi="宋体" w:cs="宋体"/>
          <w:bCs/>
          <w:color w:val="auto"/>
          <w:spacing w:val="4"/>
          <w:sz w:val="24"/>
          <w:szCs w:val="24"/>
          <w:highlight w:val="none"/>
        </w:rPr>
        <w:t>经济标格式二</w:t>
      </w:r>
      <w:bookmarkEnd w:id="66"/>
    </w:p>
    <w:p w14:paraId="0D5EE4EE">
      <w:pPr>
        <w:widowControl/>
        <w:topLinePunct/>
        <w:adjustRightInd w:val="0"/>
        <w:snapToGrid w:val="0"/>
        <w:spacing w:line="360" w:lineRule="auto"/>
        <w:jc w:val="center"/>
        <w:outlineLvl w:val="1"/>
        <w:rPr>
          <w:rFonts w:ascii="宋体" w:hAnsi="宋体" w:cs="宋体"/>
          <w:b/>
          <w:bCs/>
          <w:color w:val="auto"/>
          <w:spacing w:val="4"/>
          <w:kern w:val="0"/>
          <w:sz w:val="36"/>
          <w:szCs w:val="36"/>
          <w:highlight w:val="none"/>
        </w:rPr>
      </w:pPr>
      <w:bookmarkStart w:id="67" w:name="_Toc30258"/>
      <w:r>
        <w:rPr>
          <w:rFonts w:hint="eastAsia" w:ascii="宋体" w:hAnsi="宋体" w:cs="宋体"/>
          <w:b/>
          <w:bCs/>
          <w:color w:val="auto"/>
          <w:spacing w:val="4"/>
          <w:kern w:val="0"/>
          <w:sz w:val="36"/>
          <w:szCs w:val="36"/>
          <w:highlight w:val="none"/>
        </w:rPr>
        <w:t>参与编制经济标投标文件人员名单</w:t>
      </w:r>
      <w:bookmarkEnd w:id="67"/>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41"/>
        <w:gridCol w:w="2461"/>
        <w:gridCol w:w="2359"/>
        <w:gridCol w:w="1419"/>
      </w:tblGrid>
      <w:tr w14:paraId="1FBB6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919" w:type="dxa"/>
            <w:gridSpan w:val="5"/>
            <w:noWrap/>
            <w:vAlign w:val="center"/>
          </w:tcPr>
          <w:p w14:paraId="73F349D1">
            <w:pPr>
              <w:tabs>
                <w:tab w:val="left" w:pos="720"/>
              </w:tabs>
              <w:snapToGrid w:val="0"/>
              <w:jc w:val="center"/>
              <w:rPr>
                <w:rFonts w:ascii="宋体" w:hAnsi="宋体" w:cs="宋体"/>
                <w:color w:val="auto"/>
                <w:sz w:val="24"/>
                <w:szCs w:val="24"/>
                <w:highlight w:val="none"/>
              </w:rPr>
            </w:pPr>
            <w:r>
              <w:rPr>
                <w:rFonts w:hint="eastAsia" w:ascii="宋体" w:hAnsi="宋体" w:cs="宋体"/>
                <w:color w:val="auto"/>
                <w:sz w:val="24"/>
                <w:szCs w:val="24"/>
                <w:highlight w:val="none"/>
              </w:rPr>
              <w:t>投标单位名称</w:t>
            </w:r>
          </w:p>
        </w:tc>
      </w:tr>
      <w:tr w14:paraId="4524B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39" w:type="dxa"/>
            <w:noWrap/>
            <w:vAlign w:val="center"/>
          </w:tcPr>
          <w:p w14:paraId="4DEB8DEA">
            <w:pPr>
              <w:tabs>
                <w:tab w:val="left" w:pos="720"/>
              </w:tabs>
              <w:snapToGrid w:val="0"/>
              <w:jc w:val="center"/>
              <w:rPr>
                <w:rFonts w:ascii="宋体" w:hAnsi="宋体" w:cs="宋体"/>
                <w:color w:val="auto"/>
                <w:sz w:val="24"/>
                <w:szCs w:val="24"/>
                <w:highlight w:val="none"/>
              </w:rPr>
            </w:pPr>
            <w:r>
              <w:rPr>
                <w:rFonts w:hint="eastAsia" w:ascii="宋体" w:hAnsi="宋体" w:cs="宋体"/>
                <w:color w:val="auto"/>
                <w:sz w:val="24"/>
                <w:szCs w:val="24"/>
                <w:highlight w:val="none"/>
              </w:rPr>
              <w:t>姓名</w:t>
            </w:r>
          </w:p>
        </w:tc>
        <w:tc>
          <w:tcPr>
            <w:tcW w:w="1441" w:type="dxa"/>
            <w:noWrap/>
            <w:vAlign w:val="center"/>
          </w:tcPr>
          <w:p w14:paraId="79FEE4BB">
            <w:pPr>
              <w:tabs>
                <w:tab w:val="left" w:pos="720"/>
              </w:tabs>
              <w:snapToGrid w:val="0"/>
              <w:jc w:val="center"/>
              <w:rPr>
                <w:rFonts w:ascii="宋体" w:hAnsi="宋体" w:cs="宋体"/>
                <w:color w:val="auto"/>
                <w:sz w:val="24"/>
                <w:szCs w:val="24"/>
                <w:highlight w:val="none"/>
              </w:rPr>
            </w:pPr>
            <w:r>
              <w:rPr>
                <w:rFonts w:hint="eastAsia" w:ascii="宋体" w:hAnsi="宋体" w:cs="宋体"/>
                <w:color w:val="auto"/>
                <w:sz w:val="24"/>
                <w:szCs w:val="24"/>
                <w:highlight w:val="none"/>
              </w:rPr>
              <w:t>职务</w:t>
            </w:r>
          </w:p>
        </w:tc>
        <w:tc>
          <w:tcPr>
            <w:tcW w:w="2461" w:type="dxa"/>
            <w:noWrap/>
            <w:vAlign w:val="center"/>
          </w:tcPr>
          <w:p w14:paraId="16CA312E">
            <w:pPr>
              <w:tabs>
                <w:tab w:val="left" w:pos="720"/>
              </w:tabs>
              <w:snapToGrid w:val="0"/>
              <w:jc w:val="center"/>
              <w:rPr>
                <w:rFonts w:ascii="宋体" w:hAnsi="宋体" w:cs="宋体"/>
                <w:color w:val="auto"/>
                <w:sz w:val="24"/>
                <w:szCs w:val="24"/>
                <w:highlight w:val="none"/>
              </w:rPr>
            </w:pPr>
            <w:r>
              <w:rPr>
                <w:rFonts w:hint="eastAsia" w:ascii="宋体" w:hAnsi="宋体" w:cs="宋体"/>
                <w:color w:val="auto"/>
                <w:sz w:val="24"/>
                <w:szCs w:val="24"/>
                <w:highlight w:val="none"/>
              </w:rPr>
              <w:t>所承担工作</w:t>
            </w:r>
          </w:p>
        </w:tc>
        <w:tc>
          <w:tcPr>
            <w:tcW w:w="2359" w:type="dxa"/>
            <w:noWrap/>
            <w:vAlign w:val="center"/>
          </w:tcPr>
          <w:p w14:paraId="0992B904">
            <w:pPr>
              <w:tabs>
                <w:tab w:val="left" w:pos="720"/>
              </w:tabs>
              <w:snapToGrid w:val="0"/>
              <w:jc w:val="center"/>
              <w:rPr>
                <w:rFonts w:ascii="宋体" w:hAnsi="宋体" w:cs="宋体"/>
                <w:color w:val="auto"/>
                <w:sz w:val="24"/>
                <w:szCs w:val="24"/>
                <w:highlight w:val="none"/>
              </w:rPr>
            </w:pPr>
            <w:r>
              <w:rPr>
                <w:rFonts w:hint="eastAsia" w:ascii="宋体" w:hAnsi="宋体" w:cs="宋体"/>
                <w:color w:val="auto"/>
                <w:sz w:val="24"/>
                <w:szCs w:val="24"/>
                <w:highlight w:val="none"/>
              </w:rPr>
              <w:t>身份证号码</w:t>
            </w:r>
          </w:p>
        </w:tc>
        <w:tc>
          <w:tcPr>
            <w:tcW w:w="1419" w:type="dxa"/>
            <w:noWrap/>
            <w:vAlign w:val="center"/>
          </w:tcPr>
          <w:p w14:paraId="5C343DAB">
            <w:pPr>
              <w:tabs>
                <w:tab w:val="left" w:pos="720"/>
              </w:tabs>
              <w:snapToGrid w:val="0"/>
              <w:jc w:val="center"/>
              <w:rPr>
                <w:rFonts w:ascii="宋体" w:hAnsi="宋体" w:cs="宋体"/>
                <w:color w:val="auto"/>
                <w:sz w:val="24"/>
                <w:szCs w:val="24"/>
                <w:highlight w:val="none"/>
              </w:rPr>
            </w:pPr>
            <w:r>
              <w:rPr>
                <w:rFonts w:hint="eastAsia" w:ascii="宋体" w:hAnsi="宋体" w:cs="宋体"/>
                <w:color w:val="auto"/>
                <w:sz w:val="24"/>
                <w:szCs w:val="24"/>
                <w:highlight w:val="none"/>
              </w:rPr>
              <w:t>本人签名栏</w:t>
            </w:r>
          </w:p>
        </w:tc>
      </w:tr>
      <w:tr w14:paraId="79E40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39" w:type="dxa"/>
            <w:noWrap/>
            <w:vAlign w:val="center"/>
          </w:tcPr>
          <w:p w14:paraId="569F2BB9">
            <w:pPr>
              <w:tabs>
                <w:tab w:val="left" w:pos="720"/>
              </w:tabs>
              <w:snapToGrid w:val="0"/>
              <w:jc w:val="center"/>
              <w:rPr>
                <w:rFonts w:ascii="宋体" w:hAnsi="宋体" w:cs="宋体"/>
                <w:color w:val="auto"/>
                <w:sz w:val="24"/>
                <w:szCs w:val="24"/>
                <w:highlight w:val="none"/>
              </w:rPr>
            </w:pPr>
          </w:p>
        </w:tc>
        <w:tc>
          <w:tcPr>
            <w:tcW w:w="1441" w:type="dxa"/>
            <w:noWrap/>
            <w:vAlign w:val="center"/>
          </w:tcPr>
          <w:p w14:paraId="47F6D555">
            <w:pPr>
              <w:tabs>
                <w:tab w:val="left" w:pos="720"/>
              </w:tabs>
              <w:snapToGrid w:val="0"/>
              <w:jc w:val="center"/>
              <w:rPr>
                <w:rFonts w:ascii="宋体" w:hAnsi="宋体" w:cs="宋体"/>
                <w:color w:val="auto"/>
                <w:sz w:val="24"/>
                <w:szCs w:val="24"/>
                <w:highlight w:val="none"/>
              </w:rPr>
            </w:pPr>
          </w:p>
        </w:tc>
        <w:tc>
          <w:tcPr>
            <w:tcW w:w="2461" w:type="dxa"/>
            <w:noWrap/>
            <w:vAlign w:val="center"/>
          </w:tcPr>
          <w:p w14:paraId="5F005395">
            <w:pPr>
              <w:tabs>
                <w:tab w:val="left" w:pos="720"/>
              </w:tabs>
              <w:snapToGrid w:val="0"/>
              <w:jc w:val="center"/>
              <w:rPr>
                <w:rFonts w:ascii="宋体" w:hAnsi="宋体" w:cs="宋体"/>
                <w:color w:val="auto"/>
                <w:sz w:val="24"/>
                <w:szCs w:val="24"/>
                <w:highlight w:val="none"/>
              </w:rPr>
            </w:pPr>
          </w:p>
        </w:tc>
        <w:tc>
          <w:tcPr>
            <w:tcW w:w="2359" w:type="dxa"/>
            <w:noWrap/>
            <w:vAlign w:val="center"/>
          </w:tcPr>
          <w:p w14:paraId="0FFB71DD">
            <w:pPr>
              <w:tabs>
                <w:tab w:val="left" w:pos="720"/>
              </w:tabs>
              <w:snapToGrid w:val="0"/>
              <w:jc w:val="center"/>
              <w:rPr>
                <w:rFonts w:ascii="宋体" w:hAnsi="宋体" w:cs="宋体"/>
                <w:color w:val="auto"/>
                <w:sz w:val="24"/>
                <w:szCs w:val="24"/>
                <w:highlight w:val="none"/>
              </w:rPr>
            </w:pPr>
          </w:p>
        </w:tc>
        <w:tc>
          <w:tcPr>
            <w:tcW w:w="1419" w:type="dxa"/>
            <w:noWrap/>
            <w:vAlign w:val="center"/>
          </w:tcPr>
          <w:p w14:paraId="50AD805C">
            <w:pPr>
              <w:tabs>
                <w:tab w:val="left" w:pos="720"/>
              </w:tabs>
              <w:snapToGrid w:val="0"/>
              <w:jc w:val="center"/>
              <w:rPr>
                <w:rFonts w:ascii="宋体" w:hAnsi="宋体" w:cs="宋体"/>
                <w:color w:val="auto"/>
                <w:sz w:val="24"/>
                <w:szCs w:val="24"/>
                <w:highlight w:val="none"/>
              </w:rPr>
            </w:pPr>
          </w:p>
        </w:tc>
      </w:tr>
      <w:tr w14:paraId="519DA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39" w:type="dxa"/>
            <w:noWrap/>
            <w:vAlign w:val="center"/>
          </w:tcPr>
          <w:p w14:paraId="201438C8">
            <w:pPr>
              <w:tabs>
                <w:tab w:val="left" w:pos="720"/>
              </w:tabs>
              <w:snapToGrid w:val="0"/>
              <w:jc w:val="center"/>
              <w:rPr>
                <w:rFonts w:ascii="宋体" w:hAnsi="宋体" w:cs="宋体"/>
                <w:color w:val="auto"/>
                <w:sz w:val="24"/>
                <w:szCs w:val="24"/>
                <w:highlight w:val="none"/>
              </w:rPr>
            </w:pPr>
          </w:p>
        </w:tc>
        <w:tc>
          <w:tcPr>
            <w:tcW w:w="1441" w:type="dxa"/>
            <w:noWrap/>
            <w:vAlign w:val="center"/>
          </w:tcPr>
          <w:p w14:paraId="2D4FC606">
            <w:pPr>
              <w:tabs>
                <w:tab w:val="left" w:pos="720"/>
              </w:tabs>
              <w:snapToGrid w:val="0"/>
              <w:jc w:val="center"/>
              <w:rPr>
                <w:rFonts w:ascii="宋体" w:hAnsi="宋体" w:cs="宋体"/>
                <w:color w:val="auto"/>
                <w:sz w:val="24"/>
                <w:szCs w:val="24"/>
                <w:highlight w:val="none"/>
              </w:rPr>
            </w:pPr>
          </w:p>
        </w:tc>
        <w:tc>
          <w:tcPr>
            <w:tcW w:w="2461" w:type="dxa"/>
            <w:noWrap/>
            <w:vAlign w:val="center"/>
          </w:tcPr>
          <w:p w14:paraId="654353D7">
            <w:pPr>
              <w:tabs>
                <w:tab w:val="left" w:pos="720"/>
              </w:tabs>
              <w:snapToGrid w:val="0"/>
              <w:jc w:val="center"/>
              <w:rPr>
                <w:rFonts w:ascii="宋体" w:hAnsi="宋体" w:cs="宋体"/>
                <w:color w:val="auto"/>
                <w:sz w:val="24"/>
                <w:szCs w:val="24"/>
                <w:highlight w:val="none"/>
              </w:rPr>
            </w:pPr>
          </w:p>
        </w:tc>
        <w:tc>
          <w:tcPr>
            <w:tcW w:w="2359" w:type="dxa"/>
            <w:noWrap/>
            <w:vAlign w:val="center"/>
          </w:tcPr>
          <w:p w14:paraId="72660DFD">
            <w:pPr>
              <w:tabs>
                <w:tab w:val="left" w:pos="720"/>
              </w:tabs>
              <w:snapToGrid w:val="0"/>
              <w:jc w:val="center"/>
              <w:rPr>
                <w:rFonts w:ascii="宋体" w:hAnsi="宋体" w:cs="宋体"/>
                <w:color w:val="auto"/>
                <w:sz w:val="24"/>
                <w:szCs w:val="24"/>
                <w:highlight w:val="none"/>
              </w:rPr>
            </w:pPr>
          </w:p>
        </w:tc>
        <w:tc>
          <w:tcPr>
            <w:tcW w:w="1419" w:type="dxa"/>
            <w:noWrap/>
            <w:vAlign w:val="center"/>
          </w:tcPr>
          <w:p w14:paraId="56D3E846">
            <w:pPr>
              <w:tabs>
                <w:tab w:val="left" w:pos="720"/>
              </w:tabs>
              <w:snapToGrid w:val="0"/>
              <w:jc w:val="center"/>
              <w:rPr>
                <w:rFonts w:ascii="宋体" w:hAnsi="宋体" w:cs="宋体"/>
                <w:color w:val="auto"/>
                <w:sz w:val="24"/>
                <w:szCs w:val="24"/>
                <w:highlight w:val="none"/>
              </w:rPr>
            </w:pPr>
          </w:p>
        </w:tc>
      </w:tr>
      <w:tr w14:paraId="16D94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39" w:type="dxa"/>
            <w:noWrap/>
            <w:vAlign w:val="center"/>
          </w:tcPr>
          <w:p w14:paraId="11BFA03B">
            <w:pPr>
              <w:tabs>
                <w:tab w:val="left" w:pos="720"/>
              </w:tabs>
              <w:snapToGrid w:val="0"/>
              <w:jc w:val="center"/>
              <w:rPr>
                <w:rFonts w:ascii="宋体" w:hAnsi="宋体" w:cs="宋体"/>
                <w:color w:val="auto"/>
                <w:sz w:val="24"/>
                <w:szCs w:val="24"/>
                <w:highlight w:val="none"/>
              </w:rPr>
            </w:pPr>
          </w:p>
        </w:tc>
        <w:tc>
          <w:tcPr>
            <w:tcW w:w="1441" w:type="dxa"/>
            <w:noWrap/>
            <w:vAlign w:val="center"/>
          </w:tcPr>
          <w:p w14:paraId="579406DE">
            <w:pPr>
              <w:tabs>
                <w:tab w:val="left" w:pos="720"/>
              </w:tabs>
              <w:snapToGrid w:val="0"/>
              <w:jc w:val="center"/>
              <w:rPr>
                <w:rFonts w:ascii="宋体" w:hAnsi="宋体" w:cs="宋体"/>
                <w:color w:val="auto"/>
                <w:sz w:val="24"/>
                <w:szCs w:val="24"/>
                <w:highlight w:val="none"/>
              </w:rPr>
            </w:pPr>
          </w:p>
        </w:tc>
        <w:tc>
          <w:tcPr>
            <w:tcW w:w="2461" w:type="dxa"/>
            <w:noWrap/>
            <w:vAlign w:val="center"/>
          </w:tcPr>
          <w:p w14:paraId="2254F67E">
            <w:pPr>
              <w:tabs>
                <w:tab w:val="left" w:pos="720"/>
              </w:tabs>
              <w:snapToGrid w:val="0"/>
              <w:jc w:val="center"/>
              <w:rPr>
                <w:rFonts w:ascii="宋体" w:hAnsi="宋体" w:cs="宋体"/>
                <w:color w:val="auto"/>
                <w:sz w:val="24"/>
                <w:szCs w:val="24"/>
                <w:highlight w:val="none"/>
              </w:rPr>
            </w:pPr>
          </w:p>
        </w:tc>
        <w:tc>
          <w:tcPr>
            <w:tcW w:w="2359" w:type="dxa"/>
            <w:noWrap/>
            <w:vAlign w:val="center"/>
          </w:tcPr>
          <w:p w14:paraId="2E7DE9AE">
            <w:pPr>
              <w:tabs>
                <w:tab w:val="left" w:pos="720"/>
              </w:tabs>
              <w:snapToGrid w:val="0"/>
              <w:jc w:val="center"/>
              <w:rPr>
                <w:rFonts w:ascii="宋体" w:hAnsi="宋体" w:cs="宋体"/>
                <w:color w:val="auto"/>
                <w:sz w:val="24"/>
                <w:szCs w:val="24"/>
                <w:highlight w:val="none"/>
              </w:rPr>
            </w:pPr>
          </w:p>
        </w:tc>
        <w:tc>
          <w:tcPr>
            <w:tcW w:w="1419" w:type="dxa"/>
            <w:noWrap/>
            <w:vAlign w:val="center"/>
          </w:tcPr>
          <w:p w14:paraId="3C3F074D">
            <w:pPr>
              <w:tabs>
                <w:tab w:val="left" w:pos="720"/>
              </w:tabs>
              <w:snapToGrid w:val="0"/>
              <w:jc w:val="center"/>
              <w:rPr>
                <w:rFonts w:ascii="宋体" w:hAnsi="宋体" w:cs="宋体"/>
                <w:color w:val="auto"/>
                <w:sz w:val="24"/>
                <w:szCs w:val="24"/>
                <w:highlight w:val="none"/>
              </w:rPr>
            </w:pPr>
          </w:p>
        </w:tc>
      </w:tr>
      <w:tr w14:paraId="493B7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39" w:type="dxa"/>
            <w:noWrap/>
            <w:vAlign w:val="center"/>
          </w:tcPr>
          <w:p w14:paraId="16D1BD8E">
            <w:pPr>
              <w:tabs>
                <w:tab w:val="left" w:pos="720"/>
              </w:tabs>
              <w:snapToGrid w:val="0"/>
              <w:jc w:val="center"/>
              <w:rPr>
                <w:rFonts w:ascii="宋体" w:hAnsi="宋体" w:cs="宋体"/>
                <w:color w:val="auto"/>
                <w:sz w:val="24"/>
                <w:szCs w:val="24"/>
                <w:highlight w:val="none"/>
              </w:rPr>
            </w:pPr>
          </w:p>
        </w:tc>
        <w:tc>
          <w:tcPr>
            <w:tcW w:w="1441" w:type="dxa"/>
            <w:noWrap/>
            <w:vAlign w:val="center"/>
          </w:tcPr>
          <w:p w14:paraId="37B7C685">
            <w:pPr>
              <w:tabs>
                <w:tab w:val="left" w:pos="720"/>
              </w:tabs>
              <w:snapToGrid w:val="0"/>
              <w:jc w:val="center"/>
              <w:rPr>
                <w:rFonts w:ascii="宋体" w:hAnsi="宋体" w:cs="宋体"/>
                <w:color w:val="auto"/>
                <w:sz w:val="24"/>
                <w:szCs w:val="24"/>
                <w:highlight w:val="none"/>
              </w:rPr>
            </w:pPr>
          </w:p>
        </w:tc>
        <w:tc>
          <w:tcPr>
            <w:tcW w:w="2461" w:type="dxa"/>
            <w:noWrap/>
            <w:vAlign w:val="center"/>
          </w:tcPr>
          <w:p w14:paraId="7254762E">
            <w:pPr>
              <w:tabs>
                <w:tab w:val="left" w:pos="720"/>
              </w:tabs>
              <w:snapToGrid w:val="0"/>
              <w:jc w:val="center"/>
              <w:rPr>
                <w:rFonts w:ascii="宋体" w:hAnsi="宋体" w:cs="宋体"/>
                <w:color w:val="auto"/>
                <w:sz w:val="24"/>
                <w:szCs w:val="24"/>
                <w:highlight w:val="none"/>
              </w:rPr>
            </w:pPr>
          </w:p>
        </w:tc>
        <w:tc>
          <w:tcPr>
            <w:tcW w:w="2359" w:type="dxa"/>
            <w:noWrap/>
            <w:vAlign w:val="center"/>
          </w:tcPr>
          <w:p w14:paraId="56AB221A">
            <w:pPr>
              <w:tabs>
                <w:tab w:val="left" w:pos="720"/>
              </w:tabs>
              <w:snapToGrid w:val="0"/>
              <w:jc w:val="center"/>
              <w:rPr>
                <w:rFonts w:ascii="宋体" w:hAnsi="宋体" w:cs="宋体"/>
                <w:color w:val="auto"/>
                <w:sz w:val="24"/>
                <w:szCs w:val="24"/>
                <w:highlight w:val="none"/>
              </w:rPr>
            </w:pPr>
          </w:p>
        </w:tc>
        <w:tc>
          <w:tcPr>
            <w:tcW w:w="1419" w:type="dxa"/>
            <w:noWrap/>
            <w:vAlign w:val="center"/>
          </w:tcPr>
          <w:p w14:paraId="48F6ED24">
            <w:pPr>
              <w:tabs>
                <w:tab w:val="left" w:pos="720"/>
              </w:tabs>
              <w:snapToGrid w:val="0"/>
              <w:jc w:val="center"/>
              <w:rPr>
                <w:rFonts w:ascii="宋体" w:hAnsi="宋体" w:cs="宋体"/>
                <w:color w:val="auto"/>
                <w:sz w:val="24"/>
                <w:szCs w:val="24"/>
                <w:highlight w:val="none"/>
              </w:rPr>
            </w:pPr>
          </w:p>
        </w:tc>
      </w:tr>
      <w:tr w14:paraId="4A024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39" w:type="dxa"/>
            <w:noWrap/>
            <w:vAlign w:val="center"/>
          </w:tcPr>
          <w:p w14:paraId="0F4BB3C6">
            <w:pPr>
              <w:tabs>
                <w:tab w:val="left" w:pos="720"/>
              </w:tabs>
              <w:snapToGrid w:val="0"/>
              <w:jc w:val="center"/>
              <w:rPr>
                <w:rFonts w:ascii="宋体" w:hAnsi="宋体" w:cs="宋体"/>
                <w:color w:val="auto"/>
                <w:sz w:val="24"/>
                <w:szCs w:val="24"/>
                <w:highlight w:val="none"/>
              </w:rPr>
            </w:pPr>
          </w:p>
        </w:tc>
        <w:tc>
          <w:tcPr>
            <w:tcW w:w="1441" w:type="dxa"/>
            <w:noWrap/>
            <w:vAlign w:val="center"/>
          </w:tcPr>
          <w:p w14:paraId="2C1B64F7">
            <w:pPr>
              <w:tabs>
                <w:tab w:val="left" w:pos="720"/>
              </w:tabs>
              <w:snapToGrid w:val="0"/>
              <w:jc w:val="center"/>
              <w:rPr>
                <w:rFonts w:ascii="宋体" w:hAnsi="宋体" w:cs="宋体"/>
                <w:color w:val="auto"/>
                <w:sz w:val="24"/>
                <w:szCs w:val="24"/>
                <w:highlight w:val="none"/>
              </w:rPr>
            </w:pPr>
          </w:p>
        </w:tc>
        <w:tc>
          <w:tcPr>
            <w:tcW w:w="2461" w:type="dxa"/>
            <w:noWrap/>
            <w:vAlign w:val="center"/>
          </w:tcPr>
          <w:p w14:paraId="3C57ED66">
            <w:pPr>
              <w:tabs>
                <w:tab w:val="left" w:pos="720"/>
              </w:tabs>
              <w:snapToGrid w:val="0"/>
              <w:jc w:val="center"/>
              <w:rPr>
                <w:rFonts w:ascii="宋体" w:hAnsi="宋体" w:cs="宋体"/>
                <w:color w:val="auto"/>
                <w:sz w:val="24"/>
                <w:szCs w:val="24"/>
                <w:highlight w:val="none"/>
              </w:rPr>
            </w:pPr>
          </w:p>
        </w:tc>
        <w:tc>
          <w:tcPr>
            <w:tcW w:w="2359" w:type="dxa"/>
            <w:noWrap/>
            <w:vAlign w:val="center"/>
          </w:tcPr>
          <w:p w14:paraId="19823CDF">
            <w:pPr>
              <w:tabs>
                <w:tab w:val="left" w:pos="720"/>
              </w:tabs>
              <w:snapToGrid w:val="0"/>
              <w:jc w:val="center"/>
              <w:rPr>
                <w:rFonts w:ascii="宋体" w:hAnsi="宋体" w:cs="宋体"/>
                <w:color w:val="auto"/>
                <w:sz w:val="24"/>
                <w:szCs w:val="24"/>
                <w:highlight w:val="none"/>
              </w:rPr>
            </w:pPr>
          </w:p>
        </w:tc>
        <w:tc>
          <w:tcPr>
            <w:tcW w:w="1419" w:type="dxa"/>
            <w:noWrap/>
            <w:vAlign w:val="center"/>
          </w:tcPr>
          <w:p w14:paraId="426832B1">
            <w:pPr>
              <w:tabs>
                <w:tab w:val="left" w:pos="720"/>
              </w:tabs>
              <w:snapToGrid w:val="0"/>
              <w:jc w:val="center"/>
              <w:rPr>
                <w:rFonts w:ascii="宋体" w:hAnsi="宋体" w:cs="宋体"/>
                <w:color w:val="auto"/>
                <w:sz w:val="24"/>
                <w:szCs w:val="24"/>
                <w:highlight w:val="none"/>
              </w:rPr>
            </w:pPr>
          </w:p>
        </w:tc>
      </w:tr>
      <w:tr w14:paraId="709D2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39" w:type="dxa"/>
            <w:noWrap/>
            <w:vAlign w:val="center"/>
          </w:tcPr>
          <w:p w14:paraId="5B7EB568">
            <w:pPr>
              <w:tabs>
                <w:tab w:val="left" w:pos="720"/>
              </w:tabs>
              <w:snapToGrid w:val="0"/>
              <w:jc w:val="center"/>
              <w:rPr>
                <w:rFonts w:ascii="宋体" w:hAnsi="宋体" w:cs="宋体"/>
                <w:color w:val="auto"/>
                <w:sz w:val="24"/>
                <w:szCs w:val="24"/>
                <w:highlight w:val="none"/>
              </w:rPr>
            </w:pPr>
          </w:p>
        </w:tc>
        <w:tc>
          <w:tcPr>
            <w:tcW w:w="1441" w:type="dxa"/>
            <w:noWrap/>
            <w:vAlign w:val="center"/>
          </w:tcPr>
          <w:p w14:paraId="7E5E308B">
            <w:pPr>
              <w:tabs>
                <w:tab w:val="left" w:pos="720"/>
              </w:tabs>
              <w:snapToGrid w:val="0"/>
              <w:jc w:val="center"/>
              <w:rPr>
                <w:rFonts w:ascii="宋体" w:hAnsi="宋体" w:cs="宋体"/>
                <w:color w:val="auto"/>
                <w:sz w:val="24"/>
                <w:szCs w:val="24"/>
                <w:highlight w:val="none"/>
              </w:rPr>
            </w:pPr>
          </w:p>
        </w:tc>
        <w:tc>
          <w:tcPr>
            <w:tcW w:w="2461" w:type="dxa"/>
            <w:noWrap/>
            <w:vAlign w:val="center"/>
          </w:tcPr>
          <w:p w14:paraId="319DA533">
            <w:pPr>
              <w:tabs>
                <w:tab w:val="left" w:pos="720"/>
              </w:tabs>
              <w:snapToGrid w:val="0"/>
              <w:jc w:val="center"/>
              <w:rPr>
                <w:rFonts w:ascii="宋体" w:hAnsi="宋体" w:cs="宋体"/>
                <w:color w:val="auto"/>
                <w:sz w:val="24"/>
                <w:szCs w:val="24"/>
                <w:highlight w:val="none"/>
              </w:rPr>
            </w:pPr>
          </w:p>
        </w:tc>
        <w:tc>
          <w:tcPr>
            <w:tcW w:w="2359" w:type="dxa"/>
            <w:noWrap/>
            <w:vAlign w:val="center"/>
          </w:tcPr>
          <w:p w14:paraId="4828A320">
            <w:pPr>
              <w:tabs>
                <w:tab w:val="left" w:pos="720"/>
              </w:tabs>
              <w:snapToGrid w:val="0"/>
              <w:jc w:val="center"/>
              <w:rPr>
                <w:rFonts w:ascii="宋体" w:hAnsi="宋体" w:cs="宋体"/>
                <w:color w:val="auto"/>
                <w:sz w:val="24"/>
                <w:szCs w:val="24"/>
                <w:highlight w:val="none"/>
              </w:rPr>
            </w:pPr>
          </w:p>
        </w:tc>
        <w:tc>
          <w:tcPr>
            <w:tcW w:w="1419" w:type="dxa"/>
            <w:noWrap/>
            <w:vAlign w:val="center"/>
          </w:tcPr>
          <w:p w14:paraId="0B843189">
            <w:pPr>
              <w:tabs>
                <w:tab w:val="left" w:pos="720"/>
              </w:tabs>
              <w:snapToGrid w:val="0"/>
              <w:jc w:val="center"/>
              <w:rPr>
                <w:rFonts w:ascii="宋体" w:hAnsi="宋体" w:cs="宋体"/>
                <w:color w:val="auto"/>
                <w:sz w:val="24"/>
                <w:szCs w:val="24"/>
                <w:highlight w:val="none"/>
              </w:rPr>
            </w:pPr>
          </w:p>
        </w:tc>
      </w:tr>
      <w:tr w14:paraId="75F97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39" w:type="dxa"/>
            <w:noWrap/>
            <w:vAlign w:val="center"/>
          </w:tcPr>
          <w:p w14:paraId="17AFD0B8">
            <w:pPr>
              <w:tabs>
                <w:tab w:val="left" w:pos="720"/>
              </w:tabs>
              <w:snapToGrid w:val="0"/>
              <w:jc w:val="center"/>
              <w:rPr>
                <w:rFonts w:ascii="宋体" w:hAnsi="宋体" w:cs="宋体"/>
                <w:color w:val="auto"/>
                <w:sz w:val="24"/>
                <w:szCs w:val="24"/>
                <w:highlight w:val="none"/>
              </w:rPr>
            </w:pPr>
          </w:p>
        </w:tc>
        <w:tc>
          <w:tcPr>
            <w:tcW w:w="1441" w:type="dxa"/>
            <w:noWrap/>
            <w:vAlign w:val="center"/>
          </w:tcPr>
          <w:p w14:paraId="55FDD677">
            <w:pPr>
              <w:tabs>
                <w:tab w:val="left" w:pos="720"/>
              </w:tabs>
              <w:snapToGrid w:val="0"/>
              <w:jc w:val="center"/>
              <w:rPr>
                <w:rFonts w:ascii="宋体" w:hAnsi="宋体" w:cs="宋体"/>
                <w:color w:val="auto"/>
                <w:sz w:val="24"/>
                <w:szCs w:val="24"/>
                <w:highlight w:val="none"/>
              </w:rPr>
            </w:pPr>
          </w:p>
        </w:tc>
        <w:tc>
          <w:tcPr>
            <w:tcW w:w="2461" w:type="dxa"/>
            <w:noWrap/>
            <w:vAlign w:val="center"/>
          </w:tcPr>
          <w:p w14:paraId="5824E805">
            <w:pPr>
              <w:tabs>
                <w:tab w:val="left" w:pos="720"/>
              </w:tabs>
              <w:snapToGrid w:val="0"/>
              <w:jc w:val="center"/>
              <w:rPr>
                <w:rFonts w:ascii="宋体" w:hAnsi="宋体" w:cs="宋体"/>
                <w:color w:val="auto"/>
                <w:sz w:val="24"/>
                <w:szCs w:val="24"/>
                <w:highlight w:val="none"/>
              </w:rPr>
            </w:pPr>
          </w:p>
        </w:tc>
        <w:tc>
          <w:tcPr>
            <w:tcW w:w="2359" w:type="dxa"/>
            <w:noWrap/>
            <w:vAlign w:val="center"/>
          </w:tcPr>
          <w:p w14:paraId="124CB633">
            <w:pPr>
              <w:tabs>
                <w:tab w:val="left" w:pos="720"/>
              </w:tabs>
              <w:snapToGrid w:val="0"/>
              <w:jc w:val="center"/>
              <w:rPr>
                <w:rFonts w:ascii="宋体" w:hAnsi="宋体" w:cs="宋体"/>
                <w:color w:val="auto"/>
                <w:sz w:val="24"/>
                <w:szCs w:val="24"/>
                <w:highlight w:val="none"/>
              </w:rPr>
            </w:pPr>
          </w:p>
        </w:tc>
        <w:tc>
          <w:tcPr>
            <w:tcW w:w="1419" w:type="dxa"/>
            <w:noWrap/>
            <w:vAlign w:val="center"/>
          </w:tcPr>
          <w:p w14:paraId="112F3F2A">
            <w:pPr>
              <w:tabs>
                <w:tab w:val="left" w:pos="720"/>
              </w:tabs>
              <w:snapToGrid w:val="0"/>
              <w:jc w:val="center"/>
              <w:rPr>
                <w:rFonts w:ascii="宋体" w:hAnsi="宋体" w:cs="宋体"/>
                <w:color w:val="auto"/>
                <w:sz w:val="24"/>
                <w:szCs w:val="24"/>
                <w:highlight w:val="none"/>
              </w:rPr>
            </w:pPr>
          </w:p>
        </w:tc>
      </w:tr>
      <w:tr w14:paraId="6241A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39" w:type="dxa"/>
            <w:noWrap/>
            <w:vAlign w:val="center"/>
          </w:tcPr>
          <w:p w14:paraId="21048FD3">
            <w:pPr>
              <w:tabs>
                <w:tab w:val="left" w:pos="720"/>
              </w:tabs>
              <w:snapToGrid w:val="0"/>
              <w:jc w:val="center"/>
              <w:rPr>
                <w:rFonts w:ascii="宋体" w:hAnsi="宋体" w:cs="宋体"/>
                <w:color w:val="auto"/>
                <w:sz w:val="24"/>
                <w:szCs w:val="24"/>
                <w:highlight w:val="none"/>
              </w:rPr>
            </w:pPr>
          </w:p>
        </w:tc>
        <w:tc>
          <w:tcPr>
            <w:tcW w:w="1441" w:type="dxa"/>
            <w:noWrap/>
            <w:vAlign w:val="center"/>
          </w:tcPr>
          <w:p w14:paraId="1BE4F2E2">
            <w:pPr>
              <w:tabs>
                <w:tab w:val="left" w:pos="720"/>
              </w:tabs>
              <w:snapToGrid w:val="0"/>
              <w:jc w:val="center"/>
              <w:rPr>
                <w:rFonts w:ascii="宋体" w:hAnsi="宋体" w:cs="宋体"/>
                <w:color w:val="auto"/>
                <w:sz w:val="24"/>
                <w:szCs w:val="24"/>
                <w:highlight w:val="none"/>
              </w:rPr>
            </w:pPr>
          </w:p>
        </w:tc>
        <w:tc>
          <w:tcPr>
            <w:tcW w:w="2461" w:type="dxa"/>
            <w:noWrap/>
            <w:vAlign w:val="center"/>
          </w:tcPr>
          <w:p w14:paraId="4717BD11">
            <w:pPr>
              <w:tabs>
                <w:tab w:val="left" w:pos="720"/>
              </w:tabs>
              <w:snapToGrid w:val="0"/>
              <w:jc w:val="center"/>
              <w:rPr>
                <w:rFonts w:ascii="宋体" w:hAnsi="宋体" w:cs="宋体"/>
                <w:color w:val="auto"/>
                <w:sz w:val="24"/>
                <w:szCs w:val="24"/>
                <w:highlight w:val="none"/>
              </w:rPr>
            </w:pPr>
          </w:p>
        </w:tc>
        <w:tc>
          <w:tcPr>
            <w:tcW w:w="2359" w:type="dxa"/>
            <w:noWrap/>
            <w:vAlign w:val="center"/>
          </w:tcPr>
          <w:p w14:paraId="73A12F76">
            <w:pPr>
              <w:tabs>
                <w:tab w:val="left" w:pos="720"/>
              </w:tabs>
              <w:snapToGrid w:val="0"/>
              <w:jc w:val="center"/>
              <w:rPr>
                <w:rFonts w:ascii="宋体" w:hAnsi="宋体" w:cs="宋体"/>
                <w:color w:val="auto"/>
                <w:sz w:val="24"/>
                <w:szCs w:val="24"/>
                <w:highlight w:val="none"/>
              </w:rPr>
            </w:pPr>
          </w:p>
        </w:tc>
        <w:tc>
          <w:tcPr>
            <w:tcW w:w="1419" w:type="dxa"/>
            <w:noWrap/>
            <w:vAlign w:val="center"/>
          </w:tcPr>
          <w:p w14:paraId="19284D3A">
            <w:pPr>
              <w:tabs>
                <w:tab w:val="left" w:pos="720"/>
              </w:tabs>
              <w:snapToGrid w:val="0"/>
              <w:jc w:val="center"/>
              <w:rPr>
                <w:rFonts w:ascii="宋体" w:hAnsi="宋体" w:cs="宋体"/>
                <w:color w:val="auto"/>
                <w:sz w:val="24"/>
                <w:szCs w:val="24"/>
                <w:highlight w:val="none"/>
              </w:rPr>
            </w:pPr>
          </w:p>
        </w:tc>
      </w:tr>
    </w:tbl>
    <w:p w14:paraId="1CA0B82B">
      <w:pPr>
        <w:tabs>
          <w:tab w:val="left" w:pos="720"/>
        </w:tabs>
        <w:snapToGrid w:val="0"/>
        <w:spacing w:line="360" w:lineRule="auto"/>
        <w:rPr>
          <w:rFonts w:ascii="宋体" w:hAnsi="宋体" w:cs="宋体"/>
          <w:color w:val="auto"/>
          <w:sz w:val="24"/>
          <w:szCs w:val="24"/>
          <w:highlight w:val="none"/>
        </w:rPr>
      </w:pPr>
    </w:p>
    <w:p w14:paraId="2CFDEFBA">
      <w:pPr>
        <w:topLinePunct/>
        <w:adjustRightInd w:val="0"/>
        <w:snapToGrid w:val="0"/>
        <w:spacing w:line="360" w:lineRule="auto"/>
        <w:ind w:firstLine="496" w:firstLineChars="200"/>
        <w:rPr>
          <w:rFonts w:ascii="宋体" w:hAnsi="宋体" w:cs="宋体"/>
          <w:color w:val="auto"/>
          <w:spacing w:val="4"/>
          <w:kern w:val="0"/>
          <w:sz w:val="24"/>
          <w:szCs w:val="24"/>
          <w:highlight w:val="none"/>
        </w:rPr>
      </w:pPr>
      <w:r>
        <w:rPr>
          <w:rFonts w:hint="eastAsia" w:ascii="宋体" w:hAnsi="宋体" w:cs="宋体"/>
          <w:color w:val="auto"/>
          <w:spacing w:val="4"/>
          <w:kern w:val="0"/>
          <w:sz w:val="24"/>
          <w:szCs w:val="24"/>
          <w:highlight w:val="none"/>
        </w:rPr>
        <w:t>注：1.参与编制经济标书所有人员名单应包括如编制各种专业工程量清单投标报价、负责清样校对、负责打印及复印等所有人员在内的人员名单。</w:t>
      </w:r>
    </w:p>
    <w:p w14:paraId="7D7764DC">
      <w:pPr>
        <w:topLinePunct/>
        <w:adjustRightInd w:val="0"/>
        <w:snapToGrid w:val="0"/>
        <w:spacing w:line="360" w:lineRule="auto"/>
        <w:ind w:firstLine="496" w:firstLineChars="200"/>
        <w:rPr>
          <w:rFonts w:ascii="宋体" w:hAnsi="宋体" w:cs="宋体"/>
          <w:color w:val="auto"/>
          <w:spacing w:val="4"/>
          <w:kern w:val="0"/>
          <w:sz w:val="24"/>
          <w:szCs w:val="24"/>
          <w:highlight w:val="none"/>
        </w:rPr>
      </w:pPr>
      <w:r>
        <w:rPr>
          <w:rFonts w:hint="eastAsia" w:ascii="宋体" w:hAnsi="宋体" w:cs="宋体"/>
          <w:color w:val="auto"/>
          <w:spacing w:val="4"/>
          <w:kern w:val="0"/>
          <w:sz w:val="24"/>
          <w:szCs w:val="24"/>
          <w:highlight w:val="none"/>
        </w:rPr>
        <w:t>2.上述人员须为投标单位人员，须提供</w:t>
      </w:r>
      <w:r>
        <w:rPr>
          <w:rFonts w:ascii="宋体" w:hAnsi="宋体" w:cs="宋体"/>
          <w:b/>
          <w:color w:val="auto"/>
          <w:spacing w:val="4"/>
          <w:kern w:val="0"/>
          <w:sz w:val="24"/>
          <w:szCs w:val="24"/>
          <w:highlight w:val="none"/>
        </w:rPr>
        <w:t>2025年</w:t>
      </w:r>
      <w:r>
        <w:rPr>
          <w:rFonts w:hint="eastAsia" w:ascii="宋体" w:hAnsi="宋体" w:cs="宋体"/>
          <w:b/>
          <w:color w:val="auto"/>
          <w:spacing w:val="4"/>
          <w:kern w:val="0"/>
          <w:sz w:val="24"/>
          <w:szCs w:val="24"/>
          <w:highlight w:val="none"/>
          <w:lang w:val="en-US" w:eastAsia="zh-CN"/>
        </w:rPr>
        <w:t>10</w:t>
      </w:r>
      <w:r>
        <w:rPr>
          <w:rFonts w:hint="eastAsia" w:ascii="宋体" w:hAnsi="宋体" w:cs="宋体"/>
          <w:b/>
          <w:color w:val="auto"/>
          <w:spacing w:val="4"/>
          <w:kern w:val="0"/>
          <w:sz w:val="24"/>
          <w:szCs w:val="24"/>
          <w:highlight w:val="none"/>
          <w:lang w:eastAsia="zh-CN"/>
        </w:rPr>
        <w:t>月或</w:t>
      </w:r>
      <w:r>
        <w:rPr>
          <w:rFonts w:hint="eastAsia" w:ascii="宋体" w:hAnsi="宋体" w:cs="宋体"/>
          <w:b/>
          <w:color w:val="auto"/>
          <w:spacing w:val="4"/>
          <w:kern w:val="0"/>
          <w:sz w:val="24"/>
          <w:szCs w:val="24"/>
          <w:highlight w:val="none"/>
          <w:lang w:val="en-US" w:eastAsia="zh-CN"/>
        </w:rPr>
        <w:t>11</w:t>
      </w:r>
      <w:r>
        <w:rPr>
          <w:rFonts w:hint="eastAsia" w:ascii="宋体" w:hAnsi="宋体" w:cs="宋体"/>
          <w:b/>
          <w:color w:val="auto"/>
          <w:spacing w:val="4"/>
          <w:kern w:val="0"/>
          <w:sz w:val="24"/>
          <w:szCs w:val="24"/>
          <w:highlight w:val="none"/>
          <w:lang w:eastAsia="zh-CN"/>
        </w:rPr>
        <w:t>月</w:t>
      </w:r>
      <w:r>
        <w:rPr>
          <w:rFonts w:hint="eastAsia" w:ascii="宋体" w:hAnsi="宋体" w:cs="宋体"/>
          <w:color w:val="auto"/>
          <w:spacing w:val="4"/>
          <w:kern w:val="0"/>
          <w:sz w:val="24"/>
          <w:szCs w:val="24"/>
          <w:highlight w:val="none"/>
        </w:rPr>
        <w:t>在本公司缴纳社保的有效社保证明。</w:t>
      </w:r>
    </w:p>
    <w:p w14:paraId="0F097DF6">
      <w:pPr>
        <w:snapToGrid w:val="0"/>
        <w:spacing w:line="360" w:lineRule="auto"/>
        <w:rPr>
          <w:rFonts w:ascii="宋体" w:hAnsi="宋体" w:cs="宋体"/>
          <w:color w:val="auto"/>
          <w:szCs w:val="21"/>
          <w:highlight w:val="none"/>
        </w:rPr>
      </w:pPr>
    </w:p>
    <w:p w14:paraId="1F86849C">
      <w:pPr>
        <w:rPr>
          <w:rFonts w:ascii="宋体" w:hAnsi="宋体" w:cs="宋体"/>
          <w:bCs/>
          <w:color w:val="auto"/>
          <w:spacing w:val="4"/>
          <w:sz w:val="24"/>
          <w:szCs w:val="24"/>
          <w:highlight w:val="none"/>
        </w:rPr>
      </w:pPr>
      <w:r>
        <w:rPr>
          <w:rFonts w:hint="eastAsia" w:ascii="宋体" w:hAnsi="宋体" w:cs="宋体"/>
          <w:bCs/>
          <w:color w:val="auto"/>
          <w:spacing w:val="4"/>
          <w:sz w:val="24"/>
          <w:szCs w:val="24"/>
          <w:highlight w:val="none"/>
        </w:rPr>
        <w:br w:type="page"/>
      </w:r>
    </w:p>
    <w:p w14:paraId="269CA261">
      <w:pPr>
        <w:topLinePunct/>
        <w:adjustRightInd w:val="0"/>
        <w:snapToGrid w:val="0"/>
        <w:spacing w:line="360" w:lineRule="auto"/>
        <w:rPr>
          <w:rFonts w:ascii="宋体" w:hAnsi="宋体" w:cs="宋体"/>
          <w:color w:val="auto"/>
          <w:spacing w:val="4"/>
          <w:kern w:val="0"/>
          <w:sz w:val="24"/>
          <w:szCs w:val="24"/>
          <w:highlight w:val="none"/>
        </w:rPr>
      </w:pPr>
      <w:r>
        <w:rPr>
          <w:rFonts w:hint="eastAsia" w:ascii="宋体" w:hAnsi="宋体" w:cs="宋体"/>
          <w:bCs/>
          <w:color w:val="auto"/>
          <w:spacing w:val="4"/>
          <w:sz w:val="24"/>
          <w:szCs w:val="24"/>
          <w:highlight w:val="none"/>
        </w:rPr>
        <w:t>经济标格式三</w:t>
      </w:r>
    </w:p>
    <w:p w14:paraId="1C01BFBC">
      <w:pPr>
        <w:widowControl/>
        <w:topLinePunct/>
        <w:adjustRightInd w:val="0"/>
        <w:snapToGrid w:val="0"/>
        <w:spacing w:line="360" w:lineRule="auto"/>
        <w:jc w:val="center"/>
        <w:outlineLvl w:val="1"/>
        <w:rPr>
          <w:rFonts w:ascii="宋体" w:hAnsi="宋体" w:cs="宋体"/>
          <w:b/>
          <w:bCs/>
          <w:color w:val="auto"/>
          <w:spacing w:val="4"/>
          <w:kern w:val="0"/>
          <w:sz w:val="36"/>
          <w:szCs w:val="36"/>
          <w:highlight w:val="none"/>
        </w:rPr>
      </w:pPr>
      <w:bookmarkStart w:id="68" w:name="_Toc13531"/>
      <w:r>
        <w:rPr>
          <w:rFonts w:hint="eastAsia" w:ascii="宋体" w:hAnsi="宋体" w:cs="宋体"/>
          <w:b/>
          <w:bCs/>
          <w:color w:val="auto"/>
          <w:spacing w:val="4"/>
          <w:kern w:val="0"/>
          <w:sz w:val="36"/>
          <w:szCs w:val="36"/>
          <w:highlight w:val="none"/>
        </w:rPr>
        <w:t>对投标文件编制的承诺</w:t>
      </w:r>
      <w:bookmarkEnd w:id="68"/>
    </w:p>
    <w:p w14:paraId="1E68052D">
      <w:pPr>
        <w:snapToGrid w:val="0"/>
        <w:spacing w:line="360" w:lineRule="auto"/>
        <w:ind w:left="-2" w:leftChars="-1" w:firstLine="540" w:firstLineChars="225"/>
        <w:rPr>
          <w:rFonts w:ascii="宋体" w:hAnsi="宋体" w:cs="宋体"/>
          <w:color w:val="auto"/>
          <w:kern w:val="0"/>
          <w:sz w:val="24"/>
          <w:szCs w:val="24"/>
          <w:highlight w:val="none"/>
        </w:rPr>
      </w:pPr>
      <w:r>
        <w:rPr>
          <w:rFonts w:hint="eastAsia" w:ascii="宋体" w:hAnsi="宋体" w:cs="宋体"/>
          <w:color w:val="auto"/>
          <w:kern w:val="0"/>
          <w:sz w:val="24"/>
          <w:szCs w:val="24"/>
          <w:highlight w:val="none"/>
        </w:rPr>
        <w:t>本公司授权</w:t>
      </w:r>
      <w:r>
        <w:rPr>
          <w:rFonts w:hint="eastAsia" w:ascii="宋体" w:hAnsi="宋体" w:cs="宋体"/>
          <w:i/>
          <w:iCs/>
          <w:color w:val="auto"/>
          <w:kern w:val="0"/>
          <w:sz w:val="24"/>
          <w:szCs w:val="24"/>
          <w:highlight w:val="none"/>
          <w:u w:val="single"/>
        </w:rPr>
        <w:t xml:space="preserve">        </w:t>
      </w:r>
      <w:r>
        <w:rPr>
          <w:rFonts w:hint="eastAsia" w:ascii="宋体" w:hAnsi="宋体" w:cs="宋体"/>
          <w:color w:val="auto"/>
          <w:kern w:val="0"/>
          <w:sz w:val="24"/>
          <w:szCs w:val="24"/>
          <w:highlight w:val="none"/>
          <w:u w:val="single"/>
        </w:rPr>
        <w:t>（身份证号：                ）</w:t>
      </w:r>
      <w:r>
        <w:rPr>
          <w:rFonts w:hint="eastAsia" w:ascii="宋体" w:hAnsi="宋体" w:cs="宋体"/>
          <w:color w:val="auto"/>
          <w:kern w:val="0"/>
          <w:sz w:val="24"/>
          <w:szCs w:val="24"/>
          <w:highlight w:val="none"/>
        </w:rPr>
        <w:t>负责对投标文件的编制及内容进行解释、说明，并承诺以下事项：</w:t>
      </w:r>
    </w:p>
    <w:p w14:paraId="5B540B83">
      <w:pPr>
        <w:snapToGrid w:val="0"/>
        <w:spacing w:line="360" w:lineRule="auto"/>
        <w:ind w:left="-2" w:leftChars="-1" w:firstLine="540" w:firstLineChars="225"/>
        <w:rPr>
          <w:rFonts w:ascii="宋体" w:hAnsi="宋体" w:cs="宋体"/>
          <w:color w:val="auto"/>
          <w:kern w:val="0"/>
          <w:sz w:val="24"/>
          <w:szCs w:val="24"/>
          <w:highlight w:val="none"/>
        </w:rPr>
      </w:pPr>
      <w:r>
        <w:rPr>
          <w:rFonts w:hint="eastAsia" w:ascii="宋体" w:hAnsi="宋体" w:cs="宋体"/>
          <w:color w:val="auto"/>
          <w:kern w:val="0"/>
          <w:sz w:val="24"/>
          <w:szCs w:val="24"/>
          <w:highlight w:val="none"/>
        </w:rPr>
        <w:t>1.被授权人清楚投标文件编制的具体情况，包括技术方案文件、工程量清单、以及投标文件的加密打包的理解；</w:t>
      </w:r>
    </w:p>
    <w:p w14:paraId="7B607E9D">
      <w:pPr>
        <w:snapToGrid w:val="0"/>
        <w:spacing w:line="360" w:lineRule="auto"/>
        <w:ind w:left="-2" w:leftChars="-1" w:firstLine="540" w:firstLineChars="225"/>
        <w:rPr>
          <w:rFonts w:ascii="宋体" w:hAnsi="宋体" w:cs="宋体"/>
          <w:color w:val="auto"/>
          <w:kern w:val="0"/>
          <w:sz w:val="24"/>
          <w:szCs w:val="24"/>
          <w:highlight w:val="none"/>
        </w:rPr>
      </w:pPr>
      <w:r>
        <w:rPr>
          <w:rFonts w:hint="eastAsia" w:ascii="宋体" w:hAnsi="宋体" w:cs="宋体"/>
          <w:color w:val="auto"/>
          <w:kern w:val="0"/>
          <w:sz w:val="24"/>
          <w:szCs w:val="24"/>
          <w:highlight w:val="none"/>
        </w:rPr>
        <w:t>2.在本项目开标至评标结束前，努力确保被授权人在项目评标所在地附近；</w:t>
      </w:r>
    </w:p>
    <w:p w14:paraId="5C9C04CE">
      <w:pPr>
        <w:snapToGrid w:val="0"/>
        <w:spacing w:line="360" w:lineRule="auto"/>
        <w:ind w:left="-2" w:leftChars="-1" w:firstLine="540" w:firstLineChars="225"/>
        <w:rPr>
          <w:rFonts w:ascii="宋体" w:hAnsi="宋体" w:cs="宋体"/>
          <w:color w:val="auto"/>
          <w:kern w:val="0"/>
          <w:sz w:val="24"/>
          <w:szCs w:val="24"/>
          <w:highlight w:val="none"/>
        </w:rPr>
      </w:pPr>
      <w:r>
        <w:rPr>
          <w:rFonts w:hint="eastAsia" w:ascii="宋体" w:hAnsi="宋体" w:cs="宋体"/>
          <w:color w:val="auto"/>
          <w:kern w:val="0"/>
          <w:sz w:val="24"/>
          <w:szCs w:val="24"/>
          <w:highlight w:val="none"/>
        </w:rPr>
        <w:t>3.从评标委员会要求澄清起二小时内，被授权人应如实地书面澄清。</w:t>
      </w:r>
    </w:p>
    <w:p w14:paraId="338340C6">
      <w:pPr>
        <w:snapToGrid w:val="0"/>
        <w:spacing w:line="360" w:lineRule="auto"/>
        <w:ind w:left="-2" w:leftChars="-1" w:firstLine="540" w:firstLineChars="225"/>
        <w:rPr>
          <w:rFonts w:ascii="宋体" w:hAnsi="宋体" w:cs="宋体"/>
          <w:color w:val="auto"/>
          <w:kern w:val="0"/>
          <w:sz w:val="24"/>
          <w:szCs w:val="24"/>
          <w:highlight w:val="none"/>
        </w:rPr>
      </w:pPr>
      <w:r>
        <w:rPr>
          <w:rFonts w:hint="eastAsia" w:ascii="宋体" w:hAnsi="宋体" w:cs="宋体"/>
          <w:color w:val="auto"/>
          <w:kern w:val="0"/>
          <w:sz w:val="24"/>
          <w:szCs w:val="24"/>
          <w:highlight w:val="none"/>
        </w:rPr>
        <w:t>如由于未遵守上述承诺内容之一导致无法进行澄清的，我公司认可和接受评标委员会作出的评审结论。</w:t>
      </w:r>
    </w:p>
    <w:p w14:paraId="4F769DBF">
      <w:pPr>
        <w:snapToGrid w:val="0"/>
        <w:spacing w:line="360" w:lineRule="auto"/>
        <w:ind w:firstLine="360" w:firstLineChars="150"/>
        <w:rPr>
          <w:rFonts w:ascii="宋体" w:hAnsi="宋体" w:cs="宋体"/>
          <w:color w:val="auto"/>
          <w:kern w:val="0"/>
          <w:sz w:val="24"/>
          <w:szCs w:val="24"/>
          <w:highlight w:val="none"/>
        </w:rPr>
      </w:pPr>
    </w:p>
    <w:p w14:paraId="3339FF1B">
      <w:pPr>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附件：《投标文件编制情况》</w:t>
      </w:r>
    </w:p>
    <w:p w14:paraId="31217B6C">
      <w:pPr>
        <w:snapToGrid w:val="0"/>
        <w:spacing w:line="360" w:lineRule="auto"/>
        <w:ind w:right="90" w:firstLine="3240" w:firstLineChars="1350"/>
        <w:rPr>
          <w:rFonts w:ascii="宋体" w:hAnsi="宋体" w:cs="宋体"/>
          <w:color w:val="auto"/>
          <w:sz w:val="24"/>
          <w:szCs w:val="24"/>
          <w:highlight w:val="none"/>
        </w:rPr>
      </w:pPr>
    </w:p>
    <w:p w14:paraId="75499E92">
      <w:pPr>
        <w:snapToGrid w:val="0"/>
        <w:spacing w:line="360" w:lineRule="auto"/>
        <w:ind w:right="90" w:firstLine="3960" w:firstLineChars="1650"/>
        <w:rPr>
          <w:rFonts w:ascii="宋体" w:hAnsi="宋体" w:cs="宋体"/>
          <w:color w:val="auto"/>
          <w:sz w:val="24"/>
          <w:szCs w:val="24"/>
          <w:highlight w:val="none"/>
          <w:u w:val="single"/>
        </w:rPr>
      </w:pPr>
      <w:r>
        <w:rPr>
          <w:rFonts w:hint="eastAsia" w:ascii="宋体" w:hAnsi="宋体" w:cs="宋体"/>
          <w:color w:val="auto"/>
          <w:sz w:val="24"/>
          <w:szCs w:val="24"/>
          <w:highlight w:val="none"/>
        </w:rPr>
        <w:t>投标人名称（盖章）：</w:t>
      </w:r>
    </w:p>
    <w:p w14:paraId="7AE879D6">
      <w:pPr>
        <w:snapToGrid w:val="0"/>
        <w:spacing w:line="360" w:lineRule="auto"/>
        <w:ind w:firstLine="4080" w:firstLineChars="1700"/>
        <w:outlineLvl w:val="1"/>
        <w:rPr>
          <w:rFonts w:ascii="宋体" w:hAnsi="宋体" w:cs="宋体"/>
          <w:color w:val="auto"/>
          <w:sz w:val="24"/>
          <w:szCs w:val="24"/>
          <w:highlight w:val="none"/>
        </w:rPr>
      </w:pPr>
      <w:bookmarkStart w:id="69" w:name="_Toc3751"/>
      <w:r>
        <w:rPr>
          <w:rFonts w:hint="eastAsia" w:ascii="宋体" w:hAnsi="宋体" w:cs="宋体"/>
          <w:color w:val="auto"/>
          <w:sz w:val="24"/>
          <w:szCs w:val="24"/>
          <w:highlight w:val="none"/>
        </w:rPr>
        <w:t>日期：    年   月   日</w:t>
      </w:r>
      <w:bookmarkEnd w:id="69"/>
    </w:p>
    <w:p w14:paraId="766F4513">
      <w:pPr>
        <w:rPr>
          <w:rFonts w:ascii="宋体" w:hAnsi="宋体" w:cs="宋体"/>
          <w:color w:val="auto"/>
          <w:szCs w:val="21"/>
          <w:highlight w:val="none"/>
        </w:rPr>
      </w:pPr>
    </w:p>
    <w:p w14:paraId="295A2833">
      <w:pPr>
        <w:widowControl/>
        <w:topLinePunct/>
        <w:adjustRightInd w:val="0"/>
        <w:snapToGrid w:val="0"/>
        <w:spacing w:line="360" w:lineRule="auto"/>
        <w:jc w:val="center"/>
        <w:outlineLvl w:val="1"/>
        <w:rPr>
          <w:rFonts w:ascii="宋体" w:hAnsi="宋体" w:cs="宋体"/>
          <w:b/>
          <w:bCs/>
          <w:color w:val="auto"/>
          <w:spacing w:val="4"/>
          <w:kern w:val="0"/>
          <w:sz w:val="36"/>
          <w:szCs w:val="36"/>
          <w:highlight w:val="none"/>
        </w:rPr>
      </w:pPr>
      <w:bookmarkStart w:id="70" w:name="_Toc22554"/>
      <w:r>
        <w:rPr>
          <w:rFonts w:hint="eastAsia" w:ascii="宋体" w:hAnsi="宋体" w:cs="宋体"/>
          <w:b/>
          <w:bCs/>
          <w:color w:val="auto"/>
          <w:spacing w:val="4"/>
          <w:kern w:val="0"/>
          <w:sz w:val="36"/>
          <w:szCs w:val="36"/>
          <w:highlight w:val="none"/>
        </w:rPr>
        <w:t>投标文件编制情况</w:t>
      </w:r>
      <w:bookmarkEnd w:id="70"/>
    </w:p>
    <w:p w14:paraId="559F07EA">
      <w:pPr>
        <w:snapToGrid w:val="0"/>
        <w:spacing w:line="360" w:lineRule="auto"/>
        <w:ind w:firstLine="480" w:firstLineChars="200"/>
        <w:rPr>
          <w:rFonts w:ascii="宋体" w:hAnsi="宋体" w:cs="宋体"/>
          <w:color w:val="auto"/>
          <w:kern w:val="0"/>
          <w:sz w:val="24"/>
          <w:szCs w:val="24"/>
          <w:highlight w:val="none"/>
          <w:u w:val="single"/>
        </w:rPr>
      </w:pPr>
      <w:r>
        <w:rPr>
          <w:rFonts w:hint="eastAsia" w:ascii="宋体" w:hAnsi="宋体" w:cs="宋体"/>
          <w:color w:val="auto"/>
          <w:kern w:val="0"/>
          <w:sz w:val="24"/>
          <w:szCs w:val="24"/>
          <w:highlight w:val="none"/>
        </w:rPr>
        <w:t>1.投标文件报价编制方式: □自行编制的，编制的负责人：</w:t>
      </w:r>
      <w:r>
        <w:rPr>
          <w:rFonts w:hint="eastAsia" w:ascii="宋体" w:hAnsi="宋体" w:cs="宋体"/>
          <w:color w:val="auto"/>
          <w:kern w:val="0"/>
          <w:sz w:val="24"/>
          <w:szCs w:val="24"/>
          <w:highlight w:val="none"/>
          <w:u w:val="single"/>
        </w:rPr>
        <w:t>（盖造价工程师执业专用章，执业单位应与投标人一致）</w:t>
      </w:r>
      <w:r>
        <w:rPr>
          <w:rFonts w:hint="eastAsia" w:ascii="宋体" w:hAnsi="宋体" w:cs="宋体"/>
          <w:color w:val="auto"/>
          <w:kern w:val="0"/>
          <w:sz w:val="24"/>
          <w:szCs w:val="24"/>
          <w:highlight w:val="none"/>
        </w:rPr>
        <w:t>。□委托编制的，受委托单位</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，编制的负责人：</w:t>
      </w:r>
      <w:r>
        <w:rPr>
          <w:rFonts w:hint="eastAsia" w:ascii="宋体" w:hAnsi="宋体" w:cs="宋体"/>
          <w:color w:val="auto"/>
          <w:kern w:val="0"/>
          <w:sz w:val="24"/>
          <w:szCs w:val="24"/>
          <w:highlight w:val="none"/>
          <w:u w:val="single"/>
        </w:rPr>
        <w:t>（盖造价工程师执业专用章，执业单位应与受委托单位一致）</w:t>
      </w:r>
      <w:r>
        <w:rPr>
          <w:rFonts w:hint="eastAsia" w:ascii="宋体" w:hAnsi="宋体" w:cs="宋体"/>
          <w:color w:val="auto"/>
          <w:kern w:val="0"/>
          <w:sz w:val="24"/>
          <w:szCs w:val="24"/>
          <w:highlight w:val="none"/>
        </w:rPr>
        <w:t>。</w:t>
      </w:r>
    </w:p>
    <w:p w14:paraId="5DDB6302">
      <w:pPr>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2.投标文件加密打包的电脑情况</w:t>
      </w:r>
    </w:p>
    <w:tbl>
      <w:tblPr>
        <w:tblStyle w:val="33"/>
        <w:tblW w:w="0" w:type="auto"/>
        <w:tblInd w:w="0" w:type="dxa"/>
        <w:tblLayout w:type="fixed"/>
        <w:tblCellMar>
          <w:top w:w="0" w:type="dxa"/>
          <w:left w:w="108" w:type="dxa"/>
          <w:bottom w:w="0" w:type="dxa"/>
          <w:right w:w="108" w:type="dxa"/>
        </w:tblCellMar>
      </w:tblPr>
      <w:tblGrid>
        <w:gridCol w:w="9234"/>
      </w:tblGrid>
      <w:tr w14:paraId="4ABDA6FD">
        <w:tblPrEx>
          <w:tblCellMar>
            <w:top w:w="0" w:type="dxa"/>
            <w:left w:w="108" w:type="dxa"/>
            <w:bottom w:w="0" w:type="dxa"/>
            <w:right w:w="108" w:type="dxa"/>
          </w:tblCellMar>
        </w:tblPrEx>
        <w:trPr>
          <w:trHeight w:val="2185" w:hRule="atLeast"/>
        </w:trPr>
        <w:tc>
          <w:tcPr>
            <w:tcW w:w="9234" w:type="dxa"/>
            <w:noWrap/>
          </w:tcPr>
          <w:p w14:paraId="0CFBB8DD">
            <w:pPr>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投标文件加密打包的电脑自有□外包□其他□</w:t>
            </w:r>
          </w:p>
          <w:p w14:paraId="716B5E58">
            <w:pPr>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电脑类型</w:t>
            </w:r>
          </w:p>
          <w:p w14:paraId="1EDAB0DE">
            <w:pPr>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电脑所属单位</w:t>
            </w:r>
          </w:p>
          <w:p w14:paraId="0BED0A90">
            <w:pPr>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电脑所在地址（如××市××区(县) ××街（路）××号××大厦××房）</w:t>
            </w:r>
          </w:p>
        </w:tc>
      </w:tr>
    </w:tbl>
    <w:p w14:paraId="5A7252D0">
      <w:pPr>
        <w:rPr>
          <w:rFonts w:ascii="宋体" w:hAnsi="宋体" w:cs="宋体"/>
          <w:color w:val="auto"/>
          <w:szCs w:val="21"/>
          <w:highlight w:val="none"/>
        </w:rPr>
      </w:pPr>
    </w:p>
    <w:p w14:paraId="597FBB45">
      <w:pPr>
        <w:rPr>
          <w:color w:val="auto"/>
          <w:highlight w:val="none"/>
        </w:rPr>
        <w:sectPr>
          <w:headerReference r:id="rId14" w:type="default"/>
          <w:footerReference r:id="rId15" w:type="default"/>
          <w:pgSz w:w="11906" w:h="16838"/>
          <w:pgMar w:top="1383" w:right="1383" w:bottom="1383" w:left="1383" w:header="851" w:footer="992" w:gutter="0"/>
          <w:cols w:space="720" w:num="1"/>
          <w:docGrid w:type="lines" w:linePitch="312" w:charSpace="0"/>
        </w:sectPr>
      </w:pPr>
    </w:p>
    <w:p w14:paraId="5D571CBD">
      <w:pPr>
        <w:pStyle w:val="2"/>
        <w:ind w:firstLine="0"/>
        <w:rPr>
          <w:color w:val="auto"/>
          <w:highlight w:val="none"/>
        </w:rPr>
      </w:pPr>
    </w:p>
    <w:p w14:paraId="276F585C">
      <w:pPr>
        <w:numPr>
          <w:ilvl w:val="0"/>
          <w:numId w:val="0"/>
        </w:numPr>
        <w:ind w:left="0" w:leftChars="0" w:firstLine="0" w:firstLineChars="0"/>
        <w:jc w:val="center"/>
        <w:rPr>
          <w:rFonts w:hint="eastAsia" w:ascii="宋体" w:hAnsi="宋体" w:cs="宋体"/>
          <w:color w:val="auto"/>
          <w:sz w:val="32"/>
          <w:szCs w:val="32"/>
          <w:highlight w:val="none"/>
        </w:rPr>
      </w:pPr>
      <w:bookmarkStart w:id="71" w:name="_Toc2272568"/>
      <w:bookmarkStart w:id="72" w:name="_Toc9312"/>
      <w:bookmarkStart w:id="73" w:name="_Toc2272569"/>
      <w:r>
        <w:rPr>
          <w:rFonts w:hint="eastAsia" w:ascii="宋体" w:hAnsi="宋体" w:eastAsia="宋体" w:cs="宋体"/>
          <w:color w:val="auto"/>
          <w:kern w:val="2"/>
          <w:sz w:val="32"/>
          <w:szCs w:val="32"/>
          <w:highlight w:val="none"/>
          <w:lang w:val="en-US" w:eastAsia="zh-CN" w:bidi="ar-SA"/>
        </w:rPr>
        <w:t>三、</w:t>
      </w:r>
      <w:r>
        <w:rPr>
          <w:rFonts w:hint="eastAsia" w:ascii="宋体" w:hAnsi="宋体" w:cs="宋体"/>
          <w:color w:val="auto"/>
          <w:sz w:val="32"/>
          <w:szCs w:val="32"/>
          <w:highlight w:val="none"/>
        </w:rPr>
        <w:t>定标文件格式</w:t>
      </w:r>
    </w:p>
    <w:p w14:paraId="03AAF6A0">
      <w:pPr>
        <w:topLinePunct/>
        <w:adjustRightInd w:val="0"/>
        <w:snapToGrid w:val="0"/>
        <w:spacing w:after="156" w:afterLines="50"/>
        <w:jc w:val="left"/>
        <w:rPr>
          <w:rFonts w:hint="eastAsia"/>
          <w:color w:val="000000"/>
          <w:sz w:val="24"/>
          <w:szCs w:val="24"/>
          <w:highlight w:val="none"/>
        </w:rPr>
      </w:pPr>
      <w:r>
        <w:rPr>
          <w:color w:val="000000"/>
          <w:sz w:val="24"/>
          <w:szCs w:val="24"/>
          <w:highlight w:val="none"/>
        </w:rPr>
        <w:t>定标文件</w:t>
      </w:r>
      <w:r>
        <w:rPr>
          <w:rFonts w:hint="eastAsia"/>
          <w:color w:val="000000"/>
          <w:sz w:val="24"/>
          <w:szCs w:val="24"/>
          <w:highlight w:val="none"/>
        </w:rPr>
        <w:t xml:space="preserve">格式一 </w:t>
      </w:r>
    </w:p>
    <w:p w14:paraId="62F1EF4C">
      <w:pPr>
        <w:pStyle w:val="47"/>
        <w:ind w:firstLine="496"/>
        <w:rPr>
          <w:rFonts w:hint="eastAsia" w:cs="宋体"/>
          <w:color w:val="000000"/>
          <w:highlight w:val="none"/>
        </w:rPr>
      </w:pPr>
    </w:p>
    <w:p w14:paraId="6DF62567">
      <w:pPr>
        <w:pStyle w:val="47"/>
        <w:ind w:firstLine="496"/>
        <w:rPr>
          <w:rFonts w:hint="eastAsia" w:cs="宋体"/>
          <w:color w:val="000000"/>
          <w:highlight w:val="none"/>
        </w:rPr>
      </w:pPr>
    </w:p>
    <w:p w14:paraId="0EF53927">
      <w:pPr>
        <w:pStyle w:val="54"/>
        <w:rPr>
          <w:rFonts w:hint="eastAsia" w:eastAsia="宋体" w:cs="宋体"/>
          <w:b w:val="0"/>
          <w:color w:val="000000"/>
          <w:highlight w:val="none"/>
          <w:u w:val="single"/>
        </w:rPr>
      </w:pPr>
      <w:r>
        <w:rPr>
          <w:rFonts w:hint="eastAsia" w:eastAsia="宋体" w:cs="宋体"/>
          <w:b w:val="0"/>
          <w:color w:val="000000"/>
          <w:highlight w:val="none"/>
          <w:u w:val="single"/>
        </w:rPr>
        <w:t xml:space="preserve">[工程名称] </w:t>
      </w:r>
    </w:p>
    <w:p w14:paraId="0A807EAF">
      <w:pPr>
        <w:pStyle w:val="47"/>
        <w:ind w:firstLine="496"/>
        <w:rPr>
          <w:rFonts w:hint="eastAsia" w:cs="宋体"/>
          <w:color w:val="000000"/>
          <w:highlight w:val="none"/>
        </w:rPr>
      </w:pPr>
    </w:p>
    <w:p w14:paraId="6D270394">
      <w:pPr>
        <w:pStyle w:val="47"/>
        <w:ind w:firstLine="496"/>
        <w:rPr>
          <w:rFonts w:hint="eastAsia" w:cs="宋体"/>
          <w:color w:val="000000"/>
          <w:highlight w:val="none"/>
        </w:rPr>
      </w:pPr>
    </w:p>
    <w:p w14:paraId="00D98EEF">
      <w:pPr>
        <w:pStyle w:val="47"/>
        <w:ind w:firstLine="496"/>
        <w:rPr>
          <w:rFonts w:hint="eastAsia" w:cs="宋体"/>
          <w:color w:val="000000"/>
          <w:highlight w:val="none"/>
        </w:rPr>
      </w:pPr>
    </w:p>
    <w:p w14:paraId="0D1663EE">
      <w:pPr>
        <w:pStyle w:val="47"/>
        <w:ind w:firstLine="496"/>
        <w:rPr>
          <w:rFonts w:hint="eastAsia" w:cs="宋体"/>
          <w:color w:val="000000"/>
          <w:highlight w:val="none"/>
        </w:rPr>
      </w:pPr>
    </w:p>
    <w:p w14:paraId="34F9E908">
      <w:pPr>
        <w:pStyle w:val="55"/>
        <w:rPr>
          <w:rFonts w:hint="eastAsia" w:eastAsia="宋体" w:cs="宋体"/>
          <w:b w:val="0"/>
          <w:color w:val="000000"/>
          <w:highlight w:val="none"/>
        </w:rPr>
      </w:pPr>
      <w:r>
        <w:rPr>
          <w:rFonts w:hint="eastAsia" w:eastAsia="宋体" w:cs="宋体"/>
          <w:b w:val="0"/>
          <w:color w:val="000000"/>
          <w:highlight w:val="none"/>
        </w:rPr>
        <w:t>投标文件</w:t>
      </w:r>
    </w:p>
    <w:p w14:paraId="06A9439C">
      <w:pPr>
        <w:pStyle w:val="54"/>
        <w:rPr>
          <w:rFonts w:hint="eastAsia" w:eastAsia="宋体" w:cs="宋体"/>
          <w:b w:val="0"/>
          <w:color w:val="000000"/>
          <w:highlight w:val="none"/>
        </w:rPr>
      </w:pPr>
      <w:r>
        <w:rPr>
          <w:rFonts w:hint="eastAsia" w:eastAsia="宋体" w:cs="宋体"/>
          <w:b w:val="0"/>
          <w:color w:val="000000"/>
          <w:highlight w:val="none"/>
        </w:rPr>
        <w:t>定标文件</w:t>
      </w:r>
    </w:p>
    <w:p w14:paraId="02B3E7D4">
      <w:pPr>
        <w:pStyle w:val="47"/>
        <w:ind w:firstLine="496"/>
        <w:rPr>
          <w:rFonts w:hint="eastAsia" w:cs="宋体"/>
          <w:color w:val="000000"/>
          <w:highlight w:val="none"/>
        </w:rPr>
      </w:pPr>
      <w:r>
        <w:rPr>
          <w:rFonts w:hint="eastAsia" w:cs="宋体"/>
          <w:color w:val="000000"/>
          <w:highlight w:val="none"/>
        </w:rPr>
        <w:t xml:space="preserve">   </w:t>
      </w:r>
    </w:p>
    <w:p w14:paraId="174E6186">
      <w:pPr>
        <w:pStyle w:val="47"/>
        <w:ind w:firstLine="496"/>
        <w:rPr>
          <w:rFonts w:hint="eastAsia" w:cs="宋体"/>
          <w:color w:val="000000"/>
          <w:highlight w:val="none"/>
        </w:rPr>
      </w:pPr>
    </w:p>
    <w:p w14:paraId="1FA8B5B9">
      <w:pPr>
        <w:pStyle w:val="47"/>
        <w:ind w:firstLine="496"/>
        <w:rPr>
          <w:rFonts w:hint="eastAsia" w:cs="宋体"/>
          <w:color w:val="000000"/>
          <w:highlight w:val="none"/>
        </w:rPr>
      </w:pPr>
    </w:p>
    <w:p w14:paraId="3119F194">
      <w:pPr>
        <w:pStyle w:val="47"/>
        <w:ind w:firstLine="496"/>
        <w:rPr>
          <w:rFonts w:hint="eastAsia" w:cs="宋体"/>
          <w:color w:val="000000"/>
          <w:highlight w:val="none"/>
        </w:rPr>
      </w:pPr>
    </w:p>
    <w:p w14:paraId="7091DAF3">
      <w:pPr>
        <w:pStyle w:val="47"/>
        <w:ind w:firstLine="496"/>
        <w:rPr>
          <w:rFonts w:hint="eastAsia" w:cs="宋体"/>
          <w:color w:val="000000"/>
          <w:highlight w:val="none"/>
        </w:rPr>
      </w:pPr>
    </w:p>
    <w:p w14:paraId="5D2CF60B">
      <w:pPr>
        <w:pStyle w:val="47"/>
        <w:ind w:firstLine="496"/>
        <w:rPr>
          <w:rFonts w:hint="eastAsia" w:cs="宋体"/>
          <w:color w:val="000000"/>
          <w:highlight w:val="none"/>
        </w:rPr>
      </w:pPr>
    </w:p>
    <w:p w14:paraId="768D76F2">
      <w:pPr>
        <w:pStyle w:val="56"/>
        <w:ind w:firstLine="616"/>
        <w:rPr>
          <w:rFonts w:hint="eastAsia" w:cs="宋体"/>
          <w:color w:val="000000"/>
          <w:highlight w:val="none"/>
        </w:rPr>
      </w:pPr>
      <w:r>
        <w:rPr>
          <w:rFonts w:hint="eastAsia" w:cs="宋体"/>
          <w:color w:val="000000"/>
          <w:highlight w:val="none"/>
        </w:rPr>
        <w:t>投标人：</w:t>
      </w:r>
      <w:r>
        <w:rPr>
          <w:rFonts w:hint="eastAsia" w:cs="宋体"/>
          <w:color w:val="000000"/>
          <w:highlight w:val="none"/>
          <w:u w:val="single"/>
        </w:rPr>
        <w:t xml:space="preserve">      （填写投标人单位名称）       （盖章）</w:t>
      </w:r>
    </w:p>
    <w:p w14:paraId="62D085AA">
      <w:pPr>
        <w:pStyle w:val="56"/>
        <w:ind w:firstLine="616"/>
        <w:rPr>
          <w:rFonts w:hint="eastAsia" w:cs="宋体"/>
          <w:color w:val="000000"/>
          <w:highlight w:val="none"/>
        </w:rPr>
      </w:pPr>
    </w:p>
    <w:p w14:paraId="40080D81">
      <w:pPr>
        <w:pStyle w:val="56"/>
        <w:ind w:firstLine="616"/>
        <w:rPr>
          <w:rFonts w:hint="eastAsia" w:cs="宋体"/>
          <w:color w:val="000000"/>
          <w:highlight w:val="none"/>
        </w:rPr>
      </w:pPr>
      <w:r>
        <w:rPr>
          <w:rFonts w:hint="eastAsia" w:cs="宋体"/>
          <w:color w:val="000000"/>
          <w:highlight w:val="none"/>
        </w:rPr>
        <w:t>法定代表人或</w:t>
      </w:r>
    </w:p>
    <w:p w14:paraId="1360667C">
      <w:pPr>
        <w:pStyle w:val="56"/>
        <w:ind w:firstLine="616"/>
        <w:rPr>
          <w:rFonts w:hint="eastAsia" w:cs="宋体"/>
          <w:color w:val="000000"/>
          <w:highlight w:val="none"/>
        </w:rPr>
      </w:pPr>
      <w:r>
        <w:rPr>
          <w:rFonts w:hint="eastAsia" w:cs="宋体"/>
          <w:color w:val="000000"/>
          <w:highlight w:val="none"/>
        </w:rPr>
        <w:t>其委托代理人：</w:t>
      </w:r>
      <w:r>
        <w:rPr>
          <w:rFonts w:hint="eastAsia" w:cs="宋体"/>
          <w:color w:val="000000"/>
          <w:highlight w:val="none"/>
          <w:u w:val="single"/>
        </w:rPr>
        <w:t xml:space="preserve">                     （签字或盖章）</w:t>
      </w:r>
    </w:p>
    <w:p w14:paraId="5D25B4C4">
      <w:pPr>
        <w:ind w:firstLine="616" w:firstLineChars="200"/>
        <w:rPr>
          <w:rFonts w:hint="eastAsia" w:ascii="宋体" w:hAnsi="宋体" w:cs="宋体"/>
          <w:color w:val="000000"/>
          <w:spacing w:val="4"/>
          <w:kern w:val="0"/>
          <w:sz w:val="30"/>
          <w:szCs w:val="30"/>
          <w:highlight w:val="none"/>
        </w:rPr>
      </w:pPr>
      <w:r>
        <w:rPr>
          <w:rFonts w:hint="eastAsia" w:ascii="宋体" w:hAnsi="宋体" w:cs="宋体"/>
          <w:color w:val="000000"/>
          <w:spacing w:val="4"/>
          <w:kern w:val="0"/>
          <w:sz w:val="30"/>
          <w:szCs w:val="30"/>
          <w:highlight w:val="none"/>
        </w:rPr>
        <w:t xml:space="preserve">日  期：             </w:t>
      </w:r>
    </w:p>
    <w:p w14:paraId="792093BD">
      <w:pPr>
        <w:topLinePunct/>
        <w:adjustRightInd w:val="0"/>
        <w:snapToGrid w:val="0"/>
        <w:spacing w:after="156" w:afterLines="50"/>
        <w:jc w:val="center"/>
        <w:rPr>
          <w:rFonts w:hint="eastAsia"/>
          <w:color w:val="000000"/>
          <w:sz w:val="24"/>
          <w:szCs w:val="24"/>
          <w:highlight w:val="none"/>
        </w:rPr>
      </w:pPr>
    </w:p>
    <w:p w14:paraId="08366062">
      <w:pPr>
        <w:rPr>
          <w:rFonts w:hint="eastAsia"/>
          <w:color w:val="000000"/>
          <w:sz w:val="24"/>
          <w:szCs w:val="24"/>
          <w:highlight w:val="none"/>
        </w:rPr>
      </w:pPr>
      <w:r>
        <w:rPr>
          <w:rFonts w:hint="eastAsia"/>
          <w:color w:val="000000"/>
          <w:sz w:val="24"/>
          <w:szCs w:val="24"/>
          <w:highlight w:val="none"/>
        </w:rPr>
        <w:br w:type="page"/>
      </w:r>
    </w:p>
    <w:p w14:paraId="5B16D1D0">
      <w:pPr>
        <w:topLinePunct/>
        <w:adjustRightInd w:val="0"/>
        <w:snapToGrid w:val="0"/>
        <w:spacing w:after="156" w:afterLines="50"/>
        <w:jc w:val="both"/>
        <w:rPr>
          <w:rFonts w:hint="eastAsia"/>
          <w:color w:val="000000"/>
          <w:sz w:val="24"/>
          <w:szCs w:val="24"/>
          <w:highlight w:val="none"/>
        </w:rPr>
      </w:pPr>
      <w:r>
        <w:rPr>
          <w:color w:val="000000"/>
          <w:sz w:val="24"/>
          <w:szCs w:val="24"/>
          <w:highlight w:val="none"/>
        </w:rPr>
        <w:t>定标文件</w:t>
      </w:r>
      <w:r>
        <w:rPr>
          <w:rFonts w:hint="eastAsia"/>
          <w:color w:val="000000"/>
          <w:sz w:val="24"/>
          <w:szCs w:val="24"/>
          <w:highlight w:val="none"/>
        </w:rPr>
        <w:t>格式一</w:t>
      </w:r>
    </w:p>
    <w:p w14:paraId="47A7EB5D">
      <w:pPr>
        <w:topLinePunct/>
        <w:adjustRightInd w:val="0"/>
        <w:snapToGrid w:val="0"/>
        <w:spacing w:after="156" w:afterLines="50"/>
        <w:jc w:val="center"/>
        <w:rPr>
          <w:rFonts w:hint="eastAsia"/>
          <w:color w:val="000000"/>
          <w:sz w:val="24"/>
          <w:szCs w:val="24"/>
          <w:highlight w:val="none"/>
        </w:rPr>
      </w:pPr>
      <w:r>
        <w:rPr>
          <w:rFonts w:hint="eastAsia"/>
          <w:color w:val="000000"/>
          <w:sz w:val="24"/>
          <w:szCs w:val="24"/>
          <w:highlight w:val="none"/>
        </w:rPr>
        <w:t>定标文件资料（参考定标因素需求格式自拟）</w:t>
      </w:r>
    </w:p>
    <w:p w14:paraId="39FA445B">
      <w:pPr>
        <w:numPr>
          <w:ilvl w:val="0"/>
          <w:numId w:val="0"/>
        </w:numPr>
        <w:ind w:left="0" w:leftChars="0" w:firstLine="643" w:firstLineChars="200"/>
        <w:jc w:val="center"/>
        <w:rPr>
          <w:rStyle w:val="49"/>
          <w:rFonts w:hint="eastAsia" w:ascii="宋体" w:hAnsi="宋体" w:cs="宋体"/>
          <w:b/>
          <w:color w:val="auto"/>
          <w:sz w:val="32"/>
          <w:szCs w:val="32"/>
          <w:highlight w:val="none"/>
        </w:rPr>
      </w:pPr>
      <w:r>
        <w:rPr>
          <w:rStyle w:val="49"/>
          <w:rFonts w:hint="eastAsia" w:ascii="宋体" w:hAnsi="宋体" w:cs="宋体"/>
          <w:b/>
          <w:color w:val="auto"/>
          <w:sz w:val="32"/>
          <w:szCs w:val="32"/>
          <w:highlight w:val="none"/>
        </w:rPr>
        <w:br w:type="page"/>
      </w:r>
    </w:p>
    <w:p w14:paraId="2EE2B9B1">
      <w:pPr>
        <w:tabs>
          <w:tab w:val="left" w:pos="720"/>
        </w:tabs>
        <w:snapToGrid w:val="0"/>
        <w:spacing w:line="360" w:lineRule="auto"/>
        <w:jc w:val="center"/>
        <w:rPr>
          <w:rStyle w:val="49"/>
          <w:rFonts w:ascii="宋体" w:hAnsi="宋体" w:cs="宋体"/>
          <w:b/>
          <w:color w:val="auto"/>
          <w:sz w:val="32"/>
          <w:szCs w:val="32"/>
          <w:highlight w:val="none"/>
        </w:rPr>
      </w:pPr>
      <w:r>
        <w:rPr>
          <w:rStyle w:val="49"/>
          <w:rFonts w:hint="eastAsia" w:ascii="宋体" w:hAnsi="宋体" w:cs="宋体"/>
          <w:b/>
          <w:color w:val="auto"/>
          <w:sz w:val="32"/>
          <w:szCs w:val="32"/>
          <w:highlight w:val="none"/>
        </w:rPr>
        <w:t>第五章  技术条件（工程建设标准）</w:t>
      </w:r>
      <w:bookmarkEnd w:id="71"/>
    </w:p>
    <w:bookmarkEnd w:id="72"/>
    <w:p w14:paraId="25F495CD">
      <w:pPr>
        <w:snapToGrid w:val="0"/>
        <w:rPr>
          <w:rFonts w:ascii="宋体" w:hAnsi="宋体" w:cs="宋体"/>
          <w:b/>
          <w:color w:val="auto"/>
          <w:sz w:val="24"/>
          <w:szCs w:val="24"/>
          <w:highlight w:val="none"/>
        </w:rPr>
      </w:pPr>
    </w:p>
    <w:p w14:paraId="6AF86FFE">
      <w:pPr>
        <w:snapToGrid w:val="0"/>
        <w:spacing w:line="440" w:lineRule="exact"/>
        <w:rPr>
          <w:rFonts w:ascii="宋体" w:hAnsi="宋体" w:cs="宋体"/>
          <w:b/>
          <w:color w:val="auto"/>
          <w:sz w:val="24"/>
          <w:szCs w:val="24"/>
          <w:highlight w:val="none"/>
        </w:rPr>
      </w:pPr>
      <w:r>
        <w:rPr>
          <w:rFonts w:hint="eastAsia" w:ascii="宋体" w:hAnsi="宋体" w:cs="宋体"/>
          <w:b/>
          <w:color w:val="auto"/>
          <w:sz w:val="24"/>
          <w:szCs w:val="24"/>
          <w:highlight w:val="none"/>
        </w:rPr>
        <w:t>一、标准</w:t>
      </w:r>
    </w:p>
    <w:p w14:paraId="021046D8">
      <w:pPr>
        <w:snapToGrid w:val="0"/>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以现行的中华人民共和国及有关部委颁布的标准、规范、和规程。若施工时期建设主管部门颁布新的规范、标准，则按照新的规范、标准执行。</w:t>
      </w:r>
    </w:p>
    <w:p w14:paraId="3B5B7BEF">
      <w:pPr>
        <w:snapToGrid w:val="0"/>
        <w:spacing w:line="440" w:lineRule="exact"/>
        <w:rPr>
          <w:rFonts w:ascii="宋体" w:hAnsi="宋体" w:cs="宋体"/>
          <w:b/>
          <w:color w:val="auto"/>
          <w:sz w:val="24"/>
          <w:szCs w:val="24"/>
          <w:highlight w:val="none"/>
        </w:rPr>
      </w:pPr>
    </w:p>
    <w:p w14:paraId="141A70E3">
      <w:pPr>
        <w:snapToGrid w:val="0"/>
        <w:spacing w:line="440" w:lineRule="exact"/>
        <w:rPr>
          <w:rFonts w:ascii="宋体" w:hAnsi="宋体" w:cs="宋体"/>
          <w:b/>
          <w:color w:val="auto"/>
          <w:sz w:val="24"/>
          <w:szCs w:val="24"/>
          <w:highlight w:val="none"/>
        </w:rPr>
      </w:pPr>
      <w:r>
        <w:rPr>
          <w:rFonts w:hint="eastAsia" w:ascii="宋体" w:hAnsi="宋体" w:cs="宋体"/>
          <w:b/>
          <w:color w:val="auto"/>
          <w:sz w:val="24"/>
          <w:szCs w:val="24"/>
          <w:highlight w:val="none"/>
        </w:rPr>
        <w:t>二、施工组织设计要点</w:t>
      </w:r>
    </w:p>
    <w:p w14:paraId="00CD404D">
      <w:pPr>
        <w:snapToGrid w:val="0"/>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如果中标，中标人应按项目的进展需求，并在规定的时间内按要点要求，编制详细的施工组织设计，作为工程施工的指导性文件，向建设单位提交一式四份的《施工组织设计方案》，内容包括（不限于）以下：</w:t>
      </w:r>
    </w:p>
    <w:p w14:paraId="77C77232">
      <w:pPr>
        <w:snapToGrid w:val="0"/>
        <w:spacing w:line="440" w:lineRule="exact"/>
        <w:ind w:firstLine="424" w:firstLineChars="177"/>
        <w:rPr>
          <w:rFonts w:ascii="宋体" w:hAnsi="宋体" w:cs="宋体"/>
          <w:color w:val="auto"/>
          <w:sz w:val="24"/>
          <w:szCs w:val="24"/>
          <w:highlight w:val="none"/>
        </w:rPr>
      </w:pPr>
      <w:r>
        <w:rPr>
          <w:rFonts w:hint="eastAsia" w:ascii="宋体" w:hAnsi="宋体" w:cs="宋体"/>
          <w:color w:val="auto"/>
          <w:sz w:val="24"/>
          <w:szCs w:val="24"/>
          <w:highlight w:val="none"/>
        </w:rPr>
        <w:t>（一）工程概况及特点</w:t>
      </w:r>
    </w:p>
    <w:p w14:paraId="7F81079E">
      <w:pPr>
        <w:snapToGrid w:val="0"/>
        <w:spacing w:line="440" w:lineRule="exact"/>
        <w:ind w:firstLine="424" w:firstLineChars="177"/>
        <w:rPr>
          <w:rFonts w:ascii="宋体" w:hAnsi="宋体" w:cs="宋体"/>
          <w:color w:val="auto"/>
          <w:sz w:val="24"/>
          <w:szCs w:val="24"/>
          <w:highlight w:val="none"/>
        </w:rPr>
      </w:pPr>
      <w:r>
        <w:rPr>
          <w:rFonts w:hint="eastAsia" w:ascii="宋体" w:hAnsi="宋体" w:cs="宋体"/>
          <w:color w:val="auto"/>
          <w:sz w:val="24"/>
          <w:szCs w:val="24"/>
          <w:highlight w:val="none"/>
        </w:rPr>
        <w:t>1.1 工程概况</w:t>
      </w:r>
    </w:p>
    <w:p w14:paraId="67C016B8">
      <w:pPr>
        <w:snapToGrid w:val="0"/>
        <w:spacing w:line="440" w:lineRule="exact"/>
        <w:ind w:firstLine="424" w:firstLineChars="177"/>
        <w:rPr>
          <w:rFonts w:ascii="宋体" w:hAnsi="宋体" w:cs="宋体"/>
          <w:color w:val="auto"/>
          <w:sz w:val="24"/>
          <w:szCs w:val="24"/>
          <w:highlight w:val="none"/>
        </w:rPr>
      </w:pPr>
      <w:r>
        <w:rPr>
          <w:rFonts w:hint="eastAsia" w:ascii="宋体" w:hAnsi="宋体" w:cs="宋体"/>
          <w:color w:val="auto"/>
          <w:sz w:val="24"/>
          <w:szCs w:val="24"/>
          <w:highlight w:val="none"/>
        </w:rPr>
        <w:t>工程简述，工程规模，工程承包范围，地质及地貌状况，自然环境，交通情况等。</w:t>
      </w:r>
    </w:p>
    <w:p w14:paraId="1A77B226">
      <w:pPr>
        <w:snapToGrid w:val="0"/>
        <w:spacing w:line="440" w:lineRule="exact"/>
        <w:ind w:firstLine="424" w:firstLineChars="177"/>
        <w:rPr>
          <w:rFonts w:ascii="宋体" w:hAnsi="宋体" w:cs="宋体"/>
          <w:color w:val="auto"/>
          <w:sz w:val="24"/>
          <w:szCs w:val="24"/>
          <w:highlight w:val="none"/>
        </w:rPr>
      </w:pPr>
      <w:r>
        <w:rPr>
          <w:rFonts w:hint="eastAsia" w:ascii="宋体" w:hAnsi="宋体" w:cs="宋体"/>
          <w:color w:val="auto"/>
          <w:sz w:val="24"/>
          <w:szCs w:val="24"/>
          <w:highlight w:val="none"/>
        </w:rPr>
        <w:t>1.2 工程特点</w:t>
      </w:r>
    </w:p>
    <w:p w14:paraId="5AFA1FA4">
      <w:pPr>
        <w:snapToGrid w:val="0"/>
        <w:spacing w:line="440" w:lineRule="exact"/>
        <w:ind w:firstLine="424" w:firstLineChars="177"/>
        <w:rPr>
          <w:rFonts w:ascii="宋体" w:hAnsi="宋体" w:cs="宋体"/>
          <w:color w:val="auto"/>
          <w:sz w:val="24"/>
          <w:szCs w:val="24"/>
          <w:highlight w:val="none"/>
        </w:rPr>
      </w:pPr>
      <w:r>
        <w:rPr>
          <w:rFonts w:hint="eastAsia" w:ascii="宋体" w:hAnsi="宋体" w:cs="宋体"/>
          <w:color w:val="auto"/>
          <w:sz w:val="24"/>
          <w:szCs w:val="24"/>
          <w:highlight w:val="none"/>
        </w:rPr>
        <w:t>设计特点、工程特点、影响施工的主要和特殊环节分析等。</w:t>
      </w:r>
    </w:p>
    <w:p w14:paraId="4442C7D8">
      <w:pPr>
        <w:snapToGrid w:val="0"/>
        <w:spacing w:line="440" w:lineRule="exact"/>
        <w:ind w:firstLine="424" w:firstLineChars="177"/>
        <w:rPr>
          <w:rFonts w:ascii="宋体" w:hAnsi="宋体" w:cs="宋体"/>
          <w:color w:val="auto"/>
          <w:sz w:val="24"/>
          <w:szCs w:val="24"/>
          <w:highlight w:val="none"/>
        </w:rPr>
      </w:pPr>
      <w:r>
        <w:rPr>
          <w:rFonts w:hint="eastAsia" w:ascii="宋体" w:hAnsi="宋体" w:cs="宋体"/>
          <w:color w:val="auto"/>
          <w:sz w:val="24"/>
          <w:szCs w:val="24"/>
          <w:highlight w:val="none"/>
        </w:rPr>
        <w:t>（二）施工现场组织机构</w:t>
      </w:r>
    </w:p>
    <w:p w14:paraId="112EF7D6">
      <w:pPr>
        <w:snapToGrid w:val="0"/>
        <w:spacing w:line="440" w:lineRule="exact"/>
        <w:ind w:firstLine="424" w:firstLineChars="177"/>
        <w:rPr>
          <w:rFonts w:ascii="宋体" w:hAnsi="宋体" w:cs="宋体"/>
          <w:color w:val="auto"/>
          <w:sz w:val="24"/>
          <w:szCs w:val="24"/>
          <w:highlight w:val="none"/>
        </w:rPr>
      </w:pPr>
      <w:r>
        <w:rPr>
          <w:rFonts w:hint="eastAsia" w:ascii="宋体" w:hAnsi="宋体" w:cs="宋体"/>
          <w:color w:val="auto"/>
          <w:sz w:val="24"/>
          <w:szCs w:val="24"/>
          <w:highlight w:val="none"/>
        </w:rPr>
        <w:t>2.1 组织机构关系图</w:t>
      </w:r>
    </w:p>
    <w:p w14:paraId="11E0A8B6">
      <w:pPr>
        <w:snapToGrid w:val="0"/>
        <w:spacing w:line="440" w:lineRule="exact"/>
        <w:ind w:firstLine="424" w:firstLineChars="177"/>
        <w:rPr>
          <w:rFonts w:ascii="宋体" w:hAnsi="宋体" w:cs="宋体"/>
          <w:color w:val="auto"/>
          <w:sz w:val="24"/>
          <w:szCs w:val="24"/>
          <w:highlight w:val="none"/>
        </w:rPr>
      </w:pPr>
      <w:r>
        <w:rPr>
          <w:rFonts w:hint="eastAsia" w:ascii="宋体" w:hAnsi="宋体" w:cs="宋体"/>
          <w:color w:val="auto"/>
          <w:sz w:val="24"/>
          <w:szCs w:val="24"/>
          <w:highlight w:val="none"/>
        </w:rPr>
        <w:t>2.2 工程主要负责人简介。</w:t>
      </w:r>
    </w:p>
    <w:p w14:paraId="564FC1AC">
      <w:pPr>
        <w:snapToGrid w:val="0"/>
        <w:spacing w:line="440" w:lineRule="exact"/>
        <w:ind w:firstLine="424" w:firstLineChars="177"/>
        <w:rPr>
          <w:rFonts w:ascii="宋体" w:hAnsi="宋体" w:cs="宋体"/>
          <w:color w:val="auto"/>
          <w:sz w:val="24"/>
          <w:szCs w:val="24"/>
          <w:highlight w:val="none"/>
        </w:rPr>
      </w:pPr>
      <w:r>
        <w:rPr>
          <w:rFonts w:hint="eastAsia" w:ascii="宋体" w:hAnsi="宋体" w:cs="宋体"/>
          <w:color w:val="auto"/>
          <w:sz w:val="24"/>
          <w:szCs w:val="24"/>
          <w:highlight w:val="none"/>
        </w:rPr>
        <w:t>（三）施工现场总平面布置图</w:t>
      </w:r>
    </w:p>
    <w:p w14:paraId="29F962FE">
      <w:pPr>
        <w:snapToGrid w:val="0"/>
        <w:spacing w:line="440" w:lineRule="exact"/>
        <w:ind w:firstLine="424" w:firstLineChars="177"/>
        <w:rPr>
          <w:rFonts w:ascii="宋体" w:hAnsi="宋体" w:cs="宋体"/>
          <w:color w:val="auto"/>
          <w:sz w:val="24"/>
          <w:szCs w:val="24"/>
          <w:highlight w:val="none"/>
        </w:rPr>
      </w:pPr>
      <w:r>
        <w:rPr>
          <w:rFonts w:hint="eastAsia" w:ascii="宋体" w:hAnsi="宋体" w:cs="宋体"/>
          <w:color w:val="auto"/>
          <w:sz w:val="24"/>
          <w:szCs w:val="24"/>
          <w:highlight w:val="none"/>
        </w:rPr>
        <w:t>3.1 施工现场平面布置图</w:t>
      </w:r>
    </w:p>
    <w:p w14:paraId="4D2250F4">
      <w:pPr>
        <w:snapToGrid w:val="0"/>
        <w:spacing w:line="440" w:lineRule="exact"/>
        <w:ind w:firstLine="424" w:firstLineChars="177"/>
        <w:rPr>
          <w:rFonts w:ascii="宋体" w:hAnsi="宋体" w:cs="宋体"/>
          <w:color w:val="auto"/>
          <w:sz w:val="24"/>
          <w:szCs w:val="24"/>
          <w:highlight w:val="none"/>
        </w:rPr>
      </w:pPr>
      <w:r>
        <w:rPr>
          <w:rFonts w:hint="eastAsia" w:ascii="宋体" w:hAnsi="宋体" w:cs="宋体"/>
          <w:color w:val="auto"/>
          <w:sz w:val="24"/>
          <w:szCs w:val="24"/>
          <w:highlight w:val="none"/>
        </w:rPr>
        <w:t>平面布置要求内容全面，充分利用现场条件，合理布置施工队、材料站、指挥部等。确定现场指挥部（工程处）和工区的驻地，材料站的设置，施工工区与施工班驻地，主要交通道路和通讯设施。平面布置图采用A3纸，图面要求线条清晰、标志明确。</w:t>
      </w:r>
    </w:p>
    <w:p w14:paraId="5078682B">
      <w:pPr>
        <w:snapToGrid w:val="0"/>
        <w:spacing w:line="440" w:lineRule="exact"/>
        <w:ind w:firstLine="424" w:firstLineChars="177"/>
        <w:rPr>
          <w:rFonts w:ascii="宋体" w:hAnsi="宋体" w:cs="宋体"/>
          <w:color w:val="auto"/>
          <w:sz w:val="24"/>
          <w:szCs w:val="24"/>
          <w:highlight w:val="none"/>
        </w:rPr>
      </w:pPr>
      <w:r>
        <w:rPr>
          <w:rFonts w:hint="eastAsia" w:ascii="宋体" w:hAnsi="宋体" w:cs="宋体"/>
          <w:color w:val="auto"/>
          <w:sz w:val="24"/>
          <w:szCs w:val="24"/>
          <w:highlight w:val="none"/>
        </w:rPr>
        <w:t>（四）施工方案</w:t>
      </w:r>
    </w:p>
    <w:p w14:paraId="1AA6D247">
      <w:pPr>
        <w:snapToGrid w:val="0"/>
        <w:spacing w:line="440" w:lineRule="exact"/>
        <w:ind w:firstLine="424" w:firstLineChars="177"/>
        <w:rPr>
          <w:rFonts w:ascii="宋体" w:hAnsi="宋体" w:cs="宋体"/>
          <w:color w:val="auto"/>
          <w:sz w:val="24"/>
          <w:szCs w:val="24"/>
          <w:highlight w:val="none"/>
        </w:rPr>
      </w:pPr>
      <w:r>
        <w:rPr>
          <w:rFonts w:hint="eastAsia" w:ascii="宋体" w:hAnsi="宋体" w:cs="宋体"/>
          <w:color w:val="auto"/>
          <w:sz w:val="24"/>
          <w:szCs w:val="24"/>
          <w:highlight w:val="none"/>
        </w:rPr>
        <w:t>4.1 施工准备</w:t>
      </w:r>
    </w:p>
    <w:p w14:paraId="069434F6">
      <w:pPr>
        <w:snapToGrid w:val="0"/>
        <w:spacing w:line="440" w:lineRule="exact"/>
        <w:ind w:firstLine="424" w:firstLineChars="177"/>
        <w:rPr>
          <w:rFonts w:ascii="宋体" w:hAnsi="宋体" w:cs="宋体"/>
          <w:color w:val="auto"/>
          <w:sz w:val="24"/>
          <w:szCs w:val="24"/>
          <w:highlight w:val="none"/>
        </w:rPr>
      </w:pPr>
      <w:r>
        <w:rPr>
          <w:rFonts w:hint="eastAsia" w:ascii="宋体" w:hAnsi="宋体" w:cs="宋体"/>
          <w:color w:val="auto"/>
          <w:sz w:val="24"/>
          <w:szCs w:val="24"/>
          <w:highlight w:val="none"/>
        </w:rPr>
        <w:t>简要叙述施工技术资料、材料、通讯、施工场地的准备，施工机械、施工力量的配置，以及生活设施等的准备情况。主要施工机械设备表。</w:t>
      </w:r>
    </w:p>
    <w:p w14:paraId="25615D9D">
      <w:pPr>
        <w:snapToGrid w:val="0"/>
        <w:spacing w:line="440" w:lineRule="exact"/>
        <w:ind w:firstLine="424" w:firstLineChars="177"/>
        <w:rPr>
          <w:rFonts w:ascii="宋体" w:hAnsi="宋体" w:cs="宋体"/>
          <w:color w:val="auto"/>
          <w:sz w:val="24"/>
          <w:szCs w:val="24"/>
          <w:highlight w:val="none"/>
        </w:rPr>
      </w:pPr>
      <w:r>
        <w:rPr>
          <w:rFonts w:hint="eastAsia" w:ascii="宋体" w:hAnsi="宋体" w:cs="宋体"/>
          <w:color w:val="auto"/>
          <w:sz w:val="24"/>
          <w:szCs w:val="24"/>
          <w:highlight w:val="none"/>
        </w:rPr>
        <w:t>4.2 施工工序总体安排</w:t>
      </w:r>
    </w:p>
    <w:p w14:paraId="26412C8C">
      <w:pPr>
        <w:snapToGrid w:val="0"/>
        <w:spacing w:line="440" w:lineRule="exact"/>
        <w:ind w:firstLine="424" w:firstLineChars="177"/>
        <w:rPr>
          <w:rFonts w:ascii="宋体" w:hAnsi="宋体" w:cs="宋体"/>
          <w:color w:val="auto"/>
          <w:sz w:val="24"/>
          <w:szCs w:val="24"/>
          <w:highlight w:val="none"/>
        </w:rPr>
      </w:pPr>
      <w:r>
        <w:rPr>
          <w:rFonts w:hint="eastAsia" w:ascii="宋体" w:hAnsi="宋体" w:cs="宋体"/>
          <w:color w:val="auto"/>
          <w:sz w:val="24"/>
          <w:szCs w:val="24"/>
          <w:highlight w:val="none"/>
        </w:rPr>
        <w:t>4.3 主要工序和特殊工序的施工方法和施工效率估计，潜在问题的分析。</w:t>
      </w:r>
    </w:p>
    <w:p w14:paraId="2CDA7E36">
      <w:pPr>
        <w:snapToGrid w:val="0"/>
        <w:spacing w:line="440" w:lineRule="exact"/>
        <w:ind w:firstLine="424" w:firstLineChars="177"/>
        <w:rPr>
          <w:rFonts w:ascii="宋体" w:hAnsi="宋体" w:cs="宋体"/>
          <w:color w:val="auto"/>
          <w:sz w:val="24"/>
          <w:szCs w:val="24"/>
          <w:highlight w:val="none"/>
        </w:rPr>
      </w:pPr>
      <w:r>
        <w:rPr>
          <w:rFonts w:hint="eastAsia" w:ascii="宋体" w:hAnsi="宋体" w:cs="宋体"/>
          <w:color w:val="auto"/>
          <w:sz w:val="24"/>
          <w:szCs w:val="24"/>
          <w:highlight w:val="none"/>
        </w:rPr>
        <w:t>4.4 工程成本的控制措施为控制成本，提高效益，拟采取的措施。</w:t>
      </w:r>
    </w:p>
    <w:p w14:paraId="5B4A5FE7">
      <w:pPr>
        <w:snapToGrid w:val="0"/>
        <w:spacing w:line="440" w:lineRule="exact"/>
        <w:ind w:firstLine="424" w:firstLineChars="177"/>
        <w:rPr>
          <w:rFonts w:ascii="宋体" w:hAnsi="宋体" w:cs="宋体"/>
          <w:color w:val="auto"/>
          <w:sz w:val="24"/>
          <w:szCs w:val="24"/>
          <w:highlight w:val="none"/>
        </w:rPr>
      </w:pPr>
      <w:r>
        <w:rPr>
          <w:rFonts w:hint="eastAsia" w:ascii="宋体" w:hAnsi="宋体" w:cs="宋体"/>
          <w:color w:val="auto"/>
          <w:sz w:val="24"/>
          <w:szCs w:val="24"/>
          <w:highlight w:val="none"/>
        </w:rPr>
        <w:t>（五）工期及施工进度计划</w:t>
      </w:r>
    </w:p>
    <w:p w14:paraId="4CE03F01">
      <w:pPr>
        <w:snapToGrid w:val="0"/>
        <w:spacing w:line="440" w:lineRule="exact"/>
        <w:ind w:firstLine="424" w:firstLineChars="177"/>
        <w:rPr>
          <w:rFonts w:ascii="宋体" w:hAnsi="宋体" w:cs="宋体"/>
          <w:color w:val="auto"/>
          <w:sz w:val="24"/>
          <w:szCs w:val="24"/>
          <w:highlight w:val="none"/>
        </w:rPr>
      </w:pPr>
      <w:r>
        <w:rPr>
          <w:rFonts w:hint="eastAsia" w:ascii="宋体" w:hAnsi="宋体" w:cs="宋体"/>
          <w:color w:val="auto"/>
          <w:sz w:val="24"/>
          <w:szCs w:val="24"/>
          <w:highlight w:val="none"/>
        </w:rPr>
        <w:t>5.1 工期规划及要求</w:t>
      </w:r>
    </w:p>
    <w:p w14:paraId="0925D601">
      <w:pPr>
        <w:snapToGrid w:val="0"/>
        <w:spacing w:line="440" w:lineRule="exact"/>
        <w:ind w:firstLine="424" w:firstLineChars="177"/>
        <w:rPr>
          <w:rFonts w:ascii="宋体" w:hAnsi="宋体" w:cs="宋体"/>
          <w:color w:val="auto"/>
          <w:sz w:val="24"/>
          <w:szCs w:val="24"/>
          <w:highlight w:val="none"/>
        </w:rPr>
      </w:pPr>
      <w:r>
        <w:rPr>
          <w:rFonts w:hint="eastAsia" w:ascii="宋体" w:hAnsi="宋体" w:cs="宋体"/>
          <w:color w:val="auto"/>
          <w:sz w:val="24"/>
          <w:szCs w:val="24"/>
          <w:highlight w:val="none"/>
        </w:rPr>
        <w:t>用横道图反映各主要施工过程的计划进度，深度达到全面、准确、清楚的描述工程实施过程，从中可衍生出各种施工资源计划及其过程管理信息。</w:t>
      </w:r>
    </w:p>
    <w:p w14:paraId="432AB328">
      <w:pPr>
        <w:snapToGrid w:val="0"/>
        <w:spacing w:line="440" w:lineRule="exact"/>
        <w:ind w:firstLine="424" w:firstLineChars="177"/>
        <w:rPr>
          <w:rFonts w:ascii="宋体" w:hAnsi="宋体" w:cs="宋体"/>
          <w:color w:val="auto"/>
          <w:sz w:val="24"/>
          <w:szCs w:val="24"/>
          <w:highlight w:val="none"/>
        </w:rPr>
      </w:pPr>
      <w:r>
        <w:rPr>
          <w:rFonts w:hint="eastAsia" w:ascii="宋体" w:hAnsi="宋体" w:cs="宋体"/>
          <w:color w:val="auto"/>
          <w:sz w:val="24"/>
          <w:szCs w:val="24"/>
          <w:highlight w:val="none"/>
        </w:rPr>
        <w:t>5.2 施工进度计划网络图</w:t>
      </w:r>
    </w:p>
    <w:p w14:paraId="50996E86">
      <w:pPr>
        <w:snapToGrid w:val="0"/>
        <w:spacing w:line="440" w:lineRule="exact"/>
        <w:ind w:firstLine="424" w:firstLineChars="177"/>
        <w:rPr>
          <w:rFonts w:ascii="宋体" w:hAnsi="宋体" w:cs="宋体"/>
          <w:color w:val="auto"/>
          <w:sz w:val="24"/>
          <w:szCs w:val="24"/>
          <w:highlight w:val="none"/>
        </w:rPr>
      </w:pPr>
      <w:r>
        <w:rPr>
          <w:rFonts w:hint="eastAsia" w:ascii="宋体" w:hAnsi="宋体" w:cs="宋体"/>
          <w:color w:val="auto"/>
          <w:sz w:val="24"/>
          <w:szCs w:val="24"/>
          <w:highlight w:val="none"/>
        </w:rPr>
        <w:t>施工网络图应明确工程开工、竣工日期，工程施工的关键路线，并针对关键工序，提出确保工期拟采取的措施。</w:t>
      </w:r>
    </w:p>
    <w:p w14:paraId="2B9D3533">
      <w:pPr>
        <w:snapToGrid w:val="0"/>
        <w:spacing w:line="440" w:lineRule="exact"/>
        <w:ind w:firstLine="424" w:firstLineChars="177"/>
        <w:rPr>
          <w:rFonts w:ascii="宋体" w:hAnsi="宋体" w:cs="宋体"/>
          <w:color w:val="auto"/>
          <w:sz w:val="24"/>
          <w:szCs w:val="24"/>
          <w:highlight w:val="none"/>
        </w:rPr>
      </w:pPr>
      <w:r>
        <w:rPr>
          <w:rFonts w:hint="eastAsia" w:ascii="宋体" w:hAnsi="宋体" w:cs="宋体"/>
          <w:color w:val="auto"/>
          <w:sz w:val="24"/>
          <w:szCs w:val="24"/>
          <w:highlight w:val="none"/>
        </w:rPr>
        <w:t>5.3 施工资源（人力、材料、机具、场地及进场道路、公共关系）计划</w:t>
      </w:r>
    </w:p>
    <w:p w14:paraId="6CD83BFE">
      <w:pPr>
        <w:snapToGrid w:val="0"/>
        <w:spacing w:line="440" w:lineRule="exact"/>
        <w:ind w:firstLine="424" w:firstLineChars="177"/>
        <w:rPr>
          <w:rFonts w:ascii="宋体" w:hAnsi="宋体" w:cs="宋体"/>
          <w:color w:val="auto"/>
          <w:sz w:val="24"/>
          <w:szCs w:val="24"/>
          <w:highlight w:val="none"/>
        </w:rPr>
      </w:pPr>
      <w:r>
        <w:rPr>
          <w:rFonts w:hint="eastAsia" w:ascii="宋体" w:hAnsi="宋体" w:cs="宋体"/>
          <w:color w:val="auto"/>
          <w:sz w:val="24"/>
          <w:szCs w:val="24"/>
          <w:highlight w:val="none"/>
        </w:rPr>
        <w:t>5.4 施工进度计划分析</w:t>
      </w:r>
    </w:p>
    <w:p w14:paraId="0A769F72">
      <w:pPr>
        <w:snapToGrid w:val="0"/>
        <w:spacing w:line="440" w:lineRule="exact"/>
        <w:ind w:firstLine="424" w:firstLineChars="177"/>
        <w:rPr>
          <w:rFonts w:ascii="宋体" w:hAnsi="宋体" w:cs="宋体"/>
          <w:color w:val="auto"/>
          <w:sz w:val="24"/>
          <w:szCs w:val="24"/>
          <w:highlight w:val="none"/>
        </w:rPr>
      </w:pPr>
      <w:r>
        <w:rPr>
          <w:rFonts w:hint="eastAsia" w:ascii="宋体" w:hAnsi="宋体" w:cs="宋体"/>
          <w:color w:val="auto"/>
          <w:sz w:val="24"/>
          <w:szCs w:val="24"/>
          <w:highlight w:val="none"/>
        </w:rPr>
        <w:t>计划潜在问题，计划中的潜力及其开发途径等。</w:t>
      </w:r>
    </w:p>
    <w:p w14:paraId="7B346BE9">
      <w:pPr>
        <w:snapToGrid w:val="0"/>
        <w:spacing w:line="440" w:lineRule="exact"/>
        <w:ind w:firstLine="424" w:firstLineChars="177"/>
        <w:rPr>
          <w:rFonts w:ascii="宋体" w:hAnsi="宋体" w:cs="宋体"/>
          <w:color w:val="auto"/>
          <w:sz w:val="24"/>
          <w:szCs w:val="24"/>
          <w:highlight w:val="none"/>
        </w:rPr>
      </w:pPr>
      <w:r>
        <w:rPr>
          <w:rFonts w:hint="eastAsia" w:ascii="宋体" w:hAnsi="宋体" w:cs="宋体"/>
          <w:color w:val="auto"/>
          <w:sz w:val="24"/>
          <w:szCs w:val="24"/>
          <w:highlight w:val="none"/>
        </w:rPr>
        <w:t>5.5 计划控制</w:t>
      </w:r>
    </w:p>
    <w:p w14:paraId="3CB91408">
      <w:pPr>
        <w:snapToGrid w:val="0"/>
        <w:spacing w:line="440" w:lineRule="exact"/>
        <w:ind w:firstLine="424" w:firstLineChars="177"/>
        <w:rPr>
          <w:rFonts w:ascii="宋体" w:hAnsi="宋体" w:cs="宋体"/>
          <w:color w:val="auto"/>
          <w:sz w:val="24"/>
          <w:szCs w:val="24"/>
          <w:highlight w:val="none"/>
        </w:rPr>
      </w:pPr>
      <w:r>
        <w:rPr>
          <w:rFonts w:hint="eastAsia" w:ascii="宋体" w:hAnsi="宋体" w:cs="宋体"/>
          <w:color w:val="auto"/>
          <w:sz w:val="24"/>
          <w:szCs w:val="24"/>
          <w:highlight w:val="none"/>
        </w:rPr>
        <w:t>程序、方法及制度等。</w:t>
      </w:r>
    </w:p>
    <w:p w14:paraId="05FDDEE5">
      <w:pPr>
        <w:snapToGrid w:val="0"/>
        <w:spacing w:line="440" w:lineRule="exact"/>
        <w:ind w:firstLine="424" w:firstLineChars="177"/>
        <w:rPr>
          <w:rFonts w:ascii="宋体" w:hAnsi="宋体" w:cs="宋体"/>
          <w:color w:val="auto"/>
          <w:sz w:val="24"/>
          <w:szCs w:val="24"/>
          <w:highlight w:val="none"/>
        </w:rPr>
      </w:pPr>
      <w:r>
        <w:rPr>
          <w:rFonts w:hint="eastAsia" w:ascii="宋体" w:hAnsi="宋体" w:cs="宋体"/>
          <w:color w:val="auto"/>
          <w:sz w:val="24"/>
          <w:szCs w:val="24"/>
          <w:highlight w:val="none"/>
        </w:rPr>
        <w:t>（六）质量目标、质量保证体系及技术组织措施</w:t>
      </w:r>
    </w:p>
    <w:p w14:paraId="0FCAAB46">
      <w:pPr>
        <w:snapToGrid w:val="0"/>
        <w:spacing w:line="440" w:lineRule="exact"/>
        <w:ind w:firstLine="424" w:firstLineChars="177"/>
        <w:rPr>
          <w:rFonts w:ascii="宋体" w:hAnsi="宋体" w:cs="宋体"/>
          <w:color w:val="auto"/>
          <w:sz w:val="24"/>
          <w:szCs w:val="24"/>
          <w:highlight w:val="none"/>
        </w:rPr>
      </w:pPr>
      <w:r>
        <w:rPr>
          <w:rFonts w:hint="eastAsia" w:ascii="宋体" w:hAnsi="宋体" w:cs="宋体"/>
          <w:color w:val="auto"/>
          <w:sz w:val="24"/>
          <w:szCs w:val="24"/>
          <w:highlight w:val="none"/>
        </w:rPr>
        <w:t>6.1 质量目标</w:t>
      </w:r>
    </w:p>
    <w:p w14:paraId="1EB833D7">
      <w:pPr>
        <w:snapToGrid w:val="0"/>
        <w:spacing w:line="440" w:lineRule="exact"/>
        <w:ind w:firstLine="424" w:firstLineChars="177"/>
        <w:rPr>
          <w:rFonts w:ascii="宋体" w:hAnsi="宋体" w:cs="宋体"/>
          <w:color w:val="auto"/>
          <w:sz w:val="24"/>
          <w:szCs w:val="24"/>
          <w:highlight w:val="none"/>
        </w:rPr>
      </w:pPr>
      <w:r>
        <w:rPr>
          <w:rFonts w:hint="eastAsia" w:ascii="宋体" w:hAnsi="宋体" w:cs="宋体"/>
          <w:color w:val="auto"/>
          <w:sz w:val="24"/>
          <w:szCs w:val="24"/>
          <w:highlight w:val="none"/>
        </w:rPr>
        <w:t>本工程要求的质量目标：工程质量达到国家或行业质量检验评定的合格标准。</w:t>
      </w:r>
    </w:p>
    <w:p w14:paraId="08712E81">
      <w:pPr>
        <w:snapToGrid w:val="0"/>
        <w:spacing w:line="440" w:lineRule="exact"/>
        <w:ind w:firstLine="424" w:firstLineChars="177"/>
        <w:rPr>
          <w:rFonts w:ascii="宋体" w:hAnsi="宋体" w:cs="宋体"/>
          <w:color w:val="auto"/>
          <w:sz w:val="24"/>
          <w:szCs w:val="24"/>
          <w:highlight w:val="none"/>
        </w:rPr>
      </w:pPr>
      <w:r>
        <w:rPr>
          <w:rFonts w:hint="eastAsia" w:ascii="宋体" w:hAnsi="宋体" w:cs="宋体"/>
          <w:color w:val="auto"/>
          <w:sz w:val="24"/>
          <w:szCs w:val="24"/>
          <w:highlight w:val="none"/>
        </w:rPr>
        <w:t>用单位工程和分项工程合格率、优良品率表示，欲达到的工程质量等级。</w:t>
      </w:r>
    </w:p>
    <w:p w14:paraId="342AAD0A">
      <w:pPr>
        <w:snapToGrid w:val="0"/>
        <w:spacing w:line="440" w:lineRule="exact"/>
        <w:ind w:firstLine="424" w:firstLineChars="177"/>
        <w:rPr>
          <w:rFonts w:ascii="宋体" w:hAnsi="宋体" w:cs="宋体"/>
          <w:color w:val="auto"/>
          <w:sz w:val="24"/>
          <w:szCs w:val="24"/>
          <w:highlight w:val="none"/>
        </w:rPr>
      </w:pPr>
      <w:r>
        <w:rPr>
          <w:rFonts w:hint="eastAsia" w:ascii="宋体" w:hAnsi="宋体" w:cs="宋体"/>
          <w:color w:val="auto"/>
          <w:sz w:val="24"/>
          <w:szCs w:val="24"/>
          <w:highlight w:val="none"/>
        </w:rPr>
        <w:t>6.2 质量管理组织机构及主要职责</w:t>
      </w:r>
    </w:p>
    <w:p w14:paraId="11509FAC">
      <w:pPr>
        <w:snapToGrid w:val="0"/>
        <w:spacing w:line="440" w:lineRule="exact"/>
        <w:ind w:firstLine="424" w:firstLineChars="177"/>
        <w:rPr>
          <w:rFonts w:ascii="宋体" w:hAnsi="宋体" w:cs="宋体"/>
          <w:color w:val="auto"/>
          <w:sz w:val="24"/>
          <w:szCs w:val="24"/>
          <w:highlight w:val="none"/>
        </w:rPr>
      </w:pPr>
      <w:r>
        <w:rPr>
          <w:rFonts w:hint="eastAsia" w:ascii="宋体" w:hAnsi="宋体" w:cs="宋体"/>
          <w:color w:val="auto"/>
          <w:sz w:val="24"/>
          <w:szCs w:val="24"/>
          <w:highlight w:val="none"/>
        </w:rPr>
        <w:t>用框图表示质量管理组织机构，并简要叙述各质量管理部门的主要职责。</w:t>
      </w:r>
    </w:p>
    <w:p w14:paraId="57CED28C">
      <w:pPr>
        <w:snapToGrid w:val="0"/>
        <w:spacing w:line="440" w:lineRule="exact"/>
        <w:ind w:firstLine="424" w:firstLineChars="177"/>
        <w:rPr>
          <w:rFonts w:ascii="宋体" w:hAnsi="宋体" w:cs="宋体"/>
          <w:color w:val="auto"/>
          <w:sz w:val="24"/>
          <w:szCs w:val="24"/>
          <w:highlight w:val="none"/>
        </w:rPr>
      </w:pPr>
      <w:r>
        <w:rPr>
          <w:rFonts w:hint="eastAsia" w:ascii="宋体" w:hAnsi="宋体" w:cs="宋体"/>
          <w:color w:val="auto"/>
          <w:sz w:val="24"/>
          <w:szCs w:val="24"/>
          <w:highlight w:val="none"/>
        </w:rPr>
        <w:t>6.3 质量管理的措施</w:t>
      </w:r>
    </w:p>
    <w:p w14:paraId="1F12B421">
      <w:pPr>
        <w:snapToGrid w:val="0"/>
        <w:spacing w:line="440" w:lineRule="exact"/>
        <w:ind w:firstLine="424" w:firstLineChars="177"/>
        <w:rPr>
          <w:rFonts w:ascii="宋体" w:hAnsi="宋体" w:cs="宋体"/>
          <w:color w:val="auto"/>
          <w:sz w:val="24"/>
          <w:szCs w:val="24"/>
          <w:highlight w:val="none"/>
        </w:rPr>
      </w:pPr>
      <w:r>
        <w:rPr>
          <w:rFonts w:hint="eastAsia" w:ascii="宋体" w:hAnsi="宋体" w:cs="宋体"/>
          <w:color w:val="auto"/>
          <w:sz w:val="24"/>
          <w:szCs w:val="24"/>
          <w:highlight w:val="none"/>
        </w:rPr>
        <w:t>简要叙述质量管理的措施和关键工序的质量控制。</w:t>
      </w:r>
    </w:p>
    <w:p w14:paraId="34DCA90C">
      <w:pPr>
        <w:snapToGrid w:val="0"/>
        <w:spacing w:line="440" w:lineRule="exact"/>
        <w:ind w:firstLine="424" w:firstLineChars="177"/>
        <w:rPr>
          <w:rFonts w:ascii="宋体" w:hAnsi="宋体" w:cs="宋体"/>
          <w:color w:val="auto"/>
          <w:sz w:val="24"/>
          <w:szCs w:val="24"/>
          <w:highlight w:val="none"/>
        </w:rPr>
      </w:pPr>
      <w:r>
        <w:rPr>
          <w:rFonts w:hint="eastAsia" w:ascii="宋体" w:hAnsi="宋体" w:cs="宋体"/>
          <w:color w:val="auto"/>
          <w:sz w:val="24"/>
          <w:szCs w:val="24"/>
          <w:highlight w:val="none"/>
        </w:rPr>
        <w:t>6.4 质量管理及检验的标准</w:t>
      </w:r>
    </w:p>
    <w:p w14:paraId="38D532FC">
      <w:pPr>
        <w:snapToGrid w:val="0"/>
        <w:spacing w:line="440" w:lineRule="exact"/>
        <w:ind w:firstLine="424" w:firstLineChars="177"/>
        <w:rPr>
          <w:rFonts w:ascii="宋体" w:hAnsi="宋体" w:cs="宋体"/>
          <w:color w:val="auto"/>
          <w:sz w:val="24"/>
          <w:szCs w:val="24"/>
          <w:highlight w:val="none"/>
        </w:rPr>
      </w:pPr>
      <w:r>
        <w:rPr>
          <w:rFonts w:hint="eastAsia" w:ascii="宋体" w:hAnsi="宋体" w:cs="宋体"/>
          <w:color w:val="auto"/>
          <w:sz w:val="24"/>
          <w:szCs w:val="24"/>
          <w:highlight w:val="none"/>
        </w:rPr>
        <w:t>执行的主要质量标准、规范。</w:t>
      </w:r>
    </w:p>
    <w:p w14:paraId="3CD3BD4F">
      <w:pPr>
        <w:snapToGrid w:val="0"/>
        <w:spacing w:line="440" w:lineRule="exact"/>
        <w:ind w:firstLine="424" w:firstLineChars="177"/>
        <w:rPr>
          <w:rFonts w:ascii="宋体" w:hAnsi="宋体" w:cs="宋体"/>
          <w:color w:val="auto"/>
          <w:sz w:val="24"/>
          <w:szCs w:val="24"/>
          <w:highlight w:val="none"/>
        </w:rPr>
      </w:pPr>
      <w:r>
        <w:rPr>
          <w:rFonts w:hint="eastAsia" w:ascii="宋体" w:hAnsi="宋体" w:cs="宋体"/>
          <w:color w:val="auto"/>
          <w:sz w:val="24"/>
          <w:szCs w:val="24"/>
          <w:highlight w:val="none"/>
        </w:rPr>
        <w:t>6.5 质量保证技术措施</w:t>
      </w:r>
    </w:p>
    <w:p w14:paraId="5769CA6E">
      <w:pPr>
        <w:snapToGrid w:val="0"/>
        <w:spacing w:line="440" w:lineRule="exact"/>
        <w:ind w:firstLine="424" w:firstLineChars="177"/>
        <w:rPr>
          <w:rFonts w:ascii="宋体" w:hAnsi="宋体" w:cs="宋体"/>
          <w:color w:val="auto"/>
          <w:sz w:val="24"/>
          <w:szCs w:val="24"/>
          <w:highlight w:val="none"/>
        </w:rPr>
      </w:pPr>
      <w:r>
        <w:rPr>
          <w:rFonts w:hint="eastAsia" w:ascii="宋体" w:hAnsi="宋体" w:cs="宋体"/>
          <w:color w:val="auto"/>
          <w:sz w:val="24"/>
          <w:szCs w:val="24"/>
          <w:highlight w:val="none"/>
        </w:rPr>
        <w:t>针对本工程特点，分析质量薄弱环节，拟将采取的技术措施。</w:t>
      </w:r>
    </w:p>
    <w:p w14:paraId="50267E13">
      <w:pPr>
        <w:snapToGrid w:val="0"/>
        <w:spacing w:line="440" w:lineRule="exact"/>
        <w:ind w:firstLine="424" w:firstLineChars="177"/>
        <w:rPr>
          <w:rFonts w:ascii="宋体" w:hAnsi="宋体" w:cs="宋体"/>
          <w:color w:val="auto"/>
          <w:sz w:val="24"/>
          <w:szCs w:val="24"/>
          <w:highlight w:val="none"/>
        </w:rPr>
      </w:pPr>
      <w:r>
        <w:rPr>
          <w:rFonts w:hint="eastAsia" w:ascii="宋体" w:hAnsi="宋体" w:cs="宋体"/>
          <w:color w:val="auto"/>
          <w:sz w:val="24"/>
          <w:szCs w:val="24"/>
          <w:highlight w:val="none"/>
        </w:rPr>
        <w:t>（七）安全目标、安全保证体系及技术组织措施</w:t>
      </w:r>
    </w:p>
    <w:p w14:paraId="31C45E87">
      <w:pPr>
        <w:snapToGrid w:val="0"/>
        <w:spacing w:line="440" w:lineRule="exact"/>
        <w:ind w:firstLine="424" w:firstLineChars="177"/>
        <w:rPr>
          <w:rFonts w:ascii="宋体" w:hAnsi="宋体" w:cs="宋体"/>
          <w:color w:val="auto"/>
          <w:sz w:val="24"/>
          <w:szCs w:val="24"/>
          <w:highlight w:val="none"/>
        </w:rPr>
      </w:pPr>
      <w:r>
        <w:rPr>
          <w:rFonts w:hint="eastAsia" w:ascii="宋体" w:hAnsi="宋体" w:cs="宋体"/>
          <w:color w:val="auto"/>
          <w:sz w:val="24"/>
          <w:szCs w:val="24"/>
          <w:highlight w:val="none"/>
        </w:rPr>
        <w:t>7.1 安全管理目标</w:t>
      </w:r>
    </w:p>
    <w:p w14:paraId="7578E917">
      <w:pPr>
        <w:snapToGrid w:val="0"/>
        <w:spacing w:line="440" w:lineRule="exact"/>
        <w:ind w:firstLine="424" w:firstLineChars="177"/>
        <w:rPr>
          <w:rFonts w:ascii="宋体" w:hAnsi="宋体" w:cs="宋体"/>
          <w:color w:val="auto"/>
          <w:sz w:val="24"/>
          <w:szCs w:val="24"/>
          <w:highlight w:val="none"/>
        </w:rPr>
      </w:pPr>
      <w:r>
        <w:rPr>
          <w:rFonts w:hint="eastAsia" w:ascii="宋体" w:hAnsi="宋体" w:cs="宋体"/>
          <w:color w:val="auto"/>
          <w:sz w:val="24"/>
          <w:szCs w:val="24"/>
          <w:highlight w:val="none"/>
        </w:rPr>
        <w:t>7.2 安全管理组织机构及主要职责</w:t>
      </w:r>
    </w:p>
    <w:p w14:paraId="36801976">
      <w:pPr>
        <w:snapToGrid w:val="0"/>
        <w:spacing w:line="440" w:lineRule="exact"/>
        <w:ind w:firstLine="424" w:firstLineChars="177"/>
        <w:rPr>
          <w:rFonts w:ascii="宋体" w:hAnsi="宋体" w:cs="宋体"/>
          <w:color w:val="auto"/>
          <w:sz w:val="24"/>
          <w:szCs w:val="24"/>
          <w:highlight w:val="none"/>
        </w:rPr>
      </w:pPr>
      <w:r>
        <w:rPr>
          <w:rFonts w:hint="eastAsia" w:ascii="宋体" w:hAnsi="宋体" w:cs="宋体"/>
          <w:color w:val="auto"/>
          <w:sz w:val="24"/>
          <w:szCs w:val="24"/>
          <w:highlight w:val="none"/>
        </w:rPr>
        <w:t>用框图表示安全管理组织机构，并简要叙述各安全管理部门及人员的主要职责。</w:t>
      </w:r>
    </w:p>
    <w:p w14:paraId="70C60332">
      <w:pPr>
        <w:snapToGrid w:val="0"/>
        <w:spacing w:line="440" w:lineRule="exact"/>
        <w:ind w:firstLine="424" w:firstLineChars="177"/>
        <w:rPr>
          <w:rFonts w:ascii="宋体" w:hAnsi="宋体" w:cs="宋体"/>
          <w:color w:val="auto"/>
          <w:sz w:val="24"/>
          <w:szCs w:val="24"/>
          <w:highlight w:val="none"/>
        </w:rPr>
      </w:pPr>
      <w:r>
        <w:rPr>
          <w:rFonts w:hint="eastAsia" w:ascii="宋体" w:hAnsi="宋体" w:cs="宋体"/>
          <w:color w:val="auto"/>
          <w:sz w:val="24"/>
          <w:szCs w:val="24"/>
          <w:highlight w:val="none"/>
        </w:rPr>
        <w:t>7.3 安全管理制度及办法</w:t>
      </w:r>
    </w:p>
    <w:p w14:paraId="03CB556E">
      <w:pPr>
        <w:snapToGrid w:val="0"/>
        <w:spacing w:line="440" w:lineRule="exact"/>
        <w:ind w:firstLine="424" w:firstLineChars="177"/>
        <w:rPr>
          <w:rFonts w:ascii="宋体" w:hAnsi="宋体" w:cs="宋体"/>
          <w:color w:val="auto"/>
          <w:sz w:val="24"/>
          <w:szCs w:val="24"/>
          <w:highlight w:val="none"/>
        </w:rPr>
      </w:pPr>
      <w:r>
        <w:rPr>
          <w:rFonts w:hint="eastAsia" w:ascii="宋体" w:hAnsi="宋体" w:cs="宋体"/>
          <w:color w:val="auto"/>
          <w:sz w:val="24"/>
          <w:szCs w:val="24"/>
          <w:highlight w:val="none"/>
        </w:rPr>
        <w:t>7.4 安全组织技术措施</w:t>
      </w:r>
    </w:p>
    <w:p w14:paraId="79529A8B">
      <w:pPr>
        <w:snapToGrid w:val="0"/>
        <w:spacing w:line="440" w:lineRule="exact"/>
        <w:ind w:firstLine="424" w:firstLineChars="177"/>
        <w:rPr>
          <w:rFonts w:ascii="宋体" w:hAnsi="宋体" w:cs="宋体"/>
          <w:color w:val="auto"/>
          <w:sz w:val="24"/>
          <w:szCs w:val="24"/>
          <w:highlight w:val="none"/>
        </w:rPr>
      </w:pPr>
      <w:r>
        <w:rPr>
          <w:rFonts w:hint="eastAsia" w:ascii="宋体" w:hAnsi="宋体" w:cs="宋体"/>
          <w:color w:val="auto"/>
          <w:sz w:val="24"/>
          <w:szCs w:val="24"/>
          <w:highlight w:val="none"/>
        </w:rPr>
        <w:t>针对本工程特点，分析安全薄弱环节，拟将采取的技术措施。</w:t>
      </w:r>
    </w:p>
    <w:p w14:paraId="7B4D82A2">
      <w:pPr>
        <w:snapToGrid w:val="0"/>
        <w:spacing w:line="440" w:lineRule="exact"/>
        <w:ind w:firstLine="424" w:firstLineChars="177"/>
        <w:rPr>
          <w:rFonts w:ascii="宋体" w:hAnsi="宋体" w:cs="宋体"/>
          <w:color w:val="auto"/>
          <w:sz w:val="24"/>
          <w:szCs w:val="24"/>
          <w:highlight w:val="none"/>
        </w:rPr>
      </w:pPr>
      <w:r>
        <w:rPr>
          <w:rFonts w:hint="eastAsia" w:ascii="宋体" w:hAnsi="宋体" w:cs="宋体"/>
          <w:color w:val="auto"/>
          <w:sz w:val="24"/>
          <w:szCs w:val="24"/>
          <w:highlight w:val="none"/>
        </w:rPr>
        <w:t>7.5 重要施工方案和特殊施工工序的安全过程控制</w:t>
      </w:r>
    </w:p>
    <w:p w14:paraId="5268C16E">
      <w:pPr>
        <w:snapToGrid w:val="0"/>
        <w:spacing w:line="440" w:lineRule="exact"/>
        <w:ind w:firstLine="424" w:firstLineChars="177"/>
        <w:rPr>
          <w:rFonts w:ascii="宋体" w:hAnsi="宋体" w:cs="宋体"/>
          <w:color w:val="auto"/>
          <w:sz w:val="24"/>
          <w:szCs w:val="24"/>
          <w:highlight w:val="none"/>
        </w:rPr>
      </w:pPr>
      <w:r>
        <w:rPr>
          <w:rFonts w:hint="eastAsia" w:ascii="宋体" w:hAnsi="宋体" w:cs="宋体"/>
          <w:color w:val="auto"/>
          <w:sz w:val="24"/>
          <w:szCs w:val="24"/>
          <w:highlight w:val="none"/>
        </w:rPr>
        <w:t>7.6 严格执行《建筑施工安全检查标准》(JGJ59-2021)和省、市建设主管部门有关文明施工的规定。并按照甲方要求安排工作时间，在施工中尽量减少噪音，必要时采取有效的隔音措施，混凝土浇灌需连续不间断作业时，按有关规定申报夜间施工许可证。</w:t>
      </w:r>
    </w:p>
    <w:p w14:paraId="37A4169A">
      <w:pPr>
        <w:snapToGrid w:val="0"/>
        <w:spacing w:line="440" w:lineRule="exact"/>
        <w:ind w:firstLine="424" w:firstLineChars="177"/>
        <w:rPr>
          <w:rFonts w:ascii="宋体" w:hAnsi="宋体" w:cs="宋体"/>
          <w:color w:val="auto"/>
          <w:sz w:val="24"/>
          <w:szCs w:val="24"/>
          <w:highlight w:val="none"/>
        </w:rPr>
      </w:pPr>
      <w:bookmarkStart w:id="74" w:name="_Hlt531956504"/>
      <w:r>
        <w:rPr>
          <w:rFonts w:hint="eastAsia" w:ascii="宋体" w:hAnsi="宋体" w:cs="宋体"/>
          <w:color w:val="auto"/>
          <w:sz w:val="24"/>
          <w:szCs w:val="24"/>
          <w:highlight w:val="none"/>
        </w:rPr>
        <w:t>安全生产目标：杜绝本项目施工人员重大伤亡事故。</w:t>
      </w:r>
      <w:bookmarkEnd w:id="74"/>
    </w:p>
    <w:p w14:paraId="72C2672C">
      <w:pPr>
        <w:snapToGrid w:val="0"/>
        <w:spacing w:line="440" w:lineRule="exact"/>
        <w:ind w:firstLine="424" w:firstLineChars="177"/>
        <w:rPr>
          <w:rFonts w:ascii="宋体" w:hAnsi="宋体" w:cs="宋体"/>
          <w:color w:val="auto"/>
          <w:sz w:val="24"/>
          <w:szCs w:val="24"/>
          <w:highlight w:val="none"/>
        </w:rPr>
      </w:pPr>
      <w:r>
        <w:rPr>
          <w:rFonts w:hint="eastAsia" w:ascii="宋体" w:hAnsi="宋体" w:cs="宋体"/>
          <w:color w:val="auto"/>
          <w:sz w:val="24"/>
          <w:szCs w:val="24"/>
          <w:highlight w:val="none"/>
        </w:rPr>
        <w:t>文明施工目标：标准化管理。</w:t>
      </w:r>
    </w:p>
    <w:p w14:paraId="0432EFCD">
      <w:pPr>
        <w:snapToGrid w:val="0"/>
        <w:spacing w:line="440" w:lineRule="exact"/>
        <w:ind w:firstLine="424" w:firstLineChars="177"/>
        <w:rPr>
          <w:rFonts w:ascii="宋体" w:hAnsi="宋体" w:cs="宋体"/>
          <w:color w:val="auto"/>
          <w:sz w:val="24"/>
          <w:szCs w:val="24"/>
          <w:highlight w:val="none"/>
        </w:rPr>
      </w:pPr>
      <w:r>
        <w:rPr>
          <w:rFonts w:hint="eastAsia" w:ascii="宋体" w:hAnsi="宋体" w:cs="宋体"/>
          <w:color w:val="auto"/>
          <w:sz w:val="24"/>
          <w:szCs w:val="24"/>
          <w:highlight w:val="none"/>
        </w:rPr>
        <w:t>（八）环境保护及文明施工</w:t>
      </w:r>
    </w:p>
    <w:p w14:paraId="278023E8">
      <w:pPr>
        <w:snapToGrid w:val="0"/>
        <w:spacing w:line="440" w:lineRule="exact"/>
        <w:ind w:firstLine="424" w:firstLineChars="177"/>
        <w:rPr>
          <w:rFonts w:ascii="宋体" w:hAnsi="宋体" w:cs="宋体"/>
          <w:color w:val="auto"/>
          <w:sz w:val="24"/>
          <w:szCs w:val="24"/>
          <w:highlight w:val="none"/>
        </w:rPr>
      </w:pPr>
      <w:r>
        <w:rPr>
          <w:rFonts w:hint="eastAsia" w:ascii="宋体" w:hAnsi="宋体" w:cs="宋体"/>
          <w:color w:val="auto"/>
          <w:sz w:val="24"/>
          <w:szCs w:val="24"/>
          <w:highlight w:val="none"/>
        </w:rPr>
        <w:t>8.1 环境保护</w:t>
      </w:r>
    </w:p>
    <w:p w14:paraId="4F2EA7FC">
      <w:pPr>
        <w:snapToGrid w:val="0"/>
        <w:spacing w:line="440" w:lineRule="exact"/>
        <w:ind w:firstLine="424" w:firstLineChars="177"/>
        <w:rPr>
          <w:rFonts w:ascii="宋体" w:hAnsi="宋体" w:cs="宋体"/>
          <w:color w:val="auto"/>
          <w:sz w:val="24"/>
          <w:szCs w:val="24"/>
          <w:highlight w:val="none"/>
        </w:rPr>
      </w:pPr>
      <w:r>
        <w:rPr>
          <w:rFonts w:hint="eastAsia" w:ascii="宋体" w:hAnsi="宋体" w:cs="宋体"/>
          <w:color w:val="auto"/>
          <w:sz w:val="24"/>
          <w:szCs w:val="24"/>
          <w:highlight w:val="none"/>
        </w:rPr>
        <w:t>分析因施工可能引起的环境保护方面的问题。</w:t>
      </w:r>
    </w:p>
    <w:p w14:paraId="22698313">
      <w:pPr>
        <w:snapToGrid w:val="0"/>
        <w:spacing w:line="440" w:lineRule="exact"/>
        <w:ind w:firstLine="424" w:firstLineChars="177"/>
        <w:rPr>
          <w:rFonts w:ascii="宋体" w:hAnsi="宋体" w:cs="宋体"/>
          <w:color w:val="auto"/>
          <w:sz w:val="24"/>
          <w:szCs w:val="24"/>
          <w:highlight w:val="none"/>
        </w:rPr>
      </w:pPr>
      <w:r>
        <w:rPr>
          <w:rFonts w:hint="eastAsia" w:ascii="宋体" w:hAnsi="宋体" w:cs="宋体"/>
          <w:color w:val="auto"/>
          <w:sz w:val="24"/>
          <w:szCs w:val="24"/>
          <w:highlight w:val="none"/>
        </w:rPr>
        <w:t>8.2 加强施工管理、严格保护环境</w:t>
      </w:r>
    </w:p>
    <w:p w14:paraId="74EC5AD0">
      <w:pPr>
        <w:snapToGrid w:val="0"/>
        <w:spacing w:line="440" w:lineRule="exact"/>
        <w:ind w:firstLine="424" w:firstLineChars="177"/>
        <w:rPr>
          <w:rFonts w:ascii="宋体" w:hAnsi="宋体" w:cs="宋体"/>
          <w:color w:val="auto"/>
          <w:sz w:val="24"/>
          <w:szCs w:val="24"/>
          <w:highlight w:val="none"/>
        </w:rPr>
      </w:pPr>
      <w:r>
        <w:rPr>
          <w:rFonts w:hint="eastAsia" w:ascii="宋体" w:hAnsi="宋体" w:cs="宋体"/>
          <w:color w:val="auto"/>
          <w:sz w:val="24"/>
          <w:szCs w:val="24"/>
          <w:highlight w:val="none"/>
        </w:rPr>
        <w:t>提出环境保护的目标及采取的具体措施。</w:t>
      </w:r>
    </w:p>
    <w:p w14:paraId="243A34BB">
      <w:pPr>
        <w:snapToGrid w:val="0"/>
        <w:spacing w:line="440" w:lineRule="exact"/>
        <w:ind w:firstLine="424" w:firstLineChars="177"/>
        <w:rPr>
          <w:rFonts w:ascii="宋体" w:hAnsi="宋体" w:cs="宋体"/>
          <w:color w:val="auto"/>
          <w:sz w:val="24"/>
          <w:szCs w:val="24"/>
          <w:highlight w:val="none"/>
        </w:rPr>
      </w:pPr>
      <w:r>
        <w:rPr>
          <w:rFonts w:hint="eastAsia" w:ascii="宋体" w:hAnsi="宋体" w:cs="宋体"/>
          <w:color w:val="auto"/>
          <w:sz w:val="24"/>
          <w:szCs w:val="24"/>
          <w:highlight w:val="none"/>
        </w:rPr>
        <w:t>8.3 文明施工的目标、组织机构和实施方案</w:t>
      </w:r>
    </w:p>
    <w:p w14:paraId="44726967">
      <w:pPr>
        <w:snapToGrid w:val="0"/>
        <w:spacing w:line="440" w:lineRule="exact"/>
        <w:ind w:firstLine="424" w:firstLineChars="177"/>
        <w:rPr>
          <w:rFonts w:ascii="宋体" w:hAnsi="宋体" w:cs="宋体"/>
          <w:color w:val="auto"/>
          <w:sz w:val="24"/>
          <w:szCs w:val="24"/>
          <w:highlight w:val="none"/>
        </w:rPr>
      </w:pPr>
      <w:r>
        <w:rPr>
          <w:rFonts w:hint="eastAsia" w:ascii="宋体" w:hAnsi="宋体" w:cs="宋体"/>
          <w:color w:val="auto"/>
          <w:sz w:val="24"/>
          <w:szCs w:val="24"/>
          <w:highlight w:val="none"/>
        </w:rPr>
        <w:t>8.4 文明施工考核、管理办法</w:t>
      </w:r>
    </w:p>
    <w:p w14:paraId="28534DC0">
      <w:pPr>
        <w:snapToGrid w:val="0"/>
        <w:spacing w:line="440" w:lineRule="exact"/>
        <w:ind w:firstLine="424" w:firstLineChars="177"/>
        <w:rPr>
          <w:rFonts w:ascii="宋体" w:hAnsi="宋体" w:cs="宋体"/>
          <w:color w:val="auto"/>
          <w:sz w:val="24"/>
          <w:szCs w:val="24"/>
          <w:highlight w:val="none"/>
        </w:rPr>
      </w:pPr>
      <w:r>
        <w:rPr>
          <w:rFonts w:hint="eastAsia" w:ascii="宋体" w:hAnsi="宋体" w:cs="宋体"/>
          <w:color w:val="auto"/>
          <w:sz w:val="24"/>
          <w:szCs w:val="24"/>
          <w:highlight w:val="none"/>
        </w:rPr>
        <w:t>（九）计划、统计和信息管理</w:t>
      </w:r>
    </w:p>
    <w:p w14:paraId="21A0B8FC">
      <w:pPr>
        <w:snapToGrid w:val="0"/>
        <w:spacing w:line="440" w:lineRule="exact"/>
        <w:ind w:firstLine="424" w:firstLineChars="177"/>
        <w:rPr>
          <w:rFonts w:ascii="宋体" w:hAnsi="宋体" w:cs="宋体"/>
          <w:color w:val="auto"/>
          <w:sz w:val="24"/>
          <w:szCs w:val="24"/>
          <w:highlight w:val="none"/>
        </w:rPr>
      </w:pPr>
      <w:r>
        <w:rPr>
          <w:rFonts w:hint="eastAsia" w:ascii="宋体" w:hAnsi="宋体" w:cs="宋体"/>
          <w:color w:val="auto"/>
          <w:sz w:val="24"/>
          <w:szCs w:val="24"/>
          <w:highlight w:val="none"/>
        </w:rPr>
        <w:t>9.1 计划、统计报表的编制与传递；</w:t>
      </w:r>
    </w:p>
    <w:p w14:paraId="55F8F747">
      <w:pPr>
        <w:snapToGrid w:val="0"/>
        <w:spacing w:line="440" w:lineRule="exact"/>
        <w:ind w:firstLine="424" w:firstLineChars="177"/>
        <w:jc w:val="left"/>
        <w:rPr>
          <w:rFonts w:ascii="宋体" w:hAnsi="宋体" w:cs="宋体"/>
          <w:color w:val="auto"/>
          <w:sz w:val="24"/>
          <w:szCs w:val="24"/>
          <w:highlight w:val="none"/>
        </w:rPr>
      </w:pPr>
      <w:r>
        <w:rPr>
          <w:rFonts w:hint="eastAsia" w:ascii="宋体" w:hAnsi="宋体" w:cs="宋体"/>
          <w:color w:val="auto"/>
          <w:sz w:val="24"/>
          <w:szCs w:val="24"/>
          <w:highlight w:val="none"/>
        </w:rPr>
        <w:t>9.2 信息管理</w:t>
      </w:r>
    </w:p>
    <w:p w14:paraId="29252BA3">
      <w:pPr>
        <w:snapToGrid w:val="0"/>
        <w:spacing w:line="440" w:lineRule="exact"/>
        <w:ind w:firstLine="424" w:firstLineChars="177"/>
        <w:jc w:val="left"/>
        <w:rPr>
          <w:rFonts w:ascii="宋体" w:hAnsi="宋体" w:cs="宋体"/>
          <w:color w:val="auto"/>
          <w:sz w:val="24"/>
          <w:szCs w:val="24"/>
          <w:highlight w:val="none"/>
        </w:rPr>
      </w:pPr>
      <w:r>
        <w:rPr>
          <w:rFonts w:hint="eastAsia" w:ascii="宋体" w:hAnsi="宋体" w:cs="宋体"/>
          <w:color w:val="auto"/>
          <w:sz w:val="24"/>
          <w:szCs w:val="24"/>
          <w:highlight w:val="none"/>
        </w:rPr>
        <w:t>提出信息管理的目标及拟将采取的措施。</w:t>
      </w:r>
    </w:p>
    <w:p w14:paraId="0FFDE32C">
      <w:pPr>
        <w:snapToGrid w:val="0"/>
        <w:spacing w:line="440" w:lineRule="exact"/>
        <w:ind w:firstLine="424" w:firstLineChars="177"/>
        <w:jc w:val="left"/>
        <w:rPr>
          <w:rFonts w:ascii="宋体" w:hAnsi="宋体" w:cs="宋体"/>
          <w:color w:val="auto"/>
          <w:sz w:val="24"/>
          <w:szCs w:val="24"/>
          <w:highlight w:val="none"/>
        </w:rPr>
      </w:pPr>
      <w:r>
        <w:rPr>
          <w:rFonts w:hint="eastAsia" w:ascii="宋体" w:hAnsi="宋体" w:cs="宋体"/>
          <w:color w:val="auto"/>
          <w:sz w:val="24"/>
          <w:szCs w:val="24"/>
          <w:highlight w:val="none"/>
        </w:rPr>
        <w:t>（十）建筑垃圾减量及利用要求</w:t>
      </w:r>
    </w:p>
    <w:p w14:paraId="5EEC5F61">
      <w:pPr>
        <w:snapToGrid w:val="0"/>
        <w:spacing w:line="440" w:lineRule="exact"/>
        <w:ind w:firstLine="424" w:firstLineChars="177"/>
        <w:jc w:val="left"/>
        <w:rPr>
          <w:rFonts w:ascii="宋体" w:hAnsi="宋体" w:cs="宋体"/>
          <w:color w:val="auto"/>
          <w:sz w:val="24"/>
          <w:szCs w:val="24"/>
          <w:highlight w:val="none"/>
        </w:rPr>
      </w:pPr>
      <w:r>
        <w:rPr>
          <w:rFonts w:hint="eastAsia" w:ascii="宋体" w:hAnsi="宋体" w:cs="宋体"/>
          <w:color w:val="auto"/>
          <w:sz w:val="24"/>
          <w:szCs w:val="24"/>
          <w:highlight w:val="none"/>
        </w:rPr>
        <w:t>10.1根据《广东省建筑垃圾管理条例》，工程施工单位应当编制建筑垃圾处理方案，采取污染防治措施，并在开工前报工程所在地县级人民政府建筑垃圾主管部门备案。建筑垃圾处理方案内容有调整的，应当及时报告接受备案的部门。</w:t>
      </w:r>
    </w:p>
    <w:p w14:paraId="239F7500">
      <w:pPr>
        <w:snapToGrid w:val="0"/>
        <w:spacing w:line="440" w:lineRule="exact"/>
        <w:ind w:firstLine="424" w:firstLineChars="177"/>
        <w:jc w:val="left"/>
        <w:rPr>
          <w:rFonts w:ascii="宋体" w:hAnsi="宋体" w:cs="宋体"/>
          <w:color w:val="auto"/>
          <w:sz w:val="24"/>
          <w:szCs w:val="24"/>
          <w:highlight w:val="none"/>
        </w:rPr>
      </w:pPr>
      <w:r>
        <w:rPr>
          <w:rFonts w:hint="eastAsia" w:ascii="宋体" w:hAnsi="宋体" w:cs="宋体"/>
          <w:color w:val="auto"/>
          <w:sz w:val="24"/>
          <w:szCs w:val="24"/>
          <w:highlight w:val="none"/>
        </w:rPr>
        <w:t>10.2建筑垃圾处理方案应当包括下列内容：</w:t>
      </w:r>
    </w:p>
    <w:p w14:paraId="3AB85263">
      <w:pPr>
        <w:snapToGrid w:val="0"/>
        <w:spacing w:line="440" w:lineRule="exact"/>
        <w:ind w:firstLine="424" w:firstLineChars="177"/>
        <w:jc w:val="left"/>
        <w:rPr>
          <w:rFonts w:ascii="宋体" w:hAnsi="宋体" w:cs="宋体"/>
          <w:color w:val="auto"/>
          <w:sz w:val="24"/>
          <w:szCs w:val="24"/>
          <w:highlight w:val="none"/>
        </w:rPr>
      </w:pPr>
      <w:r>
        <w:rPr>
          <w:rFonts w:hint="eastAsia" w:ascii="宋体" w:hAnsi="宋体" w:cs="宋体"/>
          <w:color w:val="auto"/>
          <w:sz w:val="24"/>
          <w:szCs w:val="24"/>
          <w:highlight w:val="none"/>
        </w:rPr>
        <w:t>10.2.1工程概况和施工单位基本信息；</w:t>
      </w:r>
    </w:p>
    <w:p w14:paraId="22AC38B1">
      <w:pPr>
        <w:snapToGrid w:val="0"/>
        <w:spacing w:line="440" w:lineRule="exact"/>
        <w:ind w:firstLine="424" w:firstLineChars="177"/>
        <w:jc w:val="left"/>
        <w:rPr>
          <w:rFonts w:ascii="宋体" w:hAnsi="宋体" w:cs="宋体"/>
          <w:color w:val="auto"/>
          <w:sz w:val="24"/>
          <w:szCs w:val="24"/>
          <w:highlight w:val="none"/>
        </w:rPr>
      </w:pPr>
      <w:r>
        <w:rPr>
          <w:rFonts w:hint="eastAsia" w:ascii="宋体" w:hAnsi="宋体" w:cs="宋体"/>
          <w:color w:val="auto"/>
          <w:sz w:val="24"/>
          <w:szCs w:val="24"/>
          <w:highlight w:val="none"/>
        </w:rPr>
        <w:t>10.2.2建筑垃圾产生量与种类；</w:t>
      </w:r>
    </w:p>
    <w:p w14:paraId="3ED38898">
      <w:pPr>
        <w:snapToGrid w:val="0"/>
        <w:spacing w:line="440" w:lineRule="exact"/>
        <w:ind w:firstLine="424" w:firstLineChars="177"/>
        <w:jc w:val="left"/>
        <w:rPr>
          <w:rFonts w:ascii="宋体" w:hAnsi="宋体" w:cs="宋体"/>
          <w:color w:val="auto"/>
          <w:sz w:val="24"/>
          <w:szCs w:val="24"/>
          <w:highlight w:val="none"/>
        </w:rPr>
      </w:pPr>
      <w:r>
        <w:rPr>
          <w:rFonts w:hint="eastAsia" w:ascii="宋体" w:hAnsi="宋体" w:cs="宋体"/>
          <w:color w:val="auto"/>
          <w:sz w:val="24"/>
          <w:szCs w:val="24"/>
          <w:highlight w:val="none"/>
        </w:rPr>
        <w:t>10.2.3建筑垃圾源头减量、分类收集、综合利用、污染防治的措施和目标；</w:t>
      </w:r>
    </w:p>
    <w:p w14:paraId="6577499E">
      <w:pPr>
        <w:snapToGrid w:val="0"/>
        <w:spacing w:line="440" w:lineRule="exact"/>
        <w:ind w:firstLine="424" w:firstLineChars="177"/>
        <w:jc w:val="left"/>
        <w:rPr>
          <w:rFonts w:ascii="宋体" w:hAnsi="宋体" w:cs="宋体"/>
          <w:color w:val="auto"/>
          <w:sz w:val="24"/>
          <w:szCs w:val="24"/>
          <w:highlight w:val="none"/>
        </w:rPr>
      </w:pPr>
      <w:r>
        <w:rPr>
          <w:rFonts w:hint="eastAsia" w:ascii="宋体" w:hAnsi="宋体" w:cs="宋体"/>
          <w:color w:val="auto"/>
          <w:sz w:val="24"/>
          <w:szCs w:val="24"/>
          <w:highlight w:val="none"/>
        </w:rPr>
        <w:t>10.2.4需要外运的建筑垃圾种类、数量与运输的时间、路线、方式和运输单位；</w:t>
      </w:r>
    </w:p>
    <w:p w14:paraId="01F25EFD">
      <w:pPr>
        <w:snapToGrid w:val="0"/>
        <w:spacing w:line="440" w:lineRule="exact"/>
        <w:ind w:firstLine="424" w:firstLineChars="177"/>
        <w:jc w:val="left"/>
        <w:rPr>
          <w:rFonts w:ascii="宋体" w:hAnsi="宋体" w:cs="宋体"/>
          <w:color w:val="auto"/>
          <w:sz w:val="24"/>
          <w:szCs w:val="24"/>
          <w:highlight w:val="none"/>
        </w:rPr>
      </w:pPr>
      <w:r>
        <w:rPr>
          <w:rFonts w:hint="eastAsia" w:ascii="宋体" w:hAnsi="宋体" w:cs="宋体"/>
          <w:color w:val="auto"/>
          <w:sz w:val="24"/>
          <w:szCs w:val="24"/>
          <w:highlight w:val="none"/>
        </w:rPr>
        <w:t>10.2.5建筑垃圾回填、消纳、综合利用场所名称；</w:t>
      </w:r>
    </w:p>
    <w:p w14:paraId="2E7DF1E9">
      <w:pPr>
        <w:snapToGrid w:val="0"/>
        <w:spacing w:line="440" w:lineRule="exact"/>
        <w:ind w:firstLine="424" w:firstLineChars="177"/>
        <w:jc w:val="left"/>
        <w:rPr>
          <w:rFonts w:ascii="宋体" w:hAnsi="宋体" w:cs="宋体"/>
          <w:color w:val="auto"/>
          <w:sz w:val="24"/>
          <w:szCs w:val="24"/>
          <w:highlight w:val="none"/>
        </w:rPr>
      </w:pPr>
      <w:r>
        <w:rPr>
          <w:rFonts w:hint="eastAsia" w:ascii="宋体" w:hAnsi="宋体" w:cs="宋体"/>
          <w:color w:val="auto"/>
          <w:sz w:val="24"/>
          <w:szCs w:val="24"/>
          <w:highlight w:val="none"/>
        </w:rPr>
        <w:t>10.2.6法律、法规规定的其他内容。</w:t>
      </w:r>
    </w:p>
    <w:p w14:paraId="57880B7C">
      <w:pPr>
        <w:snapToGrid w:val="0"/>
        <w:spacing w:line="440" w:lineRule="exact"/>
        <w:ind w:firstLine="424" w:firstLineChars="177"/>
        <w:jc w:val="left"/>
        <w:rPr>
          <w:rFonts w:ascii="宋体" w:hAnsi="宋体" w:cs="宋体"/>
          <w:color w:val="auto"/>
          <w:sz w:val="24"/>
          <w:szCs w:val="24"/>
          <w:highlight w:val="none"/>
        </w:rPr>
      </w:pPr>
    </w:p>
    <w:p w14:paraId="0491FE53">
      <w:pPr>
        <w:snapToGrid w:val="0"/>
        <w:spacing w:line="440" w:lineRule="exact"/>
        <w:rPr>
          <w:rFonts w:ascii="宋体" w:hAnsi="宋体" w:cs="宋体"/>
          <w:b/>
          <w:color w:val="auto"/>
          <w:sz w:val="24"/>
          <w:szCs w:val="24"/>
          <w:highlight w:val="none"/>
        </w:rPr>
      </w:pPr>
    </w:p>
    <w:p w14:paraId="2710C0B5">
      <w:pPr>
        <w:snapToGrid w:val="0"/>
        <w:spacing w:line="360" w:lineRule="auto"/>
        <w:jc w:val="center"/>
        <w:rPr>
          <w:rFonts w:ascii="宋体" w:hAnsi="宋体" w:cs="宋体"/>
          <w:color w:val="auto"/>
          <w:sz w:val="24"/>
          <w:szCs w:val="24"/>
          <w:highlight w:val="none"/>
        </w:rPr>
      </w:pPr>
      <w:bookmarkStart w:id="75" w:name="_Toc9353"/>
      <w:r>
        <w:rPr>
          <w:rFonts w:hint="eastAsia" w:ascii="宋体" w:hAnsi="宋体" w:cs="宋体"/>
          <w:color w:val="auto"/>
          <w:sz w:val="24"/>
          <w:szCs w:val="24"/>
          <w:highlight w:val="none"/>
        </w:rPr>
        <w:br w:type="page"/>
      </w:r>
    </w:p>
    <w:p w14:paraId="76E0A09E">
      <w:pPr>
        <w:tabs>
          <w:tab w:val="left" w:pos="720"/>
        </w:tabs>
        <w:jc w:val="center"/>
        <w:rPr>
          <w:rStyle w:val="49"/>
          <w:rFonts w:ascii="宋体" w:hAnsi="宋体" w:cs="宋体"/>
          <w:b/>
          <w:color w:val="auto"/>
          <w:sz w:val="32"/>
          <w:szCs w:val="32"/>
          <w:highlight w:val="none"/>
        </w:rPr>
      </w:pPr>
      <w:r>
        <w:rPr>
          <w:rStyle w:val="49"/>
          <w:rFonts w:hint="eastAsia" w:ascii="宋体" w:hAnsi="宋体" w:cs="宋体"/>
          <w:b/>
          <w:color w:val="auto"/>
          <w:sz w:val="32"/>
          <w:szCs w:val="32"/>
          <w:highlight w:val="none"/>
        </w:rPr>
        <w:t>第六章  图纸及勘察资料</w:t>
      </w:r>
      <w:bookmarkEnd w:id="73"/>
      <w:bookmarkEnd w:id="75"/>
    </w:p>
    <w:p w14:paraId="01486EB6">
      <w:pPr>
        <w:snapToGrid w:val="0"/>
        <w:spacing w:line="360" w:lineRule="auto"/>
        <w:rPr>
          <w:rFonts w:ascii="宋体" w:hAnsi="宋体" w:cs="宋体"/>
          <w:color w:val="auto"/>
          <w:sz w:val="24"/>
          <w:szCs w:val="24"/>
          <w:highlight w:val="none"/>
        </w:rPr>
      </w:pPr>
    </w:p>
    <w:p w14:paraId="62C02CB1">
      <w:pPr>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注：本章由招标人自行制定。</w:t>
      </w:r>
    </w:p>
    <w:p w14:paraId="5A68E074">
      <w:pPr>
        <w:snapToGrid w:val="0"/>
        <w:spacing w:line="360" w:lineRule="auto"/>
        <w:jc w:val="center"/>
        <w:rPr>
          <w:rFonts w:ascii="宋体" w:hAnsi="宋体" w:cs="宋体"/>
          <w:b/>
          <w:color w:val="auto"/>
          <w:sz w:val="24"/>
          <w:szCs w:val="24"/>
          <w:highlight w:val="none"/>
        </w:rPr>
      </w:pPr>
      <w:r>
        <w:rPr>
          <w:rFonts w:hint="eastAsia" w:ascii="宋体" w:hAnsi="宋体" w:cs="宋体"/>
          <w:color w:val="auto"/>
          <w:sz w:val="24"/>
          <w:szCs w:val="24"/>
          <w:highlight w:val="none"/>
        </w:rPr>
        <w:t>（另册）</w:t>
      </w:r>
    </w:p>
    <w:p w14:paraId="4DCEA981">
      <w:pPr>
        <w:snapToGrid w:val="0"/>
        <w:spacing w:line="360" w:lineRule="auto"/>
        <w:ind w:firstLine="360" w:firstLineChars="150"/>
        <w:rPr>
          <w:rFonts w:ascii="宋体" w:hAnsi="宋体" w:cs="宋体"/>
          <w:color w:val="auto"/>
          <w:kern w:val="0"/>
          <w:sz w:val="24"/>
          <w:szCs w:val="24"/>
          <w:highlight w:val="none"/>
        </w:rPr>
      </w:pPr>
    </w:p>
    <w:p w14:paraId="22BFC0BF">
      <w:pPr>
        <w:snapToGrid w:val="0"/>
        <w:spacing w:line="360" w:lineRule="auto"/>
        <w:ind w:firstLine="360" w:firstLineChars="150"/>
        <w:rPr>
          <w:rFonts w:ascii="宋体" w:hAnsi="宋体" w:cs="宋体"/>
          <w:color w:val="auto"/>
          <w:kern w:val="0"/>
          <w:sz w:val="24"/>
          <w:szCs w:val="24"/>
          <w:highlight w:val="none"/>
        </w:rPr>
      </w:pPr>
    </w:p>
    <w:p w14:paraId="1EAF64A3">
      <w:pPr>
        <w:pStyle w:val="3"/>
        <w:snapToGrid w:val="0"/>
        <w:spacing w:after="0"/>
        <w:jc w:val="center"/>
        <w:rPr>
          <w:rStyle w:val="49"/>
          <w:rFonts w:ascii="宋体" w:hAnsi="宋体" w:cs="宋体"/>
          <w:b/>
          <w:color w:val="auto"/>
          <w:sz w:val="32"/>
          <w:szCs w:val="32"/>
          <w:highlight w:val="none"/>
        </w:rPr>
      </w:pPr>
      <w:r>
        <w:rPr>
          <w:rFonts w:hint="eastAsia" w:ascii="宋体" w:hAnsi="宋体" w:cs="宋体"/>
          <w:color w:val="auto"/>
          <w:sz w:val="24"/>
          <w:szCs w:val="24"/>
          <w:highlight w:val="none"/>
        </w:rPr>
        <w:br w:type="page"/>
      </w:r>
      <w:bookmarkStart w:id="76" w:name="_Toc22481"/>
      <w:bookmarkStart w:id="77" w:name="_Toc2272570"/>
      <w:r>
        <w:rPr>
          <w:rStyle w:val="49"/>
          <w:rFonts w:hint="eastAsia" w:ascii="宋体" w:hAnsi="宋体" w:cs="宋体"/>
          <w:b/>
          <w:color w:val="auto"/>
          <w:sz w:val="32"/>
          <w:szCs w:val="32"/>
          <w:highlight w:val="none"/>
        </w:rPr>
        <w:t>第七章  工程量清单</w:t>
      </w:r>
      <w:bookmarkEnd w:id="76"/>
      <w:bookmarkEnd w:id="77"/>
    </w:p>
    <w:p w14:paraId="5F909B5F">
      <w:pPr>
        <w:snapToGrid w:val="0"/>
        <w:spacing w:line="360" w:lineRule="auto"/>
        <w:rPr>
          <w:rFonts w:ascii="宋体" w:hAnsi="宋体" w:cs="宋体"/>
          <w:color w:val="auto"/>
          <w:sz w:val="24"/>
          <w:szCs w:val="24"/>
          <w:highlight w:val="none"/>
        </w:rPr>
      </w:pPr>
    </w:p>
    <w:p w14:paraId="76FC49E9">
      <w:pPr>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注：本章由招标人自行制定。</w:t>
      </w:r>
    </w:p>
    <w:p w14:paraId="3EED0015">
      <w:pPr>
        <w:snapToGrid w:val="0"/>
        <w:spacing w:line="360" w:lineRule="auto"/>
        <w:jc w:val="center"/>
        <w:rPr>
          <w:rFonts w:ascii="宋体" w:hAnsi="宋体" w:cs="宋体"/>
          <w:b/>
          <w:color w:val="auto"/>
          <w:sz w:val="24"/>
          <w:szCs w:val="24"/>
          <w:highlight w:val="none"/>
        </w:rPr>
      </w:pPr>
      <w:r>
        <w:rPr>
          <w:rFonts w:hint="eastAsia" w:ascii="宋体" w:hAnsi="宋体" w:cs="宋体"/>
          <w:color w:val="auto"/>
          <w:sz w:val="24"/>
          <w:szCs w:val="24"/>
          <w:highlight w:val="none"/>
        </w:rPr>
        <w:t>（另册）</w:t>
      </w:r>
    </w:p>
    <w:p w14:paraId="23A6078C">
      <w:pPr>
        <w:spacing w:line="360" w:lineRule="auto"/>
        <w:jc w:val="left"/>
        <w:rPr>
          <w:rFonts w:ascii="宋体" w:hAnsi="宋体" w:cs="宋体"/>
          <w:color w:val="auto"/>
          <w:sz w:val="24"/>
          <w:szCs w:val="28"/>
          <w:highlight w:val="none"/>
        </w:rPr>
      </w:pPr>
    </w:p>
    <w:p w14:paraId="1875E9BB">
      <w:pPr>
        <w:spacing w:line="360" w:lineRule="auto"/>
        <w:jc w:val="left"/>
        <w:rPr>
          <w:rFonts w:ascii="宋体" w:hAnsi="宋体" w:cs="宋体"/>
          <w:color w:val="auto"/>
          <w:sz w:val="24"/>
          <w:szCs w:val="28"/>
          <w:highlight w:val="none"/>
        </w:rPr>
      </w:pPr>
    </w:p>
    <w:p w14:paraId="6E52CD1A">
      <w:pPr>
        <w:pStyle w:val="3"/>
        <w:snapToGrid w:val="0"/>
        <w:spacing w:after="0"/>
        <w:jc w:val="center"/>
        <w:rPr>
          <w:rFonts w:ascii="宋体" w:hAnsi="宋体" w:cs="宋体"/>
          <w:color w:val="auto"/>
          <w:sz w:val="24"/>
          <w:szCs w:val="24"/>
          <w:highlight w:val="none"/>
        </w:rPr>
      </w:pPr>
      <w:r>
        <w:rPr>
          <w:rFonts w:hint="eastAsia" w:ascii="宋体" w:hAnsi="宋体" w:cs="宋体"/>
          <w:color w:val="auto"/>
          <w:sz w:val="24"/>
          <w:szCs w:val="24"/>
          <w:highlight w:val="none"/>
        </w:rPr>
        <w:br w:type="page"/>
      </w:r>
      <w:bookmarkStart w:id="78" w:name="_Toc2272571"/>
      <w:bookmarkStart w:id="79" w:name="_Toc3710"/>
      <w:r>
        <w:rPr>
          <w:rStyle w:val="49"/>
          <w:rFonts w:hint="eastAsia" w:ascii="宋体" w:hAnsi="宋体" w:cs="宋体"/>
          <w:color w:val="auto"/>
          <w:sz w:val="32"/>
          <w:szCs w:val="32"/>
          <w:highlight w:val="none"/>
        </w:rPr>
        <w:t>第八章  最高投标限价</w:t>
      </w:r>
      <w:bookmarkEnd w:id="78"/>
      <w:bookmarkEnd w:id="79"/>
    </w:p>
    <w:p w14:paraId="3FC07F10">
      <w:pPr>
        <w:snapToGrid w:val="0"/>
        <w:spacing w:line="360" w:lineRule="auto"/>
        <w:ind w:firstLine="480"/>
        <w:rPr>
          <w:rFonts w:ascii="宋体" w:hAnsi="宋体" w:cs="宋体"/>
          <w:color w:val="auto"/>
          <w:sz w:val="24"/>
          <w:szCs w:val="24"/>
          <w:highlight w:val="none"/>
        </w:rPr>
      </w:pPr>
    </w:p>
    <w:p w14:paraId="60A443FB">
      <w:pPr>
        <w:snapToGrid w:val="0"/>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招标人应当在发布招标文件时，公布最高投标限价的总价，分部分项工程费、措施项目费、其他项目费、规费和税金，以及绿色施工安全防护措施费、暂列金额等投标人不可竞争的固定报价。</w:t>
      </w:r>
    </w:p>
    <w:p w14:paraId="73122A1C">
      <w:pPr>
        <w:snapToGrid w:val="0"/>
        <w:spacing w:line="360" w:lineRule="auto"/>
        <w:jc w:val="center"/>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（另册）</w:t>
      </w:r>
    </w:p>
    <w:p w14:paraId="72EDD1DA">
      <w:pPr>
        <w:snapToGrid w:val="0"/>
        <w:spacing w:line="360" w:lineRule="auto"/>
        <w:ind w:firstLine="480"/>
        <w:rPr>
          <w:rFonts w:ascii="宋体" w:hAnsi="宋体" w:cs="宋体"/>
          <w:color w:val="auto"/>
          <w:sz w:val="24"/>
          <w:szCs w:val="24"/>
          <w:highlight w:val="none"/>
          <w:u w:val="single"/>
        </w:rPr>
      </w:pPr>
    </w:p>
    <w:p w14:paraId="0095CD77">
      <w:pPr>
        <w:snapToGrid w:val="0"/>
        <w:spacing w:line="360" w:lineRule="auto"/>
        <w:rPr>
          <w:rFonts w:ascii="宋体" w:hAnsi="宋体" w:cs="宋体"/>
          <w:color w:val="auto"/>
          <w:highlight w:val="none"/>
        </w:rPr>
      </w:pPr>
    </w:p>
    <w:p w14:paraId="5D04AD6E">
      <w:pPr>
        <w:snapToGrid w:val="0"/>
        <w:spacing w:line="360" w:lineRule="auto"/>
        <w:rPr>
          <w:rFonts w:ascii="宋体" w:hAnsi="宋体" w:cs="宋体"/>
          <w:color w:val="auto"/>
          <w:highlight w:val="none"/>
        </w:rPr>
      </w:pPr>
    </w:p>
    <w:p w14:paraId="42B0D656">
      <w:pPr>
        <w:rPr>
          <w:rFonts w:ascii="宋体" w:hAnsi="宋体" w:cs="宋体"/>
          <w:color w:val="auto"/>
          <w:highlight w:val="none"/>
        </w:rPr>
      </w:pPr>
    </w:p>
    <w:sectPr>
      <w:pgSz w:w="11906" w:h="16838"/>
      <w:pgMar w:top="1383" w:right="1383" w:bottom="1383" w:left="1383"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31E5BE">
    <w:pPr>
      <w:pStyle w:val="21"/>
      <w:ind w:firstLine="392"/>
      <w:rPr>
        <w:rStyle w:val="37"/>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946B84">
    <w:pPr>
      <w:pStyle w:val="21"/>
      <w:ind w:firstLine="392"/>
      <w:rPr>
        <w:rStyle w:val="37"/>
      </w:rPr>
    </w:pPr>
    <w:r>
      <w:fldChar w:fldCharType="begin"/>
    </w:r>
    <w:r>
      <w:rPr>
        <w:rStyle w:val="37"/>
      </w:rPr>
      <w:instrText xml:space="preserve">PAGE  </w:instrText>
    </w:r>
    <w:r>
      <w:fldChar w:fldCharType="separate"/>
    </w:r>
    <w:r>
      <w:rPr>
        <w:rStyle w:val="37"/>
        <w:rFonts w:hint="eastAsia"/>
      </w:rPr>
      <w:t>一</w:t>
    </w:r>
    <w:r>
      <w:rPr>
        <w:rStyle w:val="37"/>
      </w:rPr>
      <w:t>–2</w:t>
    </w:r>
    <w:r>
      <w:fldChar w:fldCharType="end"/>
    </w:r>
  </w:p>
  <w:p w14:paraId="2D19BC43">
    <w:pPr>
      <w:pStyle w:val="21"/>
      <w:ind w:firstLine="392"/>
    </w:pPr>
    <w: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548E00">
    <w:pPr>
      <w:pStyle w:val="21"/>
      <w:ind w:firstLine="39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FE6160">
    <w:pPr>
      <w:pStyle w:val="21"/>
      <w:jc w:val="center"/>
      <w:rPr>
        <w:rStyle w:val="37"/>
      </w:rPr>
    </w:pPr>
    <w:r>
      <w:fldChar w:fldCharType="begin"/>
    </w:r>
    <w:r>
      <w:instrText xml:space="preserve"> PAGE   \* MERGEFORMAT </w:instrText>
    </w:r>
    <w:r>
      <w:fldChar w:fldCharType="separate"/>
    </w:r>
    <w:r>
      <w:rPr>
        <w:lang w:val="zh-CN"/>
      </w:rPr>
      <w:t>54</w:t>
    </w:r>
    <w:r>
      <w:rPr>
        <w:lang w:val="zh-CN"/>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B7E6D2">
    <w:pPr>
      <w:pStyle w:val="21"/>
      <w:jc w:val="center"/>
    </w:pPr>
    <w:r>
      <w:fldChar w:fldCharType="begin"/>
    </w:r>
    <w:r>
      <w:instrText xml:space="preserve"> PAGE   \* MERGEFORMAT </w:instrText>
    </w:r>
    <w:r>
      <w:fldChar w:fldCharType="separate"/>
    </w:r>
    <w:r>
      <w:rPr>
        <w:lang w:val="zh-CN"/>
      </w:rPr>
      <w:t>57</w:t>
    </w:r>
    <w:r>
      <w:rPr>
        <w:lang w:val="zh-CN"/>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239C53">
    <w:pPr>
      <w:pStyle w:val="21"/>
      <w:jc w:val="center"/>
    </w:pPr>
    <w:r>
      <w:fldChar w:fldCharType="begin"/>
    </w:r>
    <w:r>
      <w:instrText xml:space="preserve"> PAGE   \* MERGEFORMAT </w:instrText>
    </w:r>
    <w:r>
      <w:fldChar w:fldCharType="separate"/>
    </w:r>
    <w:r>
      <w:t>60</w:t>
    </w:r>
    <w:r>
      <w:fldChar w:fldCharType="end"/>
    </w:r>
  </w:p>
  <w:p w14:paraId="5430E282">
    <w:pPr>
      <w:pStyle w:val="2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0E600C">
    <w:pPr>
      <w:pStyle w:val="21"/>
      <w:jc w:val="center"/>
    </w:pPr>
    <w:r>
      <w:fldChar w:fldCharType="begin"/>
    </w:r>
    <w:r>
      <w:instrText xml:space="preserve"> PAGE   \* MERGEFORMAT </w:instrText>
    </w:r>
    <w:r>
      <w:fldChar w:fldCharType="separate"/>
    </w:r>
    <w:r>
      <w:rPr>
        <w:lang w:val="zh-CN"/>
      </w:rPr>
      <w:t>68</w:t>
    </w:r>
    <w:r>
      <w:rPr>
        <w:lang w:val="zh-CN"/>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1A3980">
    <w:pPr>
      <w:pStyle w:val="21"/>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396875" cy="311150"/>
              <wp:effectExtent l="0" t="0" r="0" b="0"/>
              <wp:wrapNone/>
              <wp:docPr id="6" name="文本框 1"/>
              <wp:cNvGraphicFramePr/>
              <a:graphic xmlns:a="http://schemas.openxmlformats.org/drawingml/2006/main">
                <a:graphicData uri="http://schemas.microsoft.com/office/word/2010/wordprocessingShape">
                  <wps:wsp>
                    <wps:cNvSpPr txBox="1"/>
                    <wps:spPr>
                      <a:xfrm>
                        <a:off x="0" y="0"/>
                        <a:ext cx="396875" cy="311150"/>
                      </a:xfrm>
                      <a:prstGeom prst="rect">
                        <a:avLst/>
                      </a:prstGeom>
                      <a:noFill/>
                      <a:ln>
                        <a:noFill/>
                      </a:ln>
                      <a:effectLst/>
                    </wps:spPr>
                    <wps:txbx>
                      <w:txbxContent>
                        <w:p w14:paraId="30A2CFD9">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108</w:t>
                          </w:r>
                          <w:r>
                            <w:rPr>
                              <w:rFonts w:hint="eastAsia"/>
                              <w:sz w:val="18"/>
                            </w:rPr>
                            <w:fldChar w:fldCharType="end"/>
                          </w:r>
                        </w:p>
                      </w:txbxContent>
                    </wps:txbx>
                    <wps:bodyPr wrap="square" lIns="0" tIns="0" rIns="0" bIns="0" anchor="t" anchorCtr="0" upright="1"/>
                  </wps:wsp>
                </a:graphicData>
              </a:graphic>
            </wp:anchor>
          </w:drawing>
        </mc:Choice>
        <mc:Fallback>
          <w:pict>
            <v:shape id="文本框 1" o:spid="_x0000_s1026" o:spt="202" type="#_x0000_t202" style="position:absolute;left:0pt;margin-top:0pt;height:24.5pt;width:31.25pt;mso-position-horizontal:center;mso-position-horizontal-relative:margin;z-index:251659264;mso-width-relative:page;mso-height-relative:page;" filled="f" stroked="f" coordsize="21600,21600" o:gfxdata="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LqckEHUAAAAAwEAAA8AAAAAAAAAAQAgAAAA&#10;IgAAAGRycy9kb3ducmV2LnhtbFBLAQIUABQAAAAIAIdO4kDxHJQ61gEAAKYDAAAOAAAAAAAAAAEA&#10;IAAAACMBAABkcnMvZTJvRG9jLnhtbFBLBQYAAAAABgAGAFkBAABrBQAAAAA=&#10;">
              <v:fill on="f" focussize="0,0"/>
              <v:stroke on="f"/>
              <v:imagedata o:title=""/>
              <o:lock v:ext="edit" aspectratio="f"/>
              <v:textbox inset="0mm,0mm,0mm,0mm">
                <w:txbxContent>
                  <w:p w14:paraId="30A2CFD9">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108</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E5FE60">
    <w:pPr>
      <w:pStyle w:val="22"/>
      <w:pBdr>
        <w:bottom w:val="none" w:color="auto" w:sz="0" w:space="0"/>
      </w:pBdr>
      <w:ind w:firstLine="39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24F009">
    <w:pPr>
      <w:pStyle w:val="22"/>
      <w:ind w:firstLine="392"/>
    </w:pPr>
    <w:r>
      <w:rPr>
        <w:rFonts w:hint="eastAsia"/>
      </w:rPr>
      <w:t>横枝岗路道路排水改造工程招标文件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818922">
    <w:pPr>
      <w:pStyle w:val="22"/>
      <w:pBdr>
        <w:bottom w:val="none" w:color="auto" w:sz="0" w:space="1"/>
      </w:pBdr>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11BE67">
    <w:pPr>
      <w:pStyle w:val="22"/>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CE050B">
    <w:pPr>
      <w:pStyle w:val="2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0000010"/>
    <w:multiLevelType w:val="multilevel"/>
    <w:tmpl w:val="00000010"/>
    <w:lvl w:ilvl="0" w:tentative="0">
      <w:start w:val="1"/>
      <w:numFmt w:val="decimal"/>
      <w:lvlText w:val="（%1）"/>
      <w:lvlJc w:val="left"/>
      <w:pPr>
        <w:ind w:left="1080" w:hanging="720"/>
      </w:pPr>
      <w:rPr>
        <w:rFonts w:hint="default"/>
        <w:color w:val="000000"/>
      </w:r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abstractNum w:abstractNumId="2">
    <w:nsid w:val="11A01315"/>
    <w:multiLevelType w:val="singleLevel"/>
    <w:tmpl w:val="11A01315"/>
    <w:lvl w:ilvl="0" w:tentative="0">
      <w:start w:val="1"/>
      <w:numFmt w:val="decimal"/>
      <w:suff w:val="nothing"/>
      <w:lvlText w:val="%1、"/>
      <w:lvlJc w:val="left"/>
    </w:lvl>
  </w:abstractNum>
  <w:abstractNum w:abstractNumId="3">
    <w:nsid w:val="5CADBC91"/>
    <w:multiLevelType w:val="singleLevel"/>
    <w:tmpl w:val="5CADBC91"/>
    <w:lvl w:ilvl="0" w:tentative="0">
      <w:start w:val="1"/>
      <w:numFmt w:val="decimal"/>
      <w:suff w:val="nothing"/>
      <w:lvlText w:val="（%1）"/>
      <w:lvlJc w:val="left"/>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SystemFonts/>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endnotePr>
    <w:numFmt w:val="decimal"/>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IyMmUwMzExYmYzZWYwMjBlZGI1YzE0MmEzYzBmNjcifQ=="/>
  </w:docVars>
  <w:rsids>
    <w:rsidRoot w:val="6ECA11E3"/>
    <w:rsid w:val="00056C63"/>
    <w:rsid w:val="00067699"/>
    <w:rsid w:val="000C3AA7"/>
    <w:rsid w:val="000C627B"/>
    <w:rsid w:val="000D601B"/>
    <w:rsid w:val="000F2460"/>
    <w:rsid w:val="000F540A"/>
    <w:rsid w:val="00110495"/>
    <w:rsid w:val="00123E47"/>
    <w:rsid w:val="001245DC"/>
    <w:rsid w:val="00130DBB"/>
    <w:rsid w:val="00137431"/>
    <w:rsid w:val="00141CEF"/>
    <w:rsid w:val="001542C4"/>
    <w:rsid w:val="001563F2"/>
    <w:rsid w:val="00161690"/>
    <w:rsid w:val="00173B81"/>
    <w:rsid w:val="00175646"/>
    <w:rsid w:val="0018560A"/>
    <w:rsid w:val="001E1D19"/>
    <w:rsid w:val="001F7F7E"/>
    <w:rsid w:val="00203BB3"/>
    <w:rsid w:val="00233F06"/>
    <w:rsid w:val="0025252E"/>
    <w:rsid w:val="00260693"/>
    <w:rsid w:val="002A3757"/>
    <w:rsid w:val="002B40C0"/>
    <w:rsid w:val="002B44AD"/>
    <w:rsid w:val="002E4C68"/>
    <w:rsid w:val="0032377A"/>
    <w:rsid w:val="003336FF"/>
    <w:rsid w:val="00344D23"/>
    <w:rsid w:val="00352104"/>
    <w:rsid w:val="00363F19"/>
    <w:rsid w:val="003815CF"/>
    <w:rsid w:val="003839B3"/>
    <w:rsid w:val="00384C73"/>
    <w:rsid w:val="003A4132"/>
    <w:rsid w:val="003C799A"/>
    <w:rsid w:val="003D401C"/>
    <w:rsid w:val="003D5750"/>
    <w:rsid w:val="003F5287"/>
    <w:rsid w:val="004208C8"/>
    <w:rsid w:val="00450B5F"/>
    <w:rsid w:val="004C2D92"/>
    <w:rsid w:val="004F7BCF"/>
    <w:rsid w:val="0051206E"/>
    <w:rsid w:val="00526CE4"/>
    <w:rsid w:val="00562057"/>
    <w:rsid w:val="00564A11"/>
    <w:rsid w:val="00570E96"/>
    <w:rsid w:val="00582E03"/>
    <w:rsid w:val="00592A19"/>
    <w:rsid w:val="005A3BEE"/>
    <w:rsid w:val="005B5E13"/>
    <w:rsid w:val="005C03A7"/>
    <w:rsid w:val="005C0625"/>
    <w:rsid w:val="005C078C"/>
    <w:rsid w:val="005C2C32"/>
    <w:rsid w:val="005C46DA"/>
    <w:rsid w:val="005E5BD1"/>
    <w:rsid w:val="005F06C3"/>
    <w:rsid w:val="006023D3"/>
    <w:rsid w:val="00603A57"/>
    <w:rsid w:val="00607089"/>
    <w:rsid w:val="00623FEC"/>
    <w:rsid w:val="006705B8"/>
    <w:rsid w:val="00670D81"/>
    <w:rsid w:val="00683D36"/>
    <w:rsid w:val="00687853"/>
    <w:rsid w:val="006918CB"/>
    <w:rsid w:val="006975F8"/>
    <w:rsid w:val="006A67E1"/>
    <w:rsid w:val="006B369A"/>
    <w:rsid w:val="006E00AF"/>
    <w:rsid w:val="00702174"/>
    <w:rsid w:val="007045EF"/>
    <w:rsid w:val="007444E1"/>
    <w:rsid w:val="00766913"/>
    <w:rsid w:val="007946F9"/>
    <w:rsid w:val="007D07F6"/>
    <w:rsid w:val="00840E97"/>
    <w:rsid w:val="00844261"/>
    <w:rsid w:val="00853940"/>
    <w:rsid w:val="00857912"/>
    <w:rsid w:val="0086535E"/>
    <w:rsid w:val="00875D91"/>
    <w:rsid w:val="0087773F"/>
    <w:rsid w:val="00884899"/>
    <w:rsid w:val="008954B9"/>
    <w:rsid w:val="008A3D76"/>
    <w:rsid w:val="008C08D2"/>
    <w:rsid w:val="00903CEE"/>
    <w:rsid w:val="00931C40"/>
    <w:rsid w:val="00937917"/>
    <w:rsid w:val="00945D7E"/>
    <w:rsid w:val="00973FB8"/>
    <w:rsid w:val="00974BE2"/>
    <w:rsid w:val="00984671"/>
    <w:rsid w:val="009870AB"/>
    <w:rsid w:val="009971DB"/>
    <w:rsid w:val="009A5C4C"/>
    <w:rsid w:val="009B4D8E"/>
    <w:rsid w:val="009C587B"/>
    <w:rsid w:val="009C61A9"/>
    <w:rsid w:val="009C6215"/>
    <w:rsid w:val="00A07871"/>
    <w:rsid w:val="00A11B2B"/>
    <w:rsid w:val="00A1716B"/>
    <w:rsid w:val="00A24B21"/>
    <w:rsid w:val="00A33DAE"/>
    <w:rsid w:val="00A57997"/>
    <w:rsid w:val="00A62687"/>
    <w:rsid w:val="00A80F2E"/>
    <w:rsid w:val="00A958F8"/>
    <w:rsid w:val="00AA49BE"/>
    <w:rsid w:val="00AA627A"/>
    <w:rsid w:val="00AB3CE8"/>
    <w:rsid w:val="00AC4B76"/>
    <w:rsid w:val="00B1036C"/>
    <w:rsid w:val="00B2698E"/>
    <w:rsid w:val="00B46297"/>
    <w:rsid w:val="00B46ABF"/>
    <w:rsid w:val="00B66174"/>
    <w:rsid w:val="00BA0120"/>
    <w:rsid w:val="00BB12DB"/>
    <w:rsid w:val="00BB6012"/>
    <w:rsid w:val="00BC6DE7"/>
    <w:rsid w:val="00BF0D9D"/>
    <w:rsid w:val="00BF7719"/>
    <w:rsid w:val="00C0644F"/>
    <w:rsid w:val="00C1345D"/>
    <w:rsid w:val="00C418E9"/>
    <w:rsid w:val="00C7761E"/>
    <w:rsid w:val="00C8090E"/>
    <w:rsid w:val="00C810AD"/>
    <w:rsid w:val="00C92668"/>
    <w:rsid w:val="00C96234"/>
    <w:rsid w:val="00CA197C"/>
    <w:rsid w:val="00CB242D"/>
    <w:rsid w:val="00CC4864"/>
    <w:rsid w:val="00D02356"/>
    <w:rsid w:val="00D42137"/>
    <w:rsid w:val="00D42BE4"/>
    <w:rsid w:val="00D4383C"/>
    <w:rsid w:val="00D56B60"/>
    <w:rsid w:val="00D87BAB"/>
    <w:rsid w:val="00D939B5"/>
    <w:rsid w:val="00D95AE5"/>
    <w:rsid w:val="00DA7254"/>
    <w:rsid w:val="00DC4FE8"/>
    <w:rsid w:val="00DD1A7B"/>
    <w:rsid w:val="00DD2BBB"/>
    <w:rsid w:val="00DE2E4F"/>
    <w:rsid w:val="00E00B5D"/>
    <w:rsid w:val="00E278DF"/>
    <w:rsid w:val="00E3744B"/>
    <w:rsid w:val="00E46FED"/>
    <w:rsid w:val="00E6483A"/>
    <w:rsid w:val="00E65645"/>
    <w:rsid w:val="00E856FE"/>
    <w:rsid w:val="00EA2F10"/>
    <w:rsid w:val="00EC73C3"/>
    <w:rsid w:val="00ED64C1"/>
    <w:rsid w:val="00EE310D"/>
    <w:rsid w:val="00EF16FF"/>
    <w:rsid w:val="00EF58DA"/>
    <w:rsid w:val="00F4443C"/>
    <w:rsid w:val="00F53B91"/>
    <w:rsid w:val="00F56310"/>
    <w:rsid w:val="00F60CAF"/>
    <w:rsid w:val="00F75D97"/>
    <w:rsid w:val="00FA1E91"/>
    <w:rsid w:val="00FA3B33"/>
    <w:rsid w:val="00FA41A6"/>
    <w:rsid w:val="00FC0A1E"/>
    <w:rsid w:val="00FC3E1B"/>
    <w:rsid w:val="01260DB8"/>
    <w:rsid w:val="012B0DF9"/>
    <w:rsid w:val="016025FC"/>
    <w:rsid w:val="019D4E55"/>
    <w:rsid w:val="01A83C46"/>
    <w:rsid w:val="01B3097E"/>
    <w:rsid w:val="01B81995"/>
    <w:rsid w:val="020236B3"/>
    <w:rsid w:val="02182ED7"/>
    <w:rsid w:val="022C5CCC"/>
    <w:rsid w:val="025A417D"/>
    <w:rsid w:val="02823D95"/>
    <w:rsid w:val="029562D6"/>
    <w:rsid w:val="02B7624C"/>
    <w:rsid w:val="02C31095"/>
    <w:rsid w:val="02EF1E8A"/>
    <w:rsid w:val="02FA082F"/>
    <w:rsid w:val="030A0A72"/>
    <w:rsid w:val="034304BC"/>
    <w:rsid w:val="034D4E02"/>
    <w:rsid w:val="03922815"/>
    <w:rsid w:val="03B86720"/>
    <w:rsid w:val="03C81A86"/>
    <w:rsid w:val="03E2158B"/>
    <w:rsid w:val="03E5503B"/>
    <w:rsid w:val="04351B1E"/>
    <w:rsid w:val="04352076"/>
    <w:rsid w:val="04446019"/>
    <w:rsid w:val="0455289B"/>
    <w:rsid w:val="048B2A85"/>
    <w:rsid w:val="049D76C3"/>
    <w:rsid w:val="04BE5FB8"/>
    <w:rsid w:val="04E23328"/>
    <w:rsid w:val="04F74C3F"/>
    <w:rsid w:val="04F875A0"/>
    <w:rsid w:val="05015EA4"/>
    <w:rsid w:val="05045364"/>
    <w:rsid w:val="051C0402"/>
    <w:rsid w:val="05266D05"/>
    <w:rsid w:val="05423841"/>
    <w:rsid w:val="05502988"/>
    <w:rsid w:val="05571F68"/>
    <w:rsid w:val="057B6B0A"/>
    <w:rsid w:val="05B72A07"/>
    <w:rsid w:val="06011F07"/>
    <w:rsid w:val="06351F74"/>
    <w:rsid w:val="066F6E3E"/>
    <w:rsid w:val="06915006"/>
    <w:rsid w:val="06950CBD"/>
    <w:rsid w:val="06B900B8"/>
    <w:rsid w:val="06C27BA7"/>
    <w:rsid w:val="070E2AFA"/>
    <w:rsid w:val="07146C2B"/>
    <w:rsid w:val="07247C28"/>
    <w:rsid w:val="07391925"/>
    <w:rsid w:val="07593D76"/>
    <w:rsid w:val="0782145E"/>
    <w:rsid w:val="07867FE9"/>
    <w:rsid w:val="078B7CA7"/>
    <w:rsid w:val="079E5DD1"/>
    <w:rsid w:val="07A656A9"/>
    <w:rsid w:val="07DE427B"/>
    <w:rsid w:val="07EA0E72"/>
    <w:rsid w:val="07F77C97"/>
    <w:rsid w:val="080D6E43"/>
    <w:rsid w:val="082A3964"/>
    <w:rsid w:val="083E2F6B"/>
    <w:rsid w:val="085D113C"/>
    <w:rsid w:val="089B79AC"/>
    <w:rsid w:val="08F5187C"/>
    <w:rsid w:val="09242161"/>
    <w:rsid w:val="09285B97"/>
    <w:rsid w:val="099A1FD0"/>
    <w:rsid w:val="09D92E75"/>
    <w:rsid w:val="09E85885"/>
    <w:rsid w:val="09FF3965"/>
    <w:rsid w:val="0A081EEC"/>
    <w:rsid w:val="0A1B49A5"/>
    <w:rsid w:val="0A2166A1"/>
    <w:rsid w:val="0A4E2023"/>
    <w:rsid w:val="0A6014F4"/>
    <w:rsid w:val="0A6A568E"/>
    <w:rsid w:val="0A6B0357"/>
    <w:rsid w:val="0A7D43AC"/>
    <w:rsid w:val="0AB00EA5"/>
    <w:rsid w:val="0ABD0ABF"/>
    <w:rsid w:val="0ACE6829"/>
    <w:rsid w:val="0ADF27E4"/>
    <w:rsid w:val="0AFD710E"/>
    <w:rsid w:val="0B0E00ED"/>
    <w:rsid w:val="0B2A34D9"/>
    <w:rsid w:val="0B631E61"/>
    <w:rsid w:val="0B750B02"/>
    <w:rsid w:val="0B7B1FE3"/>
    <w:rsid w:val="0BC301D9"/>
    <w:rsid w:val="0BCB0E68"/>
    <w:rsid w:val="0BE502CE"/>
    <w:rsid w:val="0BF56F71"/>
    <w:rsid w:val="0C0149DC"/>
    <w:rsid w:val="0C175FAD"/>
    <w:rsid w:val="0C395792"/>
    <w:rsid w:val="0C3C3C66"/>
    <w:rsid w:val="0C5B233E"/>
    <w:rsid w:val="0C600314"/>
    <w:rsid w:val="0C7B320A"/>
    <w:rsid w:val="0C8278CB"/>
    <w:rsid w:val="0C8A2C23"/>
    <w:rsid w:val="0CA77331"/>
    <w:rsid w:val="0CB832EC"/>
    <w:rsid w:val="0CB96280"/>
    <w:rsid w:val="0CD4440C"/>
    <w:rsid w:val="0D0C3638"/>
    <w:rsid w:val="0D110C4F"/>
    <w:rsid w:val="0D15439D"/>
    <w:rsid w:val="0D1F07B3"/>
    <w:rsid w:val="0D4508F8"/>
    <w:rsid w:val="0D47449D"/>
    <w:rsid w:val="0D821B4C"/>
    <w:rsid w:val="0D837D9E"/>
    <w:rsid w:val="0DB735A4"/>
    <w:rsid w:val="0DB8731C"/>
    <w:rsid w:val="0DC91AF9"/>
    <w:rsid w:val="0DEB5823"/>
    <w:rsid w:val="0E061B47"/>
    <w:rsid w:val="0E3746E5"/>
    <w:rsid w:val="0E4137B5"/>
    <w:rsid w:val="0E576B35"/>
    <w:rsid w:val="0E883192"/>
    <w:rsid w:val="0EAE1EA5"/>
    <w:rsid w:val="0EC500BE"/>
    <w:rsid w:val="0F0C69BC"/>
    <w:rsid w:val="0F3D2FCE"/>
    <w:rsid w:val="0F5D63CD"/>
    <w:rsid w:val="0F6C03BE"/>
    <w:rsid w:val="0F8C280E"/>
    <w:rsid w:val="0F9C5147"/>
    <w:rsid w:val="0FF3288D"/>
    <w:rsid w:val="1001144E"/>
    <w:rsid w:val="100D0BBD"/>
    <w:rsid w:val="103C2486"/>
    <w:rsid w:val="10537FDE"/>
    <w:rsid w:val="105F163C"/>
    <w:rsid w:val="106F63B8"/>
    <w:rsid w:val="10810921"/>
    <w:rsid w:val="10B14C22"/>
    <w:rsid w:val="10E02E12"/>
    <w:rsid w:val="10ED3781"/>
    <w:rsid w:val="11203B56"/>
    <w:rsid w:val="115A7A4D"/>
    <w:rsid w:val="11647F5F"/>
    <w:rsid w:val="1165155B"/>
    <w:rsid w:val="118E0AC0"/>
    <w:rsid w:val="119360D6"/>
    <w:rsid w:val="11BF336F"/>
    <w:rsid w:val="12255CD4"/>
    <w:rsid w:val="123B7E78"/>
    <w:rsid w:val="12681311"/>
    <w:rsid w:val="1283026C"/>
    <w:rsid w:val="128A7BF7"/>
    <w:rsid w:val="129C0FBA"/>
    <w:rsid w:val="12C43AFC"/>
    <w:rsid w:val="12CF313E"/>
    <w:rsid w:val="12F708E7"/>
    <w:rsid w:val="134231CE"/>
    <w:rsid w:val="13494BFB"/>
    <w:rsid w:val="13AE71F7"/>
    <w:rsid w:val="14166484"/>
    <w:rsid w:val="143C4803"/>
    <w:rsid w:val="146E4BD8"/>
    <w:rsid w:val="1484618D"/>
    <w:rsid w:val="14BF5434"/>
    <w:rsid w:val="14EB6229"/>
    <w:rsid w:val="15267261"/>
    <w:rsid w:val="15472268"/>
    <w:rsid w:val="154F4A0A"/>
    <w:rsid w:val="1557566D"/>
    <w:rsid w:val="15830BD9"/>
    <w:rsid w:val="15AF7257"/>
    <w:rsid w:val="15B34F99"/>
    <w:rsid w:val="15B75AF7"/>
    <w:rsid w:val="15C56A40"/>
    <w:rsid w:val="15CB46A6"/>
    <w:rsid w:val="15CC6A4F"/>
    <w:rsid w:val="15EF3AF7"/>
    <w:rsid w:val="16300FD1"/>
    <w:rsid w:val="163F05DA"/>
    <w:rsid w:val="164026E0"/>
    <w:rsid w:val="164D02A2"/>
    <w:rsid w:val="165D4F05"/>
    <w:rsid w:val="16815D1C"/>
    <w:rsid w:val="16D76A65"/>
    <w:rsid w:val="16EA1425"/>
    <w:rsid w:val="170F4451"/>
    <w:rsid w:val="171A4BA4"/>
    <w:rsid w:val="17215F32"/>
    <w:rsid w:val="1728413E"/>
    <w:rsid w:val="172B6DB1"/>
    <w:rsid w:val="17375756"/>
    <w:rsid w:val="173B3498"/>
    <w:rsid w:val="1745083A"/>
    <w:rsid w:val="174F244F"/>
    <w:rsid w:val="17546308"/>
    <w:rsid w:val="1767603B"/>
    <w:rsid w:val="177644D0"/>
    <w:rsid w:val="177C0994"/>
    <w:rsid w:val="178A7F7B"/>
    <w:rsid w:val="179375F8"/>
    <w:rsid w:val="17AA5713"/>
    <w:rsid w:val="17BD5C5B"/>
    <w:rsid w:val="17E23913"/>
    <w:rsid w:val="17FF34EC"/>
    <w:rsid w:val="180C0990"/>
    <w:rsid w:val="184E0FA9"/>
    <w:rsid w:val="186C142F"/>
    <w:rsid w:val="187F5606"/>
    <w:rsid w:val="18A24E51"/>
    <w:rsid w:val="18E64ACF"/>
    <w:rsid w:val="190D676E"/>
    <w:rsid w:val="192F4936"/>
    <w:rsid w:val="196547FC"/>
    <w:rsid w:val="19A370D2"/>
    <w:rsid w:val="19A5109C"/>
    <w:rsid w:val="19AC22AE"/>
    <w:rsid w:val="19BA0760"/>
    <w:rsid w:val="19C3747C"/>
    <w:rsid w:val="19C86B39"/>
    <w:rsid w:val="19D662F2"/>
    <w:rsid w:val="1A141D7E"/>
    <w:rsid w:val="1A511840"/>
    <w:rsid w:val="1AA90718"/>
    <w:rsid w:val="1AAE3F81"/>
    <w:rsid w:val="1AF8095D"/>
    <w:rsid w:val="1B027E29"/>
    <w:rsid w:val="1B0F20CB"/>
    <w:rsid w:val="1B394F38"/>
    <w:rsid w:val="1B3B0933"/>
    <w:rsid w:val="1B6E5356"/>
    <w:rsid w:val="1B862808"/>
    <w:rsid w:val="1B8973D1"/>
    <w:rsid w:val="1B99757B"/>
    <w:rsid w:val="1BCA0020"/>
    <w:rsid w:val="1BD5051A"/>
    <w:rsid w:val="1C2E0CC8"/>
    <w:rsid w:val="1C3E1334"/>
    <w:rsid w:val="1C5B13F8"/>
    <w:rsid w:val="1C5F19D6"/>
    <w:rsid w:val="1C88068E"/>
    <w:rsid w:val="1CC7757C"/>
    <w:rsid w:val="1CE123EB"/>
    <w:rsid w:val="1CE47A30"/>
    <w:rsid w:val="1D0E6F59"/>
    <w:rsid w:val="1D100F23"/>
    <w:rsid w:val="1D2E7836"/>
    <w:rsid w:val="1D2F1B6F"/>
    <w:rsid w:val="1D34296E"/>
    <w:rsid w:val="1D430810"/>
    <w:rsid w:val="1D554B87"/>
    <w:rsid w:val="1D6160B7"/>
    <w:rsid w:val="1D724E0F"/>
    <w:rsid w:val="1D8D798A"/>
    <w:rsid w:val="1D8F0242"/>
    <w:rsid w:val="1DB418AE"/>
    <w:rsid w:val="1DD96785"/>
    <w:rsid w:val="1DDC0E05"/>
    <w:rsid w:val="1DFF6B1C"/>
    <w:rsid w:val="1E263889"/>
    <w:rsid w:val="1E28404A"/>
    <w:rsid w:val="1E3E73CA"/>
    <w:rsid w:val="1E436F14"/>
    <w:rsid w:val="1E5B7F7C"/>
    <w:rsid w:val="1E651EA7"/>
    <w:rsid w:val="1E65704C"/>
    <w:rsid w:val="1E674B72"/>
    <w:rsid w:val="1E676920"/>
    <w:rsid w:val="1E8E65A3"/>
    <w:rsid w:val="1EBD055F"/>
    <w:rsid w:val="1ED3045A"/>
    <w:rsid w:val="1EDF1F9A"/>
    <w:rsid w:val="1EE753C6"/>
    <w:rsid w:val="1EEC53C1"/>
    <w:rsid w:val="1EF614DB"/>
    <w:rsid w:val="1F037ABF"/>
    <w:rsid w:val="1F0C58DF"/>
    <w:rsid w:val="1F212F73"/>
    <w:rsid w:val="1F3E6060"/>
    <w:rsid w:val="1F8025E1"/>
    <w:rsid w:val="1FBD6F7C"/>
    <w:rsid w:val="1FD50B49"/>
    <w:rsid w:val="1FF64400"/>
    <w:rsid w:val="1FFF1208"/>
    <w:rsid w:val="201F2242"/>
    <w:rsid w:val="203D2686"/>
    <w:rsid w:val="205F3053"/>
    <w:rsid w:val="208F215E"/>
    <w:rsid w:val="20B274B1"/>
    <w:rsid w:val="20B932A5"/>
    <w:rsid w:val="20C77B4A"/>
    <w:rsid w:val="20DE30A5"/>
    <w:rsid w:val="20F766A2"/>
    <w:rsid w:val="211D31AF"/>
    <w:rsid w:val="212705E9"/>
    <w:rsid w:val="212D7572"/>
    <w:rsid w:val="213F231A"/>
    <w:rsid w:val="21470119"/>
    <w:rsid w:val="21687C5B"/>
    <w:rsid w:val="21750403"/>
    <w:rsid w:val="217911FA"/>
    <w:rsid w:val="2184175C"/>
    <w:rsid w:val="218E2416"/>
    <w:rsid w:val="21FA5CFD"/>
    <w:rsid w:val="221413B9"/>
    <w:rsid w:val="22145011"/>
    <w:rsid w:val="22242D54"/>
    <w:rsid w:val="222F59A7"/>
    <w:rsid w:val="223D0F38"/>
    <w:rsid w:val="223F7CBE"/>
    <w:rsid w:val="22464D3A"/>
    <w:rsid w:val="225A62E9"/>
    <w:rsid w:val="227B0906"/>
    <w:rsid w:val="22981523"/>
    <w:rsid w:val="229B6D53"/>
    <w:rsid w:val="22B3118F"/>
    <w:rsid w:val="22C95DFC"/>
    <w:rsid w:val="22F8223D"/>
    <w:rsid w:val="230A4E08"/>
    <w:rsid w:val="230D3D84"/>
    <w:rsid w:val="231921B3"/>
    <w:rsid w:val="23241235"/>
    <w:rsid w:val="233E1DDF"/>
    <w:rsid w:val="236569E5"/>
    <w:rsid w:val="23812232"/>
    <w:rsid w:val="23831BB7"/>
    <w:rsid w:val="23E3562A"/>
    <w:rsid w:val="23FA0237"/>
    <w:rsid w:val="240001E8"/>
    <w:rsid w:val="243F6D24"/>
    <w:rsid w:val="24431BDE"/>
    <w:rsid w:val="24527C03"/>
    <w:rsid w:val="247B4ED4"/>
    <w:rsid w:val="247C4C34"/>
    <w:rsid w:val="247D6E9D"/>
    <w:rsid w:val="24861ACA"/>
    <w:rsid w:val="24AC2947"/>
    <w:rsid w:val="24B86128"/>
    <w:rsid w:val="24FC3F2A"/>
    <w:rsid w:val="25040446"/>
    <w:rsid w:val="2546353E"/>
    <w:rsid w:val="254774AC"/>
    <w:rsid w:val="254F5042"/>
    <w:rsid w:val="255F65A3"/>
    <w:rsid w:val="258626E3"/>
    <w:rsid w:val="25B34B41"/>
    <w:rsid w:val="25BF5294"/>
    <w:rsid w:val="25EB1F7C"/>
    <w:rsid w:val="25F4564B"/>
    <w:rsid w:val="25F969F8"/>
    <w:rsid w:val="25FA62CC"/>
    <w:rsid w:val="26043392"/>
    <w:rsid w:val="26123616"/>
    <w:rsid w:val="26153106"/>
    <w:rsid w:val="2628488E"/>
    <w:rsid w:val="262E41C8"/>
    <w:rsid w:val="2637307C"/>
    <w:rsid w:val="26796F4A"/>
    <w:rsid w:val="26924756"/>
    <w:rsid w:val="26A624FC"/>
    <w:rsid w:val="26AE0482"/>
    <w:rsid w:val="26BE3237"/>
    <w:rsid w:val="26BE554B"/>
    <w:rsid w:val="26CF1507"/>
    <w:rsid w:val="26D63BC5"/>
    <w:rsid w:val="26F96584"/>
    <w:rsid w:val="271B4697"/>
    <w:rsid w:val="2725381D"/>
    <w:rsid w:val="27262C32"/>
    <w:rsid w:val="273861E8"/>
    <w:rsid w:val="273D00F1"/>
    <w:rsid w:val="276B18D7"/>
    <w:rsid w:val="277125BE"/>
    <w:rsid w:val="2778394C"/>
    <w:rsid w:val="27840543"/>
    <w:rsid w:val="278E3170"/>
    <w:rsid w:val="27A1606E"/>
    <w:rsid w:val="27A74232"/>
    <w:rsid w:val="27A95429"/>
    <w:rsid w:val="27BA76BA"/>
    <w:rsid w:val="27C80812"/>
    <w:rsid w:val="27EE2D21"/>
    <w:rsid w:val="280E605F"/>
    <w:rsid w:val="283F446A"/>
    <w:rsid w:val="287C121A"/>
    <w:rsid w:val="288B5901"/>
    <w:rsid w:val="28B9246E"/>
    <w:rsid w:val="28D2512F"/>
    <w:rsid w:val="28D7460F"/>
    <w:rsid w:val="28D9666D"/>
    <w:rsid w:val="29465F48"/>
    <w:rsid w:val="29496766"/>
    <w:rsid w:val="296C128F"/>
    <w:rsid w:val="2973448D"/>
    <w:rsid w:val="29E61671"/>
    <w:rsid w:val="29F86FC6"/>
    <w:rsid w:val="2A3873C3"/>
    <w:rsid w:val="2A3E56F6"/>
    <w:rsid w:val="2A3F69A3"/>
    <w:rsid w:val="2A573CED"/>
    <w:rsid w:val="2A633263"/>
    <w:rsid w:val="2A675350"/>
    <w:rsid w:val="2AEC4567"/>
    <w:rsid w:val="2B230073"/>
    <w:rsid w:val="2B2A5829"/>
    <w:rsid w:val="2B2C7808"/>
    <w:rsid w:val="2B376B27"/>
    <w:rsid w:val="2B485D2C"/>
    <w:rsid w:val="2B4A417A"/>
    <w:rsid w:val="2B7E34FB"/>
    <w:rsid w:val="2B8A7BA0"/>
    <w:rsid w:val="2BB331A5"/>
    <w:rsid w:val="2BDF4B0D"/>
    <w:rsid w:val="2BF67536"/>
    <w:rsid w:val="2C0C6D59"/>
    <w:rsid w:val="2C2C5AB4"/>
    <w:rsid w:val="2C602C01"/>
    <w:rsid w:val="2C730B86"/>
    <w:rsid w:val="2C954FA0"/>
    <w:rsid w:val="2C99503A"/>
    <w:rsid w:val="2CB82A3D"/>
    <w:rsid w:val="2CD06DD8"/>
    <w:rsid w:val="2D102879"/>
    <w:rsid w:val="2D14731D"/>
    <w:rsid w:val="2D3E1194"/>
    <w:rsid w:val="2D4A5D8B"/>
    <w:rsid w:val="2D4B38B1"/>
    <w:rsid w:val="2D71156A"/>
    <w:rsid w:val="2D7B31C8"/>
    <w:rsid w:val="2D9E7E85"/>
    <w:rsid w:val="2DCE2518"/>
    <w:rsid w:val="2DF33D2D"/>
    <w:rsid w:val="2E0B749A"/>
    <w:rsid w:val="2E112C5C"/>
    <w:rsid w:val="2E340801"/>
    <w:rsid w:val="2E633FFB"/>
    <w:rsid w:val="2E8203DE"/>
    <w:rsid w:val="2E9B2390"/>
    <w:rsid w:val="2EB27755"/>
    <w:rsid w:val="2EBE3905"/>
    <w:rsid w:val="2EC863C7"/>
    <w:rsid w:val="2ED27DE6"/>
    <w:rsid w:val="2ED81174"/>
    <w:rsid w:val="2EF04710"/>
    <w:rsid w:val="2EFA19CE"/>
    <w:rsid w:val="2F230642"/>
    <w:rsid w:val="2F2A2D4D"/>
    <w:rsid w:val="2F5E19D9"/>
    <w:rsid w:val="2F654979"/>
    <w:rsid w:val="2F7964B4"/>
    <w:rsid w:val="2FB16D2B"/>
    <w:rsid w:val="2FB7406E"/>
    <w:rsid w:val="2FC751F2"/>
    <w:rsid w:val="2FD75B1D"/>
    <w:rsid w:val="2FDB1D24"/>
    <w:rsid w:val="2FEA6375"/>
    <w:rsid w:val="3010766D"/>
    <w:rsid w:val="3044215D"/>
    <w:rsid w:val="3054538E"/>
    <w:rsid w:val="30753757"/>
    <w:rsid w:val="3095731D"/>
    <w:rsid w:val="30D53BBD"/>
    <w:rsid w:val="30E107B4"/>
    <w:rsid w:val="31131091"/>
    <w:rsid w:val="312476AC"/>
    <w:rsid w:val="313D7346"/>
    <w:rsid w:val="31464ABB"/>
    <w:rsid w:val="319A4CEA"/>
    <w:rsid w:val="31AC7601"/>
    <w:rsid w:val="31B639EF"/>
    <w:rsid w:val="31C477D6"/>
    <w:rsid w:val="322B465C"/>
    <w:rsid w:val="32544FB6"/>
    <w:rsid w:val="32C06869"/>
    <w:rsid w:val="32C57C62"/>
    <w:rsid w:val="32ED471A"/>
    <w:rsid w:val="3331759D"/>
    <w:rsid w:val="33353039"/>
    <w:rsid w:val="33865643"/>
    <w:rsid w:val="33AB0F87"/>
    <w:rsid w:val="33BA52ED"/>
    <w:rsid w:val="33CB0C74"/>
    <w:rsid w:val="33CB12A8"/>
    <w:rsid w:val="33D62126"/>
    <w:rsid w:val="33D77D25"/>
    <w:rsid w:val="33DF6B01"/>
    <w:rsid w:val="34244371"/>
    <w:rsid w:val="346439C6"/>
    <w:rsid w:val="346F257B"/>
    <w:rsid w:val="34AA5361"/>
    <w:rsid w:val="34C74165"/>
    <w:rsid w:val="34CA155F"/>
    <w:rsid w:val="34E15963"/>
    <w:rsid w:val="34EF1615"/>
    <w:rsid w:val="34F315EC"/>
    <w:rsid w:val="35220BDF"/>
    <w:rsid w:val="35727C2D"/>
    <w:rsid w:val="357C0AAC"/>
    <w:rsid w:val="359B0B00"/>
    <w:rsid w:val="35B212FA"/>
    <w:rsid w:val="35B9585C"/>
    <w:rsid w:val="35CD711E"/>
    <w:rsid w:val="35CE47D2"/>
    <w:rsid w:val="35CF536D"/>
    <w:rsid w:val="35D65462"/>
    <w:rsid w:val="3624775F"/>
    <w:rsid w:val="364D41F6"/>
    <w:rsid w:val="36603F29"/>
    <w:rsid w:val="36933369"/>
    <w:rsid w:val="36997E62"/>
    <w:rsid w:val="369A6CA3"/>
    <w:rsid w:val="36A25157"/>
    <w:rsid w:val="36BD576F"/>
    <w:rsid w:val="36CC5A63"/>
    <w:rsid w:val="36D36F20"/>
    <w:rsid w:val="36DB190F"/>
    <w:rsid w:val="36F823B4"/>
    <w:rsid w:val="3701042F"/>
    <w:rsid w:val="370138CA"/>
    <w:rsid w:val="371422F1"/>
    <w:rsid w:val="371D536D"/>
    <w:rsid w:val="37373A04"/>
    <w:rsid w:val="373F7FE3"/>
    <w:rsid w:val="3748158D"/>
    <w:rsid w:val="37A60062"/>
    <w:rsid w:val="37ED0850"/>
    <w:rsid w:val="37F232A7"/>
    <w:rsid w:val="38136029"/>
    <w:rsid w:val="3814321D"/>
    <w:rsid w:val="38601C2C"/>
    <w:rsid w:val="387E2D8D"/>
    <w:rsid w:val="389425B0"/>
    <w:rsid w:val="3894435E"/>
    <w:rsid w:val="389E45F0"/>
    <w:rsid w:val="38C015D8"/>
    <w:rsid w:val="38C62993"/>
    <w:rsid w:val="39095285"/>
    <w:rsid w:val="3913591C"/>
    <w:rsid w:val="39184F8F"/>
    <w:rsid w:val="391B523E"/>
    <w:rsid w:val="392A6A70"/>
    <w:rsid w:val="39595C88"/>
    <w:rsid w:val="39700927"/>
    <w:rsid w:val="398919E9"/>
    <w:rsid w:val="39926182"/>
    <w:rsid w:val="39BF18AF"/>
    <w:rsid w:val="39CE38A0"/>
    <w:rsid w:val="39FA4B0D"/>
    <w:rsid w:val="3A0A5499"/>
    <w:rsid w:val="3A1A0893"/>
    <w:rsid w:val="3A2F1883"/>
    <w:rsid w:val="3A323E2F"/>
    <w:rsid w:val="3A377697"/>
    <w:rsid w:val="3A661D2A"/>
    <w:rsid w:val="3A7E52C6"/>
    <w:rsid w:val="3A815E0A"/>
    <w:rsid w:val="3A85143D"/>
    <w:rsid w:val="3AB14612"/>
    <w:rsid w:val="3AC00B93"/>
    <w:rsid w:val="3AC6527A"/>
    <w:rsid w:val="3AD44EE6"/>
    <w:rsid w:val="3ADB6274"/>
    <w:rsid w:val="3ADC4083"/>
    <w:rsid w:val="3ADF03A2"/>
    <w:rsid w:val="3B2B6D8A"/>
    <w:rsid w:val="3B3A743F"/>
    <w:rsid w:val="3B615D4B"/>
    <w:rsid w:val="3B7A783B"/>
    <w:rsid w:val="3BEE1FD7"/>
    <w:rsid w:val="3BF45CEC"/>
    <w:rsid w:val="3C17152E"/>
    <w:rsid w:val="3C2B4FD9"/>
    <w:rsid w:val="3C466D4E"/>
    <w:rsid w:val="3C525E6D"/>
    <w:rsid w:val="3C683B38"/>
    <w:rsid w:val="3C7E335B"/>
    <w:rsid w:val="3C942B7F"/>
    <w:rsid w:val="3C9568F7"/>
    <w:rsid w:val="3C9B0F57"/>
    <w:rsid w:val="3CAB7EC8"/>
    <w:rsid w:val="3CB03D04"/>
    <w:rsid w:val="3CB46D7D"/>
    <w:rsid w:val="3CB84BBF"/>
    <w:rsid w:val="3CC80A7A"/>
    <w:rsid w:val="3CD247E1"/>
    <w:rsid w:val="3CE36C30"/>
    <w:rsid w:val="3CE60F00"/>
    <w:rsid w:val="3CEC0482"/>
    <w:rsid w:val="3CF17FD1"/>
    <w:rsid w:val="3D0C77D1"/>
    <w:rsid w:val="3D1D0C51"/>
    <w:rsid w:val="3D31435C"/>
    <w:rsid w:val="3D4C3459"/>
    <w:rsid w:val="3D51281E"/>
    <w:rsid w:val="3D6A1B31"/>
    <w:rsid w:val="3D8E75CE"/>
    <w:rsid w:val="3DAE273F"/>
    <w:rsid w:val="3DD504CF"/>
    <w:rsid w:val="3DE84B6C"/>
    <w:rsid w:val="3DFC6C2D"/>
    <w:rsid w:val="3E0D0E3B"/>
    <w:rsid w:val="3E135CE6"/>
    <w:rsid w:val="3E155F41"/>
    <w:rsid w:val="3E475944"/>
    <w:rsid w:val="3E6D3687"/>
    <w:rsid w:val="3E725142"/>
    <w:rsid w:val="3E813523"/>
    <w:rsid w:val="3E8804C1"/>
    <w:rsid w:val="3E9277BD"/>
    <w:rsid w:val="3EC17D95"/>
    <w:rsid w:val="3EDC0ECC"/>
    <w:rsid w:val="3EE6343A"/>
    <w:rsid w:val="3EE871B2"/>
    <w:rsid w:val="3F2F6EBF"/>
    <w:rsid w:val="3F386265"/>
    <w:rsid w:val="3F4A7E6C"/>
    <w:rsid w:val="3F5F279F"/>
    <w:rsid w:val="3F797F77"/>
    <w:rsid w:val="3FC96FE3"/>
    <w:rsid w:val="3FCE0B50"/>
    <w:rsid w:val="3FEA2069"/>
    <w:rsid w:val="3FEF3F72"/>
    <w:rsid w:val="4010076F"/>
    <w:rsid w:val="40414DCB"/>
    <w:rsid w:val="405368AD"/>
    <w:rsid w:val="40662CB8"/>
    <w:rsid w:val="4067023A"/>
    <w:rsid w:val="407960B9"/>
    <w:rsid w:val="408847A8"/>
    <w:rsid w:val="40905D53"/>
    <w:rsid w:val="409B0BC1"/>
    <w:rsid w:val="40AB650D"/>
    <w:rsid w:val="40F26D3D"/>
    <w:rsid w:val="41175B2C"/>
    <w:rsid w:val="41190E7E"/>
    <w:rsid w:val="41232723"/>
    <w:rsid w:val="4126113F"/>
    <w:rsid w:val="412A3AB2"/>
    <w:rsid w:val="413E4F19"/>
    <w:rsid w:val="415E375B"/>
    <w:rsid w:val="416F5968"/>
    <w:rsid w:val="419B49AF"/>
    <w:rsid w:val="41E622FE"/>
    <w:rsid w:val="41E81BDE"/>
    <w:rsid w:val="41EC73B9"/>
    <w:rsid w:val="42254279"/>
    <w:rsid w:val="42312FB9"/>
    <w:rsid w:val="42555758"/>
    <w:rsid w:val="42756FAE"/>
    <w:rsid w:val="428B04D9"/>
    <w:rsid w:val="428C60A6"/>
    <w:rsid w:val="428D6C56"/>
    <w:rsid w:val="42A5126A"/>
    <w:rsid w:val="42CE10AD"/>
    <w:rsid w:val="42D37FA3"/>
    <w:rsid w:val="42D41AA6"/>
    <w:rsid w:val="42D572D3"/>
    <w:rsid w:val="42EB101F"/>
    <w:rsid w:val="42F52F66"/>
    <w:rsid w:val="42FB288E"/>
    <w:rsid w:val="43212B30"/>
    <w:rsid w:val="43486471"/>
    <w:rsid w:val="434D6E78"/>
    <w:rsid w:val="43566DE0"/>
    <w:rsid w:val="435C3C0F"/>
    <w:rsid w:val="436B215F"/>
    <w:rsid w:val="43761230"/>
    <w:rsid w:val="43A713E9"/>
    <w:rsid w:val="43AF5C05"/>
    <w:rsid w:val="43F91ACE"/>
    <w:rsid w:val="44004F9E"/>
    <w:rsid w:val="440E6793"/>
    <w:rsid w:val="44230431"/>
    <w:rsid w:val="4425491B"/>
    <w:rsid w:val="4476700E"/>
    <w:rsid w:val="44896D41"/>
    <w:rsid w:val="448B5B41"/>
    <w:rsid w:val="44BC7116"/>
    <w:rsid w:val="44BD25D7"/>
    <w:rsid w:val="44EB3558"/>
    <w:rsid w:val="44F71EFD"/>
    <w:rsid w:val="45060392"/>
    <w:rsid w:val="450A60D4"/>
    <w:rsid w:val="451B27E5"/>
    <w:rsid w:val="454D4212"/>
    <w:rsid w:val="456926CF"/>
    <w:rsid w:val="4571572A"/>
    <w:rsid w:val="45773005"/>
    <w:rsid w:val="459A44BE"/>
    <w:rsid w:val="459C4852"/>
    <w:rsid w:val="45CC1B37"/>
    <w:rsid w:val="464B166D"/>
    <w:rsid w:val="465D0485"/>
    <w:rsid w:val="466963C3"/>
    <w:rsid w:val="467620AA"/>
    <w:rsid w:val="467D6E06"/>
    <w:rsid w:val="46CC47DE"/>
    <w:rsid w:val="46D02A05"/>
    <w:rsid w:val="46F956FF"/>
    <w:rsid w:val="4700361B"/>
    <w:rsid w:val="476D294A"/>
    <w:rsid w:val="477517FF"/>
    <w:rsid w:val="47835CCA"/>
    <w:rsid w:val="47AB7721"/>
    <w:rsid w:val="47B40579"/>
    <w:rsid w:val="47B95B8F"/>
    <w:rsid w:val="47D97FDF"/>
    <w:rsid w:val="47E72C10"/>
    <w:rsid w:val="47FE7C7B"/>
    <w:rsid w:val="48030BB8"/>
    <w:rsid w:val="482F7BFF"/>
    <w:rsid w:val="483C5694"/>
    <w:rsid w:val="48435459"/>
    <w:rsid w:val="484F3AB2"/>
    <w:rsid w:val="4860600B"/>
    <w:rsid w:val="49125FFB"/>
    <w:rsid w:val="491A265E"/>
    <w:rsid w:val="491C4628"/>
    <w:rsid w:val="49291099"/>
    <w:rsid w:val="492E0F85"/>
    <w:rsid w:val="49374014"/>
    <w:rsid w:val="4953791E"/>
    <w:rsid w:val="49542533"/>
    <w:rsid w:val="497A283B"/>
    <w:rsid w:val="49845D29"/>
    <w:rsid w:val="49A40179"/>
    <w:rsid w:val="49D547D7"/>
    <w:rsid w:val="49F11610"/>
    <w:rsid w:val="49FB423D"/>
    <w:rsid w:val="49FC0FEE"/>
    <w:rsid w:val="49FD2121"/>
    <w:rsid w:val="4A007AA5"/>
    <w:rsid w:val="4A144EDF"/>
    <w:rsid w:val="4A190B67"/>
    <w:rsid w:val="4A2B42BD"/>
    <w:rsid w:val="4A3241BC"/>
    <w:rsid w:val="4A7D314E"/>
    <w:rsid w:val="4A7E62C5"/>
    <w:rsid w:val="4A8B45A5"/>
    <w:rsid w:val="4A9106FD"/>
    <w:rsid w:val="4AC24D5B"/>
    <w:rsid w:val="4B01452B"/>
    <w:rsid w:val="4B0709C0"/>
    <w:rsid w:val="4B1C083A"/>
    <w:rsid w:val="4B236A53"/>
    <w:rsid w:val="4B6E6C91"/>
    <w:rsid w:val="4B751DCD"/>
    <w:rsid w:val="4BDC377E"/>
    <w:rsid w:val="4BF058F8"/>
    <w:rsid w:val="4C017E1B"/>
    <w:rsid w:val="4C1363D0"/>
    <w:rsid w:val="4C261319"/>
    <w:rsid w:val="4C2B6930"/>
    <w:rsid w:val="4C3479F8"/>
    <w:rsid w:val="4C3677AE"/>
    <w:rsid w:val="4C4B0ACB"/>
    <w:rsid w:val="4C52210E"/>
    <w:rsid w:val="4C8D1398"/>
    <w:rsid w:val="4CDB7E70"/>
    <w:rsid w:val="4CDE38DC"/>
    <w:rsid w:val="4CE73F87"/>
    <w:rsid w:val="4CF11927"/>
    <w:rsid w:val="4DB36BDD"/>
    <w:rsid w:val="4DB56DF9"/>
    <w:rsid w:val="4DC94652"/>
    <w:rsid w:val="4DD47E42"/>
    <w:rsid w:val="4DD66399"/>
    <w:rsid w:val="4E3715BC"/>
    <w:rsid w:val="4E3C24E9"/>
    <w:rsid w:val="4E915170"/>
    <w:rsid w:val="4E9B5052"/>
    <w:rsid w:val="4E9E5ADF"/>
    <w:rsid w:val="4EA2737D"/>
    <w:rsid w:val="4EB50C10"/>
    <w:rsid w:val="4EBD5F65"/>
    <w:rsid w:val="4ED92673"/>
    <w:rsid w:val="4EDE7C89"/>
    <w:rsid w:val="4F0612C4"/>
    <w:rsid w:val="4F132029"/>
    <w:rsid w:val="4F2953A8"/>
    <w:rsid w:val="4F2E2832"/>
    <w:rsid w:val="4F381A8F"/>
    <w:rsid w:val="4F557D94"/>
    <w:rsid w:val="4F60450C"/>
    <w:rsid w:val="4F691C49"/>
    <w:rsid w:val="4F6939F7"/>
    <w:rsid w:val="4FE45773"/>
    <w:rsid w:val="4FE9510E"/>
    <w:rsid w:val="4FF02E34"/>
    <w:rsid w:val="500C606C"/>
    <w:rsid w:val="50250266"/>
    <w:rsid w:val="50263CE3"/>
    <w:rsid w:val="50461608"/>
    <w:rsid w:val="504F0E3F"/>
    <w:rsid w:val="505253AB"/>
    <w:rsid w:val="508042D9"/>
    <w:rsid w:val="50A17CA4"/>
    <w:rsid w:val="50AD00DD"/>
    <w:rsid w:val="50AD7D29"/>
    <w:rsid w:val="50BC61A9"/>
    <w:rsid w:val="50CC248F"/>
    <w:rsid w:val="50D15CF8"/>
    <w:rsid w:val="50DC644B"/>
    <w:rsid w:val="50E75A22"/>
    <w:rsid w:val="50E81293"/>
    <w:rsid w:val="512027DB"/>
    <w:rsid w:val="513E350D"/>
    <w:rsid w:val="516A1CA8"/>
    <w:rsid w:val="517A41A6"/>
    <w:rsid w:val="518E5997"/>
    <w:rsid w:val="519434E5"/>
    <w:rsid w:val="51C21AE4"/>
    <w:rsid w:val="51DC4954"/>
    <w:rsid w:val="51E22D94"/>
    <w:rsid w:val="51F11680"/>
    <w:rsid w:val="521F0CE5"/>
    <w:rsid w:val="522C172E"/>
    <w:rsid w:val="522F4A6C"/>
    <w:rsid w:val="524424F9"/>
    <w:rsid w:val="52532C9B"/>
    <w:rsid w:val="5283444E"/>
    <w:rsid w:val="52AA6800"/>
    <w:rsid w:val="52BA10C9"/>
    <w:rsid w:val="52C00A54"/>
    <w:rsid w:val="52C16224"/>
    <w:rsid w:val="52C35B14"/>
    <w:rsid w:val="52CA29FF"/>
    <w:rsid w:val="52DA15FD"/>
    <w:rsid w:val="52EF3383"/>
    <w:rsid w:val="5316330F"/>
    <w:rsid w:val="53163E96"/>
    <w:rsid w:val="53525315"/>
    <w:rsid w:val="5356503E"/>
    <w:rsid w:val="53681F20"/>
    <w:rsid w:val="537072A8"/>
    <w:rsid w:val="53873BB8"/>
    <w:rsid w:val="53C07DB2"/>
    <w:rsid w:val="53E24AE6"/>
    <w:rsid w:val="54371DFE"/>
    <w:rsid w:val="545C3B2A"/>
    <w:rsid w:val="546926EB"/>
    <w:rsid w:val="54931516"/>
    <w:rsid w:val="54F41C89"/>
    <w:rsid w:val="54F46459"/>
    <w:rsid w:val="54FE4BE1"/>
    <w:rsid w:val="550C072E"/>
    <w:rsid w:val="553C6CEB"/>
    <w:rsid w:val="55431D63"/>
    <w:rsid w:val="554C0043"/>
    <w:rsid w:val="55532F8B"/>
    <w:rsid w:val="555B2034"/>
    <w:rsid w:val="556C5FEF"/>
    <w:rsid w:val="55941547"/>
    <w:rsid w:val="559A36FF"/>
    <w:rsid w:val="55A51501"/>
    <w:rsid w:val="55BA1450"/>
    <w:rsid w:val="55E55DA1"/>
    <w:rsid w:val="55EB2205"/>
    <w:rsid w:val="55FC4705"/>
    <w:rsid w:val="560A5808"/>
    <w:rsid w:val="564725B8"/>
    <w:rsid w:val="564B20A8"/>
    <w:rsid w:val="567B088A"/>
    <w:rsid w:val="5689496C"/>
    <w:rsid w:val="56BD3C31"/>
    <w:rsid w:val="56E85B49"/>
    <w:rsid w:val="56E90F5B"/>
    <w:rsid w:val="56FE536D"/>
    <w:rsid w:val="571701DC"/>
    <w:rsid w:val="57174FB2"/>
    <w:rsid w:val="571B2AA2"/>
    <w:rsid w:val="5730129E"/>
    <w:rsid w:val="57342B3C"/>
    <w:rsid w:val="573434A1"/>
    <w:rsid w:val="573C16D0"/>
    <w:rsid w:val="576215A8"/>
    <w:rsid w:val="57686C8A"/>
    <w:rsid w:val="576B22D6"/>
    <w:rsid w:val="57776ECD"/>
    <w:rsid w:val="578D049F"/>
    <w:rsid w:val="57931F59"/>
    <w:rsid w:val="57B35F6D"/>
    <w:rsid w:val="57B462A2"/>
    <w:rsid w:val="57E417E0"/>
    <w:rsid w:val="580E7831"/>
    <w:rsid w:val="581F559B"/>
    <w:rsid w:val="582C7CB7"/>
    <w:rsid w:val="58466FCB"/>
    <w:rsid w:val="58482E44"/>
    <w:rsid w:val="585D4208"/>
    <w:rsid w:val="58634CBB"/>
    <w:rsid w:val="58694BDF"/>
    <w:rsid w:val="58704048"/>
    <w:rsid w:val="58737694"/>
    <w:rsid w:val="589B3CDA"/>
    <w:rsid w:val="589F66DB"/>
    <w:rsid w:val="58FA2E94"/>
    <w:rsid w:val="58FE78A6"/>
    <w:rsid w:val="590E560F"/>
    <w:rsid w:val="591311F4"/>
    <w:rsid w:val="59727A97"/>
    <w:rsid w:val="598B6E78"/>
    <w:rsid w:val="59BD150F"/>
    <w:rsid w:val="59E3160A"/>
    <w:rsid w:val="59E45EB5"/>
    <w:rsid w:val="59F36F78"/>
    <w:rsid w:val="5A0A04CC"/>
    <w:rsid w:val="5A222E87"/>
    <w:rsid w:val="5A5D23AA"/>
    <w:rsid w:val="5A67064A"/>
    <w:rsid w:val="5A7125EE"/>
    <w:rsid w:val="5A9D1E29"/>
    <w:rsid w:val="5AAB580B"/>
    <w:rsid w:val="5AB521E6"/>
    <w:rsid w:val="5AF25EAC"/>
    <w:rsid w:val="5B286E2D"/>
    <w:rsid w:val="5B294982"/>
    <w:rsid w:val="5B303F63"/>
    <w:rsid w:val="5B557525"/>
    <w:rsid w:val="5B622594"/>
    <w:rsid w:val="5B9938B6"/>
    <w:rsid w:val="5B9A46F8"/>
    <w:rsid w:val="5BA84668"/>
    <w:rsid w:val="5BC14BBB"/>
    <w:rsid w:val="5BE018CB"/>
    <w:rsid w:val="5BE82147"/>
    <w:rsid w:val="5C0E15D9"/>
    <w:rsid w:val="5C125416"/>
    <w:rsid w:val="5C6F53A4"/>
    <w:rsid w:val="5C8F6A67"/>
    <w:rsid w:val="5C9E3C9E"/>
    <w:rsid w:val="5CC93D27"/>
    <w:rsid w:val="5CD94A7D"/>
    <w:rsid w:val="5D0134C1"/>
    <w:rsid w:val="5D061443"/>
    <w:rsid w:val="5D083339"/>
    <w:rsid w:val="5D423AD9"/>
    <w:rsid w:val="5D465377"/>
    <w:rsid w:val="5D50269A"/>
    <w:rsid w:val="5D505083"/>
    <w:rsid w:val="5D7C7518"/>
    <w:rsid w:val="5D953743"/>
    <w:rsid w:val="5DB9023F"/>
    <w:rsid w:val="5DC6470A"/>
    <w:rsid w:val="5E196F30"/>
    <w:rsid w:val="5E3552D9"/>
    <w:rsid w:val="5E5341F0"/>
    <w:rsid w:val="5E793C16"/>
    <w:rsid w:val="5E814C0F"/>
    <w:rsid w:val="5EAA7B88"/>
    <w:rsid w:val="5EB01642"/>
    <w:rsid w:val="5EF332DD"/>
    <w:rsid w:val="5EFD0600"/>
    <w:rsid w:val="5F192012"/>
    <w:rsid w:val="5F2F3AC7"/>
    <w:rsid w:val="5F555D46"/>
    <w:rsid w:val="5F7206A6"/>
    <w:rsid w:val="5F766D30"/>
    <w:rsid w:val="5FCD7FD2"/>
    <w:rsid w:val="5FD0361E"/>
    <w:rsid w:val="5FD95D1C"/>
    <w:rsid w:val="5FDE5D3B"/>
    <w:rsid w:val="5FEA46E0"/>
    <w:rsid w:val="5FFE018B"/>
    <w:rsid w:val="600F4147"/>
    <w:rsid w:val="601812AE"/>
    <w:rsid w:val="604C498D"/>
    <w:rsid w:val="604C539B"/>
    <w:rsid w:val="604D4C6F"/>
    <w:rsid w:val="6065020A"/>
    <w:rsid w:val="60700FFD"/>
    <w:rsid w:val="609B00D0"/>
    <w:rsid w:val="60C16F3B"/>
    <w:rsid w:val="60DF7FBD"/>
    <w:rsid w:val="60F65306"/>
    <w:rsid w:val="6106379C"/>
    <w:rsid w:val="612A0AF8"/>
    <w:rsid w:val="617526CF"/>
    <w:rsid w:val="619568CD"/>
    <w:rsid w:val="61A92379"/>
    <w:rsid w:val="61B054B5"/>
    <w:rsid w:val="61C55405"/>
    <w:rsid w:val="61D07906"/>
    <w:rsid w:val="61FD4BCF"/>
    <w:rsid w:val="62257C51"/>
    <w:rsid w:val="623E513D"/>
    <w:rsid w:val="624C33EF"/>
    <w:rsid w:val="62522A10"/>
    <w:rsid w:val="626C5880"/>
    <w:rsid w:val="62A3501A"/>
    <w:rsid w:val="62AE553F"/>
    <w:rsid w:val="62CA07F9"/>
    <w:rsid w:val="62EC4C13"/>
    <w:rsid w:val="631B2E02"/>
    <w:rsid w:val="632B4E2F"/>
    <w:rsid w:val="633436C2"/>
    <w:rsid w:val="63462575"/>
    <w:rsid w:val="63506F50"/>
    <w:rsid w:val="636E7A2E"/>
    <w:rsid w:val="637D18D6"/>
    <w:rsid w:val="639F1C85"/>
    <w:rsid w:val="63AB23D8"/>
    <w:rsid w:val="63B70D7D"/>
    <w:rsid w:val="63DE513A"/>
    <w:rsid w:val="63E328D4"/>
    <w:rsid w:val="64076927"/>
    <w:rsid w:val="64106469"/>
    <w:rsid w:val="642168F6"/>
    <w:rsid w:val="643150EF"/>
    <w:rsid w:val="64430863"/>
    <w:rsid w:val="64943E02"/>
    <w:rsid w:val="649C269E"/>
    <w:rsid w:val="64A50DAF"/>
    <w:rsid w:val="64DD3107"/>
    <w:rsid w:val="64E97686"/>
    <w:rsid w:val="650049A6"/>
    <w:rsid w:val="6502071E"/>
    <w:rsid w:val="65051FBC"/>
    <w:rsid w:val="65143E8E"/>
    <w:rsid w:val="65312DB1"/>
    <w:rsid w:val="654B3E0B"/>
    <w:rsid w:val="65701DAF"/>
    <w:rsid w:val="65734A62"/>
    <w:rsid w:val="65C94D98"/>
    <w:rsid w:val="65E73470"/>
    <w:rsid w:val="65EF6895"/>
    <w:rsid w:val="65F242EE"/>
    <w:rsid w:val="65F57186"/>
    <w:rsid w:val="66081D64"/>
    <w:rsid w:val="66356F3C"/>
    <w:rsid w:val="664F1741"/>
    <w:rsid w:val="668D2E4E"/>
    <w:rsid w:val="66976C44"/>
    <w:rsid w:val="66FE6CC3"/>
    <w:rsid w:val="67224816"/>
    <w:rsid w:val="67235FBE"/>
    <w:rsid w:val="673152EA"/>
    <w:rsid w:val="673B3A73"/>
    <w:rsid w:val="673E3563"/>
    <w:rsid w:val="673F0C0E"/>
    <w:rsid w:val="67420095"/>
    <w:rsid w:val="67697CCC"/>
    <w:rsid w:val="67A755AC"/>
    <w:rsid w:val="67BA446A"/>
    <w:rsid w:val="67BE6D26"/>
    <w:rsid w:val="67C044C4"/>
    <w:rsid w:val="67C93707"/>
    <w:rsid w:val="67DB7004"/>
    <w:rsid w:val="67E857A9"/>
    <w:rsid w:val="68072700"/>
    <w:rsid w:val="68384D1D"/>
    <w:rsid w:val="684923CA"/>
    <w:rsid w:val="68556DB7"/>
    <w:rsid w:val="685748DD"/>
    <w:rsid w:val="687E6A36"/>
    <w:rsid w:val="68DD2EC8"/>
    <w:rsid w:val="68F41FE7"/>
    <w:rsid w:val="692073C4"/>
    <w:rsid w:val="69236EB5"/>
    <w:rsid w:val="6926728F"/>
    <w:rsid w:val="69356E2B"/>
    <w:rsid w:val="69362DAC"/>
    <w:rsid w:val="696D5485"/>
    <w:rsid w:val="69735746"/>
    <w:rsid w:val="69910253"/>
    <w:rsid w:val="69A9560C"/>
    <w:rsid w:val="69AA4EE0"/>
    <w:rsid w:val="69AD2726"/>
    <w:rsid w:val="69C53915"/>
    <w:rsid w:val="69CF1EED"/>
    <w:rsid w:val="69D05529"/>
    <w:rsid w:val="69E629B4"/>
    <w:rsid w:val="69FB056C"/>
    <w:rsid w:val="6A0E1913"/>
    <w:rsid w:val="6A1A3E14"/>
    <w:rsid w:val="6A303F94"/>
    <w:rsid w:val="6A3D3FA6"/>
    <w:rsid w:val="6A8614A9"/>
    <w:rsid w:val="6A9260A0"/>
    <w:rsid w:val="6A942CE9"/>
    <w:rsid w:val="6A955B90"/>
    <w:rsid w:val="6A9C3978"/>
    <w:rsid w:val="6AF503DD"/>
    <w:rsid w:val="6AF873C8"/>
    <w:rsid w:val="6B1000B4"/>
    <w:rsid w:val="6B43739A"/>
    <w:rsid w:val="6B50669B"/>
    <w:rsid w:val="6B7E4876"/>
    <w:rsid w:val="6B8005EE"/>
    <w:rsid w:val="6B80239C"/>
    <w:rsid w:val="6B8430CD"/>
    <w:rsid w:val="6B8725DB"/>
    <w:rsid w:val="6B964637"/>
    <w:rsid w:val="6BBE4C73"/>
    <w:rsid w:val="6BC404DB"/>
    <w:rsid w:val="6BCD756D"/>
    <w:rsid w:val="6BEC358E"/>
    <w:rsid w:val="6C092392"/>
    <w:rsid w:val="6C0F54CE"/>
    <w:rsid w:val="6C127F06"/>
    <w:rsid w:val="6C341B31"/>
    <w:rsid w:val="6C465394"/>
    <w:rsid w:val="6C6256CC"/>
    <w:rsid w:val="6C82094F"/>
    <w:rsid w:val="6C9E6F7E"/>
    <w:rsid w:val="6CB43A23"/>
    <w:rsid w:val="6CB90C75"/>
    <w:rsid w:val="6CBE48F7"/>
    <w:rsid w:val="6CF7043C"/>
    <w:rsid w:val="6CFA1FFE"/>
    <w:rsid w:val="6CFC5A53"/>
    <w:rsid w:val="6D48139B"/>
    <w:rsid w:val="6D4D2752"/>
    <w:rsid w:val="6D6D6950"/>
    <w:rsid w:val="6D920779"/>
    <w:rsid w:val="6DA36D8A"/>
    <w:rsid w:val="6DA87988"/>
    <w:rsid w:val="6DD51EC1"/>
    <w:rsid w:val="6DE05374"/>
    <w:rsid w:val="6E021FD1"/>
    <w:rsid w:val="6E4F0506"/>
    <w:rsid w:val="6E8977BA"/>
    <w:rsid w:val="6E8F15D9"/>
    <w:rsid w:val="6E9220EF"/>
    <w:rsid w:val="6E953C97"/>
    <w:rsid w:val="6E9F0D8B"/>
    <w:rsid w:val="6EA23008"/>
    <w:rsid w:val="6ECA11E3"/>
    <w:rsid w:val="6EDC3D8E"/>
    <w:rsid w:val="6EDF562C"/>
    <w:rsid w:val="6F007327"/>
    <w:rsid w:val="6F077D6E"/>
    <w:rsid w:val="6F116045"/>
    <w:rsid w:val="6F434296"/>
    <w:rsid w:val="6F464419"/>
    <w:rsid w:val="6F5361F2"/>
    <w:rsid w:val="6F6E1395"/>
    <w:rsid w:val="6F814935"/>
    <w:rsid w:val="6F8D5088"/>
    <w:rsid w:val="6F906926"/>
    <w:rsid w:val="6FA32AFD"/>
    <w:rsid w:val="6FBA7BE3"/>
    <w:rsid w:val="6FC54822"/>
    <w:rsid w:val="6FD42CB7"/>
    <w:rsid w:val="6FDD7DBD"/>
    <w:rsid w:val="6FDE5199"/>
    <w:rsid w:val="6FFE7D34"/>
    <w:rsid w:val="702B4B0F"/>
    <w:rsid w:val="70425E72"/>
    <w:rsid w:val="7056191E"/>
    <w:rsid w:val="708332C1"/>
    <w:rsid w:val="708C533F"/>
    <w:rsid w:val="70995B4F"/>
    <w:rsid w:val="70C1323B"/>
    <w:rsid w:val="70CE0366"/>
    <w:rsid w:val="71123A97"/>
    <w:rsid w:val="71167A14"/>
    <w:rsid w:val="711C37A7"/>
    <w:rsid w:val="711D0E2F"/>
    <w:rsid w:val="71290DE0"/>
    <w:rsid w:val="714F4A2B"/>
    <w:rsid w:val="715274D7"/>
    <w:rsid w:val="716751E6"/>
    <w:rsid w:val="71CF4C44"/>
    <w:rsid w:val="71EA67C2"/>
    <w:rsid w:val="71FE04BF"/>
    <w:rsid w:val="72120F22"/>
    <w:rsid w:val="722D66AE"/>
    <w:rsid w:val="7246140B"/>
    <w:rsid w:val="725D3437"/>
    <w:rsid w:val="72693B8A"/>
    <w:rsid w:val="7278201F"/>
    <w:rsid w:val="727D13E4"/>
    <w:rsid w:val="728F7281"/>
    <w:rsid w:val="72930C07"/>
    <w:rsid w:val="729E05F7"/>
    <w:rsid w:val="72DB4A4B"/>
    <w:rsid w:val="72FB1927"/>
    <w:rsid w:val="735859AD"/>
    <w:rsid w:val="737230F7"/>
    <w:rsid w:val="73775F65"/>
    <w:rsid w:val="739C1D3D"/>
    <w:rsid w:val="73A17354"/>
    <w:rsid w:val="73AD7AA7"/>
    <w:rsid w:val="73D239B1"/>
    <w:rsid w:val="73D72D76"/>
    <w:rsid w:val="73F00EDB"/>
    <w:rsid w:val="74031E70"/>
    <w:rsid w:val="74035919"/>
    <w:rsid w:val="740D1C1E"/>
    <w:rsid w:val="74566390"/>
    <w:rsid w:val="74967468"/>
    <w:rsid w:val="74A36100"/>
    <w:rsid w:val="74C35F1C"/>
    <w:rsid w:val="74FD4A5E"/>
    <w:rsid w:val="75087A63"/>
    <w:rsid w:val="7533222E"/>
    <w:rsid w:val="75610B49"/>
    <w:rsid w:val="7561323F"/>
    <w:rsid w:val="75671ED7"/>
    <w:rsid w:val="7577493F"/>
    <w:rsid w:val="757A7E5C"/>
    <w:rsid w:val="75885447"/>
    <w:rsid w:val="75986535"/>
    <w:rsid w:val="75AA6994"/>
    <w:rsid w:val="75BE4EBA"/>
    <w:rsid w:val="76004806"/>
    <w:rsid w:val="760360A4"/>
    <w:rsid w:val="761920DD"/>
    <w:rsid w:val="76252C4D"/>
    <w:rsid w:val="763F1AD3"/>
    <w:rsid w:val="764566BC"/>
    <w:rsid w:val="76683E52"/>
    <w:rsid w:val="766A24B2"/>
    <w:rsid w:val="769D3E02"/>
    <w:rsid w:val="76A07565"/>
    <w:rsid w:val="76BD26F7"/>
    <w:rsid w:val="76D811AB"/>
    <w:rsid w:val="76E00193"/>
    <w:rsid w:val="7709603C"/>
    <w:rsid w:val="771244E7"/>
    <w:rsid w:val="771479EA"/>
    <w:rsid w:val="772A38D2"/>
    <w:rsid w:val="774C75D7"/>
    <w:rsid w:val="775B27D0"/>
    <w:rsid w:val="77626DFA"/>
    <w:rsid w:val="776C5995"/>
    <w:rsid w:val="778833A0"/>
    <w:rsid w:val="77974CF6"/>
    <w:rsid w:val="77D0645A"/>
    <w:rsid w:val="77E05E39"/>
    <w:rsid w:val="77F9150C"/>
    <w:rsid w:val="781A5362"/>
    <w:rsid w:val="782B6736"/>
    <w:rsid w:val="783764D9"/>
    <w:rsid w:val="783F0DAF"/>
    <w:rsid w:val="7858337E"/>
    <w:rsid w:val="786C6182"/>
    <w:rsid w:val="788A03B6"/>
    <w:rsid w:val="78992CEF"/>
    <w:rsid w:val="78BC6AA1"/>
    <w:rsid w:val="78C16034"/>
    <w:rsid w:val="78DD498A"/>
    <w:rsid w:val="79237F98"/>
    <w:rsid w:val="792E7984"/>
    <w:rsid w:val="793E15F9"/>
    <w:rsid w:val="796B468C"/>
    <w:rsid w:val="7973709D"/>
    <w:rsid w:val="797D616D"/>
    <w:rsid w:val="798219D5"/>
    <w:rsid w:val="79863274"/>
    <w:rsid w:val="79892D64"/>
    <w:rsid w:val="798D1378"/>
    <w:rsid w:val="798F00FE"/>
    <w:rsid w:val="79A33E26"/>
    <w:rsid w:val="79A67472"/>
    <w:rsid w:val="79B00633"/>
    <w:rsid w:val="79BC6C95"/>
    <w:rsid w:val="79F44419"/>
    <w:rsid w:val="7A036672"/>
    <w:rsid w:val="7A041C7B"/>
    <w:rsid w:val="7A1748A8"/>
    <w:rsid w:val="7A2A5D7E"/>
    <w:rsid w:val="7A316896"/>
    <w:rsid w:val="7A340040"/>
    <w:rsid w:val="7A36055E"/>
    <w:rsid w:val="7A360F8A"/>
    <w:rsid w:val="7A3A405E"/>
    <w:rsid w:val="7A4E5572"/>
    <w:rsid w:val="7AA159BD"/>
    <w:rsid w:val="7AA339B1"/>
    <w:rsid w:val="7ADE49EA"/>
    <w:rsid w:val="7AE85868"/>
    <w:rsid w:val="7AF4245F"/>
    <w:rsid w:val="7B093415"/>
    <w:rsid w:val="7B095F8D"/>
    <w:rsid w:val="7B315461"/>
    <w:rsid w:val="7B352923"/>
    <w:rsid w:val="7B430CF1"/>
    <w:rsid w:val="7B46413C"/>
    <w:rsid w:val="7B915F00"/>
    <w:rsid w:val="7B9F686F"/>
    <w:rsid w:val="7BD712BD"/>
    <w:rsid w:val="7BDF4EBD"/>
    <w:rsid w:val="7C136915"/>
    <w:rsid w:val="7C4C3032"/>
    <w:rsid w:val="7C572CA5"/>
    <w:rsid w:val="7C75312C"/>
    <w:rsid w:val="7C9F72EF"/>
    <w:rsid w:val="7CB2612E"/>
    <w:rsid w:val="7CB93960"/>
    <w:rsid w:val="7CDD764F"/>
    <w:rsid w:val="7CE87DA1"/>
    <w:rsid w:val="7D175611"/>
    <w:rsid w:val="7D3F20B7"/>
    <w:rsid w:val="7D494CE4"/>
    <w:rsid w:val="7D4E22FA"/>
    <w:rsid w:val="7D690EE2"/>
    <w:rsid w:val="7D7653AD"/>
    <w:rsid w:val="7E141BF3"/>
    <w:rsid w:val="7E391383"/>
    <w:rsid w:val="7E521976"/>
    <w:rsid w:val="7E6F077A"/>
    <w:rsid w:val="7E7D7343"/>
    <w:rsid w:val="7E9C7095"/>
    <w:rsid w:val="7E9E7B50"/>
    <w:rsid w:val="7EAF6879"/>
    <w:rsid w:val="7F0E027B"/>
    <w:rsid w:val="7F346ADA"/>
    <w:rsid w:val="7F402117"/>
    <w:rsid w:val="7F4514DB"/>
    <w:rsid w:val="7F6776A3"/>
    <w:rsid w:val="7F8903C9"/>
    <w:rsid w:val="7FAC3308"/>
    <w:rsid w:val="7FC127C8"/>
    <w:rsid w:val="7FEA3E3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99" w:semiHidden="0" w:name="toc 2"/>
    <w:lsdException w:qFormat="1" w:unhideWhenUsed="0" w:uiPriority="0" w:semiHidden="0" w:name="toc 3"/>
    <w:lsdException w:unhideWhenUsed="0" w:uiPriority="0" w:semiHidden="0" w:name="toc 4"/>
    <w:lsdException w:qFormat="1"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qFormat="1" w:unhideWhenUsed="0" w:uiPriority="0" w:semiHidden="0" w:name="Body Text First Indent"/>
    <w:lsdException w:qFormat="1"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link w:val="49"/>
    <w:qFormat/>
    <w:uiPriority w:val="0"/>
    <w:pPr>
      <w:keepNext/>
      <w:keepLines/>
      <w:spacing w:after="120" w:line="360" w:lineRule="auto"/>
      <w:jc w:val="left"/>
      <w:outlineLvl w:val="0"/>
    </w:pPr>
    <w:rPr>
      <w:kern w:val="44"/>
      <w:sz w:val="28"/>
      <w:szCs w:val="28"/>
    </w:rPr>
  </w:style>
  <w:style w:type="paragraph" w:styleId="4">
    <w:name w:val="heading 2"/>
    <w:basedOn w:val="1"/>
    <w:next w:val="1"/>
    <w:link w:val="77"/>
    <w:qFormat/>
    <w:uiPriority w:val="0"/>
    <w:pPr>
      <w:keepNext/>
      <w:keepLines/>
      <w:spacing w:before="120" w:after="120" w:line="415" w:lineRule="auto"/>
      <w:ind w:left="454"/>
      <w:jc w:val="center"/>
      <w:outlineLvl w:val="1"/>
    </w:pPr>
    <w:rPr>
      <w:rFonts w:ascii="Arial" w:hAnsi="Arial"/>
      <w:b/>
      <w:color w:val="000000"/>
      <w:kern w:val="0"/>
      <w:sz w:val="24"/>
      <w:szCs w:val="24"/>
    </w:rPr>
  </w:style>
  <w:style w:type="paragraph" w:styleId="5">
    <w:name w:val="heading 3"/>
    <w:basedOn w:val="1"/>
    <w:next w:val="1"/>
    <w:link w:val="157"/>
    <w:qFormat/>
    <w:uiPriority w:val="0"/>
    <w:pPr>
      <w:widowControl/>
      <w:spacing w:before="100" w:beforeAutospacing="1" w:after="100" w:afterAutospacing="1"/>
      <w:jc w:val="left"/>
      <w:outlineLvl w:val="2"/>
    </w:pPr>
    <w:rPr>
      <w:rFonts w:ascii="宋体" w:hAnsi="宋体"/>
      <w:kern w:val="0"/>
      <w:sz w:val="27"/>
      <w:szCs w:val="27"/>
    </w:rPr>
  </w:style>
  <w:style w:type="paragraph" w:styleId="6">
    <w:name w:val="heading 4"/>
    <w:basedOn w:val="1"/>
    <w:next w:val="1"/>
    <w:link w:val="70"/>
    <w:qFormat/>
    <w:uiPriority w:val="0"/>
    <w:pPr>
      <w:keepNext/>
      <w:keepLines/>
      <w:spacing w:beforeLines="50" w:afterLines="50" w:line="360" w:lineRule="auto"/>
      <w:ind w:left="284" w:hanging="284"/>
      <w:jc w:val="center"/>
      <w:outlineLvl w:val="3"/>
    </w:pPr>
    <w:rPr>
      <w:rFonts w:ascii="Arial" w:hAnsi="Arial"/>
      <w:color w:val="000000"/>
      <w:sz w:val="24"/>
      <w:szCs w:val="24"/>
    </w:rPr>
  </w:style>
  <w:style w:type="paragraph" w:styleId="7">
    <w:name w:val="heading 5"/>
    <w:basedOn w:val="6"/>
    <w:next w:val="8"/>
    <w:link w:val="71"/>
    <w:qFormat/>
    <w:uiPriority w:val="0"/>
    <w:pPr>
      <w:spacing w:line="240" w:lineRule="exact"/>
      <w:ind w:left="0" w:firstLine="0"/>
      <w:outlineLvl w:val="4"/>
    </w:pPr>
  </w:style>
  <w:style w:type="paragraph" w:styleId="9">
    <w:name w:val="heading 7"/>
    <w:basedOn w:val="1"/>
    <w:next w:val="8"/>
    <w:link w:val="72"/>
    <w:qFormat/>
    <w:uiPriority w:val="0"/>
    <w:pPr>
      <w:keepNext/>
      <w:keepLines/>
      <w:spacing w:line="320" w:lineRule="auto"/>
      <w:outlineLvl w:val="6"/>
    </w:pPr>
    <w:rPr>
      <w:b/>
      <w:sz w:val="24"/>
      <w:szCs w:val="20"/>
    </w:rPr>
  </w:style>
  <w:style w:type="paragraph" w:styleId="10">
    <w:name w:val="heading 8"/>
    <w:basedOn w:val="1"/>
    <w:next w:val="8"/>
    <w:link w:val="73"/>
    <w:qFormat/>
    <w:uiPriority w:val="0"/>
    <w:pPr>
      <w:keepNext/>
      <w:keepLines/>
      <w:spacing w:line="320" w:lineRule="auto"/>
      <w:outlineLvl w:val="7"/>
    </w:pPr>
    <w:rPr>
      <w:rFonts w:ascii="Arial" w:hAnsi="Arial" w:eastAsia="黑体"/>
      <w:sz w:val="24"/>
      <w:szCs w:val="20"/>
    </w:rPr>
  </w:style>
  <w:style w:type="paragraph" w:styleId="11">
    <w:name w:val="heading 9"/>
    <w:basedOn w:val="1"/>
    <w:next w:val="8"/>
    <w:link w:val="74"/>
    <w:qFormat/>
    <w:uiPriority w:val="0"/>
    <w:pPr>
      <w:keepNext/>
      <w:keepLines/>
      <w:spacing w:line="320" w:lineRule="auto"/>
      <w:outlineLvl w:val="8"/>
    </w:pPr>
    <w:rPr>
      <w:rFonts w:ascii="Arial" w:hAnsi="Arial" w:eastAsia="黑体"/>
      <w:szCs w:val="20"/>
    </w:rPr>
  </w:style>
  <w:style w:type="character" w:default="1" w:styleId="35">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ind w:firstLine="420"/>
    </w:pPr>
    <w:rPr>
      <w:szCs w:val="20"/>
    </w:rPr>
  </w:style>
  <w:style w:type="paragraph" w:customStyle="1" w:styleId="8">
    <w:name w:val="Normal Indent1"/>
    <w:basedOn w:val="1"/>
    <w:qFormat/>
    <w:uiPriority w:val="0"/>
    <w:pPr>
      <w:ind w:firstLine="420" w:firstLineChars="200"/>
    </w:pPr>
    <w:rPr>
      <w:sz w:val="30"/>
      <w:szCs w:val="24"/>
    </w:rPr>
  </w:style>
  <w:style w:type="paragraph" w:styleId="12">
    <w:name w:val="annotation text"/>
    <w:basedOn w:val="1"/>
    <w:link w:val="67"/>
    <w:qFormat/>
    <w:uiPriority w:val="0"/>
    <w:pPr>
      <w:spacing w:line="360" w:lineRule="auto"/>
      <w:ind w:firstLine="523" w:firstLineChars="218"/>
      <w:jc w:val="left"/>
    </w:pPr>
    <w:rPr>
      <w:rFonts w:ascii="宋体" w:hAnsi="宋体"/>
      <w:kern w:val="0"/>
      <w:sz w:val="24"/>
      <w:szCs w:val="24"/>
    </w:rPr>
  </w:style>
  <w:style w:type="paragraph" w:styleId="13">
    <w:name w:val="Body Text"/>
    <w:basedOn w:val="1"/>
    <w:next w:val="1"/>
    <w:link w:val="78"/>
    <w:qFormat/>
    <w:uiPriority w:val="0"/>
    <w:pPr>
      <w:spacing w:after="120"/>
    </w:pPr>
    <w:rPr>
      <w:kern w:val="0"/>
      <w:sz w:val="20"/>
      <w:szCs w:val="20"/>
    </w:rPr>
  </w:style>
  <w:style w:type="paragraph" w:styleId="14">
    <w:name w:val="Body Text Indent"/>
    <w:basedOn w:val="1"/>
    <w:link w:val="79"/>
    <w:qFormat/>
    <w:uiPriority w:val="0"/>
    <w:pPr>
      <w:ind w:firstLine="570"/>
    </w:pPr>
    <w:rPr>
      <w:kern w:val="0"/>
      <w:sz w:val="28"/>
      <w:szCs w:val="20"/>
    </w:rPr>
  </w:style>
  <w:style w:type="paragraph" w:styleId="15">
    <w:name w:val="toc 5"/>
    <w:basedOn w:val="1"/>
    <w:next w:val="1"/>
    <w:unhideWhenUsed/>
    <w:qFormat/>
    <w:uiPriority w:val="39"/>
    <w:pPr>
      <w:ind w:left="1680" w:leftChars="800"/>
    </w:pPr>
    <w:rPr>
      <w:szCs w:val="24"/>
    </w:rPr>
  </w:style>
  <w:style w:type="paragraph" w:styleId="16">
    <w:name w:val="toc 3"/>
    <w:basedOn w:val="1"/>
    <w:next w:val="1"/>
    <w:qFormat/>
    <w:uiPriority w:val="0"/>
    <w:pPr>
      <w:snapToGrid w:val="0"/>
      <w:spacing w:line="360" w:lineRule="auto"/>
      <w:ind w:left="400" w:leftChars="400"/>
      <w:jc w:val="left"/>
    </w:pPr>
    <w:rPr>
      <w:sz w:val="24"/>
      <w:szCs w:val="20"/>
    </w:rPr>
  </w:style>
  <w:style w:type="paragraph" w:styleId="17">
    <w:name w:val="Plain Text"/>
    <w:basedOn w:val="1"/>
    <w:link w:val="80"/>
    <w:qFormat/>
    <w:uiPriority w:val="0"/>
    <w:rPr>
      <w:rFonts w:ascii="宋体" w:hAnsi="Courier New"/>
      <w:kern w:val="0"/>
      <w:sz w:val="20"/>
      <w:szCs w:val="20"/>
    </w:rPr>
  </w:style>
  <w:style w:type="paragraph" w:styleId="18">
    <w:name w:val="Date"/>
    <w:basedOn w:val="1"/>
    <w:next w:val="1"/>
    <w:link w:val="156"/>
    <w:qFormat/>
    <w:uiPriority w:val="99"/>
    <w:rPr>
      <w:kern w:val="0"/>
      <w:sz w:val="20"/>
      <w:szCs w:val="20"/>
    </w:rPr>
  </w:style>
  <w:style w:type="paragraph" w:styleId="19">
    <w:name w:val="Body Text Indent 2"/>
    <w:basedOn w:val="1"/>
    <w:link w:val="75"/>
    <w:qFormat/>
    <w:uiPriority w:val="0"/>
    <w:pPr>
      <w:spacing w:line="480" w:lineRule="auto"/>
      <w:ind w:left="420" w:leftChars="200"/>
    </w:pPr>
    <w:rPr>
      <w:sz w:val="30"/>
      <w:szCs w:val="24"/>
    </w:rPr>
  </w:style>
  <w:style w:type="paragraph" w:styleId="20">
    <w:name w:val="Balloon Text"/>
    <w:basedOn w:val="1"/>
    <w:link w:val="69"/>
    <w:qFormat/>
    <w:uiPriority w:val="0"/>
    <w:rPr>
      <w:sz w:val="18"/>
      <w:szCs w:val="18"/>
    </w:rPr>
  </w:style>
  <w:style w:type="paragraph" w:styleId="21">
    <w:name w:val="footer"/>
    <w:basedOn w:val="1"/>
    <w:link w:val="81"/>
    <w:unhideWhenUsed/>
    <w:qFormat/>
    <w:uiPriority w:val="0"/>
    <w:pPr>
      <w:tabs>
        <w:tab w:val="center" w:pos="4153"/>
        <w:tab w:val="right" w:pos="8306"/>
      </w:tabs>
      <w:snapToGrid w:val="0"/>
      <w:jc w:val="left"/>
    </w:pPr>
    <w:rPr>
      <w:rFonts w:ascii="Calibri" w:hAnsi="Calibri"/>
      <w:kern w:val="0"/>
      <w:sz w:val="18"/>
      <w:szCs w:val="18"/>
    </w:rPr>
  </w:style>
  <w:style w:type="paragraph" w:styleId="22">
    <w:name w:val="header"/>
    <w:basedOn w:val="1"/>
    <w:link w:val="82"/>
    <w:unhideWhenUsed/>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paragraph" w:styleId="23">
    <w:name w:val="toc 1"/>
    <w:basedOn w:val="1"/>
    <w:next w:val="1"/>
    <w:qFormat/>
    <w:uiPriority w:val="0"/>
    <w:pPr>
      <w:tabs>
        <w:tab w:val="right" w:leader="dot" w:pos="9060"/>
      </w:tabs>
      <w:adjustRightInd w:val="0"/>
      <w:snapToGrid w:val="0"/>
      <w:spacing w:line="360" w:lineRule="auto"/>
      <w:jc w:val="left"/>
      <w:textAlignment w:val="baseline"/>
    </w:pPr>
    <w:rPr>
      <w:rFonts w:ascii="宋体" w:hAnsi="宋体"/>
      <w:caps/>
      <w:kern w:val="0"/>
      <w:sz w:val="24"/>
      <w:szCs w:val="32"/>
    </w:rPr>
  </w:style>
  <w:style w:type="paragraph" w:styleId="24">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25">
    <w:name w:val="Body Text Indent 3"/>
    <w:basedOn w:val="1"/>
    <w:link w:val="76"/>
    <w:qFormat/>
    <w:uiPriority w:val="0"/>
    <w:pPr>
      <w:ind w:left="420" w:leftChars="200"/>
    </w:pPr>
    <w:rPr>
      <w:sz w:val="16"/>
      <w:szCs w:val="16"/>
    </w:rPr>
  </w:style>
  <w:style w:type="paragraph" w:styleId="26">
    <w:name w:val="toc 2"/>
    <w:basedOn w:val="1"/>
    <w:next w:val="1"/>
    <w:qFormat/>
    <w:uiPriority w:val="99"/>
    <w:pPr>
      <w:tabs>
        <w:tab w:val="right" w:leader="dot" w:pos="9060"/>
      </w:tabs>
      <w:snapToGrid w:val="0"/>
      <w:spacing w:line="360" w:lineRule="auto"/>
      <w:ind w:left="420" w:leftChars="200"/>
      <w:jc w:val="left"/>
    </w:pPr>
    <w:rPr>
      <w:sz w:val="24"/>
      <w:szCs w:val="24"/>
    </w:rPr>
  </w:style>
  <w:style w:type="paragraph" w:styleId="27">
    <w:name w:val="Body Text 2"/>
    <w:basedOn w:val="1"/>
    <w:link w:val="132"/>
    <w:qFormat/>
    <w:uiPriority w:val="0"/>
    <w:rPr>
      <w:rFonts w:ascii="宋体" w:hAnsi="宋体"/>
      <w:kern w:val="0"/>
      <w:sz w:val="20"/>
      <w:szCs w:val="24"/>
      <w:u w:val="single"/>
    </w:rPr>
  </w:style>
  <w:style w:type="paragraph" w:styleId="28">
    <w:name w:val="Normal (Web)"/>
    <w:basedOn w:val="1"/>
    <w:qFormat/>
    <w:uiPriority w:val="0"/>
    <w:pPr>
      <w:spacing w:beforeAutospacing="1" w:afterAutospacing="1"/>
      <w:jc w:val="left"/>
    </w:pPr>
    <w:rPr>
      <w:kern w:val="0"/>
      <w:sz w:val="24"/>
    </w:rPr>
  </w:style>
  <w:style w:type="paragraph" w:styleId="29">
    <w:name w:val="Title"/>
    <w:basedOn w:val="1"/>
    <w:next w:val="1"/>
    <w:qFormat/>
    <w:uiPriority w:val="0"/>
    <w:pPr>
      <w:spacing w:before="120" w:after="60"/>
      <w:jc w:val="center"/>
    </w:pPr>
    <w:rPr>
      <w:rFonts w:ascii="Arial" w:hAnsi="Arial"/>
      <w:b/>
      <w:kern w:val="0"/>
      <w:sz w:val="44"/>
      <w:szCs w:val="20"/>
    </w:rPr>
  </w:style>
  <w:style w:type="paragraph" w:styleId="30">
    <w:name w:val="annotation subject"/>
    <w:basedOn w:val="12"/>
    <w:next w:val="12"/>
    <w:link w:val="68"/>
    <w:qFormat/>
    <w:uiPriority w:val="0"/>
    <w:pPr>
      <w:spacing w:line="240" w:lineRule="auto"/>
      <w:ind w:firstLine="0" w:firstLineChars="0"/>
    </w:pPr>
    <w:rPr>
      <w:rFonts w:ascii="Times New Roman" w:hAnsi="Times New Roman"/>
      <w:b/>
      <w:bCs/>
      <w:kern w:val="2"/>
      <w:sz w:val="21"/>
      <w:szCs w:val="22"/>
    </w:rPr>
  </w:style>
  <w:style w:type="paragraph" w:styleId="31">
    <w:name w:val="Body Text First Indent"/>
    <w:basedOn w:val="13"/>
    <w:link w:val="83"/>
    <w:qFormat/>
    <w:uiPriority w:val="0"/>
    <w:pPr>
      <w:ind w:firstLine="420"/>
    </w:pPr>
  </w:style>
  <w:style w:type="paragraph" w:styleId="32">
    <w:name w:val="Body Text First Indent 2"/>
    <w:basedOn w:val="14"/>
    <w:unhideWhenUsed/>
    <w:qFormat/>
    <w:uiPriority w:val="0"/>
    <w:pPr>
      <w:ind w:firstLine="420" w:firstLineChars="200"/>
    </w:pPr>
    <w:rPr>
      <w:sz w:val="21"/>
    </w:rPr>
  </w:style>
  <w:style w:type="table" w:styleId="34">
    <w:name w:val="Table Grid"/>
    <w:basedOn w:val="3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36">
    <w:name w:val="Strong"/>
    <w:basedOn w:val="35"/>
    <w:qFormat/>
    <w:uiPriority w:val="0"/>
    <w:rPr>
      <w:b/>
    </w:rPr>
  </w:style>
  <w:style w:type="character" w:styleId="37">
    <w:name w:val="page number"/>
    <w:basedOn w:val="35"/>
    <w:qFormat/>
    <w:uiPriority w:val="0"/>
    <w:rPr>
      <w:rFonts w:cs="Times New Roman"/>
    </w:rPr>
  </w:style>
  <w:style w:type="character" w:styleId="38">
    <w:name w:val="Hyperlink"/>
    <w:qFormat/>
    <w:uiPriority w:val="0"/>
    <w:rPr>
      <w:color w:val="0000FF"/>
      <w:u w:val="single"/>
    </w:rPr>
  </w:style>
  <w:style w:type="character" w:styleId="39">
    <w:name w:val="annotation reference"/>
    <w:basedOn w:val="35"/>
    <w:qFormat/>
    <w:uiPriority w:val="0"/>
    <w:rPr>
      <w:sz w:val="21"/>
      <w:szCs w:val="21"/>
    </w:rPr>
  </w:style>
  <w:style w:type="character" w:customStyle="1" w:styleId="40">
    <w:name w:val="font51"/>
    <w:basedOn w:val="35"/>
    <w:qFormat/>
    <w:uiPriority w:val="0"/>
    <w:rPr>
      <w:rFonts w:hint="eastAsia" w:ascii="宋体" w:hAnsi="宋体" w:eastAsia="宋体"/>
      <w:color w:val="000000"/>
      <w:sz w:val="24"/>
      <w:szCs w:val="24"/>
      <w:u w:val="none"/>
    </w:rPr>
  </w:style>
  <w:style w:type="character" w:customStyle="1" w:styleId="41">
    <w:name w:val="font11"/>
    <w:basedOn w:val="35"/>
    <w:qFormat/>
    <w:uiPriority w:val="0"/>
    <w:rPr>
      <w:rFonts w:hint="eastAsia" w:ascii="宋体" w:hAnsi="宋体" w:eastAsia="宋体"/>
      <w:color w:val="000000"/>
      <w:sz w:val="24"/>
      <w:szCs w:val="24"/>
      <w:u w:val="single"/>
    </w:rPr>
  </w:style>
  <w:style w:type="paragraph" w:customStyle="1" w:styleId="42">
    <w:name w:val="正文 New New"/>
    <w:qFormat/>
    <w:uiPriority w:val="0"/>
    <w:pPr>
      <w:widowControl w:val="0"/>
      <w:jc w:val="both"/>
    </w:pPr>
    <w:rPr>
      <w:rFonts w:ascii="Times New Roman" w:hAnsi="Times New Roman" w:eastAsia="楷体_GB2312" w:cs="Times New Roman"/>
      <w:lang w:val="en-US" w:eastAsia="zh-CN" w:bidi="ar-SA"/>
    </w:rPr>
  </w:style>
  <w:style w:type="paragraph" w:customStyle="1" w:styleId="43">
    <w:name w:val="正文 New New New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44">
    <w:name w:val="正文文本缩进 New New"/>
    <w:basedOn w:val="1"/>
    <w:qFormat/>
    <w:uiPriority w:val="0"/>
    <w:pPr>
      <w:spacing w:after="120"/>
      <w:ind w:left="420" w:leftChars="200"/>
    </w:pPr>
    <w:rPr>
      <w:rFonts w:eastAsia="楷体_GB2312"/>
      <w:szCs w:val="20"/>
    </w:rPr>
  </w:style>
  <w:style w:type="paragraph" w:customStyle="1" w:styleId="45">
    <w:name w:val="表头"/>
    <w:basedOn w:val="1"/>
    <w:qFormat/>
    <w:uiPriority w:val="0"/>
    <w:pPr>
      <w:spacing w:line="360" w:lineRule="auto"/>
      <w:jc w:val="center"/>
    </w:pPr>
    <w:rPr>
      <w:rFonts w:ascii="黑体" w:eastAsia="黑体"/>
      <w:kern w:val="0"/>
      <w:sz w:val="24"/>
      <w:szCs w:val="20"/>
    </w:rPr>
  </w:style>
  <w:style w:type="paragraph" w:customStyle="1" w:styleId="46">
    <w:name w:val="正文 New New New New New New New New New New New New New"/>
    <w:qFormat/>
    <w:uiPriority w:val="0"/>
    <w:pPr>
      <w:widowControl w:val="0"/>
      <w:jc w:val="both"/>
    </w:pPr>
    <w:rPr>
      <w:rFonts w:ascii="仿宋_GB2312" w:hAnsi="仿宋_GB2312" w:eastAsia="宋体" w:cs="宋体"/>
      <w:snapToGrid w:val="0"/>
      <w:sz w:val="21"/>
      <w:szCs w:val="32"/>
      <w:lang w:val="en-US" w:eastAsia="zh-CN" w:bidi="ar-SA"/>
    </w:rPr>
  </w:style>
  <w:style w:type="paragraph" w:customStyle="1" w:styleId="47">
    <w:name w:val="文一"/>
    <w:basedOn w:val="1"/>
    <w:qFormat/>
    <w:uiPriority w:val="0"/>
    <w:pPr>
      <w:topLinePunct/>
      <w:adjustRightInd w:val="0"/>
      <w:snapToGrid w:val="0"/>
      <w:spacing w:line="360" w:lineRule="auto"/>
      <w:ind w:firstLine="200" w:firstLineChars="200"/>
    </w:pPr>
    <w:rPr>
      <w:rFonts w:ascii="宋体" w:hAnsi="宋体"/>
      <w:spacing w:val="4"/>
      <w:sz w:val="24"/>
      <w:szCs w:val="24"/>
    </w:rPr>
  </w:style>
  <w:style w:type="paragraph" w:customStyle="1" w:styleId="48">
    <w:name w:val="正题"/>
    <w:basedOn w:val="47"/>
    <w:next w:val="47"/>
    <w:qFormat/>
    <w:uiPriority w:val="0"/>
    <w:pPr>
      <w:ind w:firstLine="0" w:firstLineChars="0"/>
      <w:jc w:val="center"/>
    </w:pPr>
    <w:rPr>
      <w:rFonts w:eastAsia="黑体"/>
      <w:b/>
      <w:sz w:val="36"/>
      <w:szCs w:val="36"/>
    </w:rPr>
  </w:style>
  <w:style w:type="character" w:customStyle="1" w:styleId="49">
    <w:name w:val="标题 1 Char"/>
    <w:link w:val="3"/>
    <w:qFormat/>
    <w:uiPriority w:val="0"/>
    <w:rPr>
      <w:kern w:val="44"/>
      <w:sz w:val="28"/>
      <w:szCs w:val="28"/>
    </w:rPr>
  </w:style>
  <w:style w:type="paragraph" w:customStyle="1" w:styleId="50">
    <w:name w:val="样式 宋体 四号 首行缩进:  2 字符"/>
    <w:basedOn w:val="1"/>
    <w:qFormat/>
    <w:uiPriority w:val="0"/>
    <w:pPr>
      <w:widowControl/>
    </w:pPr>
    <w:rPr>
      <w:rFonts w:cs="宋体"/>
      <w:color w:val="000000"/>
      <w:kern w:val="0"/>
      <w:szCs w:val="20"/>
    </w:rPr>
  </w:style>
  <w:style w:type="paragraph" w:styleId="51">
    <w:name w:val="No Spacing"/>
    <w:basedOn w:val="1"/>
    <w:qFormat/>
    <w:uiPriority w:val="0"/>
    <w:rPr>
      <w:sz w:val="22"/>
      <w:szCs w:val="20"/>
    </w:rPr>
  </w:style>
  <w:style w:type="paragraph" w:customStyle="1" w:styleId="52">
    <w:name w:val="PlainText"/>
    <w:basedOn w:val="1"/>
    <w:qFormat/>
    <w:uiPriority w:val="0"/>
    <w:rPr>
      <w:rFonts w:ascii="宋体" w:hAnsi="Courier New"/>
      <w:kern w:val="0"/>
      <w:sz w:val="20"/>
      <w:szCs w:val="20"/>
    </w:rPr>
  </w:style>
  <w:style w:type="paragraph" w:customStyle="1" w:styleId="53">
    <w:name w:val="章节三"/>
    <w:basedOn w:val="47"/>
    <w:next w:val="1"/>
    <w:qFormat/>
    <w:uiPriority w:val="0"/>
    <w:pPr>
      <w:spacing w:beforeLines="50" w:line="240" w:lineRule="auto"/>
      <w:ind w:firstLine="0" w:firstLineChars="0"/>
      <w:jc w:val="left"/>
      <w:outlineLvl w:val="2"/>
    </w:pPr>
    <w:rPr>
      <w:rFonts w:ascii="黑体" w:eastAsia="黑体"/>
      <w:b/>
    </w:rPr>
  </w:style>
  <w:style w:type="paragraph" w:customStyle="1" w:styleId="54">
    <w:name w:val="封二"/>
    <w:basedOn w:val="47"/>
    <w:next w:val="47"/>
    <w:qFormat/>
    <w:uiPriority w:val="0"/>
    <w:pPr>
      <w:ind w:firstLine="0" w:firstLineChars="0"/>
      <w:jc w:val="center"/>
    </w:pPr>
    <w:rPr>
      <w:rFonts w:eastAsia="黑体"/>
      <w:b/>
      <w:sz w:val="36"/>
      <w:szCs w:val="36"/>
    </w:rPr>
  </w:style>
  <w:style w:type="paragraph" w:customStyle="1" w:styleId="55">
    <w:name w:val="封一"/>
    <w:basedOn w:val="47"/>
    <w:next w:val="47"/>
    <w:qFormat/>
    <w:uiPriority w:val="0"/>
    <w:pPr>
      <w:ind w:firstLine="0" w:firstLineChars="0"/>
      <w:jc w:val="center"/>
    </w:pPr>
    <w:rPr>
      <w:rFonts w:eastAsia="黑体"/>
      <w:b/>
      <w:sz w:val="84"/>
      <w:szCs w:val="84"/>
    </w:rPr>
  </w:style>
  <w:style w:type="paragraph" w:customStyle="1" w:styleId="56">
    <w:name w:val="封四"/>
    <w:basedOn w:val="47"/>
    <w:next w:val="47"/>
    <w:qFormat/>
    <w:uiPriority w:val="0"/>
    <w:pPr>
      <w:jc w:val="left"/>
    </w:pPr>
    <w:rPr>
      <w:sz w:val="30"/>
      <w:szCs w:val="30"/>
    </w:rPr>
  </w:style>
  <w:style w:type="paragraph" w:customStyle="1" w:styleId="57">
    <w:name w:val="正文文本缩进1"/>
    <w:basedOn w:val="1"/>
    <w:qFormat/>
    <w:uiPriority w:val="0"/>
    <w:pPr>
      <w:ind w:firstLine="480"/>
    </w:pPr>
    <w:rPr>
      <w:sz w:val="24"/>
      <w:szCs w:val="20"/>
    </w:rPr>
  </w:style>
  <w:style w:type="paragraph" w:customStyle="1" w:styleId="58">
    <w:name w:val="正文文本缩进 31"/>
    <w:basedOn w:val="1"/>
    <w:qFormat/>
    <w:uiPriority w:val="0"/>
    <w:pPr>
      <w:snapToGrid w:val="0"/>
      <w:spacing w:line="360" w:lineRule="auto"/>
      <w:ind w:left="20" w:firstLine="529" w:firstLineChars="189"/>
    </w:pPr>
    <w:rPr>
      <w:rFonts w:ascii="仿宋_GB2312" w:eastAsia="仿宋_GB2312"/>
      <w:sz w:val="28"/>
    </w:rPr>
  </w:style>
  <w:style w:type="paragraph" w:customStyle="1" w:styleId="59">
    <w:name w:val="正文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60">
    <w:name w:val="正文 New"/>
    <w:qFormat/>
    <w:uiPriority w:val="0"/>
    <w:pPr>
      <w:widowControl w:val="0"/>
      <w:jc w:val="both"/>
    </w:pPr>
    <w:rPr>
      <w:rFonts w:ascii="Times New Roman" w:hAnsi="Times New Roman" w:eastAsia="宋体" w:cs="Times New Roman"/>
      <w:kern w:val="2"/>
      <w:sz w:val="30"/>
      <w:szCs w:val="24"/>
      <w:lang w:val="en-US" w:eastAsia="zh-CN" w:bidi="ar-SA"/>
    </w:rPr>
  </w:style>
  <w:style w:type="paragraph" w:customStyle="1" w:styleId="61">
    <w:name w:val="正文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62">
    <w:name w:val="正文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63">
    <w:name w:val="正文 New New New New New New New New New New New New New New New New New New New"/>
    <w:qFormat/>
    <w:uiPriority w:val="0"/>
    <w:pPr>
      <w:widowControl w:val="0"/>
      <w:jc w:val="both"/>
    </w:pPr>
    <w:rPr>
      <w:rFonts w:ascii="仿宋_GB2312" w:hAnsi="仿宋_GB2312" w:eastAsia="宋体" w:cs="宋体"/>
      <w:snapToGrid w:val="0"/>
      <w:sz w:val="21"/>
      <w:szCs w:val="32"/>
      <w:lang w:val="en-US" w:eastAsia="zh-CN" w:bidi="ar-SA"/>
    </w:rPr>
  </w:style>
  <w:style w:type="paragraph" w:customStyle="1" w:styleId="64">
    <w:name w:val="正文缩进 New"/>
    <w:basedOn w:val="63"/>
    <w:qFormat/>
    <w:uiPriority w:val="0"/>
    <w:pPr>
      <w:ind w:firstLine="420"/>
    </w:pPr>
    <w:rPr>
      <w:rFonts w:ascii="Times New Roman" w:hAnsi="Times New Roman" w:cs="Times New Roman"/>
      <w:snapToGrid/>
      <w:kern w:val="2"/>
      <w:szCs w:val="20"/>
    </w:rPr>
  </w:style>
  <w:style w:type="paragraph" w:customStyle="1" w:styleId="65">
    <w:name w:val="正文文本缩进11"/>
    <w:basedOn w:val="1"/>
    <w:qFormat/>
    <w:uiPriority w:val="0"/>
    <w:pPr>
      <w:ind w:firstLine="480"/>
    </w:pPr>
    <w:rPr>
      <w:sz w:val="24"/>
      <w:szCs w:val="20"/>
    </w:rPr>
  </w:style>
  <w:style w:type="paragraph" w:customStyle="1" w:styleId="66">
    <w:name w:val="正文文本缩进 311"/>
    <w:basedOn w:val="1"/>
    <w:qFormat/>
    <w:uiPriority w:val="0"/>
    <w:pPr>
      <w:snapToGrid w:val="0"/>
      <w:spacing w:line="360" w:lineRule="auto"/>
      <w:ind w:left="20" w:firstLine="529" w:firstLineChars="189"/>
    </w:pPr>
    <w:rPr>
      <w:rFonts w:ascii="仿宋_GB2312" w:eastAsia="仿宋_GB2312"/>
      <w:sz w:val="28"/>
    </w:rPr>
  </w:style>
  <w:style w:type="character" w:customStyle="1" w:styleId="67">
    <w:name w:val="批注文字 Char"/>
    <w:basedOn w:val="35"/>
    <w:link w:val="12"/>
    <w:qFormat/>
    <w:uiPriority w:val="0"/>
    <w:rPr>
      <w:rFonts w:ascii="宋体" w:hAnsi="宋体"/>
      <w:sz w:val="24"/>
      <w:szCs w:val="24"/>
    </w:rPr>
  </w:style>
  <w:style w:type="character" w:customStyle="1" w:styleId="68">
    <w:name w:val="批注主题 Char"/>
    <w:basedOn w:val="67"/>
    <w:link w:val="30"/>
    <w:qFormat/>
    <w:uiPriority w:val="0"/>
    <w:rPr>
      <w:rFonts w:ascii="宋体" w:hAnsi="宋体"/>
      <w:sz w:val="24"/>
      <w:szCs w:val="24"/>
    </w:rPr>
  </w:style>
  <w:style w:type="character" w:customStyle="1" w:styleId="69">
    <w:name w:val="批注框文本 Char"/>
    <w:basedOn w:val="35"/>
    <w:link w:val="20"/>
    <w:qFormat/>
    <w:uiPriority w:val="0"/>
    <w:rPr>
      <w:kern w:val="2"/>
      <w:sz w:val="18"/>
      <w:szCs w:val="18"/>
    </w:rPr>
  </w:style>
  <w:style w:type="character" w:customStyle="1" w:styleId="70">
    <w:name w:val="标题 4 Char"/>
    <w:basedOn w:val="35"/>
    <w:link w:val="6"/>
    <w:qFormat/>
    <w:uiPriority w:val="0"/>
    <w:rPr>
      <w:rFonts w:ascii="Arial" w:hAnsi="Arial"/>
      <w:color w:val="000000"/>
      <w:kern w:val="2"/>
      <w:sz w:val="24"/>
      <w:szCs w:val="24"/>
    </w:rPr>
  </w:style>
  <w:style w:type="character" w:customStyle="1" w:styleId="71">
    <w:name w:val="标题 5 Char"/>
    <w:basedOn w:val="35"/>
    <w:link w:val="7"/>
    <w:qFormat/>
    <w:uiPriority w:val="0"/>
    <w:rPr>
      <w:rFonts w:ascii="Arial" w:hAnsi="Arial"/>
      <w:color w:val="000000"/>
      <w:kern w:val="2"/>
      <w:sz w:val="24"/>
      <w:szCs w:val="24"/>
    </w:rPr>
  </w:style>
  <w:style w:type="character" w:customStyle="1" w:styleId="72">
    <w:name w:val="标题 7 Char"/>
    <w:basedOn w:val="35"/>
    <w:link w:val="9"/>
    <w:qFormat/>
    <w:uiPriority w:val="0"/>
    <w:rPr>
      <w:b/>
      <w:kern w:val="2"/>
      <w:sz w:val="24"/>
    </w:rPr>
  </w:style>
  <w:style w:type="character" w:customStyle="1" w:styleId="73">
    <w:name w:val="标题 8 Char"/>
    <w:basedOn w:val="35"/>
    <w:link w:val="10"/>
    <w:qFormat/>
    <w:uiPriority w:val="0"/>
    <w:rPr>
      <w:rFonts w:ascii="Arial" w:hAnsi="Arial" w:eastAsia="黑体"/>
      <w:kern w:val="2"/>
      <w:sz w:val="24"/>
    </w:rPr>
  </w:style>
  <w:style w:type="character" w:customStyle="1" w:styleId="74">
    <w:name w:val="标题 9 Char"/>
    <w:basedOn w:val="35"/>
    <w:link w:val="11"/>
    <w:qFormat/>
    <w:uiPriority w:val="0"/>
    <w:rPr>
      <w:rFonts w:ascii="Arial" w:hAnsi="Arial" w:eastAsia="黑体"/>
      <w:kern w:val="2"/>
      <w:sz w:val="21"/>
    </w:rPr>
  </w:style>
  <w:style w:type="character" w:customStyle="1" w:styleId="75">
    <w:name w:val="正文文本缩进 2 Char"/>
    <w:basedOn w:val="35"/>
    <w:link w:val="19"/>
    <w:qFormat/>
    <w:uiPriority w:val="0"/>
    <w:rPr>
      <w:kern w:val="2"/>
      <w:sz w:val="30"/>
      <w:szCs w:val="24"/>
    </w:rPr>
  </w:style>
  <w:style w:type="character" w:customStyle="1" w:styleId="76">
    <w:name w:val="正文文本缩进 3 Char"/>
    <w:basedOn w:val="35"/>
    <w:link w:val="25"/>
    <w:qFormat/>
    <w:uiPriority w:val="0"/>
    <w:rPr>
      <w:kern w:val="2"/>
      <w:sz w:val="16"/>
      <w:szCs w:val="16"/>
    </w:rPr>
  </w:style>
  <w:style w:type="character" w:customStyle="1" w:styleId="77">
    <w:name w:val="标题 2 Char"/>
    <w:link w:val="4"/>
    <w:qFormat/>
    <w:uiPriority w:val="0"/>
    <w:rPr>
      <w:rFonts w:ascii="Arial" w:hAnsi="Arial"/>
      <w:b/>
      <w:color w:val="000000"/>
      <w:sz w:val="24"/>
      <w:szCs w:val="24"/>
    </w:rPr>
  </w:style>
  <w:style w:type="character" w:customStyle="1" w:styleId="78">
    <w:name w:val="正文文本 Char"/>
    <w:link w:val="13"/>
    <w:qFormat/>
    <w:uiPriority w:val="0"/>
  </w:style>
  <w:style w:type="character" w:customStyle="1" w:styleId="79">
    <w:name w:val="正文文本缩进 Char"/>
    <w:link w:val="14"/>
    <w:qFormat/>
    <w:uiPriority w:val="0"/>
    <w:rPr>
      <w:sz w:val="28"/>
    </w:rPr>
  </w:style>
  <w:style w:type="character" w:customStyle="1" w:styleId="80">
    <w:name w:val="纯文本 Char"/>
    <w:link w:val="17"/>
    <w:qFormat/>
    <w:uiPriority w:val="0"/>
    <w:rPr>
      <w:rFonts w:ascii="宋体" w:hAnsi="Courier New"/>
    </w:rPr>
  </w:style>
  <w:style w:type="character" w:customStyle="1" w:styleId="81">
    <w:name w:val="页脚 Char"/>
    <w:link w:val="21"/>
    <w:qFormat/>
    <w:uiPriority w:val="0"/>
    <w:rPr>
      <w:rFonts w:ascii="Calibri" w:hAnsi="Calibri"/>
      <w:sz w:val="18"/>
      <w:szCs w:val="18"/>
    </w:rPr>
  </w:style>
  <w:style w:type="character" w:customStyle="1" w:styleId="82">
    <w:name w:val="页眉 Char"/>
    <w:link w:val="22"/>
    <w:qFormat/>
    <w:uiPriority w:val="0"/>
    <w:rPr>
      <w:rFonts w:ascii="Calibri" w:hAnsi="Calibri"/>
      <w:sz w:val="18"/>
      <w:szCs w:val="18"/>
    </w:rPr>
  </w:style>
  <w:style w:type="character" w:customStyle="1" w:styleId="83">
    <w:name w:val="正文首行缩进 Char"/>
    <w:basedOn w:val="78"/>
    <w:link w:val="31"/>
    <w:qFormat/>
    <w:uiPriority w:val="0"/>
  </w:style>
  <w:style w:type="character" w:customStyle="1" w:styleId="84">
    <w:name w:val="标题 3 Char Char"/>
    <w:qFormat/>
    <w:uiPriority w:val="0"/>
    <w:rPr>
      <w:rFonts w:ascii="宋体" w:hAnsi="宋体" w:eastAsia="宋体"/>
      <w:b/>
      <w:bCs/>
      <w:color w:val="FF0000"/>
      <w:kern w:val="2"/>
      <w:sz w:val="24"/>
      <w:szCs w:val="24"/>
      <w:lang w:val="zh-CN" w:eastAsia="zh-CN" w:bidi="ar-SA"/>
    </w:rPr>
  </w:style>
  <w:style w:type="character" w:customStyle="1" w:styleId="85">
    <w:name w:val="页码1"/>
    <w:basedOn w:val="35"/>
    <w:qFormat/>
    <w:uiPriority w:val="0"/>
  </w:style>
  <w:style w:type="paragraph" w:customStyle="1" w:styleId="86">
    <w:name w:val="Char Char Char Char"/>
    <w:basedOn w:val="87"/>
    <w:qFormat/>
    <w:uiPriority w:val="0"/>
    <w:rPr>
      <w:rFonts w:ascii="Tahoma" w:hAnsi="Tahoma"/>
      <w:sz w:val="24"/>
    </w:rPr>
  </w:style>
  <w:style w:type="paragraph" w:customStyle="1" w:styleId="87">
    <w:name w:val="文档结构图1"/>
    <w:basedOn w:val="1"/>
    <w:qFormat/>
    <w:uiPriority w:val="0"/>
    <w:pPr>
      <w:shd w:val="clear" w:color="auto" w:fill="000080"/>
    </w:pPr>
    <w:rPr>
      <w:sz w:val="30"/>
      <w:szCs w:val="24"/>
    </w:rPr>
  </w:style>
  <w:style w:type="paragraph" w:customStyle="1" w:styleId="88">
    <w:name w:val="正文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89">
    <w:name w:val="_Style 46"/>
    <w:qFormat/>
    <w:uiPriority w:val="0"/>
    <w:rPr>
      <w:rFonts w:ascii="Times New Roman" w:hAnsi="Times New Roman" w:eastAsia="宋体" w:cs="Times New Roman"/>
      <w:kern w:val="2"/>
      <w:sz w:val="30"/>
      <w:szCs w:val="24"/>
      <w:lang w:val="en-US" w:eastAsia="zh-CN" w:bidi="ar-SA"/>
    </w:rPr>
  </w:style>
  <w:style w:type="paragraph" w:customStyle="1" w:styleId="90">
    <w:name w:val="页脚 New"/>
    <w:basedOn w:val="91"/>
    <w:qFormat/>
    <w:uiPriority w:val="0"/>
    <w:pPr>
      <w:tabs>
        <w:tab w:val="center" w:pos="4153"/>
        <w:tab w:val="right" w:pos="8306"/>
      </w:tabs>
      <w:snapToGrid w:val="0"/>
      <w:jc w:val="left"/>
    </w:pPr>
    <w:rPr>
      <w:sz w:val="18"/>
    </w:rPr>
  </w:style>
  <w:style w:type="paragraph" w:customStyle="1" w:styleId="91">
    <w:name w:val="正文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92">
    <w:name w:val="正文首行缩进1"/>
    <w:basedOn w:val="13"/>
    <w:qFormat/>
    <w:uiPriority w:val="0"/>
    <w:pPr>
      <w:spacing w:after="0"/>
      <w:ind w:firstLine="420" w:firstLineChars="100"/>
    </w:pPr>
    <w:rPr>
      <w:kern w:val="2"/>
      <w:sz w:val="30"/>
      <w:szCs w:val="24"/>
    </w:rPr>
  </w:style>
  <w:style w:type="paragraph" w:customStyle="1" w:styleId="93">
    <w:name w:val="正文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94">
    <w:name w:val="正文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95">
    <w:name w:val="标题 2 New"/>
    <w:basedOn w:val="63"/>
    <w:next w:val="63"/>
    <w:qFormat/>
    <w:uiPriority w:val="0"/>
    <w:pPr>
      <w:keepNext/>
      <w:keepLines/>
      <w:spacing w:line="416" w:lineRule="auto"/>
      <w:outlineLvl w:val="1"/>
    </w:pPr>
    <w:rPr>
      <w:rFonts w:ascii="Arial" w:hAnsi="Arial" w:eastAsia="仿宋_GB2312"/>
      <w:b/>
      <w:bCs/>
      <w:sz w:val="32"/>
    </w:rPr>
  </w:style>
  <w:style w:type="paragraph" w:customStyle="1" w:styleId="96">
    <w:name w:val="正文文本 New"/>
    <w:basedOn w:val="42"/>
    <w:qFormat/>
    <w:uiPriority w:val="0"/>
    <w:rPr>
      <w:rFonts w:eastAsia="宋体"/>
      <w:kern w:val="2"/>
      <w:sz w:val="30"/>
      <w:szCs w:val="24"/>
    </w:rPr>
  </w:style>
  <w:style w:type="paragraph" w:customStyle="1" w:styleId="97">
    <w:name w:val="页眉 New"/>
    <w:basedOn w:val="91"/>
    <w:qFormat/>
    <w:uiPriority w:val="0"/>
    <w:pPr>
      <w:pBdr>
        <w:bottom w:val="single" w:color="auto" w:sz="6" w:space="1"/>
      </w:pBdr>
      <w:tabs>
        <w:tab w:val="center" w:pos="4153"/>
        <w:tab w:val="right" w:pos="8306"/>
      </w:tabs>
      <w:snapToGrid w:val="0"/>
      <w:jc w:val="center"/>
    </w:pPr>
    <w:rPr>
      <w:sz w:val="18"/>
    </w:rPr>
  </w:style>
  <w:style w:type="paragraph" w:customStyle="1" w:styleId="98">
    <w:name w:val="Char1 Char Char Char Char Char Char1"/>
    <w:basedOn w:val="60"/>
    <w:qFormat/>
    <w:uiPriority w:val="0"/>
  </w:style>
  <w:style w:type="paragraph" w:customStyle="1" w:styleId="99">
    <w:name w:val="正文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00">
    <w:name w:val="正文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01">
    <w:name w:val="正文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2">
    <w:name w:val="正文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3">
    <w:name w:val="Char1 Char Char Char Char Char Char1 Char Char Char"/>
    <w:basedOn w:val="1"/>
    <w:qFormat/>
    <w:uiPriority w:val="0"/>
    <w:rPr>
      <w:sz w:val="30"/>
      <w:szCs w:val="24"/>
    </w:rPr>
  </w:style>
  <w:style w:type="paragraph" w:customStyle="1" w:styleId="104">
    <w:name w:val="普通(网站)1"/>
    <w:basedOn w:val="1"/>
    <w:qFormat/>
    <w:uiPriority w:val="0"/>
    <w:pPr>
      <w:widowControl/>
      <w:spacing w:line="500" w:lineRule="exact"/>
      <w:ind w:firstLine="510"/>
    </w:pPr>
    <w:rPr>
      <w:rFonts w:ascii="仿宋_GB2312" w:hAnsi="宋体" w:eastAsia="仿宋_GB2312"/>
      <w:color w:val="000000"/>
      <w:spacing w:val="-10"/>
      <w:kern w:val="0"/>
      <w:szCs w:val="20"/>
    </w:rPr>
  </w:style>
  <w:style w:type="paragraph" w:customStyle="1" w:styleId="105">
    <w:name w:val="正文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6">
    <w:name w:val="正文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07">
    <w:name w:val="正文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8">
    <w:name w:val="正文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09">
    <w:name w:val="纯文本 New"/>
    <w:basedOn w:val="42"/>
    <w:qFormat/>
    <w:uiPriority w:val="0"/>
    <w:rPr>
      <w:rFonts w:ascii="宋体" w:hAnsi="Courier New" w:eastAsia="宋体"/>
      <w:kern w:val="2"/>
      <w:sz w:val="24"/>
    </w:rPr>
  </w:style>
  <w:style w:type="paragraph" w:customStyle="1" w:styleId="110">
    <w:name w:val="正文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1">
    <w:name w:val="正文首行缩进 New"/>
    <w:basedOn w:val="96"/>
    <w:qFormat/>
    <w:uiPriority w:val="0"/>
    <w:pPr>
      <w:ind w:firstLine="420" w:firstLineChars="100"/>
    </w:pPr>
  </w:style>
  <w:style w:type="paragraph" w:customStyle="1" w:styleId="112">
    <w:name w:val="页眉 New New"/>
    <w:basedOn w:val="108"/>
    <w:qFormat/>
    <w:uiPriority w:val="0"/>
    <w:pPr>
      <w:pBdr>
        <w:bottom w:val="single" w:color="auto" w:sz="6" w:space="1"/>
      </w:pBdr>
      <w:tabs>
        <w:tab w:val="center" w:pos="4153"/>
        <w:tab w:val="right" w:pos="8306"/>
      </w:tabs>
      <w:snapToGrid w:val="0"/>
      <w:jc w:val="center"/>
    </w:pPr>
    <w:rPr>
      <w:sz w:val="18"/>
    </w:rPr>
  </w:style>
  <w:style w:type="paragraph" w:customStyle="1" w:styleId="113">
    <w:name w:val="正文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4">
    <w:name w:val="正文 New New New New New New New New New New New"/>
    <w:qFormat/>
    <w:uiPriority w:val="0"/>
    <w:pPr>
      <w:widowControl w:val="0"/>
      <w:jc w:val="both"/>
    </w:pPr>
    <w:rPr>
      <w:rFonts w:ascii="Times New Roman" w:hAnsi="Times New Roman" w:eastAsia="宋体" w:cs="Times New Roman"/>
      <w:kern w:val="2"/>
      <w:sz w:val="30"/>
      <w:szCs w:val="24"/>
      <w:lang w:val="en-US" w:eastAsia="zh-CN" w:bidi="ar-SA"/>
    </w:rPr>
  </w:style>
  <w:style w:type="paragraph" w:customStyle="1" w:styleId="115">
    <w:name w:val="Char"/>
    <w:basedOn w:val="1"/>
    <w:qFormat/>
    <w:uiPriority w:val="0"/>
    <w:pPr>
      <w:widowControl/>
      <w:spacing w:line="240" w:lineRule="exact"/>
      <w:jc w:val="left"/>
    </w:pPr>
    <w:rPr>
      <w:sz w:val="30"/>
      <w:szCs w:val="24"/>
    </w:rPr>
  </w:style>
  <w:style w:type="paragraph" w:customStyle="1" w:styleId="116">
    <w:name w:val="正文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7">
    <w:name w:val="正文 New New New New New New New New New New New New New New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18">
    <w:name w:val="正文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9">
    <w:name w:val="正文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20">
    <w:name w:val="正文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21">
    <w:name w:val="纯文本1"/>
    <w:basedOn w:val="1"/>
    <w:qFormat/>
    <w:uiPriority w:val="0"/>
    <w:rPr>
      <w:rFonts w:ascii="宋体" w:hAnsi="Courier New"/>
      <w:sz w:val="24"/>
      <w:szCs w:val="20"/>
    </w:rPr>
  </w:style>
  <w:style w:type="paragraph" w:customStyle="1" w:styleId="122">
    <w:name w:val="正文 New New New New New New New New New New New New New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23">
    <w:name w:val="正文 New New New New New New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4">
    <w:name w:val="正文 New New New New New New New New New New New New New New New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25">
    <w:name w:val="正文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26">
    <w:name w:val="页脚 New New"/>
    <w:basedOn w:val="108"/>
    <w:qFormat/>
    <w:uiPriority w:val="0"/>
    <w:pPr>
      <w:tabs>
        <w:tab w:val="center" w:pos="4153"/>
        <w:tab w:val="right" w:pos="8306"/>
      </w:tabs>
      <w:snapToGrid w:val="0"/>
      <w:jc w:val="left"/>
    </w:pPr>
    <w:rPr>
      <w:sz w:val="18"/>
    </w:rPr>
  </w:style>
  <w:style w:type="paragraph" w:customStyle="1" w:styleId="127">
    <w:name w:val="正文文本缩进 21"/>
    <w:basedOn w:val="1"/>
    <w:qFormat/>
    <w:uiPriority w:val="0"/>
    <w:pPr>
      <w:spacing w:line="420" w:lineRule="exact"/>
      <w:ind w:firstLine="480"/>
    </w:pPr>
    <w:rPr>
      <w:b/>
      <w:sz w:val="24"/>
      <w:szCs w:val="20"/>
    </w:rPr>
  </w:style>
  <w:style w:type="paragraph" w:customStyle="1" w:styleId="128">
    <w:name w:val="正文_1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9">
    <w:name w:val="修订1"/>
    <w:hidden/>
    <w:unhideWhenUsed/>
    <w:qFormat/>
    <w:uiPriority w:val="99"/>
    <w:rPr>
      <w:rFonts w:ascii="Times New Roman" w:hAnsi="Times New Roman" w:eastAsia="宋体" w:cs="Times New Roman"/>
      <w:kern w:val="2"/>
      <w:sz w:val="21"/>
      <w:szCs w:val="22"/>
      <w:lang w:val="en-US" w:eastAsia="zh-CN" w:bidi="ar-SA"/>
    </w:rPr>
  </w:style>
  <w:style w:type="paragraph" w:customStyle="1" w:styleId="130">
    <w:name w:val="修订2"/>
    <w:hidden/>
    <w:unhideWhenUsed/>
    <w:qFormat/>
    <w:uiPriority w:val="99"/>
    <w:rPr>
      <w:rFonts w:ascii="Times New Roman" w:hAnsi="Times New Roman" w:eastAsia="宋体" w:cs="Times New Roman"/>
      <w:kern w:val="2"/>
      <w:sz w:val="21"/>
      <w:szCs w:val="22"/>
      <w:lang w:val="en-US" w:eastAsia="zh-CN" w:bidi="ar-SA"/>
    </w:rPr>
  </w:style>
  <w:style w:type="table" w:customStyle="1" w:styleId="131">
    <w:name w:val="网格型1"/>
    <w:basedOn w:val="3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32">
    <w:name w:val="正文文本 2 Char"/>
    <w:link w:val="27"/>
    <w:autoRedefine/>
    <w:qFormat/>
    <w:uiPriority w:val="0"/>
    <w:rPr>
      <w:rFonts w:ascii="宋体" w:hAnsi="宋体"/>
      <w:szCs w:val="24"/>
      <w:u w:val="single"/>
    </w:rPr>
  </w:style>
  <w:style w:type="paragraph" w:customStyle="1" w:styleId="133">
    <w:name w:val="页脚 New New New New New New New New New New New New New New New New New"/>
    <w:basedOn w:val="1"/>
    <w:qFormat/>
    <w:uiPriority w:val="0"/>
    <w:pPr>
      <w:tabs>
        <w:tab w:val="center" w:pos="4153"/>
        <w:tab w:val="right" w:pos="8306"/>
      </w:tabs>
      <w:snapToGrid w:val="0"/>
      <w:jc w:val="left"/>
    </w:pPr>
    <w:rPr>
      <w:sz w:val="18"/>
      <w:szCs w:val="18"/>
    </w:rPr>
  </w:style>
  <w:style w:type="paragraph" w:customStyle="1" w:styleId="134">
    <w:name w:val="页脚 New New New New"/>
    <w:basedOn w:val="1"/>
    <w:qFormat/>
    <w:uiPriority w:val="0"/>
    <w:pPr>
      <w:tabs>
        <w:tab w:val="center" w:pos="4153"/>
        <w:tab w:val="right" w:pos="8306"/>
      </w:tabs>
      <w:snapToGrid w:val="0"/>
      <w:jc w:val="left"/>
    </w:pPr>
    <w:rPr>
      <w:sz w:val="18"/>
      <w:szCs w:val="18"/>
    </w:rPr>
  </w:style>
  <w:style w:type="paragraph" w:customStyle="1" w:styleId="135">
    <w:name w:val="页脚 New New New New New New New New New New New New New New New New New New New New"/>
    <w:basedOn w:val="1"/>
    <w:qFormat/>
    <w:uiPriority w:val="0"/>
    <w:pPr>
      <w:tabs>
        <w:tab w:val="center" w:pos="4153"/>
        <w:tab w:val="right" w:pos="8306"/>
      </w:tabs>
      <w:snapToGrid w:val="0"/>
      <w:jc w:val="left"/>
    </w:pPr>
    <w:rPr>
      <w:sz w:val="18"/>
      <w:szCs w:val="18"/>
    </w:rPr>
  </w:style>
  <w:style w:type="paragraph" w:customStyle="1" w:styleId="136">
    <w:name w:val="页脚 New New New New New New"/>
    <w:basedOn w:val="1"/>
    <w:qFormat/>
    <w:uiPriority w:val="0"/>
    <w:pPr>
      <w:tabs>
        <w:tab w:val="center" w:pos="4153"/>
        <w:tab w:val="right" w:pos="8306"/>
      </w:tabs>
      <w:snapToGrid w:val="0"/>
      <w:jc w:val="left"/>
    </w:pPr>
    <w:rPr>
      <w:sz w:val="18"/>
      <w:szCs w:val="18"/>
    </w:rPr>
  </w:style>
  <w:style w:type="paragraph" w:customStyle="1" w:styleId="137">
    <w:name w:val="页脚 New New New New New New New New New New New New New New New New New New New New New New"/>
    <w:basedOn w:val="1"/>
    <w:qFormat/>
    <w:uiPriority w:val="0"/>
    <w:pPr>
      <w:tabs>
        <w:tab w:val="center" w:pos="4153"/>
        <w:tab w:val="right" w:pos="8306"/>
      </w:tabs>
      <w:snapToGrid w:val="0"/>
      <w:jc w:val="left"/>
    </w:pPr>
    <w:rPr>
      <w:sz w:val="18"/>
      <w:szCs w:val="18"/>
    </w:rPr>
  </w:style>
  <w:style w:type="paragraph" w:customStyle="1" w:styleId="138">
    <w:name w:val="页脚 New New New New New New New New New New New New New New"/>
    <w:basedOn w:val="1"/>
    <w:qFormat/>
    <w:uiPriority w:val="0"/>
    <w:pPr>
      <w:tabs>
        <w:tab w:val="center" w:pos="4153"/>
        <w:tab w:val="right" w:pos="8306"/>
      </w:tabs>
      <w:snapToGrid w:val="0"/>
      <w:jc w:val="left"/>
    </w:pPr>
    <w:rPr>
      <w:sz w:val="18"/>
      <w:szCs w:val="18"/>
    </w:rPr>
  </w:style>
  <w:style w:type="paragraph" w:customStyle="1" w:styleId="139">
    <w:name w:val="Char1 Char Char Char Char Char Char11"/>
    <w:basedOn w:val="60"/>
    <w:qFormat/>
    <w:uiPriority w:val="0"/>
  </w:style>
  <w:style w:type="paragraph" w:customStyle="1" w:styleId="140">
    <w:name w:val="页脚 New New New New New New New New New New New New New New New New New New"/>
    <w:basedOn w:val="1"/>
    <w:qFormat/>
    <w:uiPriority w:val="0"/>
    <w:pPr>
      <w:tabs>
        <w:tab w:val="center" w:pos="4153"/>
        <w:tab w:val="right" w:pos="8306"/>
      </w:tabs>
      <w:snapToGrid w:val="0"/>
      <w:jc w:val="left"/>
    </w:pPr>
    <w:rPr>
      <w:sz w:val="18"/>
      <w:szCs w:val="18"/>
    </w:rPr>
  </w:style>
  <w:style w:type="paragraph" w:customStyle="1" w:styleId="141">
    <w:name w:val="页脚 New New New New New New New New New New New New New New New"/>
    <w:basedOn w:val="1"/>
    <w:qFormat/>
    <w:uiPriority w:val="0"/>
    <w:pPr>
      <w:tabs>
        <w:tab w:val="center" w:pos="4153"/>
        <w:tab w:val="right" w:pos="8306"/>
      </w:tabs>
      <w:snapToGrid w:val="0"/>
      <w:jc w:val="left"/>
    </w:pPr>
    <w:rPr>
      <w:sz w:val="18"/>
      <w:szCs w:val="18"/>
    </w:rPr>
  </w:style>
  <w:style w:type="paragraph" w:customStyle="1" w:styleId="142">
    <w:name w:val="页脚 New New New New New New New New New"/>
    <w:basedOn w:val="1"/>
    <w:qFormat/>
    <w:uiPriority w:val="0"/>
    <w:pPr>
      <w:tabs>
        <w:tab w:val="center" w:pos="4153"/>
        <w:tab w:val="right" w:pos="8306"/>
      </w:tabs>
      <w:snapToGrid w:val="0"/>
      <w:jc w:val="left"/>
    </w:pPr>
    <w:rPr>
      <w:sz w:val="18"/>
      <w:szCs w:val="18"/>
    </w:rPr>
  </w:style>
  <w:style w:type="paragraph" w:customStyle="1" w:styleId="143">
    <w:name w:val="页脚 New New New New New New New New New New New New New New New New New New New New New"/>
    <w:basedOn w:val="1"/>
    <w:qFormat/>
    <w:uiPriority w:val="0"/>
    <w:pPr>
      <w:tabs>
        <w:tab w:val="center" w:pos="4153"/>
        <w:tab w:val="right" w:pos="8306"/>
      </w:tabs>
      <w:snapToGrid w:val="0"/>
      <w:jc w:val="left"/>
    </w:pPr>
    <w:rPr>
      <w:sz w:val="18"/>
      <w:szCs w:val="18"/>
    </w:rPr>
  </w:style>
  <w:style w:type="paragraph" w:customStyle="1" w:styleId="144">
    <w:name w:val="页脚 New New New"/>
    <w:basedOn w:val="1"/>
    <w:qFormat/>
    <w:uiPriority w:val="0"/>
    <w:pPr>
      <w:tabs>
        <w:tab w:val="center" w:pos="4153"/>
        <w:tab w:val="right" w:pos="8306"/>
      </w:tabs>
      <w:snapToGrid w:val="0"/>
      <w:jc w:val="left"/>
    </w:pPr>
    <w:rPr>
      <w:sz w:val="18"/>
      <w:szCs w:val="18"/>
    </w:rPr>
  </w:style>
  <w:style w:type="paragraph" w:customStyle="1" w:styleId="145">
    <w:name w:val="页脚 New New New New New New New New New New New New New New New New"/>
    <w:basedOn w:val="1"/>
    <w:qFormat/>
    <w:uiPriority w:val="0"/>
    <w:pPr>
      <w:tabs>
        <w:tab w:val="center" w:pos="4153"/>
        <w:tab w:val="right" w:pos="8306"/>
      </w:tabs>
      <w:snapToGrid w:val="0"/>
      <w:jc w:val="left"/>
    </w:pPr>
    <w:rPr>
      <w:sz w:val="18"/>
      <w:szCs w:val="18"/>
    </w:rPr>
  </w:style>
  <w:style w:type="paragraph" w:customStyle="1" w:styleId="146">
    <w:name w:val="页脚 New New New New New"/>
    <w:basedOn w:val="1"/>
    <w:qFormat/>
    <w:uiPriority w:val="0"/>
    <w:pPr>
      <w:tabs>
        <w:tab w:val="center" w:pos="4153"/>
        <w:tab w:val="right" w:pos="8306"/>
      </w:tabs>
      <w:snapToGrid w:val="0"/>
      <w:jc w:val="left"/>
    </w:pPr>
    <w:rPr>
      <w:sz w:val="18"/>
      <w:szCs w:val="18"/>
    </w:rPr>
  </w:style>
  <w:style w:type="paragraph" w:customStyle="1" w:styleId="147">
    <w:name w:val="页脚 New New New New New New New New New New New"/>
    <w:basedOn w:val="1"/>
    <w:qFormat/>
    <w:uiPriority w:val="0"/>
    <w:pPr>
      <w:tabs>
        <w:tab w:val="center" w:pos="4153"/>
        <w:tab w:val="right" w:pos="8306"/>
      </w:tabs>
      <w:snapToGrid w:val="0"/>
      <w:jc w:val="left"/>
    </w:pPr>
    <w:rPr>
      <w:sz w:val="18"/>
      <w:szCs w:val="18"/>
    </w:rPr>
  </w:style>
  <w:style w:type="paragraph" w:customStyle="1" w:styleId="148">
    <w:name w:val="页脚 New New New New New New New New New New New New New New New New New New New"/>
    <w:basedOn w:val="1"/>
    <w:qFormat/>
    <w:uiPriority w:val="0"/>
    <w:pPr>
      <w:tabs>
        <w:tab w:val="center" w:pos="4153"/>
        <w:tab w:val="right" w:pos="8306"/>
      </w:tabs>
      <w:snapToGrid w:val="0"/>
      <w:jc w:val="left"/>
    </w:pPr>
    <w:rPr>
      <w:sz w:val="18"/>
      <w:szCs w:val="18"/>
    </w:rPr>
  </w:style>
  <w:style w:type="paragraph" w:customStyle="1" w:styleId="149">
    <w:name w:val="页脚 New New New New New New New New New New"/>
    <w:basedOn w:val="1"/>
    <w:qFormat/>
    <w:uiPriority w:val="0"/>
    <w:pPr>
      <w:tabs>
        <w:tab w:val="center" w:pos="4153"/>
        <w:tab w:val="right" w:pos="8306"/>
      </w:tabs>
      <w:snapToGrid w:val="0"/>
      <w:jc w:val="left"/>
    </w:pPr>
    <w:rPr>
      <w:sz w:val="18"/>
      <w:szCs w:val="18"/>
    </w:rPr>
  </w:style>
  <w:style w:type="paragraph" w:customStyle="1" w:styleId="150">
    <w:name w:val="页脚 New New New New New New New New New New New New"/>
    <w:basedOn w:val="1"/>
    <w:qFormat/>
    <w:uiPriority w:val="0"/>
    <w:pPr>
      <w:tabs>
        <w:tab w:val="center" w:pos="4153"/>
        <w:tab w:val="right" w:pos="8306"/>
      </w:tabs>
      <w:snapToGrid w:val="0"/>
      <w:jc w:val="left"/>
    </w:pPr>
    <w:rPr>
      <w:sz w:val="18"/>
      <w:szCs w:val="18"/>
    </w:rPr>
  </w:style>
  <w:style w:type="paragraph" w:customStyle="1" w:styleId="151">
    <w:name w:val="页脚 New New New New New New New New"/>
    <w:basedOn w:val="1"/>
    <w:qFormat/>
    <w:uiPriority w:val="0"/>
    <w:pPr>
      <w:tabs>
        <w:tab w:val="center" w:pos="4153"/>
        <w:tab w:val="right" w:pos="8306"/>
      </w:tabs>
      <w:snapToGrid w:val="0"/>
      <w:jc w:val="left"/>
    </w:pPr>
    <w:rPr>
      <w:sz w:val="18"/>
      <w:szCs w:val="18"/>
    </w:rPr>
  </w:style>
  <w:style w:type="paragraph" w:customStyle="1" w:styleId="152">
    <w:name w:val="Char1"/>
    <w:basedOn w:val="1"/>
    <w:qFormat/>
    <w:uiPriority w:val="0"/>
    <w:pPr>
      <w:widowControl/>
      <w:spacing w:line="240" w:lineRule="exact"/>
      <w:jc w:val="left"/>
    </w:pPr>
    <w:rPr>
      <w:rFonts w:eastAsia="仿宋_GB2312"/>
      <w:sz w:val="32"/>
      <w:szCs w:val="24"/>
    </w:rPr>
  </w:style>
  <w:style w:type="paragraph" w:customStyle="1" w:styleId="153">
    <w:name w:val="页脚 New New New New New New New"/>
    <w:basedOn w:val="1"/>
    <w:qFormat/>
    <w:uiPriority w:val="0"/>
    <w:pPr>
      <w:tabs>
        <w:tab w:val="center" w:pos="4153"/>
        <w:tab w:val="right" w:pos="8306"/>
      </w:tabs>
      <w:snapToGrid w:val="0"/>
      <w:jc w:val="left"/>
    </w:pPr>
    <w:rPr>
      <w:sz w:val="18"/>
      <w:szCs w:val="18"/>
    </w:rPr>
  </w:style>
  <w:style w:type="paragraph" w:customStyle="1" w:styleId="154">
    <w:name w:val="_Style 113"/>
    <w:qFormat/>
    <w:uiPriority w:val="0"/>
    <w:rPr>
      <w:rFonts w:ascii="Times New Roman" w:hAnsi="Times New Roman" w:eastAsia="宋体" w:cs="Times New Roman"/>
      <w:kern w:val="2"/>
      <w:sz w:val="30"/>
      <w:szCs w:val="24"/>
      <w:lang w:val="en-US" w:eastAsia="zh-CN" w:bidi="ar-SA"/>
    </w:rPr>
  </w:style>
  <w:style w:type="paragraph" w:customStyle="1" w:styleId="155">
    <w:name w:val="页脚 New New New New New New New New New New New New New"/>
    <w:basedOn w:val="1"/>
    <w:qFormat/>
    <w:uiPriority w:val="0"/>
    <w:pPr>
      <w:tabs>
        <w:tab w:val="center" w:pos="4153"/>
        <w:tab w:val="right" w:pos="8306"/>
      </w:tabs>
      <w:snapToGrid w:val="0"/>
      <w:jc w:val="left"/>
    </w:pPr>
    <w:rPr>
      <w:sz w:val="18"/>
      <w:szCs w:val="18"/>
    </w:rPr>
  </w:style>
  <w:style w:type="character" w:customStyle="1" w:styleId="156">
    <w:name w:val="日期 Char"/>
    <w:basedOn w:val="35"/>
    <w:link w:val="18"/>
    <w:qFormat/>
    <w:uiPriority w:val="0"/>
    <w:rPr>
      <w:kern w:val="2"/>
      <w:sz w:val="30"/>
      <w:szCs w:val="24"/>
    </w:rPr>
  </w:style>
  <w:style w:type="character" w:customStyle="1" w:styleId="157">
    <w:name w:val="标题 3 Char"/>
    <w:basedOn w:val="35"/>
    <w:link w:val="5"/>
    <w:qFormat/>
    <w:uiPriority w:val="0"/>
    <w:rPr>
      <w:b/>
      <w:bCs/>
      <w:kern w:val="2"/>
      <w:sz w:val="32"/>
      <w:szCs w:val="32"/>
    </w:rPr>
  </w:style>
  <w:style w:type="table" w:customStyle="1" w:styleId="158">
    <w:name w:val="网格型2"/>
    <w:basedOn w:val="3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59">
    <w:name w:val="网格型3"/>
    <w:basedOn w:val="3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60">
    <w:name w:val="font41"/>
    <w:basedOn w:val="35"/>
    <w:qFormat/>
    <w:uiPriority w:val="0"/>
    <w:rPr>
      <w:rFonts w:hint="eastAsia" w:ascii="宋体" w:hAnsi="宋体" w:eastAsia="宋体" w:cs="宋体"/>
      <w:color w:val="000000"/>
      <w:sz w:val="36"/>
      <w:szCs w:val="36"/>
      <w:u w:val="none"/>
    </w:rPr>
  </w:style>
  <w:style w:type="paragraph" w:customStyle="1" w:styleId="161">
    <w:name w:val="样式 宋体 行距: 1.5 倍行距"/>
    <w:basedOn w:val="1"/>
    <w:autoRedefine/>
    <w:qFormat/>
    <w:uiPriority w:val="99"/>
    <w:pPr>
      <w:spacing w:line="360" w:lineRule="auto"/>
    </w:pPr>
    <w:rPr>
      <w:bCs/>
      <w:sz w:val="24"/>
    </w:rPr>
  </w:style>
  <w:style w:type="paragraph" w:customStyle="1" w:styleId="162">
    <w:name w:val="null3"/>
    <w:qFormat/>
    <w:uiPriority w:val="0"/>
    <w:rPr>
      <w:rFonts w:hint="eastAsia" w:ascii="Calibri" w:hAnsi="Calibri" w:eastAsia="宋体" w:cs="Times New Roman"/>
      <w:lang w:val="en-US" w:eastAsia="zh-Hans"/>
    </w:rPr>
  </w:style>
  <w:style w:type="paragraph" w:customStyle="1" w:styleId="163">
    <w:name w:val="_Style 3"/>
    <w:basedOn w:val="1"/>
    <w:qFormat/>
    <w:uiPriority w:val="0"/>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8.xml"/><Relationship Id="rId14" Type="http://schemas.openxmlformats.org/officeDocument/2006/relationships/header" Target="header5.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103</Pages>
  <Words>26731</Words>
  <Characters>27975</Characters>
  <Lines>973</Lines>
  <Paragraphs>274</Paragraphs>
  <TotalTime>19</TotalTime>
  <ScaleCrop>false</ScaleCrop>
  <LinksUpToDate>false</LinksUpToDate>
  <CharactersWithSpaces>29391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2025-06-16T06:27:00Z</dcterms:created>
  <dc:creator>Administrator</dc:creator>
  <cp:lastModifiedBy>A</cp:lastModifiedBy>
  <cp:lastPrinted>2025-10-20T09:07:00Z</cp:lastPrinted>
  <dcterms:modified xsi:type="dcterms:W3CDTF">2025-11-24T10:50:46Z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AC6AEB9EAE8F4262B0EBA1CDB3ABFCDC_13</vt:lpwstr>
  </property>
  <property fmtid="{D5CDD505-2E9C-101B-9397-08002B2CF9AE}" pid="4" name="KSOTemplateDocerSaveRecord">
    <vt:lpwstr>eyJoZGlkIjoiNWY0OGY5ZGQwYjUxZTA5ODlmMDRmODE4OGFlMzA4OWYiLCJ1c2VySWQiOiI2MjE4NzkyNDYifQ==</vt:lpwstr>
  </property>
</Properties>
</file>