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86C580">
      <w:pPr>
        <w:spacing w:line="300" w:lineRule="auto"/>
        <w:jc w:val="center"/>
        <w:rPr>
          <w:rFonts w:ascii="宋体" w:hAnsi="宋体" w:cs="宋体"/>
          <w:b/>
          <w:sz w:val="52"/>
          <w:highlight w:val="none"/>
        </w:rPr>
      </w:pPr>
      <w:bookmarkStart w:id="0" w:name="_Toc154921241"/>
      <w:bookmarkStart w:id="1" w:name="_Toc154922225"/>
    </w:p>
    <w:p w14:paraId="58595B86">
      <w:pPr>
        <w:spacing w:line="300" w:lineRule="auto"/>
        <w:jc w:val="center"/>
        <w:rPr>
          <w:rFonts w:ascii="宋体" w:hAnsi="宋体" w:cs="宋体"/>
          <w:b/>
          <w:sz w:val="52"/>
          <w:highlight w:val="none"/>
        </w:rPr>
      </w:pPr>
      <w:r>
        <w:rPr>
          <w:rFonts w:hint="eastAsia" w:ascii="宋体" w:hAnsi="宋体" w:cs="宋体"/>
          <w:b/>
          <w:sz w:val="52"/>
          <w:highlight w:val="none"/>
          <w:lang w:val="en-US" w:eastAsia="zh-CN"/>
        </w:rPr>
        <w:t>半导体多芯片堆叠大尺寸封装基板产品制造项目厂房建设项目</w:t>
      </w:r>
      <w:r>
        <w:rPr>
          <w:rFonts w:hint="eastAsia" w:ascii="宋体" w:hAnsi="宋体" w:cs="宋体"/>
          <w:b/>
          <w:sz w:val="52"/>
          <w:highlight w:val="none"/>
        </w:rPr>
        <w:t>施工监理</w:t>
      </w:r>
    </w:p>
    <w:p w14:paraId="2C4CF0D4">
      <w:pPr>
        <w:spacing w:line="360" w:lineRule="auto"/>
        <w:rPr>
          <w:rFonts w:ascii="宋体" w:hAnsi="宋体"/>
          <w:highlight w:val="none"/>
        </w:rPr>
      </w:pPr>
    </w:p>
    <w:p w14:paraId="23C46171">
      <w:pPr>
        <w:spacing w:line="360" w:lineRule="auto"/>
        <w:jc w:val="right"/>
        <w:rPr>
          <w:rFonts w:ascii="宋体" w:hAnsi="宋体"/>
          <w:highlight w:val="none"/>
        </w:rPr>
      </w:pPr>
    </w:p>
    <w:p w14:paraId="566F629E">
      <w:pPr>
        <w:spacing w:line="360" w:lineRule="auto"/>
        <w:rPr>
          <w:rFonts w:ascii="宋体" w:hAnsi="宋体"/>
          <w:sz w:val="28"/>
          <w:szCs w:val="28"/>
          <w:highlight w:val="none"/>
        </w:rPr>
      </w:pPr>
    </w:p>
    <w:p w14:paraId="434F9FA9">
      <w:pPr>
        <w:spacing w:line="360" w:lineRule="auto"/>
        <w:rPr>
          <w:rFonts w:ascii="宋体" w:hAnsi="宋体"/>
          <w:sz w:val="28"/>
          <w:highlight w:val="none"/>
        </w:rPr>
      </w:pPr>
    </w:p>
    <w:p w14:paraId="1BC10635">
      <w:pPr>
        <w:spacing w:line="300" w:lineRule="auto"/>
        <w:jc w:val="center"/>
        <w:rPr>
          <w:rFonts w:ascii="宋体" w:hAnsi="宋体" w:cs="宋体"/>
          <w:b/>
          <w:spacing w:val="26"/>
          <w:sz w:val="110"/>
          <w:highlight w:val="none"/>
        </w:rPr>
      </w:pPr>
      <w:r>
        <w:rPr>
          <w:rFonts w:hint="eastAsia" w:ascii="宋体" w:hAnsi="宋体" w:cs="宋体"/>
          <w:b/>
          <w:spacing w:val="26"/>
          <w:sz w:val="110"/>
          <w:highlight w:val="none"/>
        </w:rPr>
        <w:t>招标文件</w:t>
      </w:r>
    </w:p>
    <w:p w14:paraId="1CB24857">
      <w:pPr>
        <w:spacing w:line="360" w:lineRule="auto"/>
        <w:rPr>
          <w:rFonts w:ascii="宋体" w:hAnsi="宋体"/>
          <w:highlight w:val="none"/>
        </w:rPr>
      </w:pPr>
    </w:p>
    <w:p w14:paraId="742D8C1E">
      <w:pPr>
        <w:spacing w:line="360" w:lineRule="auto"/>
        <w:rPr>
          <w:rFonts w:ascii="宋体" w:hAnsi="宋体"/>
          <w:highlight w:val="none"/>
        </w:rPr>
      </w:pPr>
    </w:p>
    <w:p w14:paraId="6F14905E">
      <w:pPr>
        <w:spacing w:line="360" w:lineRule="auto"/>
        <w:rPr>
          <w:rFonts w:ascii="宋体" w:hAnsi="宋体"/>
          <w:highlight w:val="none"/>
        </w:rPr>
      </w:pPr>
    </w:p>
    <w:p w14:paraId="23C5C5DD">
      <w:pPr>
        <w:spacing w:line="360" w:lineRule="auto"/>
        <w:rPr>
          <w:rFonts w:ascii="宋体" w:hAnsi="宋体"/>
          <w:highlight w:val="none"/>
        </w:rPr>
      </w:pPr>
    </w:p>
    <w:p w14:paraId="1948B5A5">
      <w:pPr>
        <w:spacing w:line="360" w:lineRule="auto"/>
        <w:rPr>
          <w:rFonts w:ascii="宋体" w:hAnsi="宋体"/>
          <w:highlight w:val="none"/>
        </w:rPr>
      </w:pPr>
    </w:p>
    <w:p w14:paraId="5D972B32">
      <w:pPr>
        <w:spacing w:line="360" w:lineRule="auto"/>
        <w:rPr>
          <w:rFonts w:ascii="宋体" w:hAnsi="宋体"/>
          <w:highlight w:val="none"/>
        </w:rPr>
      </w:pPr>
    </w:p>
    <w:p w14:paraId="59FCB307">
      <w:pPr>
        <w:spacing w:line="360" w:lineRule="auto"/>
        <w:rPr>
          <w:rFonts w:ascii="宋体" w:hAnsi="宋体"/>
          <w:highlight w:val="none"/>
        </w:rPr>
      </w:pPr>
    </w:p>
    <w:p w14:paraId="09E4FB9A">
      <w:pPr>
        <w:spacing w:line="360" w:lineRule="auto"/>
        <w:ind w:firstLine="945"/>
        <w:rPr>
          <w:rFonts w:ascii="宋体" w:hAnsi="宋体" w:cs="宋体"/>
          <w:sz w:val="30"/>
          <w:highlight w:val="none"/>
        </w:rPr>
      </w:pPr>
    </w:p>
    <w:p w14:paraId="7593FB2D">
      <w:pPr>
        <w:spacing w:line="360" w:lineRule="auto"/>
        <w:ind w:firstLine="945"/>
        <w:rPr>
          <w:rFonts w:ascii="宋体" w:hAnsi="宋体" w:cs="宋体"/>
          <w:sz w:val="30"/>
          <w:highlight w:val="none"/>
        </w:rPr>
      </w:pPr>
    </w:p>
    <w:p w14:paraId="68FFE34B">
      <w:pPr>
        <w:spacing w:line="360" w:lineRule="auto"/>
        <w:ind w:firstLine="945"/>
        <w:rPr>
          <w:rFonts w:ascii="宋体" w:hAnsi="宋体" w:cs="宋体"/>
          <w:sz w:val="30"/>
          <w:highlight w:val="none"/>
          <w:u w:val="single"/>
        </w:rPr>
      </w:pPr>
      <w:r>
        <w:rPr>
          <w:rFonts w:hint="eastAsia" w:ascii="宋体" w:hAnsi="宋体" w:cs="宋体"/>
          <w:sz w:val="30"/>
          <w:highlight w:val="none"/>
        </w:rPr>
        <w:t>招   标   人：</w:t>
      </w:r>
      <w:r>
        <w:rPr>
          <w:rFonts w:hint="eastAsia" w:ascii="宋体" w:hAnsi="宋体" w:cs="宋体"/>
          <w:sz w:val="30"/>
          <w:highlight w:val="none"/>
          <w:lang w:val="en-US" w:eastAsia="zh-CN"/>
        </w:rPr>
        <w:t>广州广芯封装基板有限公司</w:t>
      </w:r>
    </w:p>
    <w:p w14:paraId="04DBCF4F">
      <w:pPr>
        <w:spacing w:line="360" w:lineRule="auto"/>
        <w:ind w:firstLine="945"/>
        <w:rPr>
          <w:rFonts w:ascii="宋体" w:hAnsi="宋体" w:cs="宋体"/>
          <w:sz w:val="30"/>
          <w:highlight w:val="none"/>
          <w:u w:val="single"/>
        </w:rPr>
      </w:pPr>
      <w:r>
        <w:rPr>
          <w:rFonts w:hint="eastAsia" w:ascii="宋体" w:hAnsi="宋体" w:cs="宋体"/>
          <w:sz w:val="30"/>
          <w:highlight w:val="none"/>
        </w:rPr>
        <w:t>招标代理机构：建成工程咨询股份有限公司</w:t>
      </w:r>
    </w:p>
    <w:p w14:paraId="48213741">
      <w:pPr>
        <w:spacing w:line="360" w:lineRule="auto"/>
        <w:ind w:firstLine="945"/>
        <w:jc w:val="left"/>
        <w:rPr>
          <w:rFonts w:ascii="宋体" w:hAnsi="宋体"/>
          <w:b/>
          <w:sz w:val="28"/>
          <w:szCs w:val="28"/>
          <w:highlight w:val="none"/>
        </w:rPr>
      </w:pPr>
      <w:r>
        <w:rPr>
          <w:rFonts w:hint="eastAsia" w:ascii="宋体" w:hAnsi="宋体" w:cs="宋体"/>
          <w:sz w:val="32"/>
          <w:highlight w:val="none"/>
        </w:rPr>
        <w:t>日       期：</w:t>
      </w:r>
      <w:r>
        <w:rPr>
          <w:rFonts w:hint="eastAsia" w:ascii="宋体" w:hAnsi="宋体" w:cs="宋体"/>
          <w:sz w:val="32"/>
          <w:highlight w:val="none"/>
          <w:u w:val="single"/>
        </w:rPr>
        <w:t>2025年</w:t>
      </w:r>
      <w:r>
        <w:rPr>
          <w:rFonts w:hint="eastAsia" w:ascii="宋体" w:hAnsi="宋体" w:cs="宋体"/>
          <w:sz w:val="32"/>
          <w:highlight w:val="none"/>
          <w:u w:val="single"/>
          <w:lang w:val="en-US" w:eastAsia="zh-CN"/>
        </w:rPr>
        <w:t>11</w:t>
      </w:r>
      <w:bookmarkStart w:id="641" w:name="_GoBack"/>
      <w:bookmarkEnd w:id="641"/>
      <w:r>
        <w:rPr>
          <w:rFonts w:hint="eastAsia" w:ascii="宋体" w:hAnsi="宋体" w:cs="宋体"/>
          <w:sz w:val="32"/>
          <w:highlight w:val="none"/>
          <w:u w:val="single"/>
        </w:rPr>
        <w:t>月</w:t>
      </w:r>
    </w:p>
    <w:p w14:paraId="5187C381">
      <w:pPr>
        <w:pStyle w:val="14"/>
        <w:rPr>
          <w:highlight w:val="none"/>
        </w:rPr>
        <w:sectPr>
          <w:pgSz w:w="12240" w:h="15840"/>
          <w:pgMar w:top="1417" w:right="1701" w:bottom="1134" w:left="1701" w:header="850" w:footer="850" w:gutter="0"/>
          <w:pgNumType w:start="1"/>
          <w:cols w:space="720" w:num="1"/>
          <w:docGrid w:linePitch="285" w:charSpace="0"/>
        </w:sectPr>
      </w:pPr>
    </w:p>
    <w:p w14:paraId="2281A195">
      <w:pPr>
        <w:pStyle w:val="14"/>
        <w:rPr>
          <w:highlight w:val="none"/>
        </w:rPr>
      </w:pPr>
    </w:p>
    <w:p w14:paraId="5A17F08F">
      <w:pPr>
        <w:spacing w:line="360" w:lineRule="auto"/>
        <w:jc w:val="center"/>
        <w:rPr>
          <w:rFonts w:ascii="宋体" w:hAnsi="宋体"/>
          <w:sz w:val="52"/>
          <w:highlight w:val="none"/>
        </w:rPr>
      </w:pPr>
      <w:r>
        <w:rPr>
          <w:rFonts w:hint="eastAsia" w:ascii="宋体" w:hAnsi="宋体"/>
          <w:sz w:val="52"/>
          <w:highlight w:val="none"/>
        </w:rPr>
        <w:t>重要提示</w:t>
      </w:r>
    </w:p>
    <w:p w14:paraId="75D14C2D">
      <w:pPr>
        <w:spacing w:line="360" w:lineRule="auto"/>
        <w:ind w:firstLine="537" w:firstLineChars="224"/>
        <w:jc w:val="center"/>
        <w:rPr>
          <w:rFonts w:ascii="宋体" w:hAnsi="宋体"/>
          <w:sz w:val="24"/>
          <w:highlight w:val="none"/>
        </w:rPr>
      </w:pPr>
    </w:p>
    <w:p w14:paraId="08BBC0BD">
      <w:pPr>
        <w:spacing w:line="360" w:lineRule="auto"/>
        <w:ind w:firstLine="480" w:firstLineChars="200"/>
        <w:rPr>
          <w:rFonts w:ascii="宋体" w:hAnsi="宋体"/>
          <w:sz w:val="24"/>
          <w:highlight w:val="none"/>
        </w:rPr>
      </w:pPr>
      <w:r>
        <w:rPr>
          <w:rFonts w:hint="eastAsia" w:ascii="宋体" w:hAnsi="宋体"/>
          <w:sz w:val="24"/>
          <w:highlight w:val="none"/>
        </w:rPr>
        <w:t>本项目实施电子招投标，投标人应先认真阅读《建设工程全流程电子化项目操作指南》。</w:t>
      </w:r>
    </w:p>
    <w:p w14:paraId="7A6C1A8C">
      <w:pPr>
        <w:spacing w:line="360" w:lineRule="auto"/>
        <w:ind w:firstLine="480" w:firstLineChars="200"/>
        <w:rPr>
          <w:rFonts w:ascii="宋体" w:hAnsi="宋体"/>
          <w:sz w:val="24"/>
          <w:highlight w:val="none"/>
        </w:rPr>
      </w:pPr>
    </w:p>
    <w:bookmarkEnd w:id="0"/>
    <w:bookmarkEnd w:id="1"/>
    <w:p w14:paraId="18C64A39">
      <w:pPr>
        <w:pStyle w:val="115"/>
        <w:keepNext w:val="0"/>
        <w:keepLines w:val="0"/>
        <w:widowControl w:val="0"/>
        <w:jc w:val="center"/>
        <w:rPr>
          <w:rFonts w:ascii="宋体" w:hAnsi="宋体"/>
          <w:b w:val="0"/>
          <w:color w:val="auto"/>
          <w:highlight w:val="none"/>
          <w:lang w:val="zh-CN"/>
        </w:rPr>
      </w:pPr>
    </w:p>
    <w:p w14:paraId="16FD97B4">
      <w:pPr>
        <w:pStyle w:val="32"/>
        <w:tabs>
          <w:tab w:val="right" w:leader="dot" w:pos="9112"/>
        </w:tabs>
        <w:spacing w:line="540" w:lineRule="exact"/>
        <w:rPr>
          <w:rFonts w:ascii="宋体" w:hAnsi="宋体" w:eastAsia="宋体" w:cs="Times New Roman"/>
          <w:kern w:val="2"/>
          <w:sz w:val="28"/>
          <w:szCs w:val="28"/>
          <w:highlight w:val="none"/>
          <w:lang w:val="en-US" w:eastAsia="zh-CN" w:bidi="ar-SA"/>
        </w:rPr>
      </w:pPr>
      <w:r>
        <w:rPr>
          <w:rFonts w:ascii="宋体" w:hAnsi="宋体"/>
          <w:b/>
          <w:highlight w:val="none"/>
          <w:lang w:val="zh-CN"/>
        </w:rPr>
        <w:br w:type="page"/>
      </w:r>
      <w:r>
        <w:rPr>
          <w:rFonts w:ascii="宋体" w:hAnsi="宋体"/>
          <w:sz w:val="28"/>
          <w:szCs w:val="28"/>
          <w:highlight w:val="none"/>
        </w:rPr>
        <w:fldChar w:fldCharType="begin"/>
      </w:r>
      <w:r>
        <w:rPr>
          <w:rFonts w:ascii="宋体" w:hAnsi="宋体"/>
          <w:sz w:val="28"/>
          <w:szCs w:val="28"/>
          <w:highlight w:val="none"/>
        </w:rPr>
        <w:instrText xml:space="preserve"> TOC \o "1-3" \h \z \u </w:instrText>
      </w:r>
      <w:r>
        <w:rPr>
          <w:rFonts w:ascii="宋体" w:hAnsi="宋体"/>
          <w:sz w:val="28"/>
          <w:szCs w:val="28"/>
          <w:highlight w:val="none"/>
        </w:rPr>
        <w:fldChar w:fldCharType="separate"/>
      </w:r>
    </w:p>
    <w:p w14:paraId="3113126F">
      <w:pPr>
        <w:pStyle w:val="32"/>
        <w:tabs>
          <w:tab w:val="right" w:leader="dot" w:pos="8838"/>
        </w:tabs>
        <w:spacing w:line="360" w:lineRule="auto"/>
        <w:jc w:val="center"/>
        <w:rPr>
          <w:rFonts w:hint="eastAsia" w:ascii="宋体" w:hAnsi="宋体" w:eastAsia="宋体"/>
          <w:b/>
          <w:bCs/>
          <w:sz w:val="28"/>
          <w:szCs w:val="28"/>
          <w:highlight w:val="none"/>
          <w:lang w:eastAsia="zh-CN"/>
        </w:rPr>
      </w:pPr>
      <w:r>
        <w:rPr>
          <w:rFonts w:hint="eastAsia" w:ascii="宋体" w:hAnsi="宋体"/>
          <w:b/>
          <w:bCs/>
          <w:sz w:val="28"/>
          <w:szCs w:val="28"/>
          <w:highlight w:val="none"/>
          <w:lang w:eastAsia="zh-CN"/>
        </w:rPr>
        <w:t>目</w:t>
      </w:r>
      <w:r>
        <w:rPr>
          <w:rFonts w:hint="eastAsia" w:ascii="宋体" w:hAnsi="宋体"/>
          <w:b/>
          <w:bCs/>
          <w:sz w:val="28"/>
          <w:szCs w:val="28"/>
          <w:highlight w:val="none"/>
          <w:lang w:val="en-US" w:eastAsia="zh-CN"/>
        </w:rPr>
        <w:t xml:space="preserve">  </w:t>
      </w:r>
      <w:r>
        <w:rPr>
          <w:rFonts w:hint="eastAsia" w:ascii="宋体" w:hAnsi="宋体"/>
          <w:b/>
          <w:bCs/>
          <w:sz w:val="28"/>
          <w:szCs w:val="28"/>
          <w:highlight w:val="none"/>
          <w:lang w:eastAsia="zh-CN"/>
        </w:rPr>
        <w:t>录</w:t>
      </w:r>
    </w:p>
    <w:p w14:paraId="1A1135B2">
      <w:pPr>
        <w:pStyle w:val="32"/>
        <w:tabs>
          <w:tab w:val="right" w:leader="dot" w:pos="8838"/>
        </w:tabs>
        <w:spacing w:line="360" w:lineRule="auto"/>
        <w:rPr>
          <w:sz w:val="28"/>
          <w:szCs w:val="28"/>
        </w:rPr>
      </w:pPr>
      <w:r>
        <w:rPr>
          <w:rFonts w:ascii="宋体" w:hAnsi="宋体"/>
          <w:sz w:val="28"/>
          <w:szCs w:val="28"/>
          <w:highlight w:val="none"/>
        </w:rPr>
        <w:fldChar w:fldCharType="begin"/>
      </w:r>
      <w:r>
        <w:rPr>
          <w:rFonts w:ascii="宋体" w:hAnsi="宋体"/>
          <w:sz w:val="28"/>
          <w:szCs w:val="28"/>
          <w:highlight w:val="none"/>
        </w:rPr>
        <w:instrText xml:space="preserve"> HYPERLINK \l _Toc5393 </w:instrText>
      </w:r>
      <w:r>
        <w:rPr>
          <w:rFonts w:ascii="宋体" w:hAnsi="宋体"/>
          <w:sz w:val="28"/>
          <w:szCs w:val="28"/>
          <w:highlight w:val="none"/>
        </w:rPr>
        <w:fldChar w:fldCharType="separate"/>
      </w:r>
      <w:r>
        <w:rPr>
          <w:rFonts w:ascii="宋体" w:hAnsi="宋体"/>
          <w:sz w:val="28"/>
          <w:szCs w:val="28"/>
          <w:highlight w:val="none"/>
        </w:rPr>
        <w:t>第一章</w:t>
      </w:r>
      <w:r>
        <w:rPr>
          <w:rFonts w:hint="eastAsia" w:ascii="宋体" w:hAnsi="宋体"/>
          <w:sz w:val="28"/>
          <w:szCs w:val="28"/>
          <w:highlight w:val="none"/>
        </w:rPr>
        <w:t xml:space="preserve"> </w:t>
      </w:r>
      <w:r>
        <w:rPr>
          <w:rFonts w:ascii="宋体" w:hAnsi="宋体"/>
          <w:sz w:val="28"/>
          <w:szCs w:val="28"/>
          <w:highlight w:val="none"/>
        </w:rPr>
        <w:t>招标公告</w:t>
      </w:r>
      <w:r>
        <w:rPr>
          <w:sz w:val="28"/>
          <w:szCs w:val="28"/>
        </w:rPr>
        <w:tab/>
      </w:r>
      <w:r>
        <w:rPr>
          <w:sz w:val="28"/>
          <w:szCs w:val="28"/>
        </w:rPr>
        <w:fldChar w:fldCharType="begin"/>
      </w:r>
      <w:r>
        <w:rPr>
          <w:sz w:val="28"/>
          <w:szCs w:val="28"/>
        </w:rPr>
        <w:instrText xml:space="preserve"> PAGEREF _Toc5393 \h </w:instrText>
      </w:r>
      <w:r>
        <w:rPr>
          <w:sz w:val="28"/>
          <w:szCs w:val="28"/>
        </w:rPr>
        <w:fldChar w:fldCharType="separate"/>
      </w:r>
      <w:r>
        <w:rPr>
          <w:sz w:val="28"/>
          <w:szCs w:val="28"/>
        </w:rPr>
        <w:t>4</w:t>
      </w:r>
      <w:r>
        <w:rPr>
          <w:sz w:val="28"/>
          <w:szCs w:val="28"/>
        </w:rPr>
        <w:fldChar w:fldCharType="end"/>
      </w:r>
      <w:r>
        <w:rPr>
          <w:rFonts w:ascii="宋体" w:hAnsi="宋体"/>
          <w:sz w:val="28"/>
          <w:szCs w:val="28"/>
          <w:highlight w:val="none"/>
        </w:rPr>
        <w:fldChar w:fldCharType="end"/>
      </w:r>
    </w:p>
    <w:p w14:paraId="2EE9FDBC">
      <w:pPr>
        <w:pStyle w:val="37"/>
        <w:tabs>
          <w:tab w:val="right" w:leader="dot" w:pos="8838"/>
        </w:tabs>
        <w:spacing w:line="360" w:lineRule="auto"/>
        <w:ind w:left="0" w:leftChars="0"/>
        <w:rPr>
          <w:sz w:val="28"/>
          <w:szCs w:val="28"/>
        </w:rPr>
      </w:pPr>
      <w:r>
        <w:rPr>
          <w:rFonts w:ascii="宋体" w:hAnsi="宋体"/>
          <w:sz w:val="28"/>
          <w:szCs w:val="28"/>
          <w:highlight w:val="none"/>
        </w:rPr>
        <w:fldChar w:fldCharType="begin"/>
      </w:r>
      <w:r>
        <w:rPr>
          <w:rFonts w:ascii="宋体" w:hAnsi="宋体"/>
          <w:sz w:val="28"/>
          <w:szCs w:val="28"/>
          <w:highlight w:val="none"/>
        </w:rPr>
        <w:instrText xml:space="preserve"> HYPERLINK \l _Toc22918 </w:instrText>
      </w:r>
      <w:r>
        <w:rPr>
          <w:rFonts w:ascii="宋体" w:hAnsi="宋体"/>
          <w:sz w:val="28"/>
          <w:szCs w:val="28"/>
          <w:highlight w:val="none"/>
        </w:rPr>
        <w:fldChar w:fldCharType="separate"/>
      </w:r>
      <w:r>
        <w:rPr>
          <w:rFonts w:hint="eastAsia" w:ascii="宋体" w:hAnsi="宋体" w:eastAsia="宋体"/>
          <w:bCs w:val="0"/>
          <w:sz w:val="28"/>
          <w:szCs w:val="28"/>
          <w:highlight w:val="none"/>
        </w:rPr>
        <w:t>第二章 投标人须知</w:t>
      </w:r>
      <w:r>
        <w:rPr>
          <w:sz w:val="28"/>
          <w:szCs w:val="28"/>
        </w:rPr>
        <w:tab/>
      </w:r>
      <w:r>
        <w:rPr>
          <w:sz w:val="28"/>
          <w:szCs w:val="28"/>
        </w:rPr>
        <w:fldChar w:fldCharType="begin"/>
      </w:r>
      <w:r>
        <w:rPr>
          <w:sz w:val="28"/>
          <w:szCs w:val="28"/>
        </w:rPr>
        <w:instrText xml:space="preserve"> PAGEREF _Toc22918 \h </w:instrText>
      </w:r>
      <w:r>
        <w:rPr>
          <w:sz w:val="28"/>
          <w:szCs w:val="28"/>
        </w:rPr>
        <w:fldChar w:fldCharType="separate"/>
      </w:r>
      <w:r>
        <w:rPr>
          <w:sz w:val="28"/>
          <w:szCs w:val="28"/>
        </w:rPr>
        <w:t>5</w:t>
      </w:r>
      <w:r>
        <w:rPr>
          <w:sz w:val="28"/>
          <w:szCs w:val="28"/>
        </w:rPr>
        <w:fldChar w:fldCharType="end"/>
      </w:r>
      <w:r>
        <w:rPr>
          <w:rFonts w:ascii="宋体" w:hAnsi="宋体"/>
          <w:sz w:val="28"/>
          <w:szCs w:val="28"/>
          <w:highlight w:val="none"/>
        </w:rPr>
        <w:fldChar w:fldCharType="end"/>
      </w:r>
    </w:p>
    <w:p w14:paraId="49FA9862">
      <w:pPr>
        <w:pStyle w:val="32"/>
        <w:tabs>
          <w:tab w:val="right" w:leader="dot" w:pos="8838"/>
        </w:tabs>
        <w:spacing w:line="360" w:lineRule="auto"/>
        <w:rPr>
          <w:sz w:val="28"/>
          <w:szCs w:val="28"/>
        </w:rPr>
      </w:pPr>
      <w:r>
        <w:rPr>
          <w:rFonts w:ascii="宋体" w:hAnsi="宋体"/>
          <w:sz w:val="28"/>
          <w:szCs w:val="28"/>
          <w:highlight w:val="none"/>
        </w:rPr>
        <w:fldChar w:fldCharType="begin"/>
      </w:r>
      <w:r>
        <w:rPr>
          <w:rFonts w:ascii="宋体" w:hAnsi="宋体"/>
          <w:sz w:val="28"/>
          <w:szCs w:val="28"/>
          <w:highlight w:val="none"/>
        </w:rPr>
        <w:instrText xml:space="preserve"> HYPERLINK \l _Toc26643 </w:instrText>
      </w:r>
      <w:r>
        <w:rPr>
          <w:rFonts w:ascii="宋体" w:hAnsi="宋体"/>
          <w:sz w:val="28"/>
          <w:szCs w:val="28"/>
          <w:highlight w:val="none"/>
        </w:rPr>
        <w:fldChar w:fldCharType="separate"/>
      </w:r>
      <w:r>
        <w:rPr>
          <w:rFonts w:hint="eastAsia" w:ascii="宋体" w:hAnsi="宋体"/>
          <w:sz w:val="28"/>
          <w:szCs w:val="28"/>
          <w:highlight w:val="none"/>
        </w:rPr>
        <w:t>第三章 评标办法（“评定分离”定标办法）</w:t>
      </w:r>
      <w:r>
        <w:rPr>
          <w:sz w:val="28"/>
          <w:szCs w:val="28"/>
        </w:rPr>
        <w:tab/>
      </w:r>
      <w:r>
        <w:rPr>
          <w:sz w:val="28"/>
          <w:szCs w:val="28"/>
        </w:rPr>
        <w:fldChar w:fldCharType="begin"/>
      </w:r>
      <w:r>
        <w:rPr>
          <w:sz w:val="28"/>
          <w:szCs w:val="28"/>
        </w:rPr>
        <w:instrText xml:space="preserve"> PAGEREF _Toc26643 \h </w:instrText>
      </w:r>
      <w:r>
        <w:rPr>
          <w:sz w:val="28"/>
          <w:szCs w:val="28"/>
        </w:rPr>
        <w:fldChar w:fldCharType="separate"/>
      </w:r>
      <w:r>
        <w:rPr>
          <w:sz w:val="28"/>
          <w:szCs w:val="28"/>
        </w:rPr>
        <w:t>29</w:t>
      </w:r>
      <w:r>
        <w:rPr>
          <w:sz w:val="28"/>
          <w:szCs w:val="28"/>
        </w:rPr>
        <w:fldChar w:fldCharType="end"/>
      </w:r>
      <w:r>
        <w:rPr>
          <w:rFonts w:ascii="宋体" w:hAnsi="宋体"/>
          <w:sz w:val="28"/>
          <w:szCs w:val="28"/>
          <w:highlight w:val="none"/>
        </w:rPr>
        <w:fldChar w:fldCharType="end"/>
      </w:r>
    </w:p>
    <w:p w14:paraId="57290607">
      <w:pPr>
        <w:pStyle w:val="32"/>
        <w:tabs>
          <w:tab w:val="right" w:leader="dot" w:pos="8838"/>
        </w:tabs>
        <w:spacing w:line="360" w:lineRule="auto"/>
        <w:rPr>
          <w:sz w:val="28"/>
          <w:szCs w:val="28"/>
        </w:rPr>
      </w:pPr>
      <w:r>
        <w:rPr>
          <w:rFonts w:ascii="宋体" w:hAnsi="宋体"/>
          <w:sz w:val="28"/>
          <w:szCs w:val="28"/>
          <w:highlight w:val="none"/>
        </w:rPr>
        <w:fldChar w:fldCharType="begin"/>
      </w:r>
      <w:r>
        <w:rPr>
          <w:rFonts w:ascii="宋体" w:hAnsi="宋体"/>
          <w:sz w:val="28"/>
          <w:szCs w:val="28"/>
          <w:highlight w:val="none"/>
        </w:rPr>
        <w:instrText xml:space="preserve"> HYPERLINK \l _Toc28491 </w:instrText>
      </w:r>
      <w:r>
        <w:rPr>
          <w:rFonts w:ascii="宋体" w:hAnsi="宋体"/>
          <w:sz w:val="28"/>
          <w:szCs w:val="28"/>
          <w:highlight w:val="none"/>
        </w:rPr>
        <w:fldChar w:fldCharType="separate"/>
      </w:r>
      <w:r>
        <w:rPr>
          <w:rFonts w:hint="eastAsia" w:ascii="宋体" w:hAnsi="宋体"/>
          <w:sz w:val="28"/>
          <w:szCs w:val="28"/>
          <w:highlight w:val="none"/>
        </w:rPr>
        <w:t>第四章 合同条款及格式</w:t>
      </w:r>
      <w:r>
        <w:rPr>
          <w:sz w:val="28"/>
          <w:szCs w:val="28"/>
        </w:rPr>
        <w:tab/>
      </w:r>
      <w:r>
        <w:rPr>
          <w:sz w:val="28"/>
          <w:szCs w:val="28"/>
        </w:rPr>
        <w:fldChar w:fldCharType="begin"/>
      </w:r>
      <w:r>
        <w:rPr>
          <w:sz w:val="28"/>
          <w:szCs w:val="28"/>
        </w:rPr>
        <w:instrText xml:space="preserve"> PAGEREF _Toc28491 \h </w:instrText>
      </w:r>
      <w:r>
        <w:rPr>
          <w:sz w:val="28"/>
          <w:szCs w:val="28"/>
        </w:rPr>
        <w:fldChar w:fldCharType="separate"/>
      </w:r>
      <w:r>
        <w:rPr>
          <w:sz w:val="28"/>
          <w:szCs w:val="28"/>
        </w:rPr>
        <w:t>40</w:t>
      </w:r>
      <w:r>
        <w:rPr>
          <w:sz w:val="28"/>
          <w:szCs w:val="28"/>
        </w:rPr>
        <w:fldChar w:fldCharType="end"/>
      </w:r>
      <w:r>
        <w:rPr>
          <w:rFonts w:ascii="宋体" w:hAnsi="宋体"/>
          <w:sz w:val="28"/>
          <w:szCs w:val="28"/>
          <w:highlight w:val="none"/>
        </w:rPr>
        <w:fldChar w:fldCharType="end"/>
      </w:r>
    </w:p>
    <w:p w14:paraId="6756B635">
      <w:pPr>
        <w:pStyle w:val="32"/>
        <w:tabs>
          <w:tab w:val="right" w:leader="dot" w:pos="8838"/>
        </w:tabs>
        <w:spacing w:line="360" w:lineRule="auto"/>
        <w:rPr>
          <w:sz w:val="28"/>
          <w:szCs w:val="28"/>
        </w:rPr>
      </w:pPr>
      <w:r>
        <w:rPr>
          <w:rFonts w:ascii="宋体" w:hAnsi="宋体"/>
          <w:sz w:val="28"/>
          <w:szCs w:val="28"/>
          <w:highlight w:val="none"/>
        </w:rPr>
        <w:fldChar w:fldCharType="begin"/>
      </w:r>
      <w:r>
        <w:rPr>
          <w:rFonts w:ascii="宋体" w:hAnsi="宋体"/>
          <w:sz w:val="28"/>
          <w:szCs w:val="28"/>
          <w:highlight w:val="none"/>
        </w:rPr>
        <w:instrText xml:space="preserve"> HYPERLINK \l _Toc30693 </w:instrText>
      </w:r>
      <w:r>
        <w:rPr>
          <w:rFonts w:ascii="宋体" w:hAnsi="宋体"/>
          <w:sz w:val="28"/>
          <w:szCs w:val="28"/>
          <w:highlight w:val="none"/>
        </w:rPr>
        <w:fldChar w:fldCharType="separate"/>
      </w:r>
      <w:r>
        <w:rPr>
          <w:rFonts w:hint="eastAsia" w:ascii="宋体" w:hAnsi="宋体"/>
          <w:sz w:val="28"/>
          <w:szCs w:val="28"/>
          <w:highlight w:val="none"/>
        </w:rPr>
        <w:t>第五章 委托人要求</w:t>
      </w:r>
      <w:r>
        <w:rPr>
          <w:sz w:val="28"/>
          <w:szCs w:val="28"/>
        </w:rPr>
        <w:tab/>
      </w:r>
      <w:r>
        <w:rPr>
          <w:sz w:val="28"/>
          <w:szCs w:val="28"/>
        </w:rPr>
        <w:fldChar w:fldCharType="begin"/>
      </w:r>
      <w:r>
        <w:rPr>
          <w:sz w:val="28"/>
          <w:szCs w:val="28"/>
        </w:rPr>
        <w:instrText xml:space="preserve"> PAGEREF _Toc30693 \h </w:instrText>
      </w:r>
      <w:r>
        <w:rPr>
          <w:sz w:val="28"/>
          <w:szCs w:val="28"/>
        </w:rPr>
        <w:fldChar w:fldCharType="separate"/>
      </w:r>
      <w:r>
        <w:rPr>
          <w:sz w:val="28"/>
          <w:szCs w:val="28"/>
        </w:rPr>
        <w:t>41</w:t>
      </w:r>
      <w:r>
        <w:rPr>
          <w:sz w:val="28"/>
          <w:szCs w:val="28"/>
        </w:rPr>
        <w:fldChar w:fldCharType="end"/>
      </w:r>
      <w:r>
        <w:rPr>
          <w:rFonts w:ascii="宋体" w:hAnsi="宋体"/>
          <w:sz w:val="28"/>
          <w:szCs w:val="28"/>
          <w:highlight w:val="none"/>
        </w:rPr>
        <w:fldChar w:fldCharType="end"/>
      </w:r>
    </w:p>
    <w:p w14:paraId="17B8DC41">
      <w:pPr>
        <w:pStyle w:val="32"/>
        <w:tabs>
          <w:tab w:val="right" w:leader="dot" w:pos="8838"/>
        </w:tabs>
        <w:spacing w:line="360" w:lineRule="auto"/>
        <w:rPr>
          <w:sz w:val="28"/>
          <w:szCs w:val="28"/>
        </w:rPr>
      </w:pPr>
      <w:r>
        <w:rPr>
          <w:rFonts w:ascii="宋体" w:hAnsi="宋体"/>
          <w:sz w:val="28"/>
          <w:szCs w:val="28"/>
          <w:highlight w:val="none"/>
        </w:rPr>
        <w:fldChar w:fldCharType="begin"/>
      </w:r>
      <w:r>
        <w:rPr>
          <w:rFonts w:ascii="宋体" w:hAnsi="宋体"/>
          <w:sz w:val="28"/>
          <w:szCs w:val="28"/>
          <w:highlight w:val="none"/>
        </w:rPr>
        <w:instrText xml:space="preserve"> HYPERLINK \l _Toc6294 </w:instrText>
      </w:r>
      <w:r>
        <w:rPr>
          <w:rFonts w:ascii="宋体" w:hAnsi="宋体"/>
          <w:sz w:val="28"/>
          <w:szCs w:val="28"/>
          <w:highlight w:val="none"/>
        </w:rPr>
        <w:fldChar w:fldCharType="separate"/>
      </w:r>
      <w:r>
        <w:rPr>
          <w:rFonts w:hint="eastAsia" w:ascii="宋体" w:hAnsi="宋体"/>
          <w:sz w:val="28"/>
          <w:szCs w:val="28"/>
          <w:highlight w:val="none"/>
        </w:rPr>
        <w:t>第六章 投标文件格式</w:t>
      </w:r>
      <w:r>
        <w:rPr>
          <w:sz w:val="28"/>
          <w:szCs w:val="28"/>
        </w:rPr>
        <w:tab/>
      </w:r>
      <w:r>
        <w:rPr>
          <w:sz w:val="28"/>
          <w:szCs w:val="28"/>
        </w:rPr>
        <w:fldChar w:fldCharType="begin"/>
      </w:r>
      <w:r>
        <w:rPr>
          <w:sz w:val="28"/>
          <w:szCs w:val="28"/>
        </w:rPr>
        <w:instrText xml:space="preserve"> PAGEREF _Toc6294 \h </w:instrText>
      </w:r>
      <w:r>
        <w:rPr>
          <w:sz w:val="28"/>
          <w:szCs w:val="28"/>
        </w:rPr>
        <w:fldChar w:fldCharType="separate"/>
      </w:r>
      <w:r>
        <w:rPr>
          <w:sz w:val="28"/>
          <w:szCs w:val="28"/>
        </w:rPr>
        <w:t>43</w:t>
      </w:r>
      <w:r>
        <w:rPr>
          <w:sz w:val="28"/>
          <w:szCs w:val="28"/>
        </w:rPr>
        <w:fldChar w:fldCharType="end"/>
      </w:r>
      <w:r>
        <w:rPr>
          <w:rFonts w:ascii="宋体" w:hAnsi="宋体"/>
          <w:sz w:val="28"/>
          <w:szCs w:val="28"/>
          <w:highlight w:val="none"/>
        </w:rPr>
        <w:fldChar w:fldCharType="end"/>
      </w:r>
    </w:p>
    <w:p w14:paraId="0CDDA1A2">
      <w:pPr>
        <w:pStyle w:val="32"/>
        <w:tabs>
          <w:tab w:val="right" w:leader="dot" w:pos="8838"/>
        </w:tabs>
        <w:spacing w:line="360" w:lineRule="auto"/>
        <w:rPr>
          <w:sz w:val="28"/>
          <w:szCs w:val="28"/>
        </w:rPr>
      </w:pPr>
      <w:r>
        <w:rPr>
          <w:rFonts w:ascii="宋体" w:hAnsi="宋体"/>
          <w:sz w:val="28"/>
          <w:szCs w:val="28"/>
          <w:highlight w:val="none"/>
        </w:rPr>
        <w:fldChar w:fldCharType="begin"/>
      </w:r>
      <w:r>
        <w:rPr>
          <w:rFonts w:ascii="宋体" w:hAnsi="宋体"/>
          <w:sz w:val="28"/>
          <w:szCs w:val="28"/>
          <w:highlight w:val="none"/>
        </w:rPr>
        <w:instrText xml:space="preserve"> HYPERLINK \l _Toc503 </w:instrText>
      </w:r>
      <w:r>
        <w:rPr>
          <w:rFonts w:ascii="宋体" w:hAnsi="宋体"/>
          <w:sz w:val="28"/>
          <w:szCs w:val="28"/>
          <w:highlight w:val="none"/>
        </w:rPr>
        <w:fldChar w:fldCharType="separate"/>
      </w:r>
      <w:r>
        <w:rPr>
          <w:rFonts w:hint="eastAsia" w:ascii="宋体" w:hAnsi="宋体" w:eastAsia="宋体" w:cs="Times New Roman"/>
          <w:sz w:val="28"/>
          <w:szCs w:val="28"/>
          <w:highlight w:val="none"/>
        </w:rPr>
        <w:t>第</w:t>
      </w:r>
      <w:r>
        <w:rPr>
          <w:rFonts w:hint="eastAsia" w:ascii="宋体" w:hAnsi="宋体" w:eastAsia="宋体" w:cs="Times New Roman"/>
          <w:sz w:val="28"/>
          <w:szCs w:val="28"/>
          <w:highlight w:val="none"/>
          <w:lang w:eastAsia="zh-CN"/>
        </w:rPr>
        <w:t>七</w:t>
      </w:r>
      <w:r>
        <w:rPr>
          <w:rFonts w:hint="eastAsia" w:ascii="宋体" w:hAnsi="宋体" w:eastAsia="宋体" w:cs="Times New Roman"/>
          <w:sz w:val="28"/>
          <w:szCs w:val="28"/>
          <w:highlight w:val="none"/>
        </w:rPr>
        <w:t>章</w:t>
      </w:r>
      <w:r>
        <w:rPr>
          <w:rFonts w:hint="eastAsia" w:ascii="宋体" w:hAnsi="宋体" w:eastAsia="宋体" w:cs="Times New Roman"/>
          <w:sz w:val="28"/>
          <w:szCs w:val="28"/>
          <w:highlight w:val="none"/>
          <w:lang w:val="en-US" w:eastAsia="zh-CN"/>
        </w:rPr>
        <w:t xml:space="preserve"> </w:t>
      </w:r>
      <w:r>
        <w:rPr>
          <w:rFonts w:hint="eastAsia" w:ascii="宋体" w:hAnsi="宋体" w:eastAsia="宋体" w:cs="Times New Roman"/>
          <w:sz w:val="28"/>
          <w:szCs w:val="28"/>
          <w:highlight w:val="none"/>
        </w:rPr>
        <w:t xml:space="preserve"> 廉洁承诺书</w:t>
      </w:r>
      <w:r>
        <w:rPr>
          <w:sz w:val="28"/>
          <w:szCs w:val="28"/>
        </w:rPr>
        <w:tab/>
      </w:r>
      <w:r>
        <w:rPr>
          <w:sz w:val="28"/>
          <w:szCs w:val="28"/>
        </w:rPr>
        <w:fldChar w:fldCharType="begin"/>
      </w:r>
      <w:r>
        <w:rPr>
          <w:sz w:val="28"/>
          <w:szCs w:val="28"/>
        </w:rPr>
        <w:instrText xml:space="preserve"> PAGEREF _Toc503 \h </w:instrText>
      </w:r>
      <w:r>
        <w:rPr>
          <w:sz w:val="28"/>
          <w:szCs w:val="28"/>
        </w:rPr>
        <w:fldChar w:fldCharType="separate"/>
      </w:r>
      <w:r>
        <w:rPr>
          <w:sz w:val="28"/>
          <w:szCs w:val="28"/>
        </w:rPr>
        <w:t>58</w:t>
      </w:r>
      <w:r>
        <w:rPr>
          <w:sz w:val="28"/>
          <w:szCs w:val="28"/>
        </w:rPr>
        <w:fldChar w:fldCharType="end"/>
      </w:r>
      <w:r>
        <w:rPr>
          <w:rFonts w:ascii="宋体" w:hAnsi="宋体"/>
          <w:sz w:val="28"/>
          <w:szCs w:val="28"/>
          <w:highlight w:val="none"/>
        </w:rPr>
        <w:fldChar w:fldCharType="end"/>
      </w:r>
    </w:p>
    <w:p w14:paraId="1606A789">
      <w:pPr>
        <w:pStyle w:val="32"/>
        <w:tabs>
          <w:tab w:val="right" w:leader="dot" w:pos="9112"/>
        </w:tabs>
        <w:spacing w:line="540" w:lineRule="exact"/>
        <w:rPr>
          <w:rFonts w:ascii="宋体" w:hAnsi="宋体"/>
          <w:sz w:val="28"/>
          <w:szCs w:val="28"/>
          <w:highlight w:val="none"/>
        </w:rPr>
      </w:pPr>
      <w:r>
        <w:rPr>
          <w:rFonts w:ascii="宋体" w:hAnsi="宋体"/>
          <w:sz w:val="28"/>
          <w:szCs w:val="28"/>
          <w:highlight w:val="none"/>
        </w:rPr>
        <w:fldChar w:fldCharType="end"/>
      </w:r>
      <w:bookmarkStart w:id="2" w:name="_Toc49509952"/>
    </w:p>
    <w:p w14:paraId="3A0F3FDF">
      <w:pPr>
        <w:pStyle w:val="3"/>
        <w:spacing w:line="240" w:lineRule="auto"/>
        <w:jc w:val="center"/>
        <w:rPr>
          <w:rFonts w:ascii="宋体" w:hAnsi="宋体"/>
          <w:highlight w:val="none"/>
        </w:rPr>
      </w:pPr>
      <w:bookmarkStart w:id="3" w:name="_Toc18929"/>
      <w:r>
        <w:rPr>
          <w:rFonts w:ascii="宋体" w:hAnsi="宋体"/>
          <w:highlight w:val="none"/>
        </w:rPr>
        <w:br w:type="page"/>
      </w:r>
      <w:bookmarkStart w:id="4" w:name="_Toc28451"/>
      <w:bookmarkStart w:id="5" w:name="_Toc5432"/>
      <w:r>
        <w:rPr>
          <w:rFonts w:ascii="宋体" w:hAnsi="宋体"/>
          <w:highlight w:val="none"/>
        </w:rPr>
        <w:t>第一卷</w:t>
      </w:r>
      <w:bookmarkEnd w:id="2"/>
      <w:bookmarkEnd w:id="3"/>
      <w:bookmarkEnd w:id="4"/>
      <w:bookmarkEnd w:id="5"/>
      <w:bookmarkStart w:id="6" w:name="_Toc49509954"/>
      <w:bookmarkStart w:id="7" w:name="_Toc5927"/>
    </w:p>
    <w:p w14:paraId="40D18164">
      <w:pPr>
        <w:pStyle w:val="3"/>
        <w:spacing w:line="240" w:lineRule="auto"/>
        <w:jc w:val="center"/>
        <w:rPr>
          <w:rFonts w:ascii="宋体" w:hAnsi="宋体"/>
          <w:highlight w:val="none"/>
        </w:rPr>
      </w:pPr>
      <w:bookmarkStart w:id="8" w:name="_Toc5393"/>
      <w:bookmarkStart w:id="9" w:name="_Toc32101"/>
      <w:r>
        <w:rPr>
          <w:rFonts w:ascii="宋体" w:hAnsi="宋体"/>
          <w:highlight w:val="none"/>
        </w:rPr>
        <w:t>第一章</w:t>
      </w:r>
      <w:r>
        <w:rPr>
          <w:rFonts w:hint="eastAsia" w:ascii="宋体" w:hAnsi="宋体"/>
          <w:highlight w:val="none"/>
        </w:rPr>
        <w:t xml:space="preserve"> </w:t>
      </w:r>
      <w:r>
        <w:rPr>
          <w:rFonts w:ascii="宋体" w:hAnsi="宋体"/>
          <w:highlight w:val="none"/>
        </w:rPr>
        <w:t>招标公告</w:t>
      </w:r>
      <w:bookmarkEnd w:id="6"/>
      <w:bookmarkEnd w:id="7"/>
      <w:bookmarkEnd w:id="8"/>
      <w:bookmarkEnd w:id="9"/>
    </w:p>
    <w:p w14:paraId="24207C8B">
      <w:pPr>
        <w:spacing w:line="400" w:lineRule="exact"/>
        <w:jc w:val="center"/>
        <w:rPr>
          <w:rFonts w:ascii="宋体" w:hAnsi="宋体"/>
          <w:sz w:val="28"/>
          <w:szCs w:val="28"/>
          <w:highlight w:val="none"/>
        </w:rPr>
      </w:pPr>
      <w:bookmarkStart w:id="10" w:name="_Toc384308200"/>
      <w:bookmarkStart w:id="11" w:name="_Toc361508575"/>
      <w:r>
        <w:rPr>
          <w:rFonts w:hint="eastAsia" w:ascii="宋体" w:hAnsi="宋体"/>
          <w:sz w:val="28"/>
          <w:szCs w:val="28"/>
          <w:highlight w:val="none"/>
        </w:rPr>
        <w:t>（另册）</w:t>
      </w:r>
    </w:p>
    <w:p w14:paraId="1BB949DD">
      <w:pPr>
        <w:pStyle w:val="4"/>
        <w:spacing w:line="240" w:lineRule="auto"/>
        <w:jc w:val="center"/>
        <w:rPr>
          <w:rFonts w:hint="eastAsia" w:ascii="宋体" w:hAnsi="宋体" w:eastAsia="宋体"/>
          <w:highlight w:val="none"/>
        </w:rPr>
      </w:pPr>
      <w:r>
        <w:rPr>
          <w:rFonts w:ascii="宋体" w:hAnsi="宋体"/>
          <w:highlight w:val="none"/>
        </w:rPr>
        <w:br w:type="page"/>
      </w:r>
      <w:bookmarkEnd w:id="10"/>
      <w:bookmarkEnd w:id="11"/>
      <w:bookmarkStart w:id="12" w:name="_Toc49509963"/>
      <w:bookmarkStart w:id="13" w:name="_Toc2644"/>
      <w:bookmarkStart w:id="14" w:name="_Toc22918"/>
      <w:r>
        <w:rPr>
          <w:rFonts w:hint="eastAsia" w:ascii="宋体" w:hAnsi="宋体" w:eastAsia="宋体"/>
          <w:b/>
          <w:bCs w:val="0"/>
          <w:sz w:val="32"/>
          <w:szCs w:val="20"/>
          <w:highlight w:val="none"/>
        </w:rPr>
        <w:t>第二章 投标人须知</w:t>
      </w:r>
      <w:bookmarkEnd w:id="12"/>
      <w:bookmarkEnd w:id="13"/>
      <w:bookmarkEnd w:id="14"/>
    </w:p>
    <w:p w14:paraId="5493DF86">
      <w:pPr>
        <w:pStyle w:val="4"/>
        <w:spacing w:line="240" w:lineRule="auto"/>
        <w:jc w:val="center"/>
        <w:rPr>
          <w:rFonts w:ascii="宋体" w:hAnsi="宋体" w:eastAsia="宋体"/>
          <w:highlight w:val="none"/>
        </w:rPr>
      </w:pPr>
      <w:bookmarkStart w:id="15" w:name="_Toc5347"/>
      <w:bookmarkStart w:id="16" w:name="_Toc49509964"/>
      <w:bookmarkStart w:id="17" w:name="_Toc20252"/>
      <w:r>
        <w:rPr>
          <w:rFonts w:hint="eastAsia" w:ascii="宋体" w:hAnsi="宋体" w:eastAsia="宋体"/>
          <w:highlight w:val="none"/>
        </w:rPr>
        <w:t>投标人须知前附表</w:t>
      </w:r>
      <w:bookmarkEnd w:id="15"/>
      <w:bookmarkEnd w:id="16"/>
      <w:bookmarkEnd w:id="17"/>
    </w:p>
    <w:tbl>
      <w:tblPr>
        <w:tblStyle w:val="46"/>
        <w:tblW w:w="9322" w:type="dxa"/>
        <w:tblInd w:w="0" w:type="dxa"/>
        <w:tblLayout w:type="fixed"/>
        <w:tblCellMar>
          <w:top w:w="0" w:type="dxa"/>
          <w:left w:w="108" w:type="dxa"/>
          <w:bottom w:w="0" w:type="dxa"/>
          <w:right w:w="108" w:type="dxa"/>
        </w:tblCellMar>
      </w:tblPr>
      <w:tblGrid>
        <w:gridCol w:w="1165"/>
        <w:gridCol w:w="2292"/>
        <w:gridCol w:w="5865"/>
      </w:tblGrid>
      <w:tr w14:paraId="7FBFB57E">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14:paraId="525B2EDF">
            <w:pPr>
              <w:jc w:val="center"/>
              <w:rPr>
                <w:rFonts w:ascii="宋体" w:hAnsi="宋体"/>
                <w:b/>
                <w:color w:val="auto"/>
                <w:szCs w:val="21"/>
                <w:highlight w:val="none"/>
              </w:rPr>
            </w:pPr>
            <w:r>
              <w:rPr>
                <w:rFonts w:hint="eastAsia" w:ascii="宋体" w:hAnsi="宋体"/>
                <w:b/>
                <w:color w:val="auto"/>
                <w:szCs w:val="21"/>
                <w:highlight w:val="none"/>
              </w:rPr>
              <w:t>条款号</w:t>
            </w:r>
          </w:p>
        </w:tc>
        <w:tc>
          <w:tcPr>
            <w:tcW w:w="2292" w:type="dxa"/>
            <w:tcBorders>
              <w:top w:val="single" w:color="auto" w:sz="4" w:space="0"/>
              <w:left w:val="single" w:color="auto" w:sz="4" w:space="0"/>
              <w:bottom w:val="single" w:color="auto" w:sz="4" w:space="0"/>
              <w:right w:val="single" w:color="auto" w:sz="4" w:space="0"/>
            </w:tcBorders>
            <w:vAlign w:val="center"/>
          </w:tcPr>
          <w:p w14:paraId="0F31D1C6">
            <w:pPr>
              <w:jc w:val="center"/>
              <w:rPr>
                <w:rFonts w:ascii="宋体" w:hAnsi="宋体"/>
                <w:b/>
                <w:color w:val="auto"/>
                <w:szCs w:val="21"/>
                <w:highlight w:val="none"/>
              </w:rPr>
            </w:pPr>
            <w:r>
              <w:rPr>
                <w:rFonts w:hint="eastAsia" w:ascii="宋体" w:hAnsi="宋体"/>
                <w:b/>
                <w:color w:val="auto"/>
                <w:szCs w:val="21"/>
                <w:highlight w:val="none"/>
              </w:rPr>
              <w:t>条款名称</w:t>
            </w:r>
          </w:p>
        </w:tc>
        <w:tc>
          <w:tcPr>
            <w:tcW w:w="5865" w:type="dxa"/>
            <w:tcBorders>
              <w:top w:val="single" w:color="auto" w:sz="4" w:space="0"/>
              <w:left w:val="single" w:color="auto" w:sz="4" w:space="0"/>
              <w:bottom w:val="single" w:color="auto" w:sz="4" w:space="0"/>
              <w:right w:val="single" w:color="auto" w:sz="4" w:space="0"/>
            </w:tcBorders>
            <w:vAlign w:val="center"/>
          </w:tcPr>
          <w:p w14:paraId="0DFC655F">
            <w:pPr>
              <w:jc w:val="center"/>
              <w:rPr>
                <w:rFonts w:ascii="宋体" w:hAnsi="宋体"/>
                <w:b/>
                <w:color w:val="auto"/>
                <w:szCs w:val="21"/>
                <w:highlight w:val="none"/>
              </w:rPr>
            </w:pPr>
            <w:r>
              <w:rPr>
                <w:rFonts w:hint="eastAsia" w:ascii="宋体" w:hAnsi="宋体"/>
                <w:b/>
                <w:color w:val="auto"/>
                <w:szCs w:val="21"/>
                <w:highlight w:val="none"/>
              </w:rPr>
              <w:t>编列内容</w:t>
            </w:r>
          </w:p>
        </w:tc>
      </w:tr>
      <w:tr w14:paraId="75EB426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0DF0CDF">
            <w:pPr>
              <w:jc w:val="center"/>
              <w:rPr>
                <w:rFonts w:ascii="宋体" w:hAnsi="宋体"/>
                <w:color w:val="auto"/>
                <w:szCs w:val="21"/>
                <w:highlight w:val="none"/>
              </w:rPr>
            </w:pPr>
            <w:r>
              <w:rPr>
                <w:rFonts w:ascii="宋体" w:hAnsi="宋体"/>
                <w:color w:val="auto"/>
                <w:szCs w:val="21"/>
                <w:highlight w:val="none"/>
              </w:rPr>
              <w:t>1.1.2</w:t>
            </w:r>
          </w:p>
        </w:tc>
        <w:tc>
          <w:tcPr>
            <w:tcW w:w="2292" w:type="dxa"/>
            <w:tcBorders>
              <w:top w:val="single" w:color="auto" w:sz="4" w:space="0"/>
              <w:left w:val="single" w:color="auto" w:sz="4" w:space="0"/>
              <w:bottom w:val="single" w:color="auto" w:sz="4" w:space="0"/>
              <w:right w:val="single" w:color="auto" w:sz="4" w:space="0"/>
            </w:tcBorders>
            <w:vAlign w:val="center"/>
          </w:tcPr>
          <w:p w14:paraId="68EE6FCD">
            <w:pPr>
              <w:jc w:val="center"/>
              <w:rPr>
                <w:rFonts w:ascii="宋体" w:hAnsi="宋体"/>
                <w:color w:val="auto"/>
                <w:szCs w:val="21"/>
                <w:highlight w:val="none"/>
              </w:rPr>
            </w:pPr>
            <w:r>
              <w:rPr>
                <w:rFonts w:hint="eastAsia" w:ascii="宋体" w:hAnsi="宋体"/>
                <w:color w:val="auto"/>
                <w:szCs w:val="21"/>
                <w:highlight w:val="none"/>
              </w:rPr>
              <w:t>招标人</w:t>
            </w:r>
          </w:p>
        </w:tc>
        <w:tc>
          <w:tcPr>
            <w:tcW w:w="5865" w:type="dxa"/>
            <w:tcBorders>
              <w:top w:val="single" w:color="auto" w:sz="4" w:space="0"/>
              <w:left w:val="single" w:color="auto" w:sz="4" w:space="0"/>
              <w:bottom w:val="single" w:color="auto" w:sz="4" w:space="0"/>
              <w:right w:val="single" w:color="auto" w:sz="4" w:space="0"/>
            </w:tcBorders>
            <w:vAlign w:val="center"/>
          </w:tcPr>
          <w:p w14:paraId="5DFC8FBC">
            <w:pPr>
              <w:spacing w:line="36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广州广芯封装基板有限公司</w:t>
            </w:r>
          </w:p>
          <w:p w14:paraId="54879DFE">
            <w:pPr>
              <w:spacing w:line="36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val="en-US" w:eastAsia="zh-CN"/>
              </w:rPr>
              <w:t xml:space="preserve">广州市黄埔区九龙镇知新路1321号。 </w:t>
            </w:r>
          </w:p>
          <w:p w14:paraId="59B6466B">
            <w:pPr>
              <w:spacing w:line="360" w:lineRule="exact"/>
              <w:rPr>
                <w:rFonts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single"/>
                <w:lang w:eastAsia="zh-CN"/>
              </w:rPr>
              <w:t>王</w:t>
            </w:r>
            <w:r>
              <w:rPr>
                <w:rFonts w:hint="eastAsia" w:ascii="宋体" w:hAnsi="宋体"/>
                <w:color w:val="auto"/>
                <w:szCs w:val="21"/>
                <w:highlight w:val="none"/>
                <w:u w:val="single"/>
              </w:rPr>
              <w:t>工</w:t>
            </w:r>
          </w:p>
          <w:p w14:paraId="71B1D9F7">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电话：</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u w:val="single"/>
                <w:lang w:val="en-US" w:eastAsia="zh-CN"/>
              </w:rPr>
              <w:t xml:space="preserve">19952231571 </w:t>
            </w:r>
          </w:p>
        </w:tc>
      </w:tr>
      <w:tr w14:paraId="3F70B46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0AE768F">
            <w:pPr>
              <w:jc w:val="center"/>
              <w:rPr>
                <w:rFonts w:ascii="宋体" w:hAnsi="宋体"/>
                <w:color w:val="auto"/>
                <w:szCs w:val="21"/>
                <w:highlight w:val="none"/>
              </w:rPr>
            </w:pPr>
            <w:r>
              <w:rPr>
                <w:rFonts w:ascii="宋体" w:hAnsi="宋体"/>
                <w:color w:val="auto"/>
                <w:szCs w:val="21"/>
                <w:highlight w:val="none"/>
              </w:rPr>
              <w:t>1.1.3</w:t>
            </w:r>
          </w:p>
        </w:tc>
        <w:tc>
          <w:tcPr>
            <w:tcW w:w="2292" w:type="dxa"/>
            <w:tcBorders>
              <w:top w:val="single" w:color="auto" w:sz="4" w:space="0"/>
              <w:left w:val="single" w:color="auto" w:sz="4" w:space="0"/>
              <w:bottom w:val="single" w:color="auto" w:sz="4" w:space="0"/>
              <w:right w:val="single" w:color="auto" w:sz="4" w:space="0"/>
            </w:tcBorders>
            <w:vAlign w:val="center"/>
          </w:tcPr>
          <w:p w14:paraId="59CC71EB">
            <w:pPr>
              <w:jc w:val="center"/>
              <w:rPr>
                <w:rFonts w:ascii="宋体" w:hAnsi="宋体"/>
                <w:color w:val="auto"/>
                <w:szCs w:val="21"/>
                <w:highlight w:val="none"/>
              </w:rPr>
            </w:pPr>
            <w:r>
              <w:rPr>
                <w:rFonts w:hint="eastAsia" w:ascii="宋体" w:hAnsi="宋体"/>
                <w:color w:val="auto"/>
                <w:szCs w:val="21"/>
                <w:highlight w:val="none"/>
              </w:rPr>
              <w:t>招标代理机构</w:t>
            </w:r>
          </w:p>
        </w:tc>
        <w:tc>
          <w:tcPr>
            <w:tcW w:w="5865" w:type="dxa"/>
            <w:tcBorders>
              <w:top w:val="single" w:color="auto" w:sz="4" w:space="0"/>
              <w:left w:val="single" w:color="auto" w:sz="4" w:space="0"/>
              <w:bottom w:val="single" w:color="auto" w:sz="4" w:space="0"/>
              <w:right w:val="single" w:color="auto" w:sz="4" w:space="0"/>
            </w:tcBorders>
            <w:vAlign w:val="center"/>
          </w:tcPr>
          <w:p w14:paraId="5E22176D">
            <w:pPr>
              <w:spacing w:line="360" w:lineRule="exact"/>
              <w:rPr>
                <w:rFonts w:ascii="宋体" w:hAnsi="宋体" w:cs="宋体"/>
                <w:color w:val="auto"/>
                <w:szCs w:val="21"/>
                <w:highlight w:val="none"/>
              </w:rPr>
            </w:pPr>
            <w:r>
              <w:rPr>
                <w:rFonts w:hint="eastAsia" w:ascii="宋体" w:hAnsi="宋体" w:cs="宋体"/>
                <w:color w:val="auto"/>
                <w:szCs w:val="21"/>
                <w:highlight w:val="none"/>
              </w:rPr>
              <w:t>招标代理机构：</w:t>
            </w:r>
            <w:r>
              <w:rPr>
                <w:rFonts w:hint="eastAsia" w:ascii="宋体" w:hAnsi="宋体" w:cs="宋体"/>
                <w:color w:val="auto"/>
                <w:szCs w:val="21"/>
                <w:highlight w:val="none"/>
                <w:u w:val="single"/>
              </w:rPr>
              <w:t>建成工程咨询股份有限公司</w:t>
            </w:r>
          </w:p>
          <w:p w14:paraId="0F44A9AD">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广州市越秀区东风中路318号22楼</w:t>
            </w:r>
          </w:p>
          <w:p w14:paraId="43158556">
            <w:pPr>
              <w:spacing w:line="360" w:lineRule="exact"/>
              <w:rPr>
                <w:rFonts w:ascii="宋体" w:hAnsi="宋体" w:cs="宋体"/>
                <w:color w:val="auto"/>
                <w:szCs w:val="21"/>
                <w:highlight w:val="none"/>
              </w:rPr>
            </w:pPr>
            <w:r>
              <w:rPr>
                <w:rFonts w:hint="eastAsia" w:ascii="宋体" w:hAnsi="宋体" w:cs="宋体"/>
                <w:color w:val="auto"/>
                <w:szCs w:val="21"/>
                <w:highlight w:val="none"/>
              </w:rPr>
              <w:t>联 系 人：</w:t>
            </w:r>
            <w:r>
              <w:rPr>
                <w:rFonts w:hint="eastAsia" w:ascii="宋体" w:hAnsi="宋体" w:cs="宋体"/>
                <w:color w:val="auto"/>
                <w:szCs w:val="21"/>
                <w:highlight w:val="none"/>
                <w:u w:val="single"/>
              </w:rPr>
              <w:t>梁工</w:t>
            </w:r>
            <w:r>
              <w:rPr>
                <w:rFonts w:hint="eastAsia" w:ascii="宋体" w:hAnsi="宋体" w:cs="宋体"/>
                <w:color w:val="auto"/>
                <w:szCs w:val="21"/>
                <w:highlight w:val="none"/>
              </w:rPr>
              <w:t xml:space="preserve">    </w:t>
            </w:r>
          </w:p>
          <w:p w14:paraId="52F7876F">
            <w:pPr>
              <w:rPr>
                <w:rFonts w:ascii="宋体" w:hAnsi="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020-83630072</w:t>
            </w:r>
          </w:p>
        </w:tc>
      </w:tr>
      <w:tr w14:paraId="0F75861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2E34F22">
            <w:pPr>
              <w:jc w:val="center"/>
              <w:rPr>
                <w:rFonts w:ascii="宋体" w:hAnsi="宋体"/>
                <w:color w:val="auto"/>
                <w:szCs w:val="21"/>
                <w:highlight w:val="none"/>
              </w:rPr>
            </w:pPr>
            <w:r>
              <w:rPr>
                <w:rFonts w:ascii="宋体" w:hAnsi="宋体"/>
                <w:color w:val="auto"/>
                <w:szCs w:val="21"/>
                <w:highlight w:val="none"/>
              </w:rPr>
              <w:t>1.1.4</w:t>
            </w:r>
          </w:p>
        </w:tc>
        <w:tc>
          <w:tcPr>
            <w:tcW w:w="2292" w:type="dxa"/>
            <w:tcBorders>
              <w:top w:val="single" w:color="auto" w:sz="4" w:space="0"/>
              <w:left w:val="single" w:color="auto" w:sz="4" w:space="0"/>
              <w:bottom w:val="single" w:color="auto" w:sz="4" w:space="0"/>
              <w:right w:val="single" w:color="auto" w:sz="4" w:space="0"/>
            </w:tcBorders>
            <w:vAlign w:val="center"/>
          </w:tcPr>
          <w:p w14:paraId="3CA54F87">
            <w:pPr>
              <w:jc w:val="center"/>
              <w:rPr>
                <w:rFonts w:ascii="宋体" w:hAnsi="宋体"/>
                <w:color w:val="auto"/>
                <w:szCs w:val="21"/>
                <w:highlight w:val="none"/>
                <w:u w:val="single"/>
              </w:rPr>
            </w:pPr>
            <w:r>
              <w:rPr>
                <w:rFonts w:hint="eastAsia" w:ascii="宋体" w:hAnsi="宋体"/>
                <w:color w:val="auto"/>
                <w:szCs w:val="21"/>
                <w:highlight w:val="none"/>
                <w:u w:val="single"/>
              </w:rPr>
              <w:t>招标项目名称</w:t>
            </w:r>
          </w:p>
        </w:tc>
        <w:tc>
          <w:tcPr>
            <w:tcW w:w="5865" w:type="dxa"/>
            <w:tcBorders>
              <w:top w:val="single" w:color="auto" w:sz="4" w:space="0"/>
              <w:left w:val="single" w:color="auto" w:sz="4" w:space="0"/>
              <w:bottom w:val="single" w:color="auto" w:sz="4" w:space="0"/>
              <w:right w:val="single" w:color="auto" w:sz="4" w:space="0"/>
            </w:tcBorders>
            <w:vAlign w:val="center"/>
          </w:tcPr>
          <w:p w14:paraId="2D80A493">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u w:val="single"/>
                <w:lang w:eastAsia="zh-CN"/>
              </w:rPr>
              <w:t>半导体多芯片堆叠大尺寸封装基板产品制造项目厂房建设项目施工监理</w:t>
            </w:r>
          </w:p>
        </w:tc>
      </w:tr>
      <w:tr w14:paraId="738B9DC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1FCE120">
            <w:pPr>
              <w:jc w:val="center"/>
              <w:rPr>
                <w:rFonts w:ascii="宋体" w:hAnsi="宋体"/>
                <w:color w:val="auto"/>
                <w:szCs w:val="21"/>
                <w:highlight w:val="none"/>
              </w:rPr>
            </w:pPr>
            <w:r>
              <w:rPr>
                <w:rFonts w:ascii="宋体" w:hAnsi="宋体"/>
                <w:color w:val="auto"/>
                <w:szCs w:val="21"/>
                <w:highlight w:val="none"/>
              </w:rPr>
              <w:t>1.1.5</w:t>
            </w:r>
          </w:p>
        </w:tc>
        <w:tc>
          <w:tcPr>
            <w:tcW w:w="2292" w:type="dxa"/>
            <w:tcBorders>
              <w:top w:val="single" w:color="auto" w:sz="4" w:space="0"/>
              <w:left w:val="single" w:color="auto" w:sz="4" w:space="0"/>
              <w:bottom w:val="single" w:color="auto" w:sz="4" w:space="0"/>
              <w:right w:val="single" w:color="auto" w:sz="4" w:space="0"/>
            </w:tcBorders>
            <w:vAlign w:val="center"/>
          </w:tcPr>
          <w:p w14:paraId="0A2692AE">
            <w:pPr>
              <w:jc w:val="center"/>
              <w:rPr>
                <w:rFonts w:ascii="宋体" w:hAnsi="宋体"/>
                <w:color w:val="auto"/>
                <w:szCs w:val="21"/>
                <w:highlight w:val="none"/>
              </w:rPr>
            </w:pPr>
            <w:r>
              <w:rPr>
                <w:rFonts w:hint="eastAsia" w:ascii="宋体" w:hAnsi="宋体"/>
                <w:color w:val="auto"/>
                <w:szCs w:val="21"/>
                <w:highlight w:val="none"/>
              </w:rPr>
              <w:t>项目建设地点</w:t>
            </w:r>
          </w:p>
        </w:tc>
        <w:tc>
          <w:tcPr>
            <w:tcW w:w="5865" w:type="dxa"/>
            <w:tcBorders>
              <w:top w:val="single" w:color="auto" w:sz="4" w:space="0"/>
              <w:left w:val="single" w:color="auto" w:sz="4" w:space="0"/>
              <w:bottom w:val="single" w:color="auto" w:sz="4" w:space="0"/>
              <w:right w:val="single" w:color="auto" w:sz="4" w:space="0"/>
            </w:tcBorders>
            <w:vAlign w:val="center"/>
          </w:tcPr>
          <w:p w14:paraId="7EA4E296">
            <w:pPr>
              <w:jc w:val="left"/>
              <w:rPr>
                <w:rFonts w:ascii="宋体" w:hAnsi="宋体"/>
                <w:color w:val="auto"/>
                <w:szCs w:val="21"/>
                <w:highlight w:val="none"/>
                <w:u w:val="single"/>
              </w:rPr>
            </w:pPr>
            <w:r>
              <w:rPr>
                <w:rFonts w:hint="eastAsia" w:ascii="宋体" w:hAnsi="宋体"/>
                <w:color w:val="auto"/>
                <w:szCs w:val="21"/>
                <w:highlight w:val="none"/>
                <w:u w:val="single"/>
              </w:rPr>
              <w:t>详见招标公</w:t>
            </w:r>
            <w:r>
              <w:rPr>
                <w:rFonts w:hint="eastAsia" w:ascii="宋体" w:hAnsi="宋体" w:cs="宋体"/>
                <w:color w:val="auto"/>
                <w:szCs w:val="21"/>
                <w:highlight w:val="none"/>
                <w:u w:val="single"/>
              </w:rPr>
              <w:t>告</w:t>
            </w:r>
          </w:p>
        </w:tc>
      </w:tr>
      <w:tr w14:paraId="69A86D4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A9EEA89">
            <w:pPr>
              <w:jc w:val="center"/>
              <w:rPr>
                <w:rFonts w:ascii="宋体" w:hAnsi="宋体"/>
                <w:color w:val="auto"/>
                <w:szCs w:val="21"/>
                <w:highlight w:val="none"/>
              </w:rPr>
            </w:pPr>
            <w:r>
              <w:rPr>
                <w:rFonts w:ascii="宋体" w:hAnsi="宋体"/>
                <w:color w:val="auto"/>
                <w:szCs w:val="21"/>
                <w:highlight w:val="none"/>
              </w:rPr>
              <w:t>1.1.6</w:t>
            </w:r>
          </w:p>
        </w:tc>
        <w:tc>
          <w:tcPr>
            <w:tcW w:w="2292" w:type="dxa"/>
            <w:tcBorders>
              <w:top w:val="single" w:color="auto" w:sz="4" w:space="0"/>
              <w:left w:val="single" w:color="auto" w:sz="4" w:space="0"/>
              <w:bottom w:val="single" w:color="auto" w:sz="4" w:space="0"/>
              <w:right w:val="single" w:color="auto" w:sz="4" w:space="0"/>
            </w:tcBorders>
            <w:vAlign w:val="center"/>
          </w:tcPr>
          <w:p w14:paraId="20BE545E">
            <w:pPr>
              <w:jc w:val="center"/>
              <w:rPr>
                <w:rFonts w:ascii="宋体" w:hAnsi="宋体"/>
                <w:color w:val="auto"/>
                <w:szCs w:val="21"/>
                <w:highlight w:val="none"/>
              </w:rPr>
            </w:pPr>
            <w:r>
              <w:rPr>
                <w:rFonts w:hint="eastAsia" w:ascii="宋体" w:hAnsi="宋体"/>
                <w:color w:val="auto"/>
                <w:szCs w:val="21"/>
                <w:highlight w:val="none"/>
              </w:rPr>
              <w:t>项目建设规模</w:t>
            </w:r>
          </w:p>
        </w:tc>
        <w:tc>
          <w:tcPr>
            <w:tcW w:w="5865" w:type="dxa"/>
            <w:tcBorders>
              <w:top w:val="single" w:color="auto" w:sz="4" w:space="0"/>
              <w:left w:val="single" w:color="auto" w:sz="4" w:space="0"/>
              <w:bottom w:val="single" w:color="auto" w:sz="4" w:space="0"/>
              <w:right w:val="single" w:color="auto" w:sz="4" w:space="0"/>
            </w:tcBorders>
            <w:vAlign w:val="center"/>
          </w:tcPr>
          <w:p w14:paraId="33E871A7">
            <w:pPr>
              <w:rPr>
                <w:rFonts w:ascii="宋体" w:hAnsi="宋体"/>
                <w:color w:val="auto"/>
                <w:szCs w:val="21"/>
                <w:highlight w:val="none"/>
                <w:u w:val="single"/>
              </w:rPr>
            </w:pPr>
            <w:r>
              <w:rPr>
                <w:rFonts w:hint="eastAsia" w:ascii="宋体" w:hAnsi="宋体"/>
                <w:color w:val="auto"/>
                <w:szCs w:val="21"/>
                <w:highlight w:val="none"/>
                <w:u w:val="single"/>
              </w:rPr>
              <w:t>详见招标公告</w:t>
            </w:r>
          </w:p>
        </w:tc>
      </w:tr>
      <w:tr w14:paraId="4DD09B72">
        <w:tblPrEx>
          <w:tblCellMar>
            <w:top w:w="0" w:type="dxa"/>
            <w:left w:w="108" w:type="dxa"/>
            <w:bottom w:w="0" w:type="dxa"/>
            <w:right w:w="108" w:type="dxa"/>
          </w:tblCellMar>
        </w:tblPrEx>
        <w:trPr>
          <w:trHeight w:val="840" w:hRule="atLeast"/>
        </w:trPr>
        <w:tc>
          <w:tcPr>
            <w:tcW w:w="1165" w:type="dxa"/>
            <w:tcBorders>
              <w:top w:val="single" w:color="auto" w:sz="4" w:space="0"/>
              <w:left w:val="single" w:color="auto" w:sz="4" w:space="0"/>
              <w:bottom w:val="single" w:color="auto" w:sz="4" w:space="0"/>
              <w:right w:val="single" w:color="auto" w:sz="4" w:space="0"/>
            </w:tcBorders>
            <w:vAlign w:val="center"/>
          </w:tcPr>
          <w:p w14:paraId="45A9A67C">
            <w:pPr>
              <w:jc w:val="center"/>
              <w:rPr>
                <w:rFonts w:ascii="宋体" w:hAnsi="宋体"/>
                <w:color w:val="auto"/>
                <w:szCs w:val="21"/>
                <w:highlight w:val="none"/>
              </w:rPr>
            </w:pPr>
            <w:r>
              <w:rPr>
                <w:rFonts w:ascii="宋体" w:hAnsi="宋体"/>
                <w:color w:val="auto"/>
                <w:szCs w:val="21"/>
                <w:highlight w:val="none"/>
              </w:rPr>
              <w:t>1.1.7</w:t>
            </w:r>
          </w:p>
        </w:tc>
        <w:tc>
          <w:tcPr>
            <w:tcW w:w="2292" w:type="dxa"/>
            <w:tcBorders>
              <w:top w:val="single" w:color="auto" w:sz="4" w:space="0"/>
              <w:left w:val="single" w:color="auto" w:sz="4" w:space="0"/>
              <w:bottom w:val="single" w:color="auto" w:sz="4" w:space="0"/>
              <w:right w:val="single" w:color="auto" w:sz="4" w:space="0"/>
            </w:tcBorders>
            <w:vAlign w:val="center"/>
          </w:tcPr>
          <w:p w14:paraId="6DF75A49">
            <w:pPr>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5865" w:type="dxa"/>
            <w:tcBorders>
              <w:top w:val="single" w:color="auto" w:sz="4" w:space="0"/>
              <w:left w:val="single" w:color="auto" w:sz="4" w:space="0"/>
              <w:bottom w:val="single" w:color="auto" w:sz="4" w:space="0"/>
              <w:right w:val="single" w:color="auto" w:sz="4" w:space="0"/>
            </w:tcBorders>
            <w:vAlign w:val="center"/>
          </w:tcPr>
          <w:p w14:paraId="2857C7BA">
            <w:pPr>
              <w:rPr>
                <w:rFonts w:ascii="宋体" w:hAnsi="宋体"/>
                <w:color w:val="auto"/>
                <w:szCs w:val="21"/>
                <w:highlight w:val="none"/>
                <w:u w:val="single"/>
              </w:rPr>
            </w:pPr>
            <w:r>
              <w:rPr>
                <w:rFonts w:hint="eastAsia" w:ascii="宋体" w:hAnsi="宋体" w:cs="宋体"/>
                <w:color w:val="auto"/>
                <w:szCs w:val="21"/>
                <w:highlight w:val="none"/>
              </w:rPr>
              <w:t>工程项目施工预计开工日期：</w:t>
            </w:r>
            <w:r>
              <w:rPr>
                <w:rFonts w:hint="eastAsia" w:ascii="宋体" w:hAnsi="宋体" w:cs="宋体"/>
                <w:color w:val="auto"/>
                <w:szCs w:val="21"/>
                <w:highlight w:val="none"/>
                <w:lang w:val="en-US" w:eastAsia="zh-CN"/>
              </w:rPr>
              <w:t xml:space="preserve">2026年1月1日 </w:t>
            </w:r>
            <w:r>
              <w:rPr>
                <w:rFonts w:hint="eastAsia" w:ascii="宋体" w:hAnsi="宋体" w:cs="宋体"/>
                <w:color w:val="auto"/>
                <w:szCs w:val="21"/>
                <w:highlight w:val="none"/>
              </w:rPr>
              <w:t>（不含竣工验收、结算时间），具体开工日期以监理单位或甲方发出通知之日起算。</w:t>
            </w:r>
          </w:p>
        </w:tc>
      </w:tr>
      <w:tr w14:paraId="06025C87">
        <w:tblPrEx>
          <w:tblCellMar>
            <w:top w:w="0" w:type="dxa"/>
            <w:left w:w="108" w:type="dxa"/>
            <w:bottom w:w="0" w:type="dxa"/>
            <w:right w:w="108" w:type="dxa"/>
          </w:tblCellMar>
        </w:tblPrEx>
        <w:trPr>
          <w:trHeight w:val="412" w:hRule="atLeast"/>
        </w:trPr>
        <w:tc>
          <w:tcPr>
            <w:tcW w:w="1165" w:type="dxa"/>
            <w:tcBorders>
              <w:top w:val="single" w:color="auto" w:sz="4" w:space="0"/>
              <w:left w:val="single" w:color="auto" w:sz="4" w:space="0"/>
              <w:bottom w:val="single" w:color="auto" w:sz="4" w:space="0"/>
              <w:right w:val="single" w:color="auto" w:sz="4" w:space="0"/>
            </w:tcBorders>
            <w:vAlign w:val="center"/>
          </w:tcPr>
          <w:p w14:paraId="6498EF72">
            <w:pPr>
              <w:jc w:val="center"/>
              <w:rPr>
                <w:rFonts w:ascii="宋体" w:hAnsi="宋体"/>
                <w:color w:val="auto"/>
                <w:szCs w:val="21"/>
                <w:highlight w:val="none"/>
              </w:rPr>
            </w:pPr>
            <w:r>
              <w:rPr>
                <w:rFonts w:ascii="宋体" w:hAnsi="宋体"/>
                <w:color w:val="auto"/>
                <w:szCs w:val="21"/>
                <w:highlight w:val="none"/>
              </w:rPr>
              <w:t>1.1.8</w:t>
            </w:r>
          </w:p>
        </w:tc>
        <w:tc>
          <w:tcPr>
            <w:tcW w:w="2292" w:type="dxa"/>
            <w:tcBorders>
              <w:top w:val="single" w:color="auto" w:sz="4" w:space="0"/>
              <w:left w:val="single" w:color="auto" w:sz="4" w:space="0"/>
              <w:bottom w:val="single" w:color="auto" w:sz="4" w:space="0"/>
              <w:right w:val="single" w:color="auto" w:sz="4" w:space="0"/>
            </w:tcBorders>
            <w:vAlign w:val="center"/>
          </w:tcPr>
          <w:p w14:paraId="7A709841">
            <w:pPr>
              <w:jc w:val="center"/>
              <w:rPr>
                <w:rFonts w:ascii="宋体" w:hAnsi="宋体"/>
                <w:color w:val="auto"/>
                <w:szCs w:val="21"/>
                <w:highlight w:val="none"/>
              </w:rPr>
            </w:pPr>
            <w:r>
              <w:rPr>
                <w:rFonts w:ascii="宋体" w:hAnsi="宋体"/>
                <w:color w:val="auto"/>
                <w:szCs w:val="21"/>
                <w:highlight w:val="none"/>
              </w:rPr>
              <w:t>建筑安装工程费</w:t>
            </w:r>
          </w:p>
        </w:tc>
        <w:tc>
          <w:tcPr>
            <w:tcW w:w="5865" w:type="dxa"/>
            <w:tcBorders>
              <w:top w:val="single" w:color="auto" w:sz="4" w:space="0"/>
              <w:left w:val="single" w:color="auto" w:sz="4" w:space="0"/>
              <w:bottom w:val="single" w:color="auto" w:sz="4" w:space="0"/>
              <w:right w:val="single" w:color="auto" w:sz="4" w:space="0"/>
            </w:tcBorders>
            <w:vAlign w:val="center"/>
          </w:tcPr>
          <w:p w14:paraId="16C1BEC9">
            <w:pPr>
              <w:rPr>
                <w:rFonts w:ascii="宋体" w:hAnsi="宋体"/>
                <w:color w:val="auto"/>
                <w:szCs w:val="21"/>
                <w:highlight w:val="none"/>
                <w:u w:val="single"/>
              </w:rPr>
            </w:pPr>
            <w:r>
              <w:rPr>
                <w:rFonts w:hint="eastAsia" w:ascii="宋体" w:hAnsi="宋体" w:cs="宋体"/>
                <w:color w:val="auto"/>
                <w:szCs w:val="21"/>
                <w:highlight w:val="none"/>
                <w:u w:val="single"/>
              </w:rPr>
              <w:t>详见招标公告</w:t>
            </w:r>
          </w:p>
        </w:tc>
      </w:tr>
      <w:tr w14:paraId="06C69723">
        <w:tblPrEx>
          <w:tblCellMar>
            <w:top w:w="0" w:type="dxa"/>
            <w:left w:w="108" w:type="dxa"/>
            <w:bottom w:w="0" w:type="dxa"/>
            <w:right w:w="108" w:type="dxa"/>
          </w:tblCellMar>
        </w:tblPrEx>
        <w:trPr>
          <w:trHeight w:val="480" w:hRule="atLeast"/>
        </w:trPr>
        <w:tc>
          <w:tcPr>
            <w:tcW w:w="1165" w:type="dxa"/>
            <w:tcBorders>
              <w:top w:val="single" w:color="auto" w:sz="4" w:space="0"/>
              <w:left w:val="single" w:color="auto" w:sz="4" w:space="0"/>
              <w:bottom w:val="single" w:color="auto" w:sz="4" w:space="0"/>
              <w:right w:val="single" w:color="auto" w:sz="4" w:space="0"/>
            </w:tcBorders>
            <w:vAlign w:val="center"/>
          </w:tcPr>
          <w:p w14:paraId="596FF3EA">
            <w:pPr>
              <w:jc w:val="center"/>
              <w:rPr>
                <w:rFonts w:ascii="宋体" w:hAnsi="宋体"/>
                <w:color w:val="auto"/>
                <w:szCs w:val="21"/>
                <w:highlight w:val="none"/>
              </w:rPr>
            </w:pPr>
            <w:r>
              <w:rPr>
                <w:rFonts w:ascii="宋体" w:hAnsi="宋体"/>
                <w:color w:val="auto"/>
                <w:szCs w:val="21"/>
                <w:highlight w:val="none"/>
              </w:rPr>
              <w:t>1.2.1</w:t>
            </w:r>
          </w:p>
        </w:tc>
        <w:tc>
          <w:tcPr>
            <w:tcW w:w="2292" w:type="dxa"/>
            <w:tcBorders>
              <w:top w:val="single" w:color="auto" w:sz="4" w:space="0"/>
              <w:left w:val="single" w:color="auto" w:sz="4" w:space="0"/>
              <w:bottom w:val="single" w:color="auto" w:sz="4" w:space="0"/>
              <w:right w:val="single" w:color="auto" w:sz="4" w:space="0"/>
            </w:tcBorders>
            <w:vAlign w:val="center"/>
          </w:tcPr>
          <w:p w14:paraId="6FBEE392">
            <w:pPr>
              <w:jc w:val="center"/>
              <w:rPr>
                <w:rFonts w:ascii="宋体" w:hAnsi="宋体"/>
                <w:color w:val="auto"/>
                <w:szCs w:val="21"/>
                <w:highlight w:val="none"/>
              </w:rPr>
            </w:pPr>
            <w:r>
              <w:rPr>
                <w:rFonts w:hint="eastAsia" w:ascii="宋体" w:hAnsi="宋体"/>
                <w:color w:val="auto"/>
                <w:szCs w:val="21"/>
                <w:highlight w:val="none"/>
              </w:rPr>
              <w:t>资金来源及比例</w:t>
            </w:r>
          </w:p>
        </w:tc>
        <w:tc>
          <w:tcPr>
            <w:tcW w:w="5865" w:type="dxa"/>
            <w:tcBorders>
              <w:top w:val="single" w:color="auto" w:sz="4" w:space="0"/>
              <w:left w:val="single" w:color="auto" w:sz="4" w:space="0"/>
              <w:bottom w:val="single" w:color="auto" w:sz="4" w:space="0"/>
              <w:right w:val="single" w:color="auto" w:sz="4" w:space="0"/>
            </w:tcBorders>
            <w:vAlign w:val="center"/>
          </w:tcPr>
          <w:p w14:paraId="7C719DC5">
            <w:pPr>
              <w:rPr>
                <w:rFonts w:ascii="宋体" w:hAnsi="宋体"/>
                <w:color w:val="auto"/>
                <w:szCs w:val="21"/>
                <w:highlight w:val="none"/>
                <w:u w:val="single"/>
              </w:rPr>
            </w:pPr>
            <w:r>
              <w:rPr>
                <w:rFonts w:hint="eastAsia" w:ascii="宋体" w:hAnsi="宋体"/>
                <w:color w:val="auto"/>
                <w:szCs w:val="21"/>
                <w:highlight w:val="none"/>
                <w:u w:val="single"/>
              </w:rPr>
              <w:t xml:space="preserve">企业自筹，比例100% </w:t>
            </w:r>
          </w:p>
        </w:tc>
      </w:tr>
      <w:tr w14:paraId="6D4C6B4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7B6E07E">
            <w:pPr>
              <w:jc w:val="center"/>
              <w:rPr>
                <w:rFonts w:ascii="宋体" w:hAnsi="宋体"/>
                <w:color w:val="auto"/>
                <w:szCs w:val="21"/>
                <w:highlight w:val="none"/>
              </w:rPr>
            </w:pPr>
            <w:r>
              <w:rPr>
                <w:rFonts w:ascii="宋体" w:hAnsi="宋体"/>
                <w:color w:val="auto"/>
                <w:szCs w:val="21"/>
                <w:highlight w:val="none"/>
              </w:rPr>
              <w:t>1.2.2</w:t>
            </w:r>
          </w:p>
        </w:tc>
        <w:tc>
          <w:tcPr>
            <w:tcW w:w="2292" w:type="dxa"/>
            <w:tcBorders>
              <w:top w:val="single" w:color="auto" w:sz="4" w:space="0"/>
              <w:left w:val="single" w:color="auto" w:sz="4" w:space="0"/>
              <w:bottom w:val="single" w:color="auto" w:sz="4" w:space="0"/>
              <w:right w:val="single" w:color="auto" w:sz="4" w:space="0"/>
            </w:tcBorders>
            <w:vAlign w:val="center"/>
          </w:tcPr>
          <w:p w14:paraId="015EBD9B">
            <w:pPr>
              <w:jc w:val="center"/>
              <w:rPr>
                <w:rFonts w:ascii="宋体" w:hAnsi="宋体"/>
                <w:color w:val="auto"/>
                <w:szCs w:val="21"/>
                <w:highlight w:val="none"/>
              </w:rPr>
            </w:pPr>
            <w:r>
              <w:rPr>
                <w:rFonts w:hint="eastAsia" w:ascii="宋体" w:hAnsi="宋体"/>
                <w:color w:val="auto"/>
                <w:szCs w:val="21"/>
                <w:highlight w:val="none"/>
              </w:rPr>
              <w:t>资金落实情况</w:t>
            </w:r>
          </w:p>
        </w:tc>
        <w:tc>
          <w:tcPr>
            <w:tcW w:w="5865" w:type="dxa"/>
            <w:tcBorders>
              <w:top w:val="single" w:color="auto" w:sz="4" w:space="0"/>
              <w:left w:val="single" w:color="auto" w:sz="4" w:space="0"/>
              <w:bottom w:val="single" w:color="auto" w:sz="4" w:space="0"/>
              <w:right w:val="single" w:color="auto" w:sz="4" w:space="0"/>
            </w:tcBorders>
            <w:vAlign w:val="center"/>
          </w:tcPr>
          <w:p w14:paraId="3336328C">
            <w:pPr>
              <w:rPr>
                <w:rFonts w:ascii="宋体" w:hAnsi="宋体"/>
                <w:color w:val="auto"/>
                <w:szCs w:val="21"/>
                <w:highlight w:val="none"/>
                <w:u w:val="single"/>
              </w:rPr>
            </w:pPr>
            <w:r>
              <w:rPr>
                <w:rFonts w:hint="eastAsia" w:ascii="宋体" w:hAnsi="宋体"/>
                <w:color w:val="auto"/>
                <w:szCs w:val="21"/>
                <w:highlight w:val="none"/>
                <w:u w:val="single"/>
              </w:rPr>
              <w:t>资金已落实</w:t>
            </w:r>
          </w:p>
        </w:tc>
      </w:tr>
      <w:tr w14:paraId="1D9EE5E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483F2F2">
            <w:pPr>
              <w:jc w:val="center"/>
              <w:rPr>
                <w:rFonts w:ascii="宋体" w:hAnsi="宋体"/>
                <w:color w:val="auto"/>
                <w:szCs w:val="21"/>
                <w:highlight w:val="none"/>
              </w:rPr>
            </w:pPr>
            <w:r>
              <w:rPr>
                <w:rFonts w:ascii="宋体" w:hAnsi="宋体"/>
                <w:color w:val="auto"/>
                <w:szCs w:val="21"/>
                <w:highlight w:val="none"/>
              </w:rPr>
              <w:t>1.3.1</w:t>
            </w:r>
          </w:p>
        </w:tc>
        <w:tc>
          <w:tcPr>
            <w:tcW w:w="2292" w:type="dxa"/>
            <w:tcBorders>
              <w:top w:val="single" w:color="auto" w:sz="4" w:space="0"/>
              <w:left w:val="single" w:color="auto" w:sz="4" w:space="0"/>
              <w:bottom w:val="single" w:color="auto" w:sz="4" w:space="0"/>
              <w:right w:val="single" w:color="auto" w:sz="4" w:space="0"/>
            </w:tcBorders>
            <w:vAlign w:val="center"/>
          </w:tcPr>
          <w:p w14:paraId="400F3074">
            <w:pPr>
              <w:jc w:val="center"/>
              <w:rPr>
                <w:rFonts w:ascii="宋体" w:hAnsi="宋体"/>
                <w:color w:val="auto"/>
                <w:szCs w:val="21"/>
                <w:highlight w:val="none"/>
              </w:rPr>
            </w:pPr>
            <w:r>
              <w:rPr>
                <w:rFonts w:hint="eastAsia" w:ascii="宋体" w:hAnsi="宋体"/>
                <w:color w:val="auto"/>
                <w:szCs w:val="21"/>
                <w:highlight w:val="none"/>
              </w:rPr>
              <w:t>招标范围</w:t>
            </w:r>
          </w:p>
        </w:tc>
        <w:tc>
          <w:tcPr>
            <w:tcW w:w="5865" w:type="dxa"/>
            <w:tcBorders>
              <w:top w:val="single" w:color="auto" w:sz="4" w:space="0"/>
              <w:left w:val="single" w:color="auto" w:sz="4" w:space="0"/>
              <w:bottom w:val="single" w:color="auto" w:sz="4" w:space="0"/>
              <w:right w:val="single" w:color="auto" w:sz="4" w:space="0"/>
            </w:tcBorders>
            <w:vAlign w:val="center"/>
          </w:tcPr>
          <w:p w14:paraId="2D823453">
            <w:pPr>
              <w:rPr>
                <w:rFonts w:ascii="宋体" w:hAnsi="宋体"/>
                <w:color w:val="auto"/>
                <w:szCs w:val="21"/>
                <w:highlight w:val="none"/>
                <w:u w:val="single"/>
              </w:rPr>
            </w:pPr>
            <w:r>
              <w:rPr>
                <w:rFonts w:hint="eastAsia" w:ascii="宋体" w:hAnsi="宋体" w:cs="宋体"/>
                <w:color w:val="auto"/>
                <w:szCs w:val="21"/>
                <w:highlight w:val="none"/>
                <w:u w:val="single"/>
              </w:rPr>
              <w:t>详见招标公告</w:t>
            </w:r>
          </w:p>
        </w:tc>
      </w:tr>
      <w:tr w14:paraId="0C126B0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A69112B">
            <w:pPr>
              <w:jc w:val="center"/>
              <w:rPr>
                <w:rFonts w:ascii="宋体" w:hAnsi="宋体"/>
                <w:color w:val="auto"/>
                <w:szCs w:val="21"/>
                <w:highlight w:val="none"/>
              </w:rPr>
            </w:pPr>
            <w:r>
              <w:rPr>
                <w:rFonts w:ascii="宋体" w:hAnsi="宋体"/>
                <w:color w:val="auto"/>
                <w:szCs w:val="21"/>
                <w:highlight w:val="none"/>
              </w:rPr>
              <w:t>1.3.2</w:t>
            </w:r>
          </w:p>
        </w:tc>
        <w:tc>
          <w:tcPr>
            <w:tcW w:w="2292" w:type="dxa"/>
            <w:tcBorders>
              <w:top w:val="single" w:color="auto" w:sz="4" w:space="0"/>
              <w:left w:val="single" w:color="auto" w:sz="4" w:space="0"/>
              <w:bottom w:val="single" w:color="auto" w:sz="4" w:space="0"/>
              <w:right w:val="single" w:color="auto" w:sz="4" w:space="0"/>
            </w:tcBorders>
            <w:vAlign w:val="center"/>
          </w:tcPr>
          <w:p w14:paraId="4177643D">
            <w:pPr>
              <w:jc w:val="center"/>
              <w:rPr>
                <w:rFonts w:ascii="宋体" w:hAnsi="宋体"/>
                <w:color w:val="auto"/>
                <w:szCs w:val="21"/>
                <w:highlight w:val="none"/>
              </w:rPr>
            </w:pPr>
            <w:r>
              <w:rPr>
                <w:rFonts w:hint="eastAsia" w:ascii="宋体" w:hAnsi="宋体"/>
                <w:color w:val="auto"/>
                <w:szCs w:val="21"/>
                <w:highlight w:val="none"/>
              </w:rPr>
              <w:t>监理服务期限</w:t>
            </w:r>
          </w:p>
        </w:tc>
        <w:tc>
          <w:tcPr>
            <w:tcW w:w="5865" w:type="dxa"/>
            <w:tcBorders>
              <w:top w:val="single" w:color="auto" w:sz="4" w:space="0"/>
              <w:left w:val="single" w:color="auto" w:sz="4" w:space="0"/>
              <w:bottom w:val="single" w:color="auto" w:sz="4" w:space="0"/>
              <w:right w:val="single" w:color="auto" w:sz="4" w:space="0"/>
            </w:tcBorders>
            <w:vAlign w:val="center"/>
          </w:tcPr>
          <w:p w14:paraId="0996D941">
            <w:pPr>
              <w:rPr>
                <w:rFonts w:ascii="宋体" w:hAnsi="宋体"/>
                <w:color w:val="auto"/>
                <w:szCs w:val="21"/>
                <w:highlight w:val="none"/>
                <w:u w:val="single"/>
              </w:rPr>
            </w:pPr>
            <w:r>
              <w:rPr>
                <w:rFonts w:hint="eastAsia" w:ascii="宋体" w:hAnsi="宋体" w:cs="宋体"/>
                <w:color w:val="auto"/>
                <w:szCs w:val="21"/>
                <w:highlight w:val="none"/>
                <w:u w:val="single"/>
              </w:rPr>
              <w:t>详见招标公告</w:t>
            </w:r>
          </w:p>
        </w:tc>
      </w:tr>
      <w:tr w14:paraId="2F98C6E8">
        <w:tblPrEx>
          <w:tblCellMar>
            <w:top w:w="0" w:type="dxa"/>
            <w:left w:w="108" w:type="dxa"/>
            <w:bottom w:w="0" w:type="dxa"/>
            <w:right w:w="108" w:type="dxa"/>
          </w:tblCellMar>
        </w:tblPrEx>
        <w:trPr>
          <w:trHeight w:val="672" w:hRule="atLeast"/>
        </w:trPr>
        <w:tc>
          <w:tcPr>
            <w:tcW w:w="1165" w:type="dxa"/>
            <w:tcBorders>
              <w:top w:val="single" w:color="auto" w:sz="4" w:space="0"/>
              <w:left w:val="single" w:color="auto" w:sz="4" w:space="0"/>
              <w:bottom w:val="single" w:color="auto" w:sz="4" w:space="0"/>
              <w:right w:val="single" w:color="auto" w:sz="4" w:space="0"/>
            </w:tcBorders>
            <w:vAlign w:val="center"/>
          </w:tcPr>
          <w:p w14:paraId="1573D6A2">
            <w:pPr>
              <w:jc w:val="center"/>
              <w:rPr>
                <w:rFonts w:ascii="宋体" w:hAnsi="宋体"/>
                <w:color w:val="auto"/>
                <w:szCs w:val="21"/>
                <w:highlight w:val="none"/>
              </w:rPr>
            </w:pPr>
            <w:r>
              <w:rPr>
                <w:rFonts w:ascii="宋体" w:hAnsi="宋体"/>
                <w:color w:val="auto"/>
                <w:szCs w:val="21"/>
                <w:highlight w:val="none"/>
              </w:rPr>
              <w:t>1.3.3</w:t>
            </w:r>
          </w:p>
        </w:tc>
        <w:tc>
          <w:tcPr>
            <w:tcW w:w="2292" w:type="dxa"/>
            <w:tcBorders>
              <w:top w:val="single" w:color="auto" w:sz="4" w:space="0"/>
              <w:left w:val="single" w:color="auto" w:sz="4" w:space="0"/>
              <w:bottom w:val="single" w:color="auto" w:sz="4" w:space="0"/>
              <w:right w:val="single" w:color="auto" w:sz="4" w:space="0"/>
            </w:tcBorders>
            <w:vAlign w:val="center"/>
          </w:tcPr>
          <w:p w14:paraId="6CFCDA50">
            <w:pPr>
              <w:jc w:val="center"/>
              <w:rPr>
                <w:rFonts w:ascii="宋体" w:hAnsi="宋体"/>
                <w:color w:val="auto"/>
                <w:szCs w:val="21"/>
                <w:highlight w:val="none"/>
              </w:rPr>
            </w:pPr>
            <w:r>
              <w:rPr>
                <w:rFonts w:hint="eastAsia" w:ascii="宋体" w:hAnsi="宋体"/>
                <w:color w:val="auto"/>
                <w:szCs w:val="21"/>
                <w:highlight w:val="none"/>
              </w:rPr>
              <w:t>质量标准</w:t>
            </w:r>
          </w:p>
        </w:tc>
        <w:tc>
          <w:tcPr>
            <w:tcW w:w="5865" w:type="dxa"/>
            <w:tcBorders>
              <w:top w:val="single" w:color="auto" w:sz="4" w:space="0"/>
              <w:left w:val="single" w:color="auto" w:sz="4" w:space="0"/>
              <w:bottom w:val="single" w:color="auto" w:sz="4" w:space="0"/>
              <w:right w:val="single" w:color="auto" w:sz="4" w:space="0"/>
            </w:tcBorders>
            <w:vAlign w:val="center"/>
          </w:tcPr>
          <w:p w14:paraId="74D8C34A">
            <w:pPr>
              <w:rPr>
                <w:rFonts w:ascii="宋体" w:hAnsi="宋体"/>
                <w:color w:val="auto"/>
                <w:szCs w:val="21"/>
                <w:highlight w:val="none"/>
                <w:u w:val="single"/>
              </w:rPr>
            </w:pPr>
            <w:r>
              <w:rPr>
                <w:rFonts w:hint="eastAsia" w:ascii="宋体" w:hAnsi="宋体"/>
                <w:color w:val="auto"/>
                <w:szCs w:val="21"/>
                <w:highlight w:val="none"/>
                <w:u w:val="single"/>
              </w:rPr>
              <w:t>执行国家最新建筑施工规范标准、《建筑工程施工质量验收统一标准》及相关配套的各专业验收规范等，一次验收合格，不发生一般及以上工程质量事故。</w:t>
            </w:r>
          </w:p>
        </w:tc>
      </w:tr>
      <w:tr w14:paraId="1F66EA1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38245A6">
            <w:pPr>
              <w:jc w:val="center"/>
              <w:rPr>
                <w:rFonts w:ascii="宋体" w:hAnsi="宋体"/>
                <w:color w:val="auto"/>
                <w:szCs w:val="21"/>
                <w:highlight w:val="none"/>
              </w:rPr>
            </w:pPr>
            <w:r>
              <w:rPr>
                <w:rFonts w:ascii="宋体" w:hAnsi="宋体"/>
                <w:color w:val="auto"/>
                <w:szCs w:val="21"/>
                <w:highlight w:val="none"/>
              </w:rPr>
              <w:t>1.4.1</w:t>
            </w:r>
          </w:p>
        </w:tc>
        <w:tc>
          <w:tcPr>
            <w:tcW w:w="2292" w:type="dxa"/>
            <w:tcBorders>
              <w:top w:val="single" w:color="auto" w:sz="4" w:space="0"/>
              <w:left w:val="single" w:color="auto" w:sz="4" w:space="0"/>
              <w:bottom w:val="single" w:color="auto" w:sz="4" w:space="0"/>
              <w:right w:val="single" w:color="auto" w:sz="4" w:space="0"/>
            </w:tcBorders>
            <w:vAlign w:val="center"/>
          </w:tcPr>
          <w:p w14:paraId="254F6B6F">
            <w:pPr>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5865" w:type="dxa"/>
            <w:tcBorders>
              <w:top w:val="single" w:color="auto" w:sz="4" w:space="0"/>
              <w:left w:val="single" w:color="auto" w:sz="4" w:space="0"/>
              <w:bottom w:val="single" w:color="auto" w:sz="4" w:space="0"/>
              <w:right w:val="single" w:color="auto" w:sz="4" w:space="0"/>
            </w:tcBorders>
            <w:vAlign w:val="center"/>
          </w:tcPr>
          <w:p w14:paraId="74B72DAB">
            <w:pPr>
              <w:snapToGrid w:val="0"/>
              <w:spacing w:before="120"/>
              <w:rPr>
                <w:rFonts w:ascii="宋体" w:hAnsi="宋体"/>
                <w:color w:val="auto"/>
                <w:szCs w:val="21"/>
                <w:highlight w:val="none"/>
              </w:rPr>
            </w:pPr>
            <w:r>
              <w:rPr>
                <w:rFonts w:hint="eastAsia" w:ascii="宋体" w:hAnsi="宋体"/>
                <w:color w:val="auto"/>
                <w:szCs w:val="21"/>
                <w:highlight w:val="none"/>
              </w:rPr>
              <w:t>（1）资质要求：</w:t>
            </w:r>
            <w:r>
              <w:rPr>
                <w:rFonts w:hint="eastAsia" w:ascii="宋体" w:hAnsi="宋体"/>
                <w:color w:val="auto"/>
                <w:szCs w:val="21"/>
                <w:highlight w:val="none"/>
                <w:u w:val="single"/>
              </w:rPr>
              <w:t>见招标公告投标人资格要求。</w:t>
            </w:r>
          </w:p>
          <w:p w14:paraId="0775622B">
            <w:pPr>
              <w:snapToGrid w:val="0"/>
              <w:rPr>
                <w:rFonts w:ascii="宋体" w:hAnsi="宋体"/>
                <w:color w:val="auto"/>
                <w:szCs w:val="21"/>
                <w:highlight w:val="none"/>
              </w:rPr>
            </w:pPr>
            <w:r>
              <w:rPr>
                <w:rFonts w:hint="eastAsia" w:ascii="宋体" w:hAnsi="宋体"/>
                <w:color w:val="auto"/>
                <w:szCs w:val="21"/>
                <w:highlight w:val="none"/>
              </w:rPr>
              <w:t>（2）财务要求：</w:t>
            </w:r>
            <w:r>
              <w:rPr>
                <w:rFonts w:hint="eastAsia" w:ascii="宋体" w:hAnsi="宋体"/>
                <w:color w:val="auto"/>
                <w:szCs w:val="21"/>
                <w:highlight w:val="none"/>
                <w:u w:val="single"/>
              </w:rPr>
              <w:t>/</w:t>
            </w:r>
          </w:p>
          <w:p w14:paraId="6291D318">
            <w:pPr>
              <w:snapToGrid w:val="0"/>
              <w:rPr>
                <w:rFonts w:ascii="宋体" w:hAnsi="宋体"/>
                <w:color w:val="auto"/>
                <w:szCs w:val="21"/>
                <w:highlight w:val="none"/>
              </w:rPr>
            </w:pPr>
            <w:r>
              <w:rPr>
                <w:rFonts w:hint="eastAsia" w:ascii="宋体" w:hAnsi="宋体"/>
                <w:color w:val="auto"/>
                <w:szCs w:val="21"/>
                <w:highlight w:val="none"/>
              </w:rPr>
              <w:t>（3）业绩要求：</w:t>
            </w:r>
            <w:r>
              <w:rPr>
                <w:rFonts w:hint="eastAsia" w:ascii="宋体" w:hAnsi="宋体"/>
                <w:color w:val="auto"/>
                <w:szCs w:val="21"/>
                <w:highlight w:val="none"/>
                <w:u w:val="single"/>
              </w:rPr>
              <w:t>/</w:t>
            </w:r>
          </w:p>
          <w:p w14:paraId="71F33146">
            <w:pPr>
              <w:snapToGrid w:val="0"/>
              <w:rPr>
                <w:rFonts w:ascii="宋体" w:hAnsi="宋体"/>
                <w:color w:val="auto"/>
                <w:szCs w:val="21"/>
                <w:highlight w:val="none"/>
              </w:rPr>
            </w:pPr>
            <w:r>
              <w:rPr>
                <w:rFonts w:hint="eastAsia" w:ascii="宋体" w:hAnsi="宋体"/>
                <w:color w:val="auto"/>
                <w:szCs w:val="21"/>
                <w:highlight w:val="none"/>
              </w:rPr>
              <w:t>（4）信誉要求</w:t>
            </w:r>
            <w:r>
              <w:rPr>
                <w:rFonts w:hint="eastAsia" w:ascii="宋体" w:hAnsi="宋体"/>
                <w:color w:val="auto"/>
                <w:szCs w:val="21"/>
                <w:highlight w:val="none"/>
                <w:u w:val="single"/>
              </w:rPr>
              <w:t>/</w:t>
            </w:r>
          </w:p>
          <w:p w14:paraId="59CDFF0D">
            <w:pPr>
              <w:snapToGrid w:val="0"/>
              <w:ind w:right="106"/>
              <w:jc w:val="left"/>
              <w:rPr>
                <w:rFonts w:ascii="宋体" w:hAnsi="宋体"/>
                <w:color w:val="auto"/>
                <w:szCs w:val="21"/>
                <w:highlight w:val="none"/>
              </w:rPr>
            </w:pPr>
            <w:r>
              <w:rPr>
                <w:rFonts w:hint="eastAsia" w:ascii="宋体" w:hAnsi="宋体"/>
                <w:color w:val="auto"/>
                <w:szCs w:val="21"/>
                <w:highlight w:val="none"/>
              </w:rPr>
              <w:t>（5）总监理工程师的资格要求：</w:t>
            </w:r>
            <w:r>
              <w:rPr>
                <w:rFonts w:hint="eastAsia" w:ascii="宋体" w:hAnsi="宋体"/>
                <w:color w:val="auto"/>
                <w:szCs w:val="21"/>
                <w:highlight w:val="none"/>
                <w:u w:val="single"/>
              </w:rPr>
              <w:t>见招标公告投标人资格要求。</w:t>
            </w:r>
          </w:p>
          <w:p w14:paraId="75AB01AA">
            <w:pPr>
              <w:snapToGrid w:val="0"/>
              <w:ind w:right="106"/>
              <w:rPr>
                <w:rFonts w:ascii="宋体" w:hAnsi="宋体"/>
                <w:color w:val="auto"/>
                <w:szCs w:val="21"/>
                <w:highlight w:val="none"/>
              </w:rPr>
            </w:pPr>
            <w:r>
              <w:rPr>
                <w:rFonts w:hint="eastAsia" w:ascii="宋体" w:hAnsi="宋体"/>
                <w:color w:val="auto"/>
                <w:szCs w:val="21"/>
                <w:highlight w:val="none"/>
              </w:rPr>
              <w:t>（6）其他主要人员要求：</w:t>
            </w:r>
            <w:r>
              <w:rPr>
                <w:rFonts w:hint="eastAsia" w:ascii="宋体" w:hAnsi="宋体"/>
                <w:color w:val="auto"/>
                <w:szCs w:val="21"/>
                <w:highlight w:val="none"/>
                <w:u w:val="single"/>
              </w:rPr>
              <w:t>/</w:t>
            </w:r>
          </w:p>
          <w:p w14:paraId="1AAEC941">
            <w:pPr>
              <w:tabs>
                <w:tab w:val="right" w:pos="6060"/>
              </w:tabs>
              <w:snapToGrid w:val="0"/>
              <w:rPr>
                <w:rFonts w:ascii="宋体" w:hAnsi="宋体"/>
                <w:color w:val="auto"/>
                <w:szCs w:val="21"/>
                <w:highlight w:val="none"/>
              </w:rPr>
            </w:pPr>
            <w:r>
              <w:rPr>
                <w:rFonts w:hint="eastAsia" w:ascii="宋体" w:hAnsi="宋体"/>
                <w:color w:val="auto"/>
                <w:szCs w:val="21"/>
                <w:highlight w:val="none"/>
              </w:rPr>
              <w:t>（7）试验检测仪器设备要求：</w:t>
            </w:r>
            <w:r>
              <w:rPr>
                <w:rFonts w:hint="eastAsia" w:ascii="宋体" w:hAnsi="宋体"/>
                <w:color w:val="auto"/>
                <w:szCs w:val="21"/>
                <w:highlight w:val="none"/>
                <w:u w:val="single"/>
              </w:rPr>
              <w:t>/</w:t>
            </w:r>
          </w:p>
          <w:p w14:paraId="234EAD0E">
            <w:pPr>
              <w:rPr>
                <w:rFonts w:ascii="宋体" w:hAnsi="宋体"/>
                <w:color w:val="auto"/>
                <w:szCs w:val="21"/>
                <w:highlight w:val="none"/>
              </w:rPr>
            </w:pPr>
            <w:r>
              <w:rPr>
                <w:rFonts w:hint="eastAsia" w:ascii="宋体" w:hAnsi="宋体"/>
                <w:color w:val="auto"/>
                <w:szCs w:val="21"/>
                <w:highlight w:val="none"/>
              </w:rPr>
              <w:t>（8）其他要求：</w:t>
            </w:r>
            <w:r>
              <w:rPr>
                <w:rFonts w:hint="eastAsia" w:ascii="宋体" w:hAnsi="宋体"/>
                <w:color w:val="auto"/>
                <w:szCs w:val="21"/>
                <w:highlight w:val="none"/>
                <w:u w:val="single"/>
              </w:rPr>
              <w:t>见招标公告投标人资格要求。</w:t>
            </w:r>
          </w:p>
        </w:tc>
      </w:tr>
      <w:tr w14:paraId="5E0AF78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1F72E41">
            <w:pPr>
              <w:jc w:val="center"/>
              <w:rPr>
                <w:rFonts w:ascii="宋体" w:hAnsi="宋体"/>
                <w:color w:val="auto"/>
                <w:szCs w:val="21"/>
                <w:highlight w:val="none"/>
              </w:rPr>
            </w:pPr>
            <w:r>
              <w:rPr>
                <w:rFonts w:ascii="宋体" w:hAnsi="宋体"/>
                <w:color w:val="auto"/>
                <w:szCs w:val="21"/>
                <w:highlight w:val="none"/>
              </w:rPr>
              <w:t>1.4.2</w:t>
            </w:r>
          </w:p>
        </w:tc>
        <w:tc>
          <w:tcPr>
            <w:tcW w:w="2292" w:type="dxa"/>
            <w:tcBorders>
              <w:top w:val="single" w:color="auto" w:sz="4" w:space="0"/>
              <w:left w:val="single" w:color="auto" w:sz="4" w:space="0"/>
              <w:bottom w:val="single" w:color="auto" w:sz="4" w:space="0"/>
              <w:right w:val="single" w:color="auto" w:sz="4" w:space="0"/>
            </w:tcBorders>
            <w:vAlign w:val="center"/>
          </w:tcPr>
          <w:p w14:paraId="30B8AB60">
            <w:pPr>
              <w:jc w:val="center"/>
              <w:rPr>
                <w:rFonts w:ascii="宋体" w:hAnsi="宋体"/>
                <w:color w:val="auto"/>
                <w:szCs w:val="21"/>
                <w:highlight w:val="none"/>
              </w:rPr>
            </w:pPr>
            <w:r>
              <w:rPr>
                <w:rFonts w:ascii="宋体" w:hAnsi="宋体"/>
                <w:color w:val="auto"/>
                <w:szCs w:val="21"/>
                <w:highlight w:val="none"/>
              </w:rPr>
              <w:t>是否接受联合体投标</w:t>
            </w:r>
          </w:p>
        </w:tc>
        <w:tc>
          <w:tcPr>
            <w:tcW w:w="5865" w:type="dxa"/>
            <w:tcBorders>
              <w:top w:val="single" w:color="auto" w:sz="4" w:space="0"/>
              <w:left w:val="single" w:color="auto" w:sz="4" w:space="0"/>
              <w:bottom w:val="single" w:color="auto" w:sz="4" w:space="0"/>
              <w:right w:val="single" w:color="auto" w:sz="4" w:space="0"/>
            </w:tcBorders>
            <w:vAlign w:val="center"/>
          </w:tcPr>
          <w:p w14:paraId="12002220">
            <w:pPr>
              <w:topLinePunct/>
              <w:rPr>
                <w:rFonts w:ascii="宋体" w:hAnsi="宋体"/>
                <w:color w:val="auto"/>
                <w:szCs w:val="21"/>
                <w:highlight w:val="none"/>
              </w:rPr>
            </w:pPr>
            <w:r>
              <w:rPr>
                <w:rFonts w:hint="eastAsia" w:ascii="宋体" w:hAnsi="宋体"/>
                <w:color w:val="auto"/>
                <w:szCs w:val="21"/>
                <w:highlight w:val="none"/>
              </w:rPr>
              <w:t>■不</w:t>
            </w:r>
            <w:r>
              <w:rPr>
                <w:rFonts w:ascii="宋体" w:hAnsi="宋体"/>
                <w:color w:val="auto"/>
                <w:szCs w:val="21"/>
                <w:highlight w:val="none"/>
              </w:rPr>
              <w:t>接受</w:t>
            </w:r>
          </w:p>
          <w:p w14:paraId="512EA325">
            <w:pPr>
              <w:rPr>
                <w:rFonts w:ascii="宋体" w:hAnsi="宋体"/>
                <w:color w:val="auto"/>
                <w:szCs w:val="21"/>
                <w:highlight w:val="none"/>
              </w:rPr>
            </w:pPr>
            <w:r>
              <w:rPr>
                <w:rFonts w:hint="eastAsia" w:hAnsi="宋体"/>
                <w:color w:val="auto"/>
                <w:szCs w:val="21"/>
                <w:highlight w:val="none"/>
              </w:rPr>
              <w:t>□</w:t>
            </w:r>
            <w:r>
              <w:rPr>
                <w:rFonts w:ascii="宋体" w:hAnsi="宋体"/>
                <w:color w:val="auto"/>
                <w:szCs w:val="21"/>
                <w:highlight w:val="none"/>
              </w:rPr>
              <w:t>接受</w:t>
            </w:r>
            <w:r>
              <w:rPr>
                <w:rFonts w:hint="eastAsia" w:ascii="宋体" w:hAnsi="宋体"/>
                <w:color w:val="auto"/>
                <w:szCs w:val="21"/>
                <w:highlight w:val="none"/>
              </w:rPr>
              <w:t>，应满足下列要求：</w:t>
            </w:r>
            <w:r>
              <w:rPr>
                <w:rFonts w:hAnsi="宋体"/>
                <w:color w:val="auto"/>
                <w:szCs w:val="21"/>
                <w:highlight w:val="none"/>
                <w:u w:val="single"/>
              </w:rPr>
              <w:t>/</w:t>
            </w:r>
          </w:p>
        </w:tc>
      </w:tr>
      <w:tr w14:paraId="635C307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5AEB348">
            <w:pPr>
              <w:jc w:val="center"/>
              <w:rPr>
                <w:rFonts w:ascii="宋体" w:hAnsi="宋体"/>
                <w:color w:val="auto"/>
                <w:szCs w:val="21"/>
                <w:highlight w:val="none"/>
              </w:rPr>
            </w:pPr>
            <w:r>
              <w:rPr>
                <w:rFonts w:ascii="宋体" w:hAnsi="宋体"/>
                <w:color w:val="auto"/>
                <w:szCs w:val="21"/>
                <w:highlight w:val="none"/>
              </w:rPr>
              <w:t>1.4.3</w:t>
            </w:r>
          </w:p>
        </w:tc>
        <w:tc>
          <w:tcPr>
            <w:tcW w:w="2292" w:type="dxa"/>
            <w:tcBorders>
              <w:top w:val="single" w:color="auto" w:sz="4" w:space="0"/>
              <w:left w:val="single" w:color="auto" w:sz="4" w:space="0"/>
              <w:bottom w:val="single" w:color="auto" w:sz="4" w:space="0"/>
              <w:right w:val="single" w:color="auto" w:sz="4" w:space="0"/>
            </w:tcBorders>
            <w:vAlign w:val="center"/>
          </w:tcPr>
          <w:p w14:paraId="30BA42F6">
            <w:pPr>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5865" w:type="dxa"/>
            <w:tcBorders>
              <w:top w:val="single" w:color="auto" w:sz="4" w:space="0"/>
              <w:left w:val="single" w:color="auto" w:sz="4" w:space="0"/>
              <w:bottom w:val="single" w:color="auto" w:sz="4" w:space="0"/>
              <w:right w:val="single" w:color="auto" w:sz="4" w:space="0"/>
            </w:tcBorders>
            <w:vAlign w:val="center"/>
          </w:tcPr>
          <w:p w14:paraId="576FE1F0">
            <w:pPr>
              <w:rPr>
                <w:rFonts w:ascii="宋体" w:hAnsi="宋体"/>
                <w:color w:val="auto"/>
                <w:szCs w:val="21"/>
                <w:highlight w:val="none"/>
                <w:u w:val="single"/>
              </w:rPr>
            </w:pPr>
            <w:r>
              <w:rPr>
                <w:rFonts w:hint="eastAsia" w:ascii="宋体" w:hAnsi="宋体"/>
                <w:color w:val="auto"/>
                <w:szCs w:val="21"/>
                <w:highlight w:val="none"/>
              </w:rPr>
              <w:t>见招标文件第二章“投标人须知”第1.4.3条。</w:t>
            </w:r>
          </w:p>
        </w:tc>
      </w:tr>
      <w:tr w14:paraId="241A207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EE950E6">
            <w:pPr>
              <w:jc w:val="center"/>
              <w:rPr>
                <w:rFonts w:ascii="宋体" w:hAnsi="宋体"/>
                <w:color w:val="auto"/>
                <w:szCs w:val="21"/>
                <w:highlight w:val="none"/>
              </w:rPr>
            </w:pPr>
            <w:r>
              <w:rPr>
                <w:rFonts w:ascii="宋体" w:hAnsi="宋体"/>
                <w:color w:val="auto"/>
                <w:szCs w:val="21"/>
                <w:highlight w:val="none"/>
              </w:rPr>
              <w:t>1.9.1</w:t>
            </w:r>
          </w:p>
        </w:tc>
        <w:tc>
          <w:tcPr>
            <w:tcW w:w="2292" w:type="dxa"/>
            <w:tcBorders>
              <w:top w:val="single" w:color="auto" w:sz="4" w:space="0"/>
              <w:left w:val="single" w:color="auto" w:sz="4" w:space="0"/>
              <w:bottom w:val="single" w:color="auto" w:sz="4" w:space="0"/>
              <w:right w:val="single" w:color="auto" w:sz="4" w:space="0"/>
            </w:tcBorders>
            <w:vAlign w:val="center"/>
          </w:tcPr>
          <w:p w14:paraId="517B745E">
            <w:pPr>
              <w:jc w:val="center"/>
              <w:rPr>
                <w:rFonts w:ascii="宋体" w:hAnsi="宋体"/>
                <w:color w:val="auto"/>
                <w:szCs w:val="21"/>
                <w:highlight w:val="none"/>
              </w:rPr>
            </w:pPr>
            <w:r>
              <w:rPr>
                <w:rFonts w:ascii="宋体" w:hAnsi="宋体"/>
                <w:color w:val="auto"/>
                <w:szCs w:val="21"/>
                <w:highlight w:val="none"/>
              </w:rPr>
              <w:t>踏勘现场</w:t>
            </w:r>
          </w:p>
        </w:tc>
        <w:tc>
          <w:tcPr>
            <w:tcW w:w="5865" w:type="dxa"/>
            <w:tcBorders>
              <w:top w:val="single" w:color="auto" w:sz="4" w:space="0"/>
              <w:left w:val="single" w:color="auto" w:sz="4" w:space="0"/>
              <w:bottom w:val="single" w:color="auto" w:sz="4" w:space="0"/>
              <w:right w:val="single" w:color="auto" w:sz="4" w:space="0"/>
            </w:tcBorders>
            <w:vAlign w:val="center"/>
          </w:tcPr>
          <w:p w14:paraId="470778E1">
            <w:pPr>
              <w:topLinePunct/>
              <w:snapToGrid w:val="0"/>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不组织。由投标人自行踏勘</w:t>
            </w:r>
          </w:p>
          <w:p w14:paraId="1E359303">
            <w:pPr>
              <w:topLinePunct/>
              <w:snapToGrid w:val="0"/>
              <w:rPr>
                <w:rFonts w:ascii="宋体" w:hAnsi="宋体"/>
                <w:color w:val="auto"/>
                <w:szCs w:val="21"/>
                <w:highlight w:val="none"/>
              </w:rPr>
            </w:pPr>
            <w:r>
              <w:rPr>
                <w:rFonts w:hint="eastAsia" w:ascii="宋体" w:hAnsi="宋体"/>
                <w:color w:val="auto"/>
                <w:szCs w:val="21"/>
                <w:highlight w:val="none"/>
              </w:rPr>
              <w:t>□组织，踏勘时间：</w:t>
            </w:r>
            <w:r>
              <w:rPr>
                <w:rFonts w:hint="eastAsia" w:ascii="宋体" w:hAnsi="宋体"/>
                <w:color w:val="auto"/>
                <w:kern w:val="0"/>
                <w:szCs w:val="21"/>
                <w:highlight w:val="none"/>
                <w:u w:val="single"/>
              </w:rPr>
              <w:t>/</w:t>
            </w:r>
          </w:p>
          <w:p w14:paraId="58B85746">
            <w:pPr>
              <w:pStyle w:val="19"/>
              <w:topLinePunct/>
              <w:ind w:firstLine="960" w:firstLineChars="400"/>
              <w:rPr>
                <w:rFonts w:hAnsi="宋体"/>
                <w:color w:val="auto"/>
                <w:sz w:val="21"/>
                <w:szCs w:val="21"/>
                <w:highlight w:val="none"/>
              </w:rPr>
            </w:pPr>
            <w:r>
              <w:rPr>
                <w:rFonts w:hint="eastAsia" w:hAnsi="宋体"/>
                <w:color w:val="auto"/>
                <w:szCs w:val="21"/>
                <w:highlight w:val="none"/>
              </w:rPr>
              <w:t>踏勘集中地点：</w:t>
            </w:r>
            <w:r>
              <w:rPr>
                <w:rFonts w:hint="eastAsia" w:hAnsi="宋体"/>
                <w:color w:val="auto"/>
                <w:kern w:val="0"/>
                <w:szCs w:val="21"/>
                <w:highlight w:val="none"/>
                <w:u w:val="single"/>
              </w:rPr>
              <w:t>/</w:t>
            </w:r>
          </w:p>
        </w:tc>
      </w:tr>
      <w:tr w14:paraId="1346E9B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BBB5997">
            <w:pPr>
              <w:jc w:val="center"/>
              <w:rPr>
                <w:rFonts w:ascii="宋体" w:hAnsi="宋体"/>
                <w:color w:val="auto"/>
                <w:szCs w:val="21"/>
                <w:highlight w:val="none"/>
              </w:rPr>
            </w:pPr>
            <w:r>
              <w:rPr>
                <w:rFonts w:ascii="宋体" w:hAnsi="宋体"/>
                <w:color w:val="auto"/>
                <w:szCs w:val="21"/>
                <w:highlight w:val="none"/>
              </w:rPr>
              <w:t>1.10.1</w:t>
            </w:r>
          </w:p>
        </w:tc>
        <w:tc>
          <w:tcPr>
            <w:tcW w:w="2292" w:type="dxa"/>
            <w:tcBorders>
              <w:top w:val="single" w:color="auto" w:sz="4" w:space="0"/>
              <w:left w:val="single" w:color="auto" w:sz="4" w:space="0"/>
              <w:bottom w:val="single" w:color="auto" w:sz="4" w:space="0"/>
              <w:right w:val="single" w:color="auto" w:sz="4" w:space="0"/>
            </w:tcBorders>
            <w:vAlign w:val="center"/>
          </w:tcPr>
          <w:p w14:paraId="5FDA01EB">
            <w:pPr>
              <w:jc w:val="center"/>
              <w:rPr>
                <w:rFonts w:ascii="宋体" w:hAnsi="宋体"/>
                <w:color w:val="auto"/>
                <w:szCs w:val="21"/>
                <w:highlight w:val="none"/>
              </w:rPr>
            </w:pPr>
            <w:r>
              <w:rPr>
                <w:rFonts w:hint="eastAsia" w:ascii="宋体" w:hAnsi="宋体"/>
                <w:color w:val="auto"/>
                <w:szCs w:val="21"/>
                <w:highlight w:val="none"/>
              </w:rPr>
              <w:t>投标预备会</w:t>
            </w:r>
          </w:p>
        </w:tc>
        <w:tc>
          <w:tcPr>
            <w:tcW w:w="5865" w:type="dxa"/>
            <w:tcBorders>
              <w:top w:val="single" w:color="auto" w:sz="4" w:space="0"/>
              <w:left w:val="single" w:color="auto" w:sz="4" w:space="0"/>
              <w:bottom w:val="single" w:color="auto" w:sz="4" w:space="0"/>
              <w:right w:val="single" w:color="auto" w:sz="4" w:space="0"/>
            </w:tcBorders>
            <w:vAlign w:val="center"/>
          </w:tcPr>
          <w:p w14:paraId="74306856">
            <w:pPr>
              <w:pStyle w:val="19"/>
              <w:topLinePunct/>
              <w:rPr>
                <w:rFonts w:hAnsi="宋体"/>
                <w:color w:val="auto"/>
                <w:sz w:val="21"/>
                <w:szCs w:val="21"/>
                <w:highlight w:val="none"/>
              </w:rPr>
            </w:pPr>
            <w:r>
              <w:rPr>
                <w:rFonts w:hint="eastAsia" w:hAnsi="宋体"/>
                <w:color w:val="auto"/>
                <w:sz w:val="21"/>
                <w:szCs w:val="21"/>
                <w:highlight w:val="none"/>
              </w:rPr>
              <w:t>■不召开</w:t>
            </w:r>
          </w:p>
          <w:p w14:paraId="206073CC">
            <w:pPr>
              <w:rPr>
                <w:rFonts w:ascii="宋体" w:hAnsi="宋体"/>
                <w:color w:val="auto"/>
                <w:szCs w:val="21"/>
                <w:highlight w:val="none"/>
              </w:rPr>
            </w:pPr>
            <w:r>
              <w:rPr>
                <w:rFonts w:hint="eastAsia" w:ascii="宋体" w:hAnsi="宋体"/>
                <w:color w:val="auto"/>
                <w:szCs w:val="21"/>
                <w:highlight w:val="none"/>
              </w:rPr>
              <w:t>□召开，召开时间：/</w:t>
            </w:r>
          </w:p>
          <w:p w14:paraId="0B7C1A23">
            <w:pPr>
              <w:ind w:firstLine="840" w:firstLineChars="400"/>
              <w:rPr>
                <w:rFonts w:ascii="宋体" w:hAnsi="宋体"/>
                <w:color w:val="auto"/>
                <w:szCs w:val="21"/>
                <w:highlight w:val="none"/>
              </w:rPr>
            </w:pPr>
            <w:r>
              <w:rPr>
                <w:rFonts w:hint="eastAsia" w:ascii="宋体" w:hAnsi="宋体"/>
                <w:color w:val="auto"/>
                <w:szCs w:val="21"/>
                <w:highlight w:val="none"/>
              </w:rPr>
              <w:t>召开地点：/</w:t>
            </w:r>
          </w:p>
        </w:tc>
      </w:tr>
      <w:tr w14:paraId="7BE52117">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14:paraId="564E0543">
            <w:pPr>
              <w:jc w:val="center"/>
              <w:rPr>
                <w:rFonts w:ascii="宋体" w:hAnsi="宋体"/>
                <w:color w:val="auto"/>
                <w:szCs w:val="21"/>
                <w:highlight w:val="none"/>
              </w:rPr>
            </w:pPr>
            <w:r>
              <w:rPr>
                <w:rFonts w:ascii="宋体" w:hAnsi="宋体"/>
                <w:color w:val="auto"/>
                <w:szCs w:val="21"/>
                <w:highlight w:val="none"/>
              </w:rPr>
              <w:t>1.10.2</w:t>
            </w:r>
          </w:p>
        </w:tc>
        <w:tc>
          <w:tcPr>
            <w:tcW w:w="2292" w:type="dxa"/>
            <w:vMerge w:val="restart"/>
            <w:tcBorders>
              <w:top w:val="single" w:color="auto" w:sz="4" w:space="0"/>
              <w:left w:val="single" w:color="auto" w:sz="4" w:space="0"/>
              <w:right w:val="single" w:color="auto" w:sz="4" w:space="0"/>
            </w:tcBorders>
            <w:vAlign w:val="center"/>
          </w:tcPr>
          <w:p w14:paraId="60725D15">
            <w:pPr>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5865" w:type="dxa"/>
            <w:tcBorders>
              <w:top w:val="single" w:color="auto" w:sz="4" w:space="0"/>
              <w:left w:val="single" w:color="auto" w:sz="4" w:space="0"/>
              <w:bottom w:val="single" w:color="auto" w:sz="4" w:space="0"/>
              <w:right w:val="single" w:color="auto" w:sz="4" w:space="0"/>
            </w:tcBorders>
            <w:vAlign w:val="center"/>
          </w:tcPr>
          <w:p w14:paraId="13C31C90">
            <w:pPr>
              <w:rPr>
                <w:rFonts w:ascii="宋体" w:hAnsi="宋体"/>
                <w:color w:val="auto"/>
                <w:szCs w:val="21"/>
                <w:highlight w:val="none"/>
              </w:rPr>
            </w:pPr>
            <w:r>
              <w:rPr>
                <w:rFonts w:hint="eastAsia" w:ascii="宋体" w:hAnsi="宋体"/>
                <w:color w:val="auto"/>
                <w:szCs w:val="21"/>
                <w:highlight w:val="none"/>
              </w:rPr>
              <w:t>时间：/</w:t>
            </w:r>
          </w:p>
        </w:tc>
      </w:tr>
      <w:tr w14:paraId="2DB53972">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14:paraId="6B39D772">
            <w:pPr>
              <w:jc w:val="center"/>
              <w:rPr>
                <w:rFonts w:ascii="宋体" w:hAnsi="宋体"/>
                <w:color w:val="auto"/>
                <w:szCs w:val="21"/>
                <w:highlight w:val="none"/>
              </w:rPr>
            </w:pPr>
          </w:p>
        </w:tc>
        <w:tc>
          <w:tcPr>
            <w:tcW w:w="2292" w:type="dxa"/>
            <w:vMerge w:val="continue"/>
            <w:tcBorders>
              <w:left w:val="single" w:color="auto" w:sz="4" w:space="0"/>
              <w:bottom w:val="single" w:color="auto" w:sz="4" w:space="0"/>
              <w:right w:val="single" w:color="auto" w:sz="4" w:space="0"/>
            </w:tcBorders>
            <w:vAlign w:val="center"/>
          </w:tcPr>
          <w:p w14:paraId="4720AA79">
            <w:pPr>
              <w:jc w:val="center"/>
              <w:rPr>
                <w:rFonts w:ascii="宋体" w:hAnsi="宋体"/>
                <w:color w:val="auto"/>
                <w:szCs w:val="21"/>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14:paraId="0308E607">
            <w:pPr>
              <w:rPr>
                <w:rFonts w:ascii="宋体" w:hAnsi="宋体"/>
                <w:color w:val="auto"/>
                <w:szCs w:val="21"/>
                <w:highlight w:val="none"/>
              </w:rPr>
            </w:pPr>
            <w:r>
              <w:rPr>
                <w:rFonts w:hint="eastAsia" w:ascii="宋体" w:hAnsi="宋体"/>
                <w:color w:val="auto"/>
                <w:szCs w:val="21"/>
                <w:highlight w:val="none"/>
              </w:rPr>
              <w:t>形式：/</w:t>
            </w:r>
          </w:p>
        </w:tc>
      </w:tr>
      <w:tr w14:paraId="1CBB4C5B">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14:paraId="1B3BA900">
            <w:pPr>
              <w:jc w:val="center"/>
              <w:rPr>
                <w:rFonts w:ascii="宋体" w:hAnsi="宋体"/>
                <w:color w:val="auto"/>
                <w:szCs w:val="21"/>
                <w:highlight w:val="none"/>
              </w:rPr>
            </w:pPr>
            <w:r>
              <w:rPr>
                <w:rFonts w:ascii="宋体" w:hAnsi="宋体"/>
                <w:color w:val="auto"/>
                <w:szCs w:val="21"/>
                <w:highlight w:val="none"/>
              </w:rPr>
              <w:t>1.10.3</w:t>
            </w:r>
          </w:p>
        </w:tc>
        <w:tc>
          <w:tcPr>
            <w:tcW w:w="2292" w:type="dxa"/>
            <w:tcBorders>
              <w:left w:val="single" w:color="auto" w:sz="4" w:space="0"/>
              <w:bottom w:val="single" w:color="auto" w:sz="4" w:space="0"/>
              <w:right w:val="single" w:color="auto" w:sz="4" w:space="0"/>
            </w:tcBorders>
            <w:vAlign w:val="center"/>
          </w:tcPr>
          <w:p w14:paraId="07F719CC">
            <w:pPr>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5865" w:type="dxa"/>
            <w:tcBorders>
              <w:top w:val="single" w:color="auto" w:sz="4" w:space="0"/>
              <w:left w:val="single" w:color="auto" w:sz="4" w:space="0"/>
              <w:bottom w:val="single" w:color="auto" w:sz="4" w:space="0"/>
              <w:right w:val="single" w:color="auto" w:sz="4" w:space="0"/>
            </w:tcBorders>
            <w:vAlign w:val="center"/>
          </w:tcPr>
          <w:p w14:paraId="08F99DFD">
            <w:pPr>
              <w:rPr>
                <w:rFonts w:ascii="宋体" w:hAnsi="宋体"/>
                <w:color w:val="auto"/>
                <w:szCs w:val="21"/>
                <w:highlight w:val="none"/>
              </w:rPr>
            </w:pPr>
            <w:r>
              <w:rPr>
                <w:rFonts w:hint="eastAsia" w:ascii="宋体" w:hAnsi="宋体"/>
                <w:color w:val="auto"/>
                <w:szCs w:val="21"/>
                <w:highlight w:val="none"/>
              </w:rPr>
              <w:t>在</w:t>
            </w:r>
            <w:r>
              <w:rPr>
                <w:rFonts w:hint="eastAsia" w:ascii="宋体" w:hAnsi="宋体" w:cs="宋体"/>
                <w:color w:val="auto"/>
                <w:kern w:val="0"/>
                <w:szCs w:val="21"/>
                <w:highlight w:val="none"/>
                <w:u w:val="single"/>
              </w:rPr>
              <w:t>广州交易集团有限公司（广州公共资源交易中心）</w:t>
            </w:r>
            <w:r>
              <w:rPr>
                <w:rFonts w:hint="eastAsia" w:ascii="宋体" w:hAnsi="宋体"/>
                <w:color w:val="auto"/>
                <w:szCs w:val="21"/>
                <w:highlight w:val="none"/>
              </w:rPr>
              <w:t>网站“招标答疑”专区发布，一经在发布，视作已发放给所有投标人。</w:t>
            </w:r>
          </w:p>
        </w:tc>
      </w:tr>
      <w:tr w14:paraId="25DE926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DA5F9E4">
            <w:pPr>
              <w:jc w:val="center"/>
              <w:rPr>
                <w:rFonts w:ascii="宋体" w:hAnsi="宋体"/>
                <w:color w:val="auto"/>
                <w:szCs w:val="21"/>
                <w:highlight w:val="none"/>
              </w:rPr>
            </w:pPr>
            <w:r>
              <w:rPr>
                <w:rFonts w:ascii="宋体" w:hAnsi="宋体"/>
                <w:color w:val="auto"/>
                <w:szCs w:val="21"/>
                <w:highlight w:val="none"/>
              </w:rPr>
              <w:t>1.12.1</w:t>
            </w:r>
          </w:p>
        </w:tc>
        <w:tc>
          <w:tcPr>
            <w:tcW w:w="2292" w:type="dxa"/>
            <w:tcBorders>
              <w:top w:val="single" w:color="auto" w:sz="4" w:space="0"/>
              <w:left w:val="single" w:color="auto" w:sz="4" w:space="0"/>
              <w:bottom w:val="single" w:color="auto" w:sz="4" w:space="0"/>
              <w:right w:val="single" w:color="auto" w:sz="4" w:space="0"/>
            </w:tcBorders>
            <w:vAlign w:val="center"/>
          </w:tcPr>
          <w:p w14:paraId="6D12FD98">
            <w:pPr>
              <w:jc w:val="center"/>
              <w:rPr>
                <w:rFonts w:ascii="宋体" w:hAnsi="宋体"/>
                <w:color w:val="auto"/>
                <w:szCs w:val="21"/>
                <w:highlight w:val="none"/>
              </w:rPr>
            </w:pPr>
            <w:r>
              <w:rPr>
                <w:rFonts w:ascii="宋体" w:hAnsi="宋体"/>
                <w:color w:val="auto"/>
                <w:szCs w:val="21"/>
                <w:highlight w:val="none"/>
              </w:rPr>
              <w:t>实质性要求和条件</w:t>
            </w:r>
          </w:p>
        </w:tc>
        <w:tc>
          <w:tcPr>
            <w:tcW w:w="5865" w:type="dxa"/>
            <w:tcBorders>
              <w:top w:val="single" w:color="auto" w:sz="4" w:space="0"/>
              <w:left w:val="single" w:color="auto" w:sz="4" w:space="0"/>
              <w:bottom w:val="single" w:color="auto" w:sz="4" w:space="0"/>
              <w:right w:val="single" w:color="auto" w:sz="4" w:space="0"/>
            </w:tcBorders>
            <w:vAlign w:val="center"/>
          </w:tcPr>
          <w:p w14:paraId="5D92E508">
            <w:pPr>
              <w:pStyle w:val="19"/>
              <w:topLinePunct/>
              <w:rPr>
                <w:rFonts w:hAnsi="宋体"/>
                <w:color w:val="auto"/>
                <w:sz w:val="21"/>
                <w:szCs w:val="21"/>
                <w:highlight w:val="none"/>
              </w:rPr>
            </w:pPr>
            <w:r>
              <w:rPr>
                <w:rFonts w:hint="eastAsia" w:hAnsi="宋体"/>
                <w:color w:val="auto"/>
                <w:sz w:val="21"/>
                <w:szCs w:val="21"/>
                <w:highlight w:val="none"/>
              </w:rPr>
              <w:t>/</w:t>
            </w:r>
          </w:p>
        </w:tc>
      </w:tr>
      <w:tr w14:paraId="5F3EE77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05C5B44">
            <w:pPr>
              <w:jc w:val="center"/>
              <w:rPr>
                <w:rFonts w:ascii="宋体" w:hAnsi="宋体"/>
                <w:color w:val="auto"/>
                <w:szCs w:val="21"/>
                <w:highlight w:val="none"/>
              </w:rPr>
            </w:pPr>
            <w:r>
              <w:rPr>
                <w:rFonts w:ascii="宋体" w:hAnsi="宋体"/>
                <w:color w:val="auto"/>
                <w:szCs w:val="21"/>
                <w:highlight w:val="none"/>
              </w:rPr>
              <w:t>1.12.3</w:t>
            </w:r>
          </w:p>
        </w:tc>
        <w:tc>
          <w:tcPr>
            <w:tcW w:w="2292" w:type="dxa"/>
            <w:tcBorders>
              <w:top w:val="single" w:color="auto" w:sz="4" w:space="0"/>
              <w:left w:val="single" w:color="auto" w:sz="4" w:space="0"/>
              <w:bottom w:val="single" w:color="auto" w:sz="4" w:space="0"/>
              <w:right w:val="single" w:color="auto" w:sz="4" w:space="0"/>
            </w:tcBorders>
            <w:vAlign w:val="center"/>
          </w:tcPr>
          <w:p w14:paraId="5F8930A6">
            <w:pPr>
              <w:jc w:val="center"/>
              <w:rPr>
                <w:rFonts w:ascii="宋体" w:hAnsi="宋体"/>
                <w:color w:val="auto"/>
                <w:szCs w:val="21"/>
                <w:highlight w:val="none"/>
              </w:rPr>
            </w:pPr>
            <w:r>
              <w:rPr>
                <w:rFonts w:ascii="宋体" w:hAnsi="宋体"/>
                <w:color w:val="auto"/>
                <w:szCs w:val="21"/>
                <w:highlight w:val="none"/>
              </w:rPr>
              <w:t>偏差</w:t>
            </w:r>
          </w:p>
        </w:tc>
        <w:tc>
          <w:tcPr>
            <w:tcW w:w="5865" w:type="dxa"/>
            <w:tcBorders>
              <w:top w:val="single" w:color="auto" w:sz="4" w:space="0"/>
              <w:left w:val="single" w:color="auto" w:sz="4" w:space="0"/>
              <w:bottom w:val="single" w:color="auto" w:sz="4" w:space="0"/>
              <w:right w:val="single" w:color="auto" w:sz="4" w:space="0"/>
            </w:tcBorders>
          </w:tcPr>
          <w:p w14:paraId="72F27DD6">
            <w:pP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不允许</w:t>
            </w:r>
          </w:p>
          <w:p w14:paraId="421523C3">
            <w:pPr>
              <w:pStyle w:val="19"/>
              <w:topLinePunct/>
              <w:rPr>
                <w:rFonts w:hAnsi="宋体"/>
                <w:color w:val="auto"/>
                <w:sz w:val="21"/>
                <w:szCs w:val="21"/>
                <w:highlight w:val="none"/>
              </w:rPr>
            </w:pPr>
            <w:r>
              <w:rPr>
                <w:rFonts w:hAnsi="宋体"/>
                <w:color w:val="auto"/>
                <w:sz w:val="21"/>
                <w:szCs w:val="21"/>
                <w:highlight w:val="none"/>
              </w:rPr>
              <w:t>□允许，偏差范围：</w:t>
            </w:r>
            <w:r>
              <w:rPr>
                <w:rFonts w:hint="eastAsia" w:hAnsi="宋体"/>
                <w:color w:val="auto"/>
                <w:sz w:val="21"/>
                <w:szCs w:val="21"/>
                <w:highlight w:val="none"/>
              </w:rPr>
              <w:t>/</w:t>
            </w:r>
          </w:p>
          <w:p w14:paraId="12BE322F">
            <w:pPr>
              <w:pStyle w:val="19"/>
              <w:topLinePunct/>
              <w:ind w:firstLine="840" w:firstLineChars="400"/>
              <w:rPr>
                <w:rFonts w:hAnsi="宋体"/>
                <w:color w:val="auto"/>
                <w:sz w:val="21"/>
                <w:szCs w:val="21"/>
                <w:highlight w:val="none"/>
              </w:rPr>
            </w:pPr>
            <w:r>
              <w:rPr>
                <w:rFonts w:hAnsi="宋体"/>
                <w:color w:val="auto"/>
                <w:sz w:val="21"/>
                <w:szCs w:val="21"/>
                <w:highlight w:val="none"/>
              </w:rPr>
              <w:t>偏差幅度：</w:t>
            </w:r>
            <w:r>
              <w:rPr>
                <w:rFonts w:hint="eastAsia" w:hAnsi="宋体"/>
                <w:color w:val="auto"/>
                <w:sz w:val="21"/>
                <w:szCs w:val="21"/>
                <w:highlight w:val="none"/>
              </w:rPr>
              <w:t>/</w:t>
            </w:r>
          </w:p>
        </w:tc>
      </w:tr>
      <w:tr w14:paraId="59C5C0C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AF0B6A7">
            <w:pPr>
              <w:jc w:val="center"/>
              <w:rPr>
                <w:rFonts w:ascii="宋体" w:hAnsi="宋体"/>
                <w:color w:val="auto"/>
                <w:szCs w:val="21"/>
                <w:highlight w:val="none"/>
              </w:rPr>
            </w:pPr>
            <w:r>
              <w:rPr>
                <w:rFonts w:ascii="宋体" w:hAnsi="宋体"/>
                <w:color w:val="auto"/>
                <w:szCs w:val="21"/>
                <w:highlight w:val="none"/>
              </w:rPr>
              <w:t>2.1</w:t>
            </w:r>
          </w:p>
        </w:tc>
        <w:tc>
          <w:tcPr>
            <w:tcW w:w="2292" w:type="dxa"/>
            <w:tcBorders>
              <w:top w:val="single" w:color="auto" w:sz="4" w:space="0"/>
              <w:left w:val="single" w:color="auto" w:sz="4" w:space="0"/>
              <w:bottom w:val="single" w:color="auto" w:sz="4" w:space="0"/>
              <w:right w:val="single" w:color="auto" w:sz="4" w:space="0"/>
            </w:tcBorders>
            <w:vAlign w:val="center"/>
          </w:tcPr>
          <w:p w14:paraId="084850E8">
            <w:pPr>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5865" w:type="dxa"/>
            <w:tcBorders>
              <w:top w:val="single" w:color="auto" w:sz="4" w:space="0"/>
              <w:left w:val="single" w:color="auto" w:sz="4" w:space="0"/>
              <w:bottom w:val="single" w:color="auto" w:sz="4" w:space="0"/>
              <w:right w:val="single" w:color="auto" w:sz="4" w:space="0"/>
            </w:tcBorders>
            <w:vAlign w:val="center"/>
          </w:tcPr>
          <w:p w14:paraId="09FE12C1">
            <w:pPr>
              <w:rPr>
                <w:rFonts w:ascii="宋体" w:hAnsi="宋体"/>
                <w:color w:val="auto"/>
                <w:szCs w:val="21"/>
                <w:highlight w:val="none"/>
              </w:rPr>
            </w:pPr>
            <w:r>
              <w:rPr>
                <w:rFonts w:hint="eastAsia" w:ascii="宋体" w:hAnsi="宋体" w:cs="宋体"/>
                <w:color w:val="auto"/>
                <w:szCs w:val="21"/>
                <w:highlight w:val="none"/>
                <w:u w:val="single"/>
              </w:rPr>
              <w:t>答疑纪要（如有）、澄清文件（如有）等。</w:t>
            </w:r>
          </w:p>
        </w:tc>
      </w:tr>
      <w:tr w14:paraId="2D168A62">
        <w:tblPrEx>
          <w:tblCellMar>
            <w:top w:w="0" w:type="dxa"/>
            <w:left w:w="108" w:type="dxa"/>
            <w:bottom w:w="0" w:type="dxa"/>
            <w:right w:w="108" w:type="dxa"/>
          </w:tblCellMar>
        </w:tblPrEx>
        <w:trPr>
          <w:trHeight w:val="435" w:hRule="atLeast"/>
        </w:trPr>
        <w:tc>
          <w:tcPr>
            <w:tcW w:w="1165" w:type="dxa"/>
            <w:vMerge w:val="restart"/>
            <w:tcBorders>
              <w:top w:val="single" w:color="auto" w:sz="4" w:space="0"/>
              <w:left w:val="single" w:color="auto" w:sz="4" w:space="0"/>
              <w:right w:val="single" w:color="auto" w:sz="4" w:space="0"/>
            </w:tcBorders>
            <w:vAlign w:val="center"/>
          </w:tcPr>
          <w:p w14:paraId="2EC5621B">
            <w:pPr>
              <w:jc w:val="center"/>
              <w:rPr>
                <w:rFonts w:ascii="宋体" w:hAnsi="宋体"/>
                <w:color w:val="auto"/>
                <w:szCs w:val="21"/>
                <w:highlight w:val="none"/>
              </w:rPr>
            </w:pPr>
            <w:r>
              <w:rPr>
                <w:rFonts w:ascii="宋体" w:hAnsi="宋体"/>
                <w:color w:val="auto"/>
                <w:szCs w:val="21"/>
                <w:highlight w:val="none"/>
              </w:rPr>
              <w:t>2.2.1</w:t>
            </w:r>
          </w:p>
        </w:tc>
        <w:tc>
          <w:tcPr>
            <w:tcW w:w="2292" w:type="dxa"/>
            <w:vMerge w:val="restart"/>
            <w:tcBorders>
              <w:top w:val="single" w:color="auto" w:sz="4" w:space="0"/>
              <w:left w:val="single" w:color="auto" w:sz="4" w:space="0"/>
              <w:right w:val="single" w:color="auto" w:sz="4" w:space="0"/>
            </w:tcBorders>
            <w:vAlign w:val="center"/>
          </w:tcPr>
          <w:p w14:paraId="7D7F0CAF">
            <w:pPr>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5865" w:type="dxa"/>
            <w:tcBorders>
              <w:top w:val="single" w:color="auto" w:sz="4" w:space="0"/>
              <w:left w:val="single" w:color="auto" w:sz="4" w:space="0"/>
              <w:bottom w:val="single" w:color="auto" w:sz="4" w:space="0"/>
              <w:right w:val="single" w:color="auto" w:sz="4" w:space="0"/>
            </w:tcBorders>
            <w:vAlign w:val="center"/>
          </w:tcPr>
          <w:p w14:paraId="50DA356F">
            <w:pPr>
              <w:rPr>
                <w:rFonts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在提交投标文件截止时间18天前提出。</w:t>
            </w:r>
          </w:p>
        </w:tc>
      </w:tr>
      <w:tr w14:paraId="71431457">
        <w:tblPrEx>
          <w:tblCellMar>
            <w:top w:w="0" w:type="dxa"/>
            <w:left w:w="108" w:type="dxa"/>
            <w:bottom w:w="0" w:type="dxa"/>
            <w:right w:w="108" w:type="dxa"/>
          </w:tblCellMar>
        </w:tblPrEx>
        <w:trPr>
          <w:trHeight w:val="435" w:hRule="atLeast"/>
        </w:trPr>
        <w:tc>
          <w:tcPr>
            <w:tcW w:w="1165" w:type="dxa"/>
            <w:vMerge w:val="continue"/>
            <w:tcBorders>
              <w:left w:val="single" w:color="auto" w:sz="4" w:space="0"/>
              <w:bottom w:val="single" w:color="auto" w:sz="4" w:space="0"/>
              <w:right w:val="single" w:color="auto" w:sz="4" w:space="0"/>
            </w:tcBorders>
            <w:vAlign w:val="center"/>
          </w:tcPr>
          <w:p w14:paraId="57D412E1">
            <w:pPr>
              <w:rPr>
                <w:color w:val="auto"/>
                <w:highlight w:val="none"/>
              </w:rPr>
            </w:pPr>
          </w:p>
        </w:tc>
        <w:tc>
          <w:tcPr>
            <w:tcW w:w="2292" w:type="dxa"/>
            <w:vMerge w:val="continue"/>
            <w:tcBorders>
              <w:left w:val="single" w:color="auto" w:sz="4" w:space="0"/>
              <w:bottom w:val="single" w:color="auto" w:sz="4" w:space="0"/>
              <w:right w:val="single" w:color="auto" w:sz="4" w:space="0"/>
            </w:tcBorders>
            <w:vAlign w:val="center"/>
          </w:tcPr>
          <w:p w14:paraId="1CD0089E">
            <w:pPr>
              <w:rPr>
                <w:color w:val="auto"/>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14:paraId="1A845AFC">
            <w:pPr>
              <w:snapToGrid w:val="0"/>
              <w:ind w:right="174" w:rightChars="83" w:firstLine="210" w:firstLineChars="100"/>
              <w:rPr>
                <w:rFonts w:ascii="宋体" w:hAnsi="宋体" w:cs="宋体"/>
                <w:color w:val="auto"/>
                <w:kern w:val="0"/>
                <w:szCs w:val="21"/>
                <w:highlight w:val="none"/>
                <w:u w:val="single"/>
              </w:rPr>
            </w:pPr>
            <w:r>
              <w:rPr>
                <w:rFonts w:hint="eastAsia" w:ascii="宋体" w:hAnsi="宋体" w:cs="宋体"/>
                <w:color w:val="auto"/>
                <w:kern w:val="0"/>
                <w:szCs w:val="21"/>
                <w:highlight w:val="none"/>
              </w:rPr>
              <w:t>形式：</w:t>
            </w:r>
            <w:r>
              <w:rPr>
                <w:rFonts w:hint="eastAsia" w:ascii="宋体" w:hAnsi="宋体" w:cs="宋体"/>
                <w:color w:val="auto"/>
                <w:kern w:val="0"/>
                <w:szCs w:val="21"/>
                <w:highlight w:val="none"/>
                <w:u w:val="single"/>
              </w:rPr>
              <w:t>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建设工程全流程电子化项目操作指南》。</w:t>
            </w:r>
          </w:p>
          <w:p w14:paraId="315459CE">
            <w:pPr>
              <w:snapToGrid w:val="0"/>
              <w:ind w:right="174" w:rightChars="83" w:firstLine="210" w:firstLineChars="1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2.投标人应在投标截止时间18日前停止提疑。招标人应在投标截止时间15日前解答投标人对招标文件提出的疑问，形成答疑纪要，并在广州交易集团有限公司（广州公共资源交易中心）网站发布。</w:t>
            </w:r>
          </w:p>
          <w:p w14:paraId="6A87D122">
            <w:pPr>
              <w:snapToGrid w:val="0"/>
              <w:ind w:right="174" w:rightChars="83" w:firstLine="210" w:firstLineChars="1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3.答疑纪要一经在广州交易集团有限公司（广州公共资源交易中心）网站发布，视作已发放给所有投标人。</w:t>
            </w:r>
          </w:p>
          <w:p w14:paraId="404515BE">
            <w:pPr>
              <w:snapToGrid w:val="0"/>
              <w:ind w:right="174" w:rightChars="83" w:firstLine="210" w:firstLineChars="1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4.答疑纪要为招标文件的一部分。投标人可在广州交易集团有限公司（广州公共资源交易中心）网站浏览、下载答疑纪要。</w:t>
            </w:r>
          </w:p>
          <w:p w14:paraId="5588033F">
            <w:pPr>
              <w:snapToGrid w:val="0"/>
              <w:ind w:right="174" w:rightChars="83" w:firstLine="632" w:firstLineChars="300"/>
              <w:rPr>
                <w:rFonts w:ascii="宋体" w:hAnsi="宋体"/>
                <w:color w:val="auto"/>
                <w:szCs w:val="21"/>
                <w:highlight w:val="none"/>
              </w:rPr>
            </w:pPr>
            <w:r>
              <w:rPr>
                <w:rFonts w:hint="eastAsia" w:ascii="宋体" w:hAnsi="宋体" w:cs="宋体"/>
                <w:b/>
                <w:bCs/>
                <w:color w:val="auto"/>
                <w:szCs w:val="21"/>
                <w:highlight w:val="none"/>
                <w:u w:val="single"/>
              </w:rPr>
              <w:t>具体操作详见广州交易集团有限公司（广州公共资源交易中心）网站发布的最新版操作指引。</w:t>
            </w:r>
          </w:p>
        </w:tc>
      </w:tr>
      <w:tr w14:paraId="0164920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BB2CF1C">
            <w:pPr>
              <w:jc w:val="center"/>
              <w:rPr>
                <w:rFonts w:ascii="宋体" w:hAnsi="宋体"/>
                <w:color w:val="auto"/>
                <w:szCs w:val="21"/>
                <w:highlight w:val="none"/>
              </w:rPr>
            </w:pPr>
            <w:r>
              <w:rPr>
                <w:rFonts w:ascii="宋体" w:hAnsi="宋体"/>
                <w:color w:val="auto"/>
                <w:szCs w:val="21"/>
                <w:highlight w:val="none"/>
              </w:rPr>
              <w:t>2.2.2</w:t>
            </w:r>
          </w:p>
        </w:tc>
        <w:tc>
          <w:tcPr>
            <w:tcW w:w="2292" w:type="dxa"/>
            <w:tcBorders>
              <w:top w:val="single" w:color="auto" w:sz="4" w:space="0"/>
              <w:left w:val="single" w:color="auto" w:sz="4" w:space="0"/>
              <w:bottom w:val="single" w:color="auto" w:sz="4" w:space="0"/>
              <w:right w:val="single" w:color="auto" w:sz="4" w:space="0"/>
            </w:tcBorders>
            <w:vAlign w:val="center"/>
          </w:tcPr>
          <w:p w14:paraId="0FAC20F3">
            <w:pPr>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5865" w:type="dxa"/>
            <w:tcBorders>
              <w:top w:val="single" w:color="auto" w:sz="4" w:space="0"/>
              <w:left w:val="single" w:color="auto" w:sz="4" w:space="0"/>
              <w:bottom w:val="single" w:color="auto" w:sz="4" w:space="0"/>
              <w:right w:val="single" w:color="auto" w:sz="4" w:space="0"/>
            </w:tcBorders>
            <w:vAlign w:val="center"/>
          </w:tcPr>
          <w:p w14:paraId="7F760264">
            <w:pPr>
              <w:rPr>
                <w:rFonts w:ascii="宋体" w:hAnsi="宋体"/>
                <w:color w:val="auto"/>
                <w:szCs w:val="21"/>
                <w:highlight w:val="none"/>
              </w:rPr>
            </w:pPr>
            <w:r>
              <w:rPr>
                <w:rFonts w:hint="eastAsia" w:ascii="宋体" w:hAnsi="宋体"/>
                <w:color w:val="auto"/>
                <w:szCs w:val="21"/>
                <w:highlight w:val="none"/>
              </w:rPr>
              <w:t>在递交投标文件截止时间15天前；在</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网站通过项目答疑专区网上公开发布。</w:t>
            </w:r>
          </w:p>
        </w:tc>
      </w:tr>
      <w:tr w14:paraId="686BC745">
        <w:tblPrEx>
          <w:tblCellMar>
            <w:top w:w="0" w:type="dxa"/>
            <w:left w:w="108" w:type="dxa"/>
            <w:bottom w:w="0" w:type="dxa"/>
            <w:right w:w="108" w:type="dxa"/>
          </w:tblCellMar>
        </w:tblPrEx>
        <w:trPr>
          <w:trHeight w:val="890"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14:paraId="4C2AE5C7">
            <w:pPr>
              <w:jc w:val="center"/>
              <w:rPr>
                <w:rFonts w:ascii="宋体" w:hAnsi="宋体"/>
                <w:color w:val="auto"/>
                <w:szCs w:val="21"/>
                <w:highlight w:val="none"/>
              </w:rPr>
            </w:pPr>
            <w:r>
              <w:rPr>
                <w:rFonts w:ascii="宋体" w:hAnsi="宋体"/>
                <w:color w:val="auto"/>
                <w:szCs w:val="21"/>
                <w:highlight w:val="none"/>
              </w:rPr>
              <w:t>2.2.3</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14:paraId="6751E7E8">
            <w:pPr>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5865" w:type="dxa"/>
            <w:tcBorders>
              <w:top w:val="single" w:color="auto" w:sz="4" w:space="0"/>
              <w:left w:val="single" w:color="auto" w:sz="4" w:space="0"/>
              <w:bottom w:val="single" w:color="auto" w:sz="4" w:space="0"/>
              <w:right w:val="single" w:color="auto" w:sz="4" w:space="0"/>
            </w:tcBorders>
            <w:vAlign w:val="center"/>
          </w:tcPr>
          <w:p w14:paraId="27CDE8D3">
            <w:pPr>
              <w:snapToGrid w:val="0"/>
              <w:rPr>
                <w:rFonts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33616A1A">
        <w:tblPrEx>
          <w:tblCellMar>
            <w:top w:w="0" w:type="dxa"/>
            <w:left w:w="108" w:type="dxa"/>
            <w:bottom w:w="0" w:type="dxa"/>
            <w:right w:w="108" w:type="dxa"/>
          </w:tblCellMar>
        </w:tblPrEx>
        <w:trPr>
          <w:trHeight w:val="890"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14:paraId="4974A7EF">
            <w:pPr>
              <w:jc w:val="center"/>
              <w:rPr>
                <w:rFonts w:ascii="宋体" w:hAnsi="宋体"/>
                <w:color w:val="auto"/>
                <w:szCs w:val="21"/>
                <w:highlight w:val="none"/>
              </w:rPr>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14:paraId="3AA25124">
            <w:pPr>
              <w:jc w:val="center"/>
              <w:rPr>
                <w:rFonts w:ascii="宋体" w:hAnsi="宋体"/>
                <w:color w:val="auto"/>
                <w:szCs w:val="21"/>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14:paraId="277F0D5C">
            <w:pPr>
              <w:snapToGrid w:val="0"/>
              <w:rPr>
                <w:rFonts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招标文件澄清（招标答疑纪要）一经在广州交易集团有限公司（广州公共资源交易中心）网站发布，视作已发放给所有投标人。</w:t>
            </w:r>
          </w:p>
        </w:tc>
      </w:tr>
      <w:tr w14:paraId="4C44B76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8517E08">
            <w:pPr>
              <w:jc w:val="center"/>
              <w:rPr>
                <w:rFonts w:ascii="宋体" w:hAnsi="宋体"/>
                <w:color w:val="auto"/>
                <w:szCs w:val="21"/>
                <w:highlight w:val="none"/>
              </w:rPr>
            </w:pPr>
            <w:r>
              <w:rPr>
                <w:rFonts w:ascii="宋体" w:hAnsi="宋体"/>
                <w:color w:val="auto"/>
                <w:szCs w:val="21"/>
                <w:highlight w:val="none"/>
              </w:rPr>
              <w:t>2.3.1</w:t>
            </w:r>
          </w:p>
        </w:tc>
        <w:tc>
          <w:tcPr>
            <w:tcW w:w="2292" w:type="dxa"/>
            <w:tcBorders>
              <w:top w:val="single" w:color="auto" w:sz="4" w:space="0"/>
              <w:left w:val="single" w:color="auto" w:sz="4" w:space="0"/>
              <w:bottom w:val="single" w:color="auto" w:sz="4" w:space="0"/>
              <w:right w:val="single" w:color="auto" w:sz="4" w:space="0"/>
            </w:tcBorders>
            <w:vAlign w:val="center"/>
          </w:tcPr>
          <w:p w14:paraId="28F8B94F">
            <w:pPr>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5865" w:type="dxa"/>
            <w:tcBorders>
              <w:top w:val="single" w:color="auto" w:sz="4" w:space="0"/>
              <w:left w:val="single" w:color="auto" w:sz="4" w:space="0"/>
              <w:bottom w:val="single" w:color="auto" w:sz="4" w:space="0"/>
              <w:right w:val="single" w:color="auto" w:sz="4" w:space="0"/>
            </w:tcBorders>
            <w:vAlign w:val="center"/>
          </w:tcPr>
          <w:p w14:paraId="40AEB8E0">
            <w:pPr>
              <w:rPr>
                <w:rFonts w:ascii="宋体" w:hAnsi="宋体"/>
                <w:color w:val="auto"/>
                <w:szCs w:val="21"/>
                <w:highlight w:val="none"/>
                <w:u w:val="single"/>
              </w:rPr>
            </w:pPr>
            <w:r>
              <w:rPr>
                <w:rFonts w:hint="eastAsia" w:ascii="宋体" w:hAnsi="宋体"/>
                <w:color w:val="auto"/>
                <w:szCs w:val="21"/>
                <w:highlight w:val="none"/>
                <w:u w:val="single"/>
              </w:rPr>
              <w:t>以补充公告或项目答疑澄清的方式在广州交易集团有限公司（广州公共资源交易中心）网站发布。</w:t>
            </w:r>
          </w:p>
        </w:tc>
      </w:tr>
      <w:tr w14:paraId="0890EA16">
        <w:tblPrEx>
          <w:tblCellMar>
            <w:top w:w="0" w:type="dxa"/>
            <w:left w:w="108" w:type="dxa"/>
            <w:bottom w:w="0" w:type="dxa"/>
            <w:right w:w="108" w:type="dxa"/>
          </w:tblCellMar>
        </w:tblPrEx>
        <w:trPr>
          <w:trHeight w:val="90"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14:paraId="6FCC14C1">
            <w:pPr>
              <w:jc w:val="center"/>
              <w:rPr>
                <w:rFonts w:ascii="宋体" w:hAnsi="宋体"/>
                <w:color w:val="auto"/>
                <w:szCs w:val="21"/>
                <w:highlight w:val="none"/>
              </w:rPr>
            </w:pPr>
            <w:r>
              <w:rPr>
                <w:rFonts w:ascii="宋体" w:hAnsi="宋体"/>
                <w:color w:val="auto"/>
                <w:szCs w:val="21"/>
                <w:highlight w:val="none"/>
              </w:rPr>
              <w:t>2.3.2</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14:paraId="713D84C3">
            <w:pPr>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5865" w:type="dxa"/>
            <w:tcBorders>
              <w:top w:val="single" w:color="auto" w:sz="4" w:space="0"/>
              <w:left w:val="single" w:color="auto" w:sz="4" w:space="0"/>
              <w:bottom w:val="single" w:color="auto" w:sz="4" w:space="0"/>
              <w:right w:val="single" w:color="auto" w:sz="4" w:space="0"/>
            </w:tcBorders>
            <w:vAlign w:val="center"/>
          </w:tcPr>
          <w:p w14:paraId="5C52BF2F">
            <w:pPr>
              <w:snapToGrid w:val="0"/>
              <w:rPr>
                <w:rFonts w:ascii="宋体" w:hAnsi="宋体"/>
                <w:color w:val="auto"/>
                <w:szCs w:val="21"/>
                <w:highlight w:val="none"/>
              </w:rPr>
            </w:pPr>
            <w:r>
              <w:rPr>
                <w:rFonts w:hint="eastAsia" w:ascii="宋体" w:hAnsi="宋体" w:cs="宋体"/>
                <w:color w:val="auto"/>
                <w:szCs w:val="21"/>
                <w:highlight w:val="none"/>
              </w:rPr>
              <w:t>时间：</w:t>
            </w:r>
            <w:r>
              <w:rPr>
                <w:rFonts w:hint="eastAsia" w:ascii="宋体" w:hAnsi="宋体"/>
                <w:color w:val="auto"/>
                <w:szCs w:val="21"/>
                <w:highlight w:val="none"/>
                <w:u w:val="single"/>
              </w:rPr>
              <w:t>发出即视作收到。</w:t>
            </w:r>
          </w:p>
        </w:tc>
      </w:tr>
      <w:tr w14:paraId="3183BA83">
        <w:tblPrEx>
          <w:tblCellMar>
            <w:top w:w="0" w:type="dxa"/>
            <w:left w:w="108" w:type="dxa"/>
            <w:bottom w:w="0" w:type="dxa"/>
            <w:right w:w="108" w:type="dxa"/>
          </w:tblCellMar>
        </w:tblPrEx>
        <w:trPr>
          <w:trHeight w:val="890"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14:paraId="5273593A">
            <w:pPr>
              <w:jc w:val="center"/>
              <w:rPr>
                <w:rFonts w:ascii="宋体" w:hAnsi="宋体"/>
                <w:color w:val="auto"/>
                <w:szCs w:val="21"/>
                <w:highlight w:val="none"/>
              </w:rPr>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14:paraId="75ED0E13">
            <w:pPr>
              <w:jc w:val="center"/>
              <w:rPr>
                <w:rFonts w:ascii="宋体" w:hAnsi="宋体"/>
                <w:color w:val="auto"/>
                <w:szCs w:val="21"/>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14:paraId="1B8BA9E0">
            <w:pPr>
              <w:snapToGrid w:val="0"/>
              <w:rPr>
                <w:rFonts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14:paraId="1A6183B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5E80F93">
            <w:pPr>
              <w:jc w:val="center"/>
              <w:rPr>
                <w:rFonts w:ascii="宋体" w:hAnsi="宋体"/>
                <w:color w:val="auto"/>
                <w:szCs w:val="21"/>
                <w:highlight w:val="none"/>
              </w:rPr>
            </w:pPr>
            <w:r>
              <w:rPr>
                <w:rFonts w:ascii="宋体" w:hAnsi="宋体"/>
                <w:color w:val="auto"/>
                <w:szCs w:val="21"/>
                <w:highlight w:val="none"/>
              </w:rPr>
              <w:t>3.1.1</w:t>
            </w:r>
          </w:p>
        </w:tc>
        <w:tc>
          <w:tcPr>
            <w:tcW w:w="2292" w:type="dxa"/>
            <w:tcBorders>
              <w:top w:val="single" w:color="auto" w:sz="4" w:space="0"/>
              <w:left w:val="single" w:color="auto" w:sz="4" w:space="0"/>
              <w:bottom w:val="single" w:color="auto" w:sz="4" w:space="0"/>
              <w:right w:val="single" w:color="auto" w:sz="4" w:space="0"/>
            </w:tcBorders>
            <w:vAlign w:val="center"/>
          </w:tcPr>
          <w:p w14:paraId="58F4EC01">
            <w:pPr>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5865" w:type="dxa"/>
            <w:tcBorders>
              <w:top w:val="single" w:color="auto" w:sz="4" w:space="0"/>
              <w:left w:val="single" w:color="auto" w:sz="4" w:space="0"/>
              <w:bottom w:val="single" w:color="auto" w:sz="4" w:space="0"/>
              <w:right w:val="single" w:color="auto" w:sz="4" w:space="0"/>
            </w:tcBorders>
            <w:vAlign w:val="center"/>
          </w:tcPr>
          <w:p w14:paraId="7346D48A">
            <w:pPr>
              <w:rPr>
                <w:rFonts w:ascii="宋体" w:hAnsi="宋体"/>
                <w:color w:val="auto"/>
                <w:szCs w:val="21"/>
                <w:highlight w:val="none"/>
              </w:rPr>
            </w:pPr>
            <w:r>
              <w:rPr>
                <w:rFonts w:hint="eastAsia" w:ascii="宋体" w:hAnsi="宋体" w:cs="宋体"/>
                <w:color w:val="auto"/>
                <w:szCs w:val="21"/>
                <w:highlight w:val="none"/>
                <w:u w:val="single"/>
              </w:rPr>
              <w:t>满足本项目评审要求的其他资料。</w:t>
            </w:r>
          </w:p>
        </w:tc>
      </w:tr>
      <w:tr w14:paraId="7240BDE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FE59F8E">
            <w:pPr>
              <w:jc w:val="center"/>
              <w:rPr>
                <w:rFonts w:ascii="宋体" w:hAnsi="宋体"/>
                <w:color w:val="auto"/>
                <w:szCs w:val="21"/>
                <w:highlight w:val="none"/>
              </w:rPr>
            </w:pPr>
            <w:r>
              <w:rPr>
                <w:rFonts w:ascii="宋体" w:hAnsi="宋体"/>
                <w:color w:val="auto"/>
                <w:szCs w:val="21"/>
                <w:highlight w:val="none"/>
              </w:rPr>
              <w:t>3.2.1</w:t>
            </w:r>
          </w:p>
        </w:tc>
        <w:tc>
          <w:tcPr>
            <w:tcW w:w="2292" w:type="dxa"/>
            <w:tcBorders>
              <w:top w:val="single" w:color="auto" w:sz="4" w:space="0"/>
              <w:left w:val="single" w:color="auto" w:sz="4" w:space="0"/>
              <w:bottom w:val="single" w:color="auto" w:sz="4" w:space="0"/>
              <w:right w:val="single" w:color="auto" w:sz="4" w:space="0"/>
            </w:tcBorders>
            <w:vAlign w:val="center"/>
          </w:tcPr>
          <w:p w14:paraId="10BCC1E7">
            <w:pPr>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5865" w:type="dxa"/>
            <w:tcBorders>
              <w:top w:val="single" w:color="auto" w:sz="4" w:space="0"/>
              <w:left w:val="single" w:color="auto" w:sz="4" w:space="0"/>
              <w:bottom w:val="single" w:color="auto" w:sz="4" w:space="0"/>
              <w:right w:val="single" w:color="auto" w:sz="4" w:space="0"/>
            </w:tcBorders>
            <w:vAlign w:val="center"/>
          </w:tcPr>
          <w:p w14:paraId="1E60C70B">
            <w:pPr>
              <w:rPr>
                <w:rFonts w:ascii="宋体" w:hAnsi="宋体"/>
                <w:color w:val="auto"/>
                <w:szCs w:val="21"/>
                <w:highlight w:val="none"/>
              </w:rPr>
            </w:pPr>
            <w:r>
              <w:rPr>
                <w:rFonts w:hint="eastAsia" w:ascii="宋体" w:hAnsi="宋体"/>
                <w:color w:val="auto"/>
                <w:szCs w:val="21"/>
                <w:highlight w:val="none"/>
                <w:u w:val="single"/>
              </w:rPr>
              <w:t>按国家税务机关的规定执行。</w:t>
            </w:r>
          </w:p>
        </w:tc>
      </w:tr>
      <w:tr w14:paraId="11FA018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137A73D">
            <w:pPr>
              <w:jc w:val="center"/>
              <w:rPr>
                <w:rFonts w:ascii="宋体" w:hAnsi="宋体"/>
                <w:color w:val="auto"/>
                <w:szCs w:val="21"/>
                <w:highlight w:val="none"/>
              </w:rPr>
            </w:pPr>
            <w:r>
              <w:rPr>
                <w:rFonts w:ascii="宋体" w:hAnsi="宋体"/>
                <w:color w:val="auto"/>
                <w:szCs w:val="21"/>
                <w:highlight w:val="none"/>
              </w:rPr>
              <w:t>3.2.3</w:t>
            </w:r>
          </w:p>
        </w:tc>
        <w:tc>
          <w:tcPr>
            <w:tcW w:w="2292" w:type="dxa"/>
            <w:tcBorders>
              <w:top w:val="single" w:color="auto" w:sz="4" w:space="0"/>
              <w:left w:val="single" w:color="auto" w:sz="4" w:space="0"/>
              <w:bottom w:val="single" w:color="auto" w:sz="4" w:space="0"/>
              <w:right w:val="single" w:color="auto" w:sz="4" w:space="0"/>
            </w:tcBorders>
            <w:vAlign w:val="center"/>
          </w:tcPr>
          <w:p w14:paraId="0A699CA7">
            <w:pPr>
              <w:jc w:val="center"/>
              <w:rPr>
                <w:rFonts w:ascii="宋体" w:hAnsi="宋体"/>
                <w:color w:val="auto"/>
                <w:szCs w:val="21"/>
                <w:highlight w:val="none"/>
              </w:rPr>
            </w:pPr>
            <w:r>
              <w:rPr>
                <w:rFonts w:hint="eastAsia" w:ascii="宋体" w:hAnsi="宋体"/>
                <w:color w:val="auto"/>
                <w:szCs w:val="21"/>
                <w:highlight w:val="none"/>
              </w:rPr>
              <w:t>报价方式</w:t>
            </w:r>
          </w:p>
        </w:tc>
        <w:tc>
          <w:tcPr>
            <w:tcW w:w="5865" w:type="dxa"/>
            <w:tcBorders>
              <w:top w:val="single" w:color="auto" w:sz="4" w:space="0"/>
              <w:left w:val="single" w:color="auto" w:sz="4" w:space="0"/>
              <w:bottom w:val="single" w:color="auto" w:sz="4" w:space="0"/>
              <w:right w:val="single" w:color="auto" w:sz="4" w:space="0"/>
            </w:tcBorders>
            <w:vAlign w:val="center"/>
          </w:tcPr>
          <w:p w14:paraId="49FE054E">
            <w:pPr>
              <w:rPr>
                <w:rFonts w:ascii="宋体" w:hAnsi="宋体"/>
                <w:color w:val="auto"/>
                <w:szCs w:val="21"/>
                <w:highlight w:val="none"/>
                <w:u w:val="single"/>
              </w:rPr>
            </w:pPr>
            <w:r>
              <w:rPr>
                <w:rFonts w:hint="eastAsia" w:ascii="宋体" w:hAnsi="宋体"/>
                <w:color w:val="auto"/>
                <w:szCs w:val="21"/>
                <w:highlight w:val="none"/>
                <w:u w:val="single"/>
              </w:rPr>
              <w:t>投标人自行报价，以元为单位，精确到小数位后2位，投标报价超过本项目最高投标限价的投标文件将被拒绝。</w:t>
            </w:r>
          </w:p>
        </w:tc>
      </w:tr>
      <w:tr w14:paraId="5B18706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1936EC9">
            <w:pPr>
              <w:jc w:val="center"/>
              <w:rPr>
                <w:rFonts w:ascii="宋体" w:hAnsi="宋体"/>
                <w:color w:val="auto"/>
                <w:szCs w:val="21"/>
                <w:highlight w:val="none"/>
              </w:rPr>
            </w:pPr>
            <w:r>
              <w:rPr>
                <w:rFonts w:ascii="宋体" w:hAnsi="宋体"/>
                <w:color w:val="auto"/>
                <w:szCs w:val="21"/>
                <w:highlight w:val="none"/>
              </w:rPr>
              <w:t>3.2.4</w:t>
            </w:r>
          </w:p>
        </w:tc>
        <w:tc>
          <w:tcPr>
            <w:tcW w:w="2292" w:type="dxa"/>
            <w:tcBorders>
              <w:top w:val="single" w:color="auto" w:sz="4" w:space="0"/>
              <w:left w:val="single" w:color="auto" w:sz="4" w:space="0"/>
              <w:bottom w:val="single" w:color="auto" w:sz="4" w:space="0"/>
              <w:right w:val="single" w:color="auto" w:sz="4" w:space="0"/>
            </w:tcBorders>
            <w:vAlign w:val="center"/>
          </w:tcPr>
          <w:p w14:paraId="7D83648E">
            <w:pPr>
              <w:jc w:val="center"/>
              <w:rPr>
                <w:rFonts w:ascii="宋体" w:hAnsi="宋体"/>
                <w:color w:val="auto"/>
                <w:szCs w:val="21"/>
                <w:highlight w:val="none"/>
              </w:rPr>
            </w:pPr>
            <w:r>
              <w:rPr>
                <w:rFonts w:hint="eastAsia" w:ascii="宋体" w:hAnsi="宋体"/>
                <w:color w:val="auto"/>
                <w:szCs w:val="21"/>
                <w:highlight w:val="none"/>
              </w:rPr>
              <w:t>最高投标限价</w:t>
            </w:r>
          </w:p>
        </w:tc>
        <w:tc>
          <w:tcPr>
            <w:tcW w:w="5865" w:type="dxa"/>
            <w:tcBorders>
              <w:top w:val="single" w:color="auto" w:sz="4" w:space="0"/>
              <w:left w:val="single" w:color="auto" w:sz="4" w:space="0"/>
              <w:bottom w:val="single" w:color="auto" w:sz="4" w:space="0"/>
              <w:right w:val="single" w:color="auto" w:sz="4" w:space="0"/>
            </w:tcBorders>
            <w:vAlign w:val="center"/>
          </w:tcPr>
          <w:p w14:paraId="051B83BD">
            <w:pPr>
              <w:rPr>
                <w:rFonts w:ascii="宋体" w:hAnsi="宋体"/>
                <w:color w:val="auto"/>
                <w:szCs w:val="21"/>
                <w:highlight w:val="none"/>
              </w:rPr>
            </w:pPr>
            <w:r>
              <w:rPr>
                <w:rFonts w:ascii="宋体" w:hAnsi="宋体"/>
                <w:color w:val="auto"/>
                <w:szCs w:val="21"/>
                <w:highlight w:val="none"/>
              </w:rPr>
              <w:t>□无</w:t>
            </w:r>
          </w:p>
          <w:p w14:paraId="26A2C1BB">
            <w:pP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有，</w:t>
            </w:r>
            <w:r>
              <w:rPr>
                <w:rFonts w:ascii="宋体" w:hAnsi="宋体"/>
                <w:color w:val="auto"/>
                <w:szCs w:val="21"/>
                <w:highlight w:val="none"/>
                <w:u w:val="single"/>
              </w:rPr>
              <w:t>最高投标限价</w:t>
            </w:r>
            <w:r>
              <w:rPr>
                <w:rFonts w:hint="eastAsia" w:ascii="宋体" w:hAnsi="宋体"/>
                <w:color w:val="auto"/>
                <w:szCs w:val="21"/>
                <w:highlight w:val="none"/>
                <w:u w:val="single"/>
              </w:rPr>
              <w:t>（含税）：</w:t>
            </w:r>
            <w:r>
              <w:rPr>
                <w:rFonts w:hint="eastAsia" w:ascii="宋体" w:hAnsi="宋体"/>
                <w:color w:val="auto"/>
                <w:szCs w:val="21"/>
                <w:highlight w:val="none"/>
                <w:u w:val="single"/>
                <w:lang w:val="en-US" w:eastAsia="zh-CN"/>
              </w:rPr>
              <w:t>188</w:t>
            </w:r>
            <w:r>
              <w:rPr>
                <w:rFonts w:hint="eastAsia" w:ascii="宋体" w:hAnsi="宋体"/>
                <w:color w:val="auto"/>
                <w:szCs w:val="21"/>
                <w:highlight w:val="none"/>
                <w:u w:val="single"/>
              </w:rPr>
              <w:t>万</w:t>
            </w:r>
            <w:r>
              <w:rPr>
                <w:rFonts w:ascii="宋体" w:hAnsi="宋体"/>
                <w:color w:val="auto"/>
                <w:szCs w:val="21"/>
                <w:highlight w:val="none"/>
                <w:u w:val="single"/>
              </w:rPr>
              <w:t>元</w:t>
            </w:r>
            <w:r>
              <w:rPr>
                <w:rFonts w:hint="eastAsia" w:ascii="宋体" w:hAnsi="宋体"/>
                <w:color w:val="auto"/>
                <w:szCs w:val="21"/>
                <w:highlight w:val="none"/>
                <w:u w:val="single"/>
              </w:rPr>
              <w:t>，超过最高投标限价的投标文件将被拒绝。</w:t>
            </w:r>
          </w:p>
        </w:tc>
      </w:tr>
      <w:tr w14:paraId="68081F1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ED43B10">
            <w:pPr>
              <w:jc w:val="center"/>
              <w:rPr>
                <w:rFonts w:ascii="宋体" w:hAnsi="宋体"/>
                <w:color w:val="auto"/>
                <w:szCs w:val="21"/>
                <w:highlight w:val="none"/>
              </w:rPr>
            </w:pPr>
            <w:r>
              <w:rPr>
                <w:rFonts w:ascii="宋体" w:hAnsi="宋体"/>
                <w:color w:val="auto"/>
                <w:szCs w:val="21"/>
                <w:highlight w:val="none"/>
              </w:rPr>
              <w:t>3.2.5</w:t>
            </w:r>
          </w:p>
        </w:tc>
        <w:tc>
          <w:tcPr>
            <w:tcW w:w="2292" w:type="dxa"/>
            <w:tcBorders>
              <w:top w:val="single" w:color="auto" w:sz="4" w:space="0"/>
              <w:left w:val="single" w:color="auto" w:sz="4" w:space="0"/>
              <w:bottom w:val="single" w:color="auto" w:sz="4" w:space="0"/>
              <w:right w:val="single" w:color="auto" w:sz="4" w:space="0"/>
            </w:tcBorders>
            <w:vAlign w:val="center"/>
          </w:tcPr>
          <w:p w14:paraId="62747868">
            <w:pPr>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5865" w:type="dxa"/>
            <w:tcBorders>
              <w:top w:val="single" w:color="auto" w:sz="4" w:space="0"/>
              <w:left w:val="single" w:color="auto" w:sz="4" w:space="0"/>
              <w:bottom w:val="single" w:color="auto" w:sz="4" w:space="0"/>
              <w:right w:val="single" w:color="auto" w:sz="4" w:space="0"/>
            </w:tcBorders>
            <w:vAlign w:val="center"/>
          </w:tcPr>
          <w:p w14:paraId="70140563">
            <w:pPr>
              <w:spacing w:line="360" w:lineRule="exact"/>
              <w:rPr>
                <w:rFonts w:ascii="宋体" w:hAnsi="宋体" w:cs="宋体"/>
                <w:color w:val="auto"/>
                <w:szCs w:val="21"/>
                <w:highlight w:val="none"/>
              </w:rPr>
            </w:pPr>
            <w:r>
              <w:rPr>
                <w:rFonts w:hint="eastAsia" w:ascii="宋体" w:hAnsi="宋体" w:cs="宋体"/>
                <w:color w:val="auto"/>
                <w:szCs w:val="21"/>
                <w:highlight w:val="none"/>
              </w:rPr>
              <w:t>投标人必须详细审阅全部招标文件，充分考虑职责和义务，全面地理解招标文件对投标报价的要求，并按招标人提出的条件及内容进行报价。</w:t>
            </w:r>
          </w:p>
          <w:p w14:paraId="11F7AD32">
            <w:pPr>
              <w:spacing w:line="360" w:lineRule="exact"/>
              <w:rPr>
                <w:rFonts w:ascii="宋体" w:hAnsi="宋体" w:cs="宋体"/>
                <w:color w:val="auto"/>
                <w:szCs w:val="21"/>
                <w:highlight w:val="none"/>
              </w:rPr>
            </w:pPr>
            <w:r>
              <w:rPr>
                <w:rFonts w:hint="eastAsia" w:ascii="宋体" w:hAnsi="宋体" w:cs="宋体"/>
                <w:color w:val="auto"/>
                <w:szCs w:val="21"/>
                <w:highlight w:val="none"/>
              </w:rPr>
              <w:t>（1）除非合同另有规定，投标报价应</w:t>
            </w:r>
            <w:r>
              <w:rPr>
                <w:rFonts w:ascii="宋体" w:hAnsi="宋体" w:cs="宋体"/>
                <w:color w:val="auto"/>
                <w:szCs w:val="21"/>
                <w:highlight w:val="none"/>
              </w:rPr>
              <w:t>已包含监理人履行本项目合同项下所有义务所需所有成</w:t>
            </w:r>
            <w:r>
              <w:rPr>
                <w:rFonts w:hint="eastAsia" w:ascii="宋体" w:hAnsi="宋体" w:cs="宋体"/>
                <w:color w:val="auto"/>
                <w:szCs w:val="21"/>
                <w:highlight w:val="none"/>
              </w:rPr>
              <w:t>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s="宋体"/>
                <w:color w:val="auto"/>
                <w:szCs w:val="21"/>
                <w:highlight w:val="none"/>
              </w:rPr>
              <w:t>/国内外电话费、传真邮递费、办公用水、电费等服务过程中发生的一切费用及监理人的管理费、利润、规费等费用。</w:t>
            </w:r>
          </w:p>
          <w:p w14:paraId="33254134">
            <w:pPr>
              <w:pStyle w:val="84"/>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监理费结算</w:t>
            </w:r>
            <w:r>
              <w:rPr>
                <w:rFonts w:hint="eastAsia" w:ascii="宋体" w:hAnsi="宋体" w:cs="宋体"/>
                <w:color w:val="auto"/>
                <w:szCs w:val="21"/>
                <w:highlight w:val="none"/>
              </w:rPr>
              <w:t>具体按合同条款约定。</w:t>
            </w:r>
          </w:p>
        </w:tc>
      </w:tr>
      <w:tr w14:paraId="0FC9F36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5372D6A">
            <w:pPr>
              <w:jc w:val="center"/>
              <w:rPr>
                <w:rFonts w:ascii="宋体" w:hAnsi="宋体"/>
                <w:color w:val="auto"/>
                <w:szCs w:val="21"/>
                <w:highlight w:val="none"/>
              </w:rPr>
            </w:pPr>
            <w:r>
              <w:rPr>
                <w:rFonts w:ascii="宋体" w:hAnsi="宋体"/>
                <w:color w:val="auto"/>
                <w:szCs w:val="21"/>
                <w:highlight w:val="none"/>
              </w:rPr>
              <w:t>3.3.1</w:t>
            </w:r>
          </w:p>
        </w:tc>
        <w:tc>
          <w:tcPr>
            <w:tcW w:w="2292" w:type="dxa"/>
            <w:tcBorders>
              <w:top w:val="single" w:color="auto" w:sz="4" w:space="0"/>
              <w:left w:val="single" w:color="auto" w:sz="4" w:space="0"/>
              <w:bottom w:val="single" w:color="auto" w:sz="4" w:space="0"/>
              <w:right w:val="single" w:color="auto" w:sz="4" w:space="0"/>
            </w:tcBorders>
            <w:vAlign w:val="center"/>
          </w:tcPr>
          <w:p w14:paraId="33D5439E">
            <w:pPr>
              <w:jc w:val="center"/>
              <w:rPr>
                <w:rFonts w:ascii="宋体" w:hAnsi="宋体"/>
                <w:color w:val="auto"/>
                <w:szCs w:val="21"/>
                <w:highlight w:val="none"/>
              </w:rPr>
            </w:pPr>
            <w:r>
              <w:rPr>
                <w:rFonts w:hint="eastAsia" w:ascii="宋体" w:hAnsi="宋体"/>
                <w:color w:val="auto"/>
                <w:szCs w:val="21"/>
                <w:highlight w:val="none"/>
              </w:rPr>
              <w:t>投标有效期</w:t>
            </w:r>
          </w:p>
        </w:tc>
        <w:tc>
          <w:tcPr>
            <w:tcW w:w="5865" w:type="dxa"/>
            <w:tcBorders>
              <w:top w:val="single" w:color="auto" w:sz="4" w:space="0"/>
              <w:left w:val="single" w:color="auto" w:sz="4" w:space="0"/>
              <w:bottom w:val="single" w:color="auto" w:sz="4" w:space="0"/>
              <w:right w:val="single" w:color="auto" w:sz="4" w:space="0"/>
            </w:tcBorders>
            <w:vAlign w:val="center"/>
          </w:tcPr>
          <w:p w14:paraId="5ECDD056">
            <w:pPr>
              <w:rPr>
                <w:rFonts w:ascii="宋体" w:hAnsi="宋体"/>
                <w:color w:val="auto"/>
                <w:szCs w:val="21"/>
                <w:highlight w:val="none"/>
              </w:rPr>
            </w:pPr>
            <w:bookmarkStart w:id="18" w:name="_Toc352691470"/>
            <w:bookmarkStart w:id="19" w:name="_Toc369531512"/>
            <w:bookmarkStart w:id="20" w:name="_Toc361508582"/>
            <w:bookmarkStart w:id="21" w:name="_Toc300834946"/>
            <w:bookmarkStart w:id="22" w:name="_Toc1789"/>
            <w:bookmarkStart w:id="23" w:name="_Toc384308207"/>
            <w:r>
              <w:rPr>
                <w:rFonts w:hint="eastAsia" w:ascii="宋体" w:hAnsi="宋体"/>
                <w:color w:val="auto"/>
                <w:szCs w:val="21"/>
                <w:highlight w:val="none"/>
                <w:u w:val="single"/>
              </w:rPr>
              <w:t>90</w:t>
            </w:r>
            <w:r>
              <w:rPr>
                <w:rFonts w:hint="eastAsia" w:ascii="宋体" w:hAnsi="宋体"/>
                <w:color w:val="auto"/>
                <w:szCs w:val="21"/>
                <w:highlight w:val="none"/>
              </w:rPr>
              <w:t>日历天（从投标截止之日算起）。如出现异议或投诉，则投标有效期自动延长至异议或投诉处理结束，确定中标人并发放中标通知书为止。</w:t>
            </w:r>
          </w:p>
        </w:tc>
      </w:tr>
      <w:bookmarkEnd w:id="18"/>
      <w:bookmarkEnd w:id="19"/>
      <w:bookmarkEnd w:id="20"/>
      <w:bookmarkEnd w:id="21"/>
      <w:bookmarkEnd w:id="22"/>
      <w:bookmarkEnd w:id="23"/>
      <w:tr w14:paraId="12052675">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24BEC3C7">
            <w:pPr>
              <w:jc w:val="center"/>
              <w:rPr>
                <w:rFonts w:ascii="宋体" w:hAnsi="宋体"/>
                <w:color w:val="auto"/>
                <w:szCs w:val="21"/>
                <w:highlight w:val="none"/>
              </w:rPr>
            </w:pPr>
            <w:r>
              <w:rPr>
                <w:rFonts w:ascii="宋体" w:hAnsi="宋体"/>
                <w:color w:val="auto"/>
                <w:szCs w:val="21"/>
                <w:highlight w:val="none"/>
              </w:rPr>
              <w:t>3.4.1</w:t>
            </w:r>
          </w:p>
        </w:tc>
        <w:tc>
          <w:tcPr>
            <w:tcW w:w="2292" w:type="dxa"/>
            <w:tcBorders>
              <w:top w:val="single" w:color="auto" w:sz="4" w:space="0"/>
              <w:left w:val="single" w:color="auto" w:sz="4" w:space="0"/>
              <w:bottom w:val="single" w:color="auto" w:sz="4" w:space="0"/>
              <w:right w:val="single" w:color="auto" w:sz="4" w:space="0"/>
            </w:tcBorders>
            <w:vAlign w:val="center"/>
          </w:tcPr>
          <w:p w14:paraId="06820F4B">
            <w:pPr>
              <w:jc w:val="center"/>
              <w:rPr>
                <w:rFonts w:ascii="宋体" w:hAnsi="宋体"/>
                <w:color w:val="auto"/>
                <w:szCs w:val="21"/>
                <w:highlight w:val="none"/>
              </w:rPr>
            </w:pPr>
            <w:r>
              <w:rPr>
                <w:rFonts w:hint="eastAsia" w:ascii="宋体" w:hAnsi="宋体"/>
                <w:color w:val="auto"/>
                <w:szCs w:val="21"/>
                <w:highlight w:val="none"/>
              </w:rPr>
              <w:t>投标保证金</w:t>
            </w:r>
          </w:p>
        </w:tc>
        <w:tc>
          <w:tcPr>
            <w:tcW w:w="5865" w:type="dxa"/>
            <w:tcBorders>
              <w:top w:val="single" w:color="auto" w:sz="4" w:space="0"/>
              <w:left w:val="single" w:color="auto" w:sz="4" w:space="0"/>
              <w:bottom w:val="single" w:color="auto" w:sz="4" w:space="0"/>
              <w:right w:val="single" w:color="auto" w:sz="4" w:space="0"/>
            </w:tcBorders>
            <w:vAlign w:val="center"/>
          </w:tcPr>
          <w:p w14:paraId="7858AB15">
            <w:pPr>
              <w:ind w:firstLine="210" w:firstLineChars="100"/>
              <w:rPr>
                <w:rFonts w:ascii="宋体" w:hAnsi="宋体"/>
              </w:rPr>
            </w:pPr>
            <w:r>
              <w:rPr>
                <w:rFonts w:hint="eastAsia" w:ascii="宋体" w:hAnsi="宋体"/>
                <w:u w:val="single"/>
              </w:rPr>
              <w:t xml:space="preserve">2 </w:t>
            </w:r>
            <w:r>
              <w:rPr>
                <w:rFonts w:hint="eastAsia" w:ascii="宋体" w:hAnsi="宋体"/>
              </w:rPr>
              <w:t>万元人民币</w:t>
            </w:r>
          </w:p>
          <w:p w14:paraId="429D6F27">
            <w:pPr>
              <w:snapToGrid w:val="0"/>
              <w:rPr>
                <w:rFonts w:ascii="宋体" w:hAnsi="宋体" w:cs="宋体"/>
                <w:szCs w:val="21"/>
              </w:rPr>
            </w:pPr>
            <w:r>
              <w:rPr>
                <w:rFonts w:hint="eastAsia" w:ascii="宋体" w:hAnsi="宋体" w:cs="宋体"/>
                <w:szCs w:val="21"/>
              </w:rPr>
              <w:t>1、投标保证金的有效期：应长于或等于投标有效期。</w:t>
            </w:r>
          </w:p>
          <w:p w14:paraId="78913F66">
            <w:pPr>
              <w:snapToGrid w:val="0"/>
              <w:rPr>
                <w:rFonts w:ascii="宋体" w:hAnsi="宋体" w:cs="宋体"/>
                <w:szCs w:val="21"/>
              </w:rPr>
            </w:pPr>
            <w:r>
              <w:rPr>
                <w:rFonts w:hint="eastAsia" w:ascii="宋体" w:hAnsi="宋体" w:cs="宋体"/>
                <w:szCs w:val="21"/>
              </w:rPr>
              <w:t>2、缴纳时间：递交投标文件截止时间前</w:t>
            </w:r>
          </w:p>
          <w:p w14:paraId="091AF047">
            <w:pPr>
              <w:snapToGrid w:val="0"/>
              <w:rPr>
                <w:rFonts w:ascii="宋体" w:hAnsi="宋体" w:cs="宋体"/>
                <w:szCs w:val="21"/>
              </w:rPr>
            </w:pPr>
            <w:r>
              <w:rPr>
                <w:rFonts w:hint="eastAsia" w:ascii="宋体" w:hAnsi="宋体" w:cs="宋体"/>
                <w:szCs w:val="21"/>
              </w:rPr>
              <w:t>3、投标保证金的形式：投标保证金可采用现金、银行汇票、银行本票、银行电汇、支票（现金支票、转账支票）、银行保函、保证保险、专业担保公司担保等形式。</w:t>
            </w:r>
          </w:p>
          <w:p w14:paraId="486143AE">
            <w:pPr>
              <w:snapToGrid w:val="0"/>
              <w:rPr>
                <w:rFonts w:ascii="宋体" w:hAnsi="宋体" w:cs="宋体"/>
                <w:szCs w:val="21"/>
              </w:rPr>
            </w:pPr>
            <w:r>
              <w:rPr>
                <w:rFonts w:hint="eastAsia" w:ascii="宋体" w:hAnsi="宋体" w:cs="宋体"/>
                <w:szCs w:val="21"/>
              </w:rPr>
              <w:t>4、递交方式：</w:t>
            </w:r>
          </w:p>
          <w:p w14:paraId="102B5E13">
            <w:pPr>
              <w:snapToGrid w:val="0"/>
              <w:rPr>
                <w:rFonts w:ascii="宋体" w:hAnsi="宋体" w:cs="宋体"/>
                <w:szCs w:val="21"/>
              </w:rPr>
            </w:pPr>
            <w:r>
              <w:rPr>
                <w:rFonts w:hint="eastAsia" w:ascii="宋体" w:hAnsi="宋体" w:cs="宋体"/>
                <w:szCs w:val="21"/>
              </w:rPr>
              <w:t>（1）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咨询电话：020-28866000)。</w:t>
            </w:r>
          </w:p>
          <w:p w14:paraId="1A9E16C0">
            <w:pPr>
              <w:snapToGrid w:val="0"/>
              <w:rPr>
                <w:rFonts w:ascii="宋体" w:hAnsi="宋体" w:cs="宋体"/>
                <w:szCs w:val="21"/>
              </w:rPr>
            </w:pPr>
            <w:r>
              <w:rPr>
                <w:rFonts w:hint="eastAsia" w:ascii="宋体" w:hAnsi="宋体" w:cs="宋体"/>
                <w:szCs w:val="21"/>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14:paraId="78B008EC">
            <w:pPr>
              <w:rPr>
                <w:rFonts w:ascii="宋体" w:hAnsi="宋体" w:cs="宋体"/>
                <w:szCs w:val="21"/>
              </w:rPr>
            </w:pPr>
            <w:r>
              <w:rPr>
                <w:rFonts w:hint="eastAsia" w:ascii="宋体" w:hAnsi="宋体" w:cs="宋体"/>
                <w:szCs w:val="21"/>
              </w:rPr>
              <w:t>（3）如采用电子保函形式递交投标保证金，按广州交易集团有限公司（广州公共资源交易中心）发布的《广州公共资源交易中心关于开通电子保函服务功能的通知》操作。详见：</w:t>
            </w:r>
            <w:r>
              <w:rPr>
                <w:rFonts w:ascii="宋体" w:hAnsi="宋体" w:cs="宋体"/>
                <w:szCs w:val="21"/>
              </w:rPr>
              <w:t>http://www.gzggzy.cn/fwznbszycwxg/857020.jhtml</w:t>
            </w:r>
            <w:r>
              <w:rPr>
                <w:rFonts w:hint="eastAsia" w:ascii="宋体" w:hAnsi="宋体" w:cs="宋体"/>
                <w:szCs w:val="21"/>
              </w:rPr>
              <w:t>。到账情况以开标时广州交易集团有限公司（广州公共资源交易中心）数据库查询信息为准。</w:t>
            </w:r>
          </w:p>
          <w:p w14:paraId="7B8651EE">
            <w:pPr>
              <w:pStyle w:val="19"/>
              <w:topLinePunct/>
              <w:snapToGrid w:val="0"/>
              <w:rPr>
                <w:rFonts w:hAnsi="宋体" w:cs="宋体"/>
                <w:color w:val="auto"/>
                <w:sz w:val="21"/>
                <w:szCs w:val="21"/>
                <w:highlight w:val="none"/>
              </w:rPr>
            </w:pPr>
            <w:r>
              <w:rPr>
                <w:rFonts w:hint="eastAsia" w:hAnsi="宋体" w:cs="宋体"/>
                <w:szCs w:val="21"/>
              </w:rPr>
              <w:t>5、投标保证金依据法律法规的相关规定退还。</w:t>
            </w:r>
          </w:p>
        </w:tc>
      </w:tr>
      <w:tr w14:paraId="05128FCB">
        <w:tblPrEx>
          <w:tblCellMar>
            <w:top w:w="0" w:type="dxa"/>
            <w:left w:w="108" w:type="dxa"/>
            <w:bottom w:w="0" w:type="dxa"/>
            <w:right w:w="108" w:type="dxa"/>
          </w:tblCellMar>
        </w:tblPrEx>
        <w:trPr>
          <w:trHeight w:val="579" w:hRule="atLeast"/>
        </w:trPr>
        <w:tc>
          <w:tcPr>
            <w:tcW w:w="1165" w:type="dxa"/>
            <w:tcBorders>
              <w:top w:val="single" w:color="auto" w:sz="4" w:space="0"/>
              <w:left w:val="single" w:color="auto" w:sz="4" w:space="0"/>
              <w:bottom w:val="single" w:color="auto" w:sz="4" w:space="0"/>
              <w:right w:val="single" w:color="auto" w:sz="4" w:space="0"/>
            </w:tcBorders>
            <w:vAlign w:val="center"/>
          </w:tcPr>
          <w:p w14:paraId="615C0AD0">
            <w:pPr>
              <w:jc w:val="center"/>
              <w:rPr>
                <w:rFonts w:ascii="宋体" w:hAnsi="宋体"/>
                <w:color w:val="auto"/>
                <w:szCs w:val="21"/>
                <w:highlight w:val="none"/>
              </w:rPr>
            </w:pPr>
            <w:r>
              <w:rPr>
                <w:rFonts w:ascii="宋体" w:hAnsi="宋体"/>
                <w:color w:val="auto"/>
                <w:szCs w:val="21"/>
                <w:highlight w:val="none"/>
              </w:rPr>
              <w:t>3.4.4</w:t>
            </w:r>
          </w:p>
        </w:tc>
        <w:tc>
          <w:tcPr>
            <w:tcW w:w="2292" w:type="dxa"/>
            <w:tcBorders>
              <w:top w:val="single" w:color="auto" w:sz="4" w:space="0"/>
              <w:left w:val="single" w:color="auto" w:sz="4" w:space="0"/>
              <w:bottom w:val="single" w:color="auto" w:sz="4" w:space="0"/>
              <w:right w:val="single" w:color="auto" w:sz="4" w:space="0"/>
            </w:tcBorders>
            <w:vAlign w:val="center"/>
          </w:tcPr>
          <w:p w14:paraId="4CE70E7F">
            <w:pPr>
              <w:jc w:val="center"/>
              <w:rPr>
                <w:rFonts w:ascii="宋体" w:hAnsi="宋体"/>
                <w:color w:val="auto"/>
                <w:szCs w:val="21"/>
                <w:highlight w:val="none"/>
              </w:rPr>
            </w:pPr>
            <w:r>
              <w:rPr>
                <w:rFonts w:ascii="宋体" w:hAnsi="宋体"/>
                <w:color w:val="auto"/>
                <w:szCs w:val="21"/>
                <w:highlight w:val="none"/>
              </w:rPr>
              <w:t>其他可以不予退还投标保证金的情形</w:t>
            </w:r>
          </w:p>
        </w:tc>
        <w:tc>
          <w:tcPr>
            <w:tcW w:w="5865" w:type="dxa"/>
            <w:tcBorders>
              <w:top w:val="single" w:color="auto" w:sz="4" w:space="0"/>
              <w:left w:val="single" w:color="auto" w:sz="4" w:space="0"/>
              <w:bottom w:val="single" w:color="auto" w:sz="4" w:space="0"/>
              <w:right w:val="single" w:color="auto" w:sz="4" w:space="0"/>
            </w:tcBorders>
            <w:vAlign w:val="center"/>
          </w:tcPr>
          <w:p w14:paraId="39742069">
            <w:pPr>
              <w:jc w:val="left"/>
              <w:rPr>
                <w:rFonts w:ascii="宋体" w:hAnsi="宋体"/>
                <w:color w:val="auto"/>
                <w:szCs w:val="21"/>
                <w:highlight w:val="none"/>
              </w:rPr>
            </w:pPr>
            <w:r>
              <w:rPr>
                <w:rFonts w:hint="eastAsia" w:ascii="宋体" w:hAnsi="宋体"/>
                <w:color w:val="auto"/>
                <w:szCs w:val="21"/>
                <w:highlight w:val="none"/>
              </w:rPr>
              <w:t>（1）投标人在投标有效期内撤销投标文件；</w:t>
            </w:r>
          </w:p>
          <w:p w14:paraId="58A92787">
            <w:pPr>
              <w:jc w:val="left"/>
              <w:rPr>
                <w:rFonts w:ascii="宋体" w:hAnsi="宋体"/>
                <w:color w:val="auto"/>
                <w:szCs w:val="21"/>
                <w:highlight w:val="none"/>
              </w:rPr>
            </w:pPr>
            <w:r>
              <w:rPr>
                <w:rFonts w:hint="eastAsia" w:ascii="宋体" w:hAnsi="宋体"/>
                <w:color w:val="auto"/>
                <w:szCs w:val="21"/>
                <w:highlight w:val="none"/>
              </w:rPr>
              <w:t>（2）中标人在收到中标通知书后，无正当理由不与招标人订立合同，在签订合同时向招标人提出附加条件，或者不按照招标文件要求提交履约保证金；</w:t>
            </w:r>
          </w:p>
          <w:p w14:paraId="23B1383E">
            <w:pPr>
              <w:jc w:val="left"/>
              <w:rPr>
                <w:rFonts w:ascii="宋体" w:hAnsi="宋体"/>
                <w:color w:val="auto"/>
                <w:szCs w:val="21"/>
                <w:highlight w:val="none"/>
              </w:rPr>
            </w:pPr>
            <w:r>
              <w:rPr>
                <w:rFonts w:hint="eastAsia" w:ascii="宋体" w:hAnsi="宋体"/>
                <w:color w:val="auto"/>
                <w:szCs w:val="21"/>
                <w:highlight w:val="none"/>
              </w:rPr>
              <w:t>（3）发生投标人须知前附表规定的其他可以不予退还投标保证金的情形。</w:t>
            </w:r>
          </w:p>
        </w:tc>
      </w:tr>
      <w:tr w14:paraId="69DD5544">
        <w:tblPrEx>
          <w:tblCellMar>
            <w:top w:w="0" w:type="dxa"/>
            <w:left w:w="108" w:type="dxa"/>
            <w:bottom w:w="0" w:type="dxa"/>
            <w:right w:w="108" w:type="dxa"/>
          </w:tblCellMar>
        </w:tblPrEx>
        <w:trPr>
          <w:trHeight w:val="672" w:hRule="atLeast"/>
        </w:trPr>
        <w:tc>
          <w:tcPr>
            <w:tcW w:w="1165" w:type="dxa"/>
            <w:tcBorders>
              <w:top w:val="single" w:color="auto" w:sz="4" w:space="0"/>
              <w:left w:val="single" w:color="auto" w:sz="4" w:space="0"/>
              <w:bottom w:val="single" w:color="auto" w:sz="4" w:space="0"/>
              <w:right w:val="single" w:color="auto" w:sz="4" w:space="0"/>
            </w:tcBorders>
            <w:vAlign w:val="center"/>
          </w:tcPr>
          <w:p w14:paraId="5483B791">
            <w:pPr>
              <w:jc w:val="center"/>
              <w:rPr>
                <w:rFonts w:ascii="宋体" w:hAnsi="宋体"/>
                <w:color w:val="auto"/>
                <w:szCs w:val="21"/>
                <w:highlight w:val="none"/>
              </w:rPr>
            </w:pPr>
            <w:r>
              <w:rPr>
                <w:rFonts w:ascii="宋体" w:hAnsi="宋体"/>
                <w:color w:val="auto"/>
                <w:szCs w:val="21"/>
                <w:highlight w:val="none"/>
              </w:rPr>
              <w:t>3.5</w:t>
            </w:r>
          </w:p>
        </w:tc>
        <w:tc>
          <w:tcPr>
            <w:tcW w:w="2292" w:type="dxa"/>
            <w:tcBorders>
              <w:top w:val="single" w:color="auto" w:sz="4" w:space="0"/>
              <w:left w:val="single" w:color="auto" w:sz="4" w:space="0"/>
              <w:bottom w:val="single" w:color="auto" w:sz="4" w:space="0"/>
              <w:right w:val="single" w:color="auto" w:sz="4" w:space="0"/>
            </w:tcBorders>
            <w:vAlign w:val="center"/>
          </w:tcPr>
          <w:p w14:paraId="60819C42">
            <w:pPr>
              <w:jc w:val="center"/>
              <w:rPr>
                <w:rFonts w:ascii="宋体" w:hAnsi="宋体"/>
                <w:color w:val="auto"/>
                <w:szCs w:val="21"/>
                <w:highlight w:val="none"/>
              </w:rPr>
            </w:pPr>
            <w:r>
              <w:rPr>
                <w:rFonts w:ascii="宋体" w:hAnsi="宋体"/>
                <w:color w:val="auto"/>
                <w:szCs w:val="21"/>
                <w:highlight w:val="none"/>
              </w:rPr>
              <w:t>资格审查资料的特殊要求</w:t>
            </w:r>
          </w:p>
        </w:tc>
        <w:tc>
          <w:tcPr>
            <w:tcW w:w="5865" w:type="dxa"/>
            <w:tcBorders>
              <w:top w:val="single" w:color="auto" w:sz="4" w:space="0"/>
              <w:left w:val="single" w:color="auto" w:sz="4" w:space="0"/>
              <w:bottom w:val="single" w:color="auto" w:sz="4" w:space="0"/>
              <w:right w:val="single" w:color="auto" w:sz="4" w:space="0"/>
            </w:tcBorders>
            <w:vAlign w:val="center"/>
          </w:tcPr>
          <w:p w14:paraId="55ADA3C2">
            <w:pPr>
              <w:pStyle w:val="19"/>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无</w:t>
            </w:r>
          </w:p>
          <w:p w14:paraId="76A6CB26">
            <w:pPr>
              <w:pStyle w:val="19"/>
              <w:topLinePunct/>
              <w:rPr>
                <w:rFonts w:hAnsi="宋体"/>
                <w:color w:val="auto"/>
                <w:sz w:val="21"/>
                <w:szCs w:val="21"/>
                <w:highlight w:val="none"/>
              </w:rPr>
            </w:pPr>
            <w:r>
              <w:rPr>
                <w:rFonts w:hAnsi="宋体"/>
                <w:color w:val="auto"/>
                <w:szCs w:val="21"/>
                <w:highlight w:val="none"/>
              </w:rPr>
              <w:t>□</w:t>
            </w:r>
            <w:r>
              <w:rPr>
                <w:rFonts w:hAnsi="宋体"/>
                <w:color w:val="auto"/>
                <w:sz w:val="21"/>
                <w:szCs w:val="21"/>
                <w:highlight w:val="none"/>
              </w:rPr>
              <w:t>有，具体要求：</w:t>
            </w:r>
            <w:r>
              <w:rPr>
                <w:rFonts w:hint="eastAsia" w:hAnsi="宋体"/>
                <w:color w:val="auto"/>
                <w:sz w:val="21"/>
                <w:szCs w:val="21"/>
                <w:highlight w:val="none"/>
              </w:rPr>
              <w:t>/</w:t>
            </w:r>
          </w:p>
        </w:tc>
      </w:tr>
      <w:tr w14:paraId="02C36272">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2B8FFB49">
            <w:pPr>
              <w:jc w:val="center"/>
              <w:rPr>
                <w:rFonts w:ascii="宋体" w:hAnsi="宋体"/>
                <w:color w:val="auto"/>
                <w:szCs w:val="21"/>
                <w:highlight w:val="none"/>
              </w:rPr>
            </w:pPr>
            <w:r>
              <w:rPr>
                <w:rFonts w:ascii="宋体" w:hAnsi="宋体"/>
                <w:color w:val="auto"/>
                <w:szCs w:val="21"/>
                <w:highlight w:val="none"/>
              </w:rPr>
              <w:t>3.5.2</w:t>
            </w:r>
          </w:p>
        </w:tc>
        <w:tc>
          <w:tcPr>
            <w:tcW w:w="2292" w:type="dxa"/>
            <w:tcBorders>
              <w:top w:val="single" w:color="auto" w:sz="4" w:space="0"/>
              <w:left w:val="single" w:color="auto" w:sz="4" w:space="0"/>
              <w:bottom w:val="single" w:color="auto" w:sz="4" w:space="0"/>
              <w:right w:val="single" w:color="auto" w:sz="4" w:space="0"/>
            </w:tcBorders>
            <w:vAlign w:val="center"/>
          </w:tcPr>
          <w:p w14:paraId="0371E782">
            <w:pPr>
              <w:jc w:val="center"/>
              <w:rPr>
                <w:rFonts w:ascii="宋体" w:hAnsi="宋体"/>
                <w:color w:val="auto"/>
                <w:szCs w:val="21"/>
                <w:highlight w:val="none"/>
              </w:rPr>
            </w:pPr>
            <w:r>
              <w:rPr>
                <w:rFonts w:ascii="宋体" w:hAnsi="宋体"/>
                <w:color w:val="auto"/>
                <w:szCs w:val="21"/>
                <w:highlight w:val="none"/>
              </w:rPr>
              <w:t>近年财务状况的年份要求</w:t>
            </w:r>
          </w:p>
        </w:tc>
        <w:tc>
          <w:tcPr>
            <w:tcW w:w="5865" w:type="dxa"/>
            <w:tcBorders>
              <w:top w:val="single" w:color="auto" w:sz="4" w:space="0"/>
              <w:left w:val="single" w:color="auto" w:sz="4" w:space="0"/>
              <w:bottom w:val="single" w:color="auto" w:sz="4" w:space="0"/>
              <w:right w:val="single" w:color="auto" w:sz="4" w:space="0"/>
            </w:tcBorders>
            <w:vAlign w:val="center"/>
          </w:tcPr>
          <w:p w14:paraId="10307D55">
            <w:pPr>
              <w:rPr>
                <w:rFonts w:ascii="宋体" w:hAnsi="宋体"/>
                <w:color w:val="auto"/>
                <w:szCs w:val="21"/>
                <w:highlight w:val="none"/>
                <w:u w:val="single"/>
              </w:rPr>
            </w:pPr>
            <w:r>
              <w:rPr>
                <w:rFonts w:hint="eastAsia" w:ascii="宋体" w:hAnsi="宋体"/>
                <w:color w:val="auto"/>
                <w:szCs w:val="21"/>
                <w:highlight w:val="none"/>
              </w:rPr>
              <w:t>/</w:t>
            </w:r>
          </w:p>
        </w:tc>
      </w:tr>
      <w:tr w14:paraId="7DFD41DE">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79F4D4D9">
            <w:pPr>
              <w:jc w:val="center"/>
              <w:rPr>
                <w:rFonts w:ascii="宋体" w:hAnsi="宋体"/>
                <w:color w:val="auto"/>
                <w:szCs w:val="21"/>
                <w:highlight w:val="none"/>
              </w:rPr>
            </w:pPr>
            <w:r>
              <w:rPr>
                <w:rFonts w:ascii="宋体" w:hAnsi="宋体"/>
                <w:color w:val="auto"/>
                <w:szCs w:val="21"/>
                <w:highlight w:val="none"/>
              </w:rPr>
              <w:t>3.5.3</w:t>
            </w:r>
          </w:p>
        </w:tc>
        <w:tc>
          <w:tcPr>
            <w:tcW w:w="2292" w:type="dxa"/>
            <w:tcBorders>
              <w:top w:val="single" w:color="auto" w:sz="4" w:space="0"/>
              <w:left w:val="single" w:color="auto" w:sz="4" w:space="0"/>
              <w:bottom w:val="single" w:color="auto" w:sz="4" w:space="0"/>
              <w:right w:val="single" w:color="auto" w:sz="4" w:space="0"/>
            </w:tcBorders>
            <w:vAlign w:val="center"/>
          </w:tcPr>
          <w:p w14:paraId="1EE4FD8E">
            <w:pPr>
              <w:jc w:val="center"/>
              <w:rPr>
                <w:rFonts w:ascii="宋体" w:hAnsi="宋体"/>
                <w:color w:val="auto"/>
                <w:szCs w:val="21"/>
                <w:highlight w:val="none"/>
              </w:rPr>
            </w:pPr>
            <w:r>
              <w:rPr>
                <w:rFonts w:ascii="宋体" w:hAnsi="宋体"/>
                <w:color w:val="auto"/>
                <w:szCs w:val="21"/>
                <w:highlight w:val="none"/>
              </w:rPr>
              <w:t>近年完成的类似项目情况</w:t>
            </w:r>
            <w:r>
              <w:rPr>
                <w:rFonts w:hint="eastAsia" w:ascii="宋体" w:hAnsi="宋体"/>
                <w:color w:val="auto"/>
                <w:szCs w:val="21"/>
                <w:highlight w:val="none"/>
              </w:rPr>
              <w:t>的</w:t>
            </w:r>
            <w:r>
              <w:rPr>
                <w:rFonts w:ascii="宋体" w:hAnsi="宋体"/>
                <w:color w:val="auto"/>
                <w:szCs w:val="21"/>
                <w:highlight w:val="none"/>
              </w:rPr>
              <w:t>时间要求</w:t>
            </w:r>
          </w:p>
        </w:tc>
        <w:tc>
          <w:tcPr>
            <w:tcW w:w="5865" w:type="dxa"/>
            <w:tcBorders>
              <w:top w:val="single" w:color="auto" w:sz="4" w:space="0"/>
              <w:left w:val="single" w:color="auto" w:sz="4" w:space="0"/>
              <w:bottom w:val="single" w:color="auto" w:sz="4" w:space="0"/>
              <w:right w:val="single" w:color="auto" w:sz="4" w:space="0"/>
            </w:tcBorders>
            <w:vAlign w:val="center"/>
          </w:tcPr>
          <w:p w14:paraId="44B4F998">
            <w:pPr>
              <w:rPr>
                <w:rFonts w:ascii="宋体" w:hAnsi="宋体"/>
                <w:color w:val="auto"/>
                <w:szCs w:val="21"/>
                <w:highlight w:val="none"/>
              </w:rPr>
            </w:pPr>
            <w:r>
              <w:rPr>
                <w:rFonts w:hint="eastAsia"/>
                <w:color w:val="auto"/>
                <w:highlight w:val="none"/>
              </w:rPr>
              <w:t>/</w:t>
            </w:r>
          </w:p>
        </w:tc>
      </w:tr>
      <w:tr w14:paraId="4085228A">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0FEAB198">
            <w:pPr>
              <w:jc w:val="center"/>
              <w:rPr>
                <w:rFonts w:ascii="宋体" w:hAnsi="宋体"/>
                <w:color w:val="auto"/>
                <w:szCs w:val="21"/>
                <w:highlight w:val="none"/>
              </w:rPr>
            </w:pPr>
            <w:r>
              <w:rPr>
                <w:rFonts w:ascii="宋体" w:hAnsi="宋体"/>
                <w:color w:val="auto"/>
                <w:szCs w:val="21"/>
                <w:highlight w:val="none"/>
              </w:rPr>
              <w:t>3.5.5</w:t>
            </w:r>
          </w:p>
        </w:tc>
        <w:tc>
          <w:tcPr>
            <w:tcW w:w="2292" w:type="dxa"/>
            <w:tcBorders>
              <w:top w:val="single" w:color="auto" w:sz="4" w:space="0"/>
              <w:left w:val="single" w:color="auto" w:sz="4" w:space="0"/>
              <w:bottom w:val="single" w:color="auto" w:sz="4" w:space="0"/>
              <w:right w:val="single" w:color="auto" w:sz="4" w:space="0"/>
            </w:tcBorders>
            <w:vAlign w:val="center"/>
          </w:tcPr>
          <w:p w14:paraId="5E8793DC">
            <w:pPr>
              <w:jc w:val="center"/>
              <w:rPr>
                <w:rFonts w:ascii="宋体" w:hAnsi="宋体"/>
                <w:color w:val="auto"/>
                <w:szCs w:val="21"/>
                <w:highlight w:val="none"/>
              </w:rPr>
            </w:pPr>
            <w:r>
              <w:rPr>
                <w:rFonts w:ascii="宋体" w:hAnsi="宋体"/>
                <w:color w:val="auto"/>
                <w:szCs w:val="21"/>
                <w:highlight w:val="none"/>
              </w:rPr>
              <w:t>近年发生的诉讼及仲裁情况的时间要求</w:t>
            </w:r>
          </w:p>
        </w:tc>
        <w:tc>
          <w:tcPr>
            <w:tcW w:w="5865" w:type="dxa"/>
            <w:tcBorders>
              <w:top w:val="single" w:color="auto" w:sz="4" w:space="0"/>
              <w:left w:val="single" w:color="auto" w:sz="4" w:space="0"/>
              <w:bottom w:val="single" w:color="auto" w:sz="4" w:space="0"/>
              <w:right w:val="single" w:color="auto" w:sz="4" w:space="0"/>
            </w:tcBorders>
            <w:vAlign w:val="center"/>
          </w:tcPr>
          <w:p w14:paraId="2E527B2F">
            <w:pPr>
              <w:rPr>
                <w:rFonts w:ascii="宋体" w:hAnsi="宋体"/>
                <w:color w:val="auto"/>
                <w:szCs w:val="21"/>
                <w:highlight w:val="none"/>
              </w:rPr>
            </w:pPr>
            <w:r>
              <w:rPr>
                <w:rFonts w:hint="eastAsia" w:ascii="宋体" w:hAnsi="宋体"/>
                <w:color w:val="auto"/>
                <w:szCs w:val="21"/>
                <w:highlight w:val="none"/>
              </w:rPr>
              <w:t>/</w:t>
            </w:r>
          </w:p>
        </w:tc>
      </w:tr>
      <w:tr w14:paraId="197AD3C2">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6ABE124D">
            <w:pPr>
              <w:jc w:val="center"/>
              <w:rPr>
                <w:rFonts w:ascii="宋体" w:hAnsi="宋体"/>
                <w:color w:val="auto"/>
                <w:szCs w:val="21"/>
                <w:highlight w:val="none"/>
              </w:rPr>
            </w:pPr>
            <w:r>
              <w:rPr>
                <w:rFonts w:ascii="宋体" w:hAnsi="宋体"/>
                <w:color w:val="auto"/>
                <w:szCs w:val="21"/>
                <w:highlight w:val="none"/>
              </w:rPr>
              <w:t>3.6.1</w:t>
            </w:r>
          </w:p>
        </w:tc>
        <w:tc>
          <w:tcPr>
            <w:tcW w:w="2292" w:type="dxa"/>
            <w:tcBorders>
              <w:top w:val="single" w:color="auto" w:sz="4" w:space="0"/>
              <w:left w:val="single" w:color="auto" w:sz="4" w:space="0"/>
              <w:bottom w:val="single" w:color="auto" w:sz="4" w:space="0"/>
              <w:right w:val="single" w:color="auto" w:sz="4" w:space="0"/>
            </w:tcBorders>
            <w:vAlign w:val="center"/>
          </w:tcPr>
          <w:p w14:paraId="6D958733">
            <w:pPr>
              <w:jc w:val="center"/>
              <w:rPr>
                <w:rFonts w:ascii="宋体" w:hAnsi="宋体"/>
                <w:color w:val="auto"/>
                <w:szCs w:val="21"/>
                <w:highlight w:val="none"/>
              </w:rPr>
            </w:pPr>
            <w:r>
              <w:rPr>
                <w:rFonts w:ascii="宋体" w:hAnsi="宋体"/>
                <w:color w:val="auto"/>
                <w:szCs w:val="21"/>
                <w:highlight w:val="none"/>
              </w:rPr>
              <w:t>是否允许递交备选投标方案</w:t>
            </w:r>
          </w:p>
        </w:tc>
        <w:tc>
          <w:tcPr>
            <w:tcW w:w="5865" w:type="dxa"/>
            <w:tcBorders>
              <w:top w:val="single" w:color="auto" w:sz="4" w:space="0"/>
              <w:left w:val="single" w:color="auto" w:sz="4" w:space="0"/>
              <w:bottom w:val="single" w:color="auto" w:sz="4" w:space="0"/>
              <w:right w:val="single" w:color="auto" w:sz="4" w:space="0"/>
            </w:tcBorders>
            <w:vAlign w:val="center"/>
          </w:tcPr>
          <w:p w14:paraId="703C80C5">
            <w:pPr>
              <w:pStyle w:val="19"/>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不允许</w:t>
            </w:r>
          </w:p>
          <w:p w14:paraId="0A9D0E8B">
            <w:pPr>
              <w:rPr>
                <w:rFonts w:ascii="宋体" w:hAnsi="宋体"/>
                <w:color w:val="auto"/>
                <w:szCs w:val="21"/>
                <w:highlight w:val="none"/>
              </w:rPr>
            </w:pPr>
            <w:r>
              <w:rPr>
                <w:rFonts w:ascii="宋体" w:hAnsi="宋体"/>
                <w:color w:val="auto"/>
                <w:szCs w:val="21"/>
                <w:highlight w:val="none"/>
              </w:rPr>
              <w:t>□允许</w:t>
            </w:r>
          </w:p>
        </w:tc>
      </w:tr>
      <w:tr w14:paraId="2B64A01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70DB1EB">
            <w:pPr>
              <w:jc w:val="center"/>
              <w:rPr>
                <w:rFonts w:ascii="宋体" w:hAnsi="宋体"/>
                <w:color w:val="auto"/>
                <w:szCs w:val="21"/>
                <w:highlight w:val="none"/>
              </w:rPr>
            </w:pPr>
            <w:r>
              <w:rPr>
                <w:rFonts w:ascii="宋体" w:hAnsi="宋体"/>
                <w:color w:val="auto"/>
                <w:szCs w:val="21"/>
                <w:highlight w:val="none"/>
              </w:rPr>
              <w:t>3.7.3</w:t>
            </w:r>
          </w:p>
        </w:tc>
        <w:tc>
          <w:tcPr>
            <w:tcW w:w="2292" w:type="dxa"/>
            <w:tcBorders>
              <w:top w:val="single" w:color="auto" w:sz="4" w:space="0"/>
              <w:left w:val="single" w:color="auto" w:sz="4" w:space="0"/>
              <w:bottom w:val="single" w:color="auto" w:sz="4" w:space="0"/>
              <w:right w:val="single" w:color="auto" w:sz="4" w:space="0"/>
            </w:tcBorders>
            <w:vAlign w:val="center"/>
          </w:tcPr>
          <w:p w14:paraId="681D158F">
            <w:pPr>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5865" w:type="dxa"/>
            <w:tcBorders>
              <w:top w:val="single" w:color="auto" w:sz="4" w:space="0"/>
              <w:left w:val="single" w:color="auto" w:sz="4" w:space="0"/>
              <w:bottom w:val="single" w:color="auto" w:sz="4" w:space="0"/>
              <w:right w:val="single" w:color="auto" w:sz="4" w:space="0"/>
            </w:tcBorders>
          </w:tcPr>
          <w:p w14:paraId="2951526F">
            <w:pPr>
              <w:jc w:val="left"/>
              <w:rPr>
                <w:rFonts w:ascii="宋体" w:hAnsi="宋体"/>
                <w:color w:val="auto"/>
                <w:szCs w:val="21"/>
                <w:highlight w:val="none"/>
                <w:u w:val="single"/>
              </w:rPr>
            </w:pPr>
            <w:r>
              <w:rPr>
                <w:rFonts w:hint="eastAsia" w:ascii="宋体" w:hAnsi="宋体"/>
                <w:color w:val="auto"/>
                <w:szCs w:val="21"/>
                <w:highlight w:val="none"/>
                <w:u w:val="single"/>
              </w:rPr>
              <w:t>证书证件需为清晰扫描件，并采用单位数字证书，按照招标文件要求在相应位置用单位数字证书加盖电子印章。</w:t>
            </w:r>
          </w:p>
        </w:tc>
      </w:tr>
      <w:tr w14:paraId="080A061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938280A">
            <w:pPr>
              <w:jc w:val="center"/>
              <w:rPr>
                <w:rFonts w:ascii="宋体" w:hAnsi="宋体"/>
                <w:color w:val="auto"/>
                <w:szCs w:val="21"/>
                <w:highlight w:val="none"/>
              </w:rPr>
            </w:pPr>
            <w:r>
              <w:rPr>
                <w:rFonts w:ascii="宋体" w:hAnsi="宋体"/>
                <w:color w:val="auto"/>
                <w:szCs w:val="21"/>
                <w:highlight w:val="none"/>
              </w:rPr>
              <w:t>3.7.3</w:t>
            </w:r>
          </w:p>
        </w:tc>
        <w:tc>
          <w:tcPr>
            <w:tcW w:w="2292" w:type="dxa"/>
            <w:tcBorders>
              <w:top w:val="single" w:color="auto" w:sz="4" w:space="0"/>
              <w:left w:val="single" w:color="auto" w:sz="4" w:space="0"/>
              <w:bottom w:val="single" w:color="auto" w:sz="4" w:space="0"/>
              <w:right w:val="single" w:color="auto" w:sz="4" w:space="0"/>
            </w:tcBorders>
            <w:vAlign w:val="center"/>
          </w:tcPr>
          <w:p w14:paraId="1982E635">
            <w:pPr>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5865" w:type="dxa"/>
            <w:tcBorders>
              <w:top w:val="single" w:color="auto" w:sz="4" w:space="0"/>
              <w:left w:val="single" w:color="auto" w:sz="4" w:space="0"/>
              <w:bottom w:val="single" w:color="auto" w:sz="4" w:space="0"/>
              <w:right w:val="single" w:color="auto" w:sz="4" w:space="0"/>
            </w:tcBorders>
          </w:tcPr>
          <w:p w14:paraId="539C4081">
            <w:pPr>
              <w:jc w:val="left"/>
              <w:rPr>
                <w:rFonts w:ascii="宋体" w:hAnsi="宋体"/>
                <w:b/>
                <w:color w:val="auto"/>
                <w:szCs w:val="21"/>
                <w:highlight w:val="none"/>
                <w:u w:val="single"/>
              </w:rPr>
            </w:pPr>
            <w:r>
              <w:rPr>
                <w:rFonts w:hint="eastAsia" w:ascii="宋体" w:hAnsi="宋体"/>
                <w:color w:val="auto"/>
                <w:szCs w:val="21"/>
                <w:highlight w:val="none"/>
              </w:rPr>
              <w:t>投标文件全部采用电子文档，投标文件所附证书证件均为原件彩色扫描件，并采用单位数字证书，按招标文件要求在相应位置加盖电子印章。投标文件中需个人签字或盖章的，</w:t>
            </w:r>
            <w:r>
              <w:rPr>
                <w:rFonts w:hint="eastAsia" w:ascii="宋体" w:hAnsi="宋体"/>
                <w:color w:val="auto"/>
                <w:szCs w:val="21"/>
                <w:highlight w:val="none"/>
                <w:u w:val="single"/>
              </w:rPr>
              <w:t>应加盖个人电子印章或在线下完成后扫描上传</w:t>
            </w:r>
            <w:r>
              <w:rPr>
                <w:rFonts w:hint="eastAsia" w:ascii="宋体" w:hAnsi="宋体"/>
                <w:color w:val="auto"/>
                <w:szCs w:val="21"/>
                <w:highlight w:val="none"/>
              </w:rPr>
              <w:t>。</w:t>
            </w:r>
          </w:p>
          <w:p w14:paraId="5A101A2A">
            <w:pPr>
              <w:jc w:val="left"/>
              <w:rPr>
                <w:rFonts w:ascii="宋体" w:hAnsi="宋体"/>
                <w:color w:val="auto"/>
                <w:szCs w:val="21"/>
                <w:highlight w:val="none"/>
                <w:u w:val="single"/>
              </w:rPr>
            </w:pPr>
            <w:r>
              <w:rPr>
                <w:rFonts w:hint="eastAsia" w:ascii="宋体" w:hAnsi="宋体"/>
                <w:color w:val="auto"/>
                <w:szCs w:val="21"/>
                <w:highlight w:val="none"/>
              </w:rPr>
              <w:t>具体操作详见</w:t>
            </w:r>
            <w:r>
              <w:rPr>
                <w:rFonts w:hint="eastAsia" w:ascii="Times New Roman" w:hAnsi="宋体"/>
                <w:color w:val="auto"/>
                <w:szCs w:val="21"/>
                <w:highlight w:val="none"/>
                <w:u w:val="single"/>
              </w:rPr>
              <w:t>广州交易集团有限公司（广州公共资源交易中心）网站最新发布的操作指引。</w:t>
            </w:r>
          </w:p>
        </w:tc>
      </w:tr>
      <w:tr w14:paraId="6DDBCDD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AD3767E">
            <w:pPr>
              <w:jc w:val="center"/>
              <w:rPr>
                <w:rFonts w:ascii="宋体" w:hAnsi="宋体"/>
                <w:color w:val="auto"/>
                <w:szCs w:val="21"/>
                <w:highlight w:val="none"/>
              </w:rPr>
            </w:pPr>
            <w:r>
              <w:rPr>
                <w:rFonts w:ascii="宋体" w:hAnsi="宋体"/>
                <w:color w:val="auto"/>
                <w:szCs w:val="21"/>
                <w:highlight w:val="none"/>
              </w:rPr>
              <w:t>4.1.1</w:t>
            </w:r>
          </w:p>
        </w:tc>
        <w:tc>
          <w:tcPr>
            <w:tcW w:w="2292" w:type="dxa"/>
            <w:tcBorders>
              <w:top w:val="single" w:color="auto" w:sz="4" w:space="0"/>
              <w:left w:val="single" w:color="auto" w:sz="4" w:space="0"/>
              <w:bottom w:val="single" w:color="auto" w:sz="4" w:space="0"/>
              <w:right w:val="single" w:color="auto" w:sz="4" w:space="0"/>
            </w:tcBorders>
            <w:vAlign w:val="center"/>
          </w:tcPr>
          <w:p w14:paraId="7A11E35A">
            <w:pPr>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5865" w:type="dxa"/>
            <w:tcBorders>
              <w:top w:val="single" w:color="auto" w:sz="4" w:space="0"/>
              <w:left w:val="single" w:color="auto" w:sz="4" w:space="0"/>
              <w:bottom w:val="single" w:color="auto" w:sz="4" w:space="0"/>
              <w:right w:val="single" w:color="auto" w:sz="4" w:space="0"/>
            </w:tcBorders>
            <w:vAlign w:val="center"/>
          </w:tcPr>
          <w:p w14:paraId="19229C37">
            <w:pPr>
              <w:jc w:val="left"/>
              <w:rPr>
                <w:rFonts w:ascii="宋体" w:hAnsi="宋体"/>
                <w:color w:val="auto"/>
                <w:szCs w:val="21"/>
                <w:highlight w:val="none"/>
              </w:rPr>
            </w:pPr>
            <w:r>
              <w:rPr>
                <w:rFonts w:hint="eastAsia" w:ascii="宋体" w:hAnsi="宋体"/>
                <w:color w:val="auto"/>
                <w:szCs w:val="21"/>
                <w:highlight w:val="none"/>
              </w:rPr>
              <w:t>网上递交的电子投标文件须进行加密。具体操作详见</w:t>
            </w:r>
            <w:r>
              <w:rPr>
                <w:rFonts w:hint="eastAsia" w:ascii="Times New Roman" w:hAnsi="宋体"/>
                <w:color w:val="auto"/>
                <w:szCs w:val="21"/>
                <w:highlight w:val="none"/>
                <w:u w:val="single"/>
              </w:rPr>
              <w:t>广州交易集团有限公司（广州公共资源交易中心）网站最新发布的操作指引。</w:t>
            </w:r>
          </w:p>
        </w:tc>
      </w:tr>
      <w:tr w14:paraId="4792702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BF6ECCC">
            <w:pPr>
              <w:jc w:val="center"/>
              <w:rPr>
                <w:rFonts w:ascii="宋体" w:hAnsi="宋体"/>
                <w:color w:val="auto"/>
                <w:szCs w:val="21"/>
                <w:highlight w:val="none"/>
              </w:rPr>
            </w:pPr>
            <w:r>
              <w:rPr>
                <w:rFonts w:ascii="宋体" w:hAnsi="宋体"/>
                <w:color w:val="auto"/>
                <w:szCs w:val="21"/>
                <w:highlight w:val="none"/>
              </w:rPr>
              <w:t>4.1.2</w:t>
            </w:r>
          </w:p>
        </w:tc>
        <w:tc>
          <w:tcPr>
            <w:tcW w:w="2292" w:type="dxa"/>
            <w:tcBorders>
              <w:top w:val="single" w:color="auto" w:sz="4" w:space="0"/>
              <w:left w:val="single" w:color="auto" w:sz="4" w:space="0"/>
              <w:bottom w:val="single" w:color="auto" w:sz="4" w:space="0"/>
              <w:right w:val="single" w:color="auto" w:sz="4" w:space="0"/>
            </w:tcBorders>
            <w:vAlign w:val="center"/>
          </w:tcPr>
          <w:p w14:paraId="1AF45499">
            <w:pPr>
              <w:jc w:val="center"/>
              <w:rPr>
                <w:rFonts w:ascii="宋体" w:hAnsi="宋体"/>
                <w:color w:val="auto"/>
                <w:szCs w:val="21"/>
                <w:highlight w:val="none"/>
              </w:rPr>
            </w:pPr>
            <w:r>
              <w:rPr>
                <w:rFonts w:hint="eastAsia" w:ascii="宋体" w:hAnsi="宋体"/>
                <w:color w:val="auto"/>
                <w:szCs w:val="21"/>
                <w:highlight w:val="none"/>
              </w:rPr>
              <w:t>封套上应载明的信息</w:t>
            </w:r>
          </w:p>
          <w:p w14:paraId="5AFACD33">
            <w:pPr>
              <w:jc w:val="center"/>
              <w:rPr>
                <w:rFonts w:ascii="宋体" w:hAnsi="宋体"/>
                <w:color w:val="auto"/>
                <w:szCs w:val="21"/>
                <w:highlight w:val="none"/>
                <w:shd w:val="clear" w:color="FFFFFF" w:fill="D9D9D9"/>
              </w:rPr>
            </w:pPr>
            <w:r>
              <w:rPr>
                <w:rFonts w:hint="eastAsia" w:ascii="宋体" w:hAnsi="宋体"/>
                <w:color w:val="auto"/>
                <w:szCs w:val="21"/>
                <w:highlight w:val="none"/>
              </w:rPr>
              <w:t>（适用于提交备用光盘的情况）</w:t>
            </w:r>
          </w:p>
        </w:tc>
        <w:tc>
          <w:tcPr>
            <w:tcW w:w="5865" w:type="dxa"/>
            <w:tcBorders>
              <w:top w:val="single" w:color="auto" w:sz="4" w:space="0"/>
              <w:left w:val="single" w:color="auto" w:sz="4" w:space="0"/>
              <w:bottom w:val="single" w:color="auto" w:sz="4" w:space="0"/>
              <w:right w:val="single" w:color="auto" w:sz="4" w:space="0"/>
            </w:tcBorders>
            <w:vAlign w:val="center"/>
          </w:tcPr>
          <w:p w14:paraId="0ABB166D">
            <w:pPr>
              <w:topLinePunct/>
              <w:snapToGrid w:val="0"/>
              <w:ind w:right="174" w:rightChars="83"/>
              <w:rPr>
                <w:rFonts w:ascii="宋体" w:hAnsi="宋体"/>
                <w:color w:val="auto"/>
                <w:kern w:val="0"/>
                <w:szCs w:val="21"/>
                <w:highlight w:val="none"/>
              </w:rPr>
            </w:pPr>
            <w:r>
              <w:rPr>
                <w:rFonts w:hint="eastAsia" w:ascii="宋体" w:hAnsi="宋体"/>
                <w:color w:val="auto"/>
                <w:kern w:val="0"/>
                <w:szCs w:val="21"/>
                <w:highlight w:val="none"/>
              </w:rPr>
              <w:t>如有提交投标文件光盘备用，封套上应注明如下信息：</w:t>
            </w:r>
          </w:p>
          <w:p w14:paraId="38108BA2">
            <w:pPr>
              <w:rPr>
                <w:rFonts w:hint="eastAsia" w:ascii="宋体" w:hAnsi="宋体" w:eastAsia="宋体"/>
                <w:color w:val="auto"/>
                <w:szCs w:val="21"/>
                <w:highlight w:val="none"/>
                <w:u w:val="single"/>
                <w:lang w:eastAsia="zh-CN"/>
              </w:rPr>
            </w:pPr>
            <w:r>
              <w:rPr>
                <w:rFonts w:hint="eastAsia" w:ascii="宋体" w:hAnsi="宋体"/>
                <w:color w:val="auto"/>
                <w:szCs w:val="21"/>
                <w:highlight w:val="none"/>
              </w:rPr>
              <w:t>招标人名称：</w:t>
            </w:r>
            <w:r>
              <w:rPr>
                <w:rFonts w:hint="eastAsia" w:ascii="宋体" w:hAnsi="宋体"/>
                <w:color w:val="auto"/>
                <w:szCs w:val="21"/>
                <w:highlight w:val="none"/>
                <w:u w:val="single"/>
                <w:lang w:eastAsia="zh-CN"/>
              </w:rPr>
              <w:t>广州广芯封装基板有限公司</w:t>
            </w:r>
          </w:p>
          <w:p w14:paraId="06C03AB6">
            <w:pPr>
              <w:rPr>
                <w:rFonts w:ascii="宋体" w:hAnsi="宋体"/>
                <w:color w:val="auto"/>
                <w:szCs w:val="21"/>
                <w:highlight w:val="none"/>
              </w:rPr>
            </w:pPr>
            <w:r>
              <w:rPr>
                <w:rFonts w:hint="eastAsia" w:ascii="宋体" w:hAnsi="宋体" w:cs="宋体"/>
                <w:color w:val="auto"/>
                <w:szCs w:val="21"/>
                <w:highlight w:val="none"/>
                <w:u w:val="single"/>
                <w:lang w:eastAsia="zh-CN"/>
              </w:rPr>
              <w:t>半导体多芯片堆叠大尺寸封装基板产品制造项目厂房建设项目施工监理</w:t>
            </w:r>
            <w:r>
              <w:rPr>
                <w:rFonts w:hint="eastAsia" w:ascii="宋体" w:hAnsi="宋体"/>
                <w:color w:val="auto"/>
                <w:szCs w:val="21"/>
                <w:highlight w:val="none"/>
              </w:rPr>
              <w:t>投标文件备用光盘</w:t>
            </w:r>
          </w:p>
          <w:p w14:paraId="1A054F91">
            <w:pPr>
              <w:pStyle w:val="19"/>
              <w:topLinePunct/>
              <w:rPr>
                <w:rFonts w:hAnsi="宋体"/>
                <w:color w:val="auto"/>
                <w:sz w:val="21"/>
                <w:szCs w:val="21"/>
                <w:highlight w:val="none"/>
              </w:rPr>
            </w:pPr>
            <w:r>
              <w:rPr>
                <w:rFonts w:hint="eastAsia" w:hAnsi="宋体"/>
                <w:color w:val="auto"/>
                <w:sz w:val="21"/>
                <w:szCs w:val="21"/>
                <w:highlight w:val="none"/>
              </w:rPr>
              <w:t>招标项目编号：</w:t>
            </w:r>
            <w:r>
              <w:rPr>
                <w:rFonts w:hAnsi="宋体"/>
                <w:color w:val="auto"/>
                <w:sz w:val="21"/>
                <w:szCs w:val="21"/>
                <w:highlight w:val="none"/>
                <w:u w:val="single"/>
              </w:rPr>
              <w:t xml:space="preserve">             </w:t>
            </w:r>
          </w:p>
          <w:p w14:paraId="306DF0DF">
            <w:pPr>
              <w:pStyle w:val="19"/>
              <w:topLinePunct/>
              <w:rPr>
                <w:rFonts w:hAnsi="宋体"/>
                <w:color w:val="auto"/>
                <w:sz w:val="21"/>
                <w:szCs w:val="21"/>
                <w:highlight w:val="none"/>
              </w:rPr>
            </w:pPr>
            <w:r>
              <w:rPr>
                <w:rFonts w:hint="eastAsia" w:hAnsi="宋体"/>
                <w:color w:val="auto"/>
                <w:sz w:val="21"/>
                <w:szCs w:val="21"/>
                <w:highlight w:val="none"/>
              </w:rPr>
              <w:t>在</w:t>
            </w:r>
            <w:r>
              <w:rPr>
                <w:rFonts w:hAnsi="宋体"/>
                <w:color w:val="auto"/>
                <w:sz w:val="21"/>
                <w:szCs w:val="21"/>
                <w:highlight w:val="none"/>
                <w:u w:val="single"/>
              </w:rPr>
              <w:t xml:space="preserve">    </w:t>
            </w:r>
            <w:r>
              <w:rPr>
                <w:rFonts w:hint="eastAsia" w:hAnsi="宋体"/>
                <w:color w:val="auto"/>
                <w:sz w:val="21"/>
                <w:szCs w:val="21"/>
                <w:highlight w:val="none"/>
              </w:rPr>
              <w:t>年</w:t>
            </w:r>
            <w:r>
              <w:rPr>
                <w:rFonts w:hAnsi="宋体"/>
                <w:color w:val="auto"/>
                <w:sz w:val="21"/>
                <w:szCs w:val="21"/>
                <w:highlight w:val="none"/>
                <w:u w:val="single"/>
              </w:rPr>
              <w:t xml:space="preserve">    </w:t>
            </w:r>
            <w:r>
              <w:rPr>
                <w:rFonts w:hint="eastAsia" w:hAnsi="宋体"/>
                <w:color w:val="auto"/>
                <w:sz w:val="21"/>
                <w:szCs w:val="21"/>
                <w:highlight w:val="none"/>
              </w:rPr>
              <w:t>月</w:t>
            </w:r>
            <w:r>
              <w:rPr>
                <w:rFonts w:hAnsi="宋体"/>
                <w:color w:val="auto"/>
                <w:sz w:val="21"/>
                <w:szCs w:val="21"/>
                <w:highlight w:val="none"/>
                <w:u w:val="single"/>
              </w:rPr>
              <w:t xml:space="preserve">    </w:t>
            </w:r>
            <w:r>
              <w:rPr>
                <w:rFonts w:hint="eastAsia" w:hAnsi="宋体"/>
                <w:color w:val="auto"/>
                <w:sz w:val="21"/>
                <w:szCs w:val="21"/>
                <w:highlight w:val="none"/>
              </w:rPr>
              <w:t>日</w:t>
            </w:r>
            <w:r>
              <w:rPr>
                <w:rFonts w:hAnsi="宋体"/>
                <w:color w:val="auto"/>
                <w:sz w:val="21"/>
                <w:szCs w:val="21"/>
                <w:highlight w:val="none"/>
                <w:u w:val="single"/>
              </w:rPr>
              <w:t xml:space="preserve">    </w:t>
            </w:r>
            <w:r>
              <w:rPr>
                <w:rFonts w:hint="eastAsia" w:hAnsi="宋体"/>
                <w:color w:val="auto"/>
                <w:sz w:val="21"/>
                <w:szCs w:val="21"/>
                <w:highlight w:val="none"/>
              </w:rPr>
              <w:t>时</w:t>
            </w:r>
            <w:r>
              <w:rPr>
                <w:rFonts w:hAnsi="宋体"/>
                <w:color w:val="auto"/>
                <w:sz w:val="21"/>
                <w:szCs w:val="21"/>
                <w:highlight w:val="none"/>
                <w:u w:val="single"/>
              </w:rPr>
              <w:t xml:space="preserve">    </w:t>
            </w:r>
            <w:r>
              <w:rPr>
                <w:rFonts w:hint="eastAsia" w:hAnsi="宋体"/>
                <w:color w:val="auto"/>
                <w:sz w:val="21"/>
                <w:szCs w:val="21"/>
                <w:highlight w:val="none"/>
              </w:rPr>
              <w:t>分前不得开启（填入开标时间）</w:t>
            </w:r>
          </w:p>
        </w:tc>
      </w:tr>
      <w:tr w14:paraId="1383C67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224E931">
            <w:pPr>
              <w:jc w:val="center"/>
              <w:rPr>
                <w:rFonts w:ascii="宋体" w:hAnsi="宋体"/>
                <w:color w:val="auto"/>
                <w:szCs w:val="21"/>
                <w:highlight w:val="none"/>
              </w:rPr>
            </w:pPr>
            <w:r>
              <w:rPr>
                <w:rFonts w:ascii="宋体" w:hAnsi="宋体"/>
                <w:color w:val="auto"/>
                <w:szCs w:val="21"/>
                <w:highlight w:val="none"/>
              </w:rPr>
              <w:t>4.2.1</w:t>
            </w:r>
          </w:p>
        </w:tc>
        <w:tc>
          <w:tcPr>
            <w:tcW w:w="2292" w:type="dxa"/>
            <w:tcBorders>
              <w:top w:val="single" w:color="auto" w:sz="4" w:space="0"/>
              <w:left w:val="single" w:color="auto" w:sz="4" w:space="0"/>
              <w:bottom w:val="single" w:color="auto" w:sz="4" w:space="0"/>
              <w:right w:val="single" w:color="auto" w:sz="4" w:space="0"/>
            </w:tcBorders>
            <w:vAlign w:val="center"/>
          </w:tcPr>
          <w:p w14:paraId="069003C9">
            <w:pPr>
              <w:jc w:val="center"/>
              <w:rPr>
                <w:rFonts w:ascii="宋体" w:hAnsi="宋体"/>
                <w:color w:val="auto"/>
                <w:szCs w:val="21"/>
                <w:highlight w:val="none"/>
              </w:rPr>
            </w:pPr>
            <w:r>
              <w:rPr>
                <w:rFonts w:hint="eastAsia" w:ascii="宋体" w:hAnsi="宋体"/>
                <w:color w:val="auto"/>
                <w:szCs w:val="21"/>
                <w:highlight w:val="none"/>
              </w:rPr>
              <w:t>投标截止时间</w:t>
            </w:r>
          </w:p>
        </w:tc>
        <w:tc>
          <w:tcPr>
            <w:tcW w:w="5865" w:type="dxa"/>
            <w:tcBorders>
              <w:top w:val="single" w:color="auto" w:sz="4" w:space="0"/>
              <w:left w:val="single" w:color="auto" w:sz="4" w:space="0"/>
              <w:bottom w:val="single" w:color="auto" w:sz="4" w:space="0"/>
              <w:right w:val="single" w:color="auto" w:sz="4" w:space="0"/>
            </w:tcBorders>
            <w:vAlign w:val="center"/>
          </w:tcPr>
          <w:p w14:paraId="760D5DB4">
            <w:pPr>
              <w:rPr>
                <w:rFonts w:ascii="宋体" w:hAnsi="宋体"/>
                <w:color w:val="auto"/>
                <w:szCs w:val="21"/>
                <w:highlight w:val="none"/>
              </w:rPr>
            </w:pPr>
            <w:r>
              <w:rPr>
                <w:rFonts w:hint="eastAsia" w:ascii="宋体" w:hAnsi="宋体"/>
                <w:color w:val="auto"/>
                <w:szCs w:val="21"/>
                <w:highlight w:val="none"/>
                <w:u w:val="single"/>
              </w:rPr>
              <w:t>详见招标公告</w:t>
            </w:r>
            <w:r>
              <w:rPr>
                <w:rFonts w:hint="eastAsia" w:ascii="宋体" w:hAnsi="宋体" w:cs="宋体"/>
                <w:color w:val="auto"/>
                <w:szCs w:val="21"/>
                <w:highlight w:val="none"/>
                <w:u w:val="single"/>
              </w:rPr>
              <w:t>。</w:t>
            </w:r>
          </w:p>
        </w:tc>
      </w:tr>
      <w:tr w14:paraId="5DFBE85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2F19D11">
            <w:pPr>
              <w:snapToGrid w:val="0"/>
              <w:jc w:val="center"/>
              <w:rPr>
                <w:rFonts w:ascii="宋体" w:hAnsi="宋体" w:cs="宋体"/>
                <w:color w:val="auto"/>
                <w:szCs w:val="21"/>
                <w:highlight w:val="none"/>
              </w:rPr>
            </w:pPr>
            <w:r>
              <w:rPr>
                <w:color w:val="auto"/>
                <w:highlight w:val="none"/>
                <w:u w:val="single"/>
              </w:rPr>
              <w:t>4.2.2（B）</w:t>
            </w:r>
          </w:p>
        </w:tc>
        <w:tc>
          <w:tcPr>
            <w:tcW w:w="2292" w:type="dxa"/>
            <w:tcBorders>
              <w:top w:val="single" w:color="auto" w:sz="4" w:space="0"/>
              <w:left w:val="single" w:color="auto" w:sz="4" w:space="0"/>
              <w:bottom w:val="single" w:color="auto" w:sz="4" w:space="0"/>
              <w:right w:val="single" w:color="auto" w:sz="4" w:space="0"/>
            </w:tcBorders>
            <w:vAlign w:val="center"/>
          </w:tcPr>
          <w:p w14:paraId="36FF25DF">
            <w:pPr>
              <w:snapToGrid w:val="0"/>
              <w:jc w:val="center"/>
              <w:rPr>
                <w:rFonts w:ascii="宋体" w:hAnsi="宋体" w:cs="宋体"/>
                <w:color w:val="auto"/>
                <w:szCs w:val="21"/>
                <w:highlight w:val="none"/>
              </w:rPr>
            </w:pPr>
            <w:r>
              <w:rPr>
                <w:rFonts w:ascii="宋体" w:hAnsi="宋体" w:cs="宋体"/>
                <w:color w:val="auto"/>
                <w:szCs w:val="21"/>
                <w:highlight w:val="none"/>
              </w:rPr>
              <w:t>递交电子投标文件交易平台</w:t>
            </w:r>
          </w:p>
        </w:tc>
        <w:tc>
          <w:tcPr>
            <w:tcW w:w="5865" w:type="dxa"/>
            <w:tcBorders>
              <w:top w:val="single" w:color="auto" w:sz="4" w:space="0"/>
              <w:left w:val="single" w:color="auto" w:sz="4" w:space="0"/>
              <w:bottom w:val="single" w:color="auto" w:sz="4" w:space="0"/>
              <w:right w:val="single" w:color="auto" w:sz="4" w:space="0"/>
            </w:tcBorders>
            <w:vAlign w:val="center"/>
          </w:tcPr>
          <w:p w14:paraId="7A70D3A4">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1.递交方式：网上递交投标文件 </w:t>
            </w:r>
          </w:p>
          <w:p w14:paraId="2A8D7DDF">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2.递交投标文件的起始时间：（详见广州交易集团有限公司（广州公共资源交易中心）网站信息）。 </w:t>
            </w:r>
          </w:p>
          <w:p w14:paraId="3DE0F5A5">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截止时间：（详见广州交易集团有限公司（广州公共资源交易中心）网站信息）。</w:t>
            </w:r>
          </w:p>
          <w:p w14:paraId="5D67957D">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3.地点：广州交易集团有限公司（广州公共资源交易中心）网站。 </w:t>
            </w:r>
          </w:p>
          <w:p w14:paraId="40C9A4A1">
            <w:pPr>
              <w:snapToGrid w:val="0"/>
              <w:rPr>
                <w:rFonts w:ascii="宋体" w:hAnsi="宋体" w:cs="宋体"/>
                <w:color w:val="auto"/>
                <w:szCs w:val="21"/>
                <w:highlight w:val="none"/>
                <w:u w:val="single"/>
              </w:rPr>
            </w:pPr>
            <w:r>
              <w:rPr>
                <w:rFonts w:hint="eastAsia" w:ascii="宋体" w:hAnsi="宋体" w:cs="宋体"/>
                <w:color w:val="auto"/>
                <w:szCs w:val="21"/>
                <w:highlight w:val="none"/>
              </w:rPr>
              <w:t>4.上述时间及地点是否有改变， 请密切留意招标答疑纪要的相关信息。</w:t>
            </w:r>
          </w:p>
        </w:tc>
      </w:tr>
      <w:tr w14:paraId="0C15DED2">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0FBCDE9B">
            <w:pPr>
              <w:jc w:val="center"/>
              <w:rPr>
                <w:rFonts w:ascii="宋体" w:hAnsi="宋体"/>
                <w:color w:val="auto"/>
                <w:szCs w:val="21"/>
                <w:highlight w:val="none"/>
              </w:rPr>
            </w:pPr>
            <w:r>
              <w:rPr>
                <w:rFonts w:ascii="宋体" w:hAnsi="宋体"/>
                <w:color w:val="auto"/>
                <w:szCs w:val="21"/>
                <w:highlight w:val="none"/>
              </w:rPr>
              <w:t>4.2.3</w:t>
            </w:r>
          </w:p>
        </w:tc>
        <w:tc>
          <w:tcPr>
            <w:tcW w:w="2292" w:type="dxa"/>
            <w:tcBorders>
              <w:top w:val="single" w:color="auto" w:sz="4" w:space="0"/>
              <w:left w:val="single" w:color="auto" w:sz="4" w:space="0"/>
              <w:bottom w:val="single" w:color="auto" w:sz="4" w:space="0"/>
              <w:right w:val="single" w:color="auto" w:sz="4" w:space="0"/>
            </w:tcBorders>
            <w:vAlign w:val="center"/>
          </w:tcPr>
          <w:p w14:paraId="3BA1D4EB">
            <w:pPr>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5865" w:type="dxa"/>
            <w:tcBorders>
              <w:top w:val="single" w:color="auto" w:sz="4" w:space="0"/>
              <w:left w:val="single" w:color="auto" w:sz="4" w:space="0"/>
              <w:bottom w:val="single" w:color="auto" w:sz="4" w:space="0"/>
              <w:right w:val="single" w:color="auto" w:sz="4" w:space="0"/>
            </w:tcBorders>
            <w:vAlign w:val="center"/>
          </w:tcPr>
          <w:p w14:paraId="7C414496">
            <w:pPr>
              <w:pStyle w:val="19"/>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否</w:t>
            </w:r>
          </w:p>
          <w:p w14:paraId="12A97A7E">
            <w:pPr>
              <w:pStyle w:val="19"/>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是，退还时间：</w:t>
            </w:r>
            <w:r>
              <w:rPr>
                <w:rFonts w:hint="eastAsia" w:hAnsi="宋体"/>
                <w:color w:val="auto"/>
                <w:sz w:val="21"/>
                <w:szCs w:val="21"/>
                <w:highlight w:val="none"/>
              </w:rPr>
              <w:t>/</w:t>
            </w:r>
          </w:p>
        </w:tc>
      </w:tr>
      <w:tr w14:paraId="428911F7">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6282A8DB">
            <w:pPr>
              <w:jc w:val="center"/>
              <w:rPr>
                <w:rFonts w:ascii="宋体" w:hAnsi="宋体"/>
                <w:color w:val="auto"/>
                <w:szCs w:val="21"/>
                <w:highlight w:val="none"/>
              </w:rPr>
            </w:pPr>
            <w:r>
              <w:rPr>
                <w:rFonts w:ascii="宋体" w:hAnsi="宋体"/>
                <w:color w:val="auto"/>
                <w:szCs w:val="21"/>
                <w:highlight w:val="none"/>
              </w:rPr>
              <w:t>5.1</w:t>
            </w:r>
          </w:p>
        </w:tc>
        <w:tc>
          <w:tcPr>
            <w:tcW w:w="2292" w:type="dxa"/>
            <w:tcBorders>
              <w:top w:val="single" w:color="auto" w:sz="4" w:space="0"/>
              <w:left w:val="single" w:color="auto" w:sz="4" w:space="0"/>
              <w:bottom w:val="single" w:color="auto" w:sz="4" w:space="0"/>
              <w:right w:val="single" w:color="auto" w:sz="4" w:space="0"/>
            </w:tcBorders>
            <w:vAlign w:val="center"/>
          </w:tcPr>
          <w:p w14:paraId="1C730927">
            <w:pPr>
              <w:jc w:val="center"/>
              <w:rPr>
                <w:rFonts w:ascii="宋体" w:hAnsi="宋体"/>
                <w:color w:val="auto"/>
                <w:szCs w:val="21"/>
                <w:highlight w:val="none"/>
              </w:rPr>
            </w:pPr>
            <w:r>
              <w:rPr>
                <w:rFonts w:hint="eastAsia" w:ascii="宋体" w:hAnsi="宋体"/>
                <w:color w:val="auto"/>
                <w:szCs w:val="21"/>
                <w:highlight w:val="none"/>
              </w:rPr>
              <w:t>开标时间和地点</w:t>
            </w:r>
          </w:p>
        </w:tc>
        <w:tc>
          <w:tcPr>
            <w:tcW w:w="5865" w:type="dxa"/>
            <w:tcBorders>
              <w:top w:val="single" w:color="auto" w:sz="4" w:space="0"/>
              <w:left w:val="single" w:color="auto" w:sz="4" w:space="0"/>
              <w:bottom w:val="single" w:color="auto" w:sz="4" w:space="0"/>
              <w:right w:val="single" w:color="auto" w:sz="4" w:space="0"/>
            </w:tcBorders>
            <w:vAlign w:val="center"/>
          </w:tcPr>
          <w:p w14:paraId="15CDB54D">
            <w:pPr>
              <w:jc w:val="left"/>
              <w:rPr>
                <w:rFonts w:ascii="宋体" w:hAnsi="宋体"/>
                <w:color w:val="auto"/>
                <w:kern w:val="0"/>
                <w:szCs w:val="21"/>
                <w:highlight w:val="none"/>
              </w:rPr>
            </w:pPr>
            <w:r>
              <w:rPr>
                <w:rFonts w:hint="eastAsia" w:ascii="宋体" w:hAnsi="宋体"/>
                <w:color w:val="auto"/>
                <w:kern w:val="0"/>
                <w:szCs w:val="21"/>
                <w:highlight w:val="none"/>
              </w:rPr>
              <w:t>本电子招投标项目在本章4.2.1项规定的投标截止时间（开标时间），在广州交易集团有限公司（广州公共资源交易中心）通过电子招标投标交易平台公开开标，并邀请所有投标人的法定代表人或其委托代理人准时参加。</w:t>
            </w:r>
            <w:r>
              <w:rPr>
                <w:rFonts w:hint="eastAsia" w:ascii="宋体" w:hAnsi="宋体"/>
                <w:color w:val="auto"/>
                <w:kern w:val="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6187A81">
            <w:pPr>
              <w:rPr>
                <w:rFonts w:ascii="宋体" w:hAnsi="宋体"/>
                <w:color w:val="auto"/>
                <w:szCs w:val="21"/>
                <w:highlight w:val="none"/>
              </w:rPr>
            </w:pPr>
            <w:r>
              <w:rPr>
                <w:rFonts w:hint="eastAsia" w:ascii="宋体" w:hAnsi="宋体" w:cs="宋体"/>
                <w:b/>
                <w:color w:val="auto"/>
                <w:szCs w:val="21"/>
                <w:highlight w:val="none"/>
              </w:rPr>
              <w:t>具体时间、地点可以到广州交易集团有限公司（广州公共资源交易中心）网站的项目查询（日程安排、答疑纪要）中输入本项目编号或项目名称进行查询。</w:t>
            </w:r>
          </w:p>
        </w:tc>
      </w:tr>
      <w:tr w14:paraId="083C620B">
        <w:tblPrEx>
          <w:tblCellMar>
            <w:top w:w="0" w:type="dxa"/>
            <w:left w:w="108" w:type="dxa"/>
            <w:bottom w:w="0" w:type="dxa"/>
            <w:right w:w="108" w:type="dxa"/>
          </w:tblCellMar>
        </w:tblPrEx>
        <w:trPr>
          <w:trHeight w:val="381" w:hRule="atLeast"/>
        </w:trPr>
        <w:tc>
          <w:tcPr>
            <w:tcW w:w="1165" w:type="dxa"/>
            <w:vMerge w:val="restart"/>
            <w:tcBorders>
              <w:top w:val="single" w:color="auto" w:sz="4" w:space="0"/>
              <w:left w:val="single" w:color="auto" w:sz="4" w:space="0"/>
              <w:right w:val="single" w:color="auto" w:sz="4" w:space="0"/>
            </w:tcBorders>
            <w:vAlign w:val="center"/>
          </w:tcPr>
          <w:p w14:paraId="23F3F728">
            <w:pPr>
              <w:jc w:val="center"/>
              <w:rPr>
                <w:rFonts w:ascii="宋体" w:hAnsi="宋体"/>
                <w:color w:val="auto"/>
                <w:szCs w:val="21"/>
                <w:highlight w:val="none"/>
              </w:rPr>
            </w:pPr>
            <w:r>
              <w:rPr>
                <w:rFonts w:hint="eastAsia" w:ascii="宋体" w:hAnsi="宋体"/>
                <w:color w:val="auto"/>
                <w:szCs w:val="21"/>
                <w:highlight w:val="none"/>
              </w:rPr>
              <w:t>5.2（B）</w:t>
            </w:r>
          </w:p>
        </w:tc>
        <w:tc>
          <w:tcPr>
            <w:tcW w:w="2292" w:type="dxa"/>
            <w:vMerge w:val="restart"/>
            <w:tcBorders>
              <w:top w:val="single" w:color="auto" w:sz="4" w:space="0"/>
              <w:left w:val="single" w:color="auto" w:sz="4" w:space="0"/>
              <w:right w:val="single" w:color="auto" w:sz="4" w:space="0"/>
            </w:tcBorders>
            <w:vAlign w:val="center"/>
          </w:tcPr>
          <w:p w14:paraId="12521740">
            <w:pPr>
              <w:jc w:val="center"/>
              <w:rPr>
                <w:rFonts w:ascii="宋体" w:hAnsi="宋体"/>
                <w:color w:val="auto"/>
                <w:szCs w:val="21"/>
                <w:highlight w:val="none"/>
              </w:rPr>
            </w:pPr>
            <w:r>
              <w:rPr>
                <w:rFonts w:hint="eastAsia"/>
                <w:color w:val="auto"/>
                <w:highlight w:val="none"/>
              </w:rPr>
              <w:t>开标程序</w:t>
            </w:r>
          </w:p>
        </w:tc>
        <w:tc>
          <w:tcPr>
            <w:tcW w:w="5865" w:type="dxa"/>
            <w:tcBorders>
              <w:top w:val="single" w:color="auto" w:sz="4" w:space="0"/>
              <w:left w:val="single" w:color="auto" w:sz="4" w:space="0"/>
              <w:bottom w:val="single" w:color="auto" w:sz="4" w:space="0"/>
              <w:right w:val="single" w:color="auto" w:sz="4" w:space="0"/>
            </w:tcBorders>
            <w:vAlign w:val="center"/>
          </w:tcPr>
          <w:p w14:paraId="4BEED6F2">
            <w:pPr>
              <w:snapToGrid w:val="0"/>
              <w:rPr>
                <w:rFonts w:ascii="宋体" w:hAnsi="宋体"/>
                <w:color w:val="auto"/>
                <w:szCs w:val="21"/>
                <w:highlight w:val="none"/>
                <w:u w:val="single"/>
              </w:rPr>
            </w:pPr>
            <w:r>
              <w:rPr>
                <w:rFonts w:hint="eastAsia" w:ascii="宋体" w:hAnsi="宋体"/>
                <w:color w:val="auto"/>
                <w:szCs w:val="21"/>
                <w:highlight w:val="none"/>
              </w:rPr>
              <w:t>5..2.1</w:t>
            </w:r>
            <w:r>
              <w:rPr>
                <w:rFonts w:hint="eastAsia" w:ascii="宋体" w:hAnsi="宋体"/>
                <w:color w:val="auto"/>
                <w:szCs w:val="21"/>
                <w:highlight w:val="none"/>
                <w:u w:val="single"/>
              </w:rPr>
              <w:t>主持人按下列程序进行开标：</w:t>
            </w:r>
          </w:p>
          <w:p w14:paraId="63F5230E">
            <w:pPr>
              <w:rPr>
                <w:rFonts w:hint="eastAsia" w:ascii="宋体" w:hAnsi="宋体"/>
                <w:color w:val="auto"/>
                <w:szCs w:val="21"/>
                <w:highlight w:val="none"/>
                <w:u w:val="single"/>
              </w:rPr>
            </w:pPr>
            <w:r>
              <w:rPr>
                <w:rFonts w:hint="eastAsia" w:ascii="宋体" w:hAnsi="宋体"/>
                <w:color w:val="auto"/>
                <w:szCs w:val="21"/>
                <w:highlight w:val="none"/>
                <w:u w:val="single"/>
              </w:rPr>
              <w:t>（1）宣布开标纪律；</w:t>
            </w:r>
          </w:p>
          <w:p w14:paraId="1029C16B">
            <w:pPr>
              <w:rPr>
                <w:rFonts w:hint="eastAsia" w:ascii="宋体" w:hAnsi="宋体"/>
                <w:color w:val="auto"/>
                <w:szCs w:val="21"/>
                <w:highlight w:val="none"/>
                <w:u w:val="single"/>
              </w:rPr>
            </w:pPr>
            <w:r>
              <w:rPr>
                <w:rFonts w:hint="eastAsia" w:ascii="宋体" w:hAnsi="宋体"/>
                <w:color w:val="auto"/>
                <w:szCs w:val="21"/>
                <w:highlight w:val="none"/>
                <w:u w:val="single"/>
              </w:rPr>
              <w:t>（2）公布在投标截止时间前递交投标文件的投标人名称；</w:t>
            </w:r>
          </w:p>
          <w:p w14:paraId="46A7277D">
            <w:pPr>
              <w:rPr>
                <w:rFonts w:hint="eastAsia" w:ascii="宋体" w:hAnsi="宋体"/>
                <w:color w:val="auto"/>
                <w:szCs w:val="21"/>
                <w:highlight w:val="none"/>
                <w:u w:val="single"/>
              </w:rPr>
            </w:pPr>
            <w:r>
              <w:rPr>
                <w:rFonts w:hint="eastAsia" w:ascii="宋体" w:hAnsi="宋体"/>
                <w:color w:val="auto"/>
                <w:szCs w:val="21"/>
                <w:highlight w:val="none"/>
                <w:u w:val="single"/>
              </w:rPr>
              <w:t>（3）宣布开标人、唱标人、记录人、监标人等有关人员姓名；</w:t>
            </w:r>
          </w:p>
          <w:p w14:paraId="65433883">
            <w:pPr>
              <w:rPr>
                <w:rFonts w:hint="eastAsia" w:ascii="宋体" w:hAnsi="宋体"/>
                <w:color w:val="auto"/>
                <w:szCs w:val="21"/>
                <w:highlight w:val="none"/>
                <w:u w:val="single"/>
              </w:rPr>
            </w:pPr>
            <w:r>
              <w:rPr>
                <w:rFonts w:hint="eastAsia" w:ascii="宋体" w:hAnsi="宋体"/>
                <w:color w:val="auto"/>
                <w:szCs w:val="21"/>
                <w:highlight w:val="none"/>
                <w:u w:val="single"/>
              </w:rPr>
              <w:t>（4）（B）在投标截止时间后</w:t>
            </w:r>
            <w:r>
              <w:rPr>
                <w:rFonts w:hint="eastAsia" w:ascii="宋体" w:hAnsi="宋体"/>
                <w:color w:val="auto"/>
                <w:szCs w:val="21"/>
                <w:highlight w:val="none"/>
                <w:u w:val="single"/>
                <w:lang w:val="en-US" w:eastAsia="zh-CN"/>
              </w:rPr>
              <w:t>一</w:t>
            </w:r>
            <w:r>
              <w:rPr>
                <w:rFonts w:hint="eastAsia" w:ascii="宋体" w:hAnsi="宋体"/>
                <w:color w:val="auto"/>
                <w:szCs w:val="21"/>
                <w:highlight w:val="none"/>
                <w:u w:val="single"/>
              </w:rPr>
              <w:t>小时内，投标人通过电子招标投标交易平台对已递交的电子投标文件进行解密，投标人完成解密后，再由招标人进行解密。解密完成后，公布招标项目名称、投标人名称、投标保证金的递交情况、投标报价、监理服务期限及其他内容，并记录在案；</w:t>
            </w:r>
          </w:p>
          <w:p w14:paraId="28EA39E1">
            <w:pPr>
              <w:rPr>
                <w:rFonts w:hint="eastAsia" w:ascii="宋体" w:hAnsi="宋体"/>
                <w:color w:val="auto"/>
                <w:szCs w:val="21"/>
                <w:highlight w:val="none"/>
                <w:u w:val="single"/>
              </w:rPr>
            </w:pPr>
            <w:r>
              <w:rPr>
                <w:rFonts w:hint="eastAsia" w:ascii="宋体" w:hAnsi="宋体"/>
                <w:color w:val="auto"/>
                <w:szCs w:val="21"/>
                <w:highlight w:val="none"/>
                <w:u w:val="single"/>
              </w:rPr>
              <w:t>（5）（B）投标人代表、招标人代表、监标人、记录人等有关人员在开标记录上签字确认；若有关人员不签字的，不影响开标程序；</w:t>
            </w:r>
          </w:p>
          <w:p w14:paraId="777B3573">
            <w:pPr>
              <w:rPr>
                <w:rFonts w:ascii="宋体" w:hAnsi="宋体"/>
                <w:color w:val="auto"/>
                <w:szCs w:val="21"/>
                <w:highlight w:val="none"/>
              </w:rPr>
            </w:pPr>
            <w:r>
              <w:rPr>
                <w:rFonts w:hint="eastAsia" w:ascii="宋体" w:hAnsi="宋体"/>
                <w:color w:val="auto"/>
                <w:szCs w:val="21"/>
                <w:highlight w:val="none"/>
                <w:u w:val="single"/>
              </w:rPr>
              <w:t>（6）开标结束。</w:t>
            </w:r>
          </w:p>
        </w:tc>
      </w:tr>
      <w:tr w14:paraId="7E7D050D">
        <w:tblPrEx>
          <w:tblCellMar>
            <w:top w:w="0" w:type="dxa"/>
            <w:left w:w="108" w:type="dxa"/>
            <w:bottom w:w="0" w:type="dxa"/>
            <w:right w:w="108" w:type="dxa"/>
          </w:tblCellMar>
        </w:tblPrEx>
        <w:trPr>
          <w:trHeight w:val="381" w:hRule="atLeast"/>
        </w:trPr>
        <w:tc>
          <w:tcPr>
            <w:tcW w:w="1165" w:type="dxa"/>
            <w:vMerge w:val="continue"/>
            <w:tcBorders>
              <w:left w:val="single" w:color="auto" w:sz="4" w:space="0"/>
              <w:right w:val="single" w:color="auto" w:sz="4" w:space="0"/>
            </w:tcBorders>
            <w:vAlign w:val="center"/>
          </w:tcPr>
          <w:p w14:paraId="75E88D86">
            <w:pPr>
              <w:jc w:val="center"/>
              <w:rPr>
                <w:rFonts w:ascii="宋体" w:hAnsi="宋体"/>
                <w:color w:val="auto"/>
                <w:szCs w:val="21"/>
                <w:highlight w:val="none"/>
              </w:rPr>
            </w:pPr>
          </w:p>
        </w:tc>
        <w:tc>
          <w:tcPr>
            <w:tcW w:w="2292" w:type="dxa"/>
            <w:vMerge w:val="continue"/>
            <w:tcBorders>
              <w:left w:val="single" w:color="auto" w:sz="4" w:space="0"/>
              <w:right w:val="single" w:color="auto" w:sz="4" w:space="0"/>
            </w:tcBorders>
            <w:vAlign w:val="center"/>
          </w:tcPr>
          <w:p w14:paraId="4C2F9F9A">
            <w:pPr>
              <w:jc w:val="center"/>
              <w:rPr>
                <w:color w:val="auto"/>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14:paraId="08108F15">
            <w:pPr>
              <w:rPr>
                <w:color w:val="auto"/>
                <w:highlight w:val="none"/>
              </w:rPr>
            </w:pPr>
            <w:r>
              <w:rPr>
                <w:rFonts w:hint="eastAsia" w:ascii="宋体" w:hAnsi="宋体"/>
                <w:color w:val="auto"/>
                <w:szCs w:val="21"/>
                <w:highlight w:val="non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tc>
      </w:tr>
      <w:tr w14:paraId="16428A70">
        <w:tblPrEx>
          <w:tblCellMar>
            <w:top w:w="0" w:type="dxa"/>
            <w:left w:w="108" w:type="dxa"/>
            <w:bottom w:w="0" w:type="dxa"/>
            <w:right w:w="108" w:type="dxa"/>
          </w:tblCellMar>
        </w:tblPrEx>
        <w:trPr>
          <w:trHeight w:val="381" w:hRule="atLeast"/>
        </w:trPr>
        <w:tc>
          <w:tcPr>
            <w:tcW w:w="1165" w:type="dxa"/>
            <w:vMerge w:val="continue"/>
            <w:tcBorders>
              <w:left w:val="single" w:color="auto" w:sz="4" w:space="0"/>
              <w:bottom w:val="single" w:color="auto" w:sz="4" w:space="0"/>
              <w:right w:val="single" w:color="auto" w:sz="4" w:space="0"/>
            </w:tcBorders>
            <w:vAlign w:val="center"/>
          </w:tcPr>
          <w:p w14:paraId="74FBB3E2">
            <w:pPr>
              <w:jc w:val="center"/>
              <w:rPr>
                <w:rFonts w:ascii="宋体" w:hAnsi="宋体"/>
                <w:color w:val="auto"/>
                <w:szCs w:val="21"/>
                <w:highlight w:val="none"/>
              </w:rPr>
            </w:pPr>
          </w:p>
        </w:tc>
        <w:tc>
          <w:tcPr>
            <w:tcW w:w="2292" w:type="dxa"/>
            <w:vMerge w:val="continue"/>
            <w:tcBorders>
              <w:left w:val="single" w:color="auto" w:sz="4" w:space="0"/>
              <w:bottom w:val="single" w:color="auto" w:sz="4" w:space="0"/>
              <w:right w:val="single" w:color="auto" w:sz="4" w:space="0"/>
            </w:tcBorders>
            <w:vAlign w:val="center"/>
          </w:tcPr>
          <w:p w14:paraId="3DB49944">
            <w:pPr>
              <w:jc w:val="center"/>
              <w:rPr>
                <w:color w:val="auto"/>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14:paraId="2D2FBE00">
            <w:pPr>
              <w:rPr>
                <w:rFonts w:ascii="宋体" w:hAnsi="宋体"/>
                <w:color w:val="auto"/>
                <w:szCs w:val="21"/>
                <w:highlight w:val="none"/>
              </w:rPr>
            </w:pPr>
            <w:r>
              <w:rPr>
                <w:rFonts w:hint="eastAsia" w:ascii="宋体" w:hAnsi="宋体"/>
                <w:color w:val="auto"/>
                <w:szCs w:val="21"/>
                <w:highlight w:val="none"/>
              </w:rPr>
              <w:t>5.2.3</w:t>
            </w:r>
            <w:r>
              <w:rPr>
                <w:rFonts w:hint="eastAsia" w:ascii="宋体" w:hAnsi="宋体"/>
                <w:color w:val="auto"/>
                <w:szCs w:val="21"/>
                <w:highlight w:val="none"/>
                <w:u w:val="single"/>
              </w:rPr>
              <w:t>开标时，本项目两个（含两个）以上的投标人加密打包投标文件电脑机器特征码一致的，不参与下一程序，并由评标委员会否决其投标。</w:t>
            </w:r>
          </w:p>
        </w:tc>
      </w:tr>
      <w:tr w14:paraId="124E89E9">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278F0F77">
            <w:pPr>
              <w:jc w:val="center"/>
              <w:rPr>
                <w:rFonts w:ascii="宋体" w:hAnsi="宋体"/>
                <w:color w:val="auto"/>
                <w:szCs w:val="21"/>
                <w:highlight w:val="none"/>
              </w:rPr>
            </w:pPr>
            <w:r>
              <w:rPr>
                <w:rFonts w:ascii="宋体" w:hAnsi="宋体"/>
                <w:color w:val="auto"/>
                <w:szCs w:val="21"/>
                <w:highlight w:val="none"/>
              </w:rPr>
              <w:t>6.1.1</w:t>
            </w:r>
          </w:p>
        </w:tc>
        <w:tc>
          <w:tcPr>
            <w:tcW w:w="2292" w:type="dxa"/>
            <w:tcBorders>
              <w:top w:val="single" w:color="auto" w:sz="4" w:space="0"/>
              <w:left w:val="single" w:color="auto" w:sz="4" w:space="0"/>
              <w:bottom w:val="single" w:color="auto" w:sz="4" w:space="0"/>
              <w:right w:val="single" w:color="auto" w:sz="4" w:space="0"/>
            </w:tcBorders>
            <w:vAlign w:val="center"/>
          </w:tcPr>
          <w:p w14:paraId="7CB9D437">
            <w:pPr>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5865" w:type="dxa"/>
            <w:tcBorders>
              <w:top w:val="single" w:color="auto" w:sz="4" w:space="0"/>
              <w:left w:val="single" w:color="auto" w:sz="4" w:space="0"/>
              <w:bottom w:val="single" w:color="auto" w:sz="4" w:space="0"/>
              <w:right w:val="single" w:color="auto" w:sz="4" w:space="0"/>
            </w:tcBorders>
            <w:vAlign w:val="center"/>
          </w:tcPr>
          <w:p w14:paraId="719AC353">
            <w:pPr>
              <w:rPr>
                <w:rFonts w:ascii="宋体" w:hAnsi="宋体"/>
                <w:color w:val="auto"/>
                <w:szCs w:val="21"/>
                <w:highlight w:val="none"/>
              </w:rPr>
            </w:pPr>
            <w:r>
              <w:rPr>
                <w:rFonts w:hint="eastAsia" w:ascii="宋体" w:hAnsi="宋体" w:cs="宋体"/>
                <w:color w:val="auto"/>
                <w:kern w:val="0"/>
                <w:szCs w:val="21"/>
                <w:highlight w:val="none"/>
                <w:u w:val="single"/>
              </w:rPr>
              <w:t>由招标人依法组建。</w:t>
            </w:r>
          </w:p>
        </w:tc>
      </w:tr>
      <w:tr w14:paraId="4AF963F0">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7985BFC3">
            <w:pPr>
              <w:jc w:val="center"/>
              <w:rPr>
                <w:rFonts w:ascii="宋体" w:hAnsi="宋体"/>
                <w:color w:val="auto"/>
                <w:szCs w:val="21"/>
                <w:highlight w:val="none"/>
              </w:rPr>
            </w:pPr>
            <w:r>
              <w:rPr>
                <w:rFonts w:ascii="宋体" w:hAnsi="宋体"/>
                <w:color w:val="auto"/>
                <w:szCs w:val="21"/>
                <w:highlight w:val="none"/>
              </w:rPr>
              <w:t>6.3.2</w:t>
            </w:r>
          </w:p>
        </w:tc>
        <w:tc>
          <w:tcPr>
            <w:tcW w:w="2292" w:type="dxa"/>
            <w:tcBorders>
              <w:top w:val="single" w:color="auto" w:sz="4" w:space="0"/>
              <w:left w:val="single" w:color="auto" w:sz="4" w:space="0"/>
              <w:bottom w:val="single" w:color="auto" w:sz="4" w:space="0"/>
              <w:right w:val="single" w:color="auto" w:sz="4" w:space="0"/>
            </w:tcBorders>
            <w:vAlign w:val="center"/>
          </w:tcPr>
          <w:p w14:paraId="16BE7389">
            <w:pPr>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5865" w:type="dxa"/>
            <w:tcBorders>
              <w:top w:val="single" w:color="auto" w:sz="4" w:space="0"/>
              <w:left w:val="single" w:color="auto" w:sz="4" w:space="0"/>
              <w:bottom w:val="single" w:color="auto" w:sz="4" w:space="0"/>
              <w:right w:val="single" w:color="auto" w:sz="4" w:space="0"/>
            </w:tcBorders>
            <w:vAlign w:val="center"/>
          </w:tcPr>
          <w:p w14:paraId="18738A5A">
            <w:pPr>
              <w:rPr>
                <w:rFonts w:ascii="宋体" w:hAnsi="宋体"/>
                <w:color w:val="auto"/>
                <w:szCs w:val="21"/>
                <w:highlight w:val="none"/>
              </w:rPr>
            </w:pPr>
            <w:r>
              <w:rPr>
                <w:rFonts w:hint="eastAsia"/>
                <w:color w:val="auto"/>
                <w:szCs w:val="21"/>
                <w:highlight w:val="none"/>
                <w:u w:val="single"/>
              </w:rPr>
              <w:t>所有通过初步评审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color w:val="auto"/>
                <w:szCs w:val="21"/>
                <w:highlight w:val="none"/>
                <w:u w:val="single"/>
              </w:rPr>
              <w:t>。</w:t>
            </w:r>
            <w:r>
              <w:rPr>
                <w:rFonts w:hint="eastAsia" w:ascii="宋体" w:hAnsi="宋体"/>
                <w:color w:val="auto"/>
                <w:highlight w:val="none"/>
                <w:u w:val="single"/>
              </w:rPr>
              <w:t>合格的中标候选人少于</w:t>
            </w:r>
            <w:r>
              <w:rPr>
                <w:rFonts w:ascii="宋体" w:hAnsi="宋体"/>
                <w:color w:val="auto"/>
                <w:highlight w:val="none"/>
                <w:u w:val="single"/>
              </w:rPr>
              <w:t>3</w:t>
            </w:r>
            <w:r>
              <w:rPr>
                <w:rFonts w:hint="eastAsia" w:ascii="宋体" w:hAnsi="宋体"/>
                <w:color w:val="auto"/>
                <w:highlight w:val="none"/>
                <w:u w:val="single"/>
              </w:rPr>
              <w:t>家的，应当重新招标。</w:t>
            </w:r>
          </w:p>
        </w:tc>
      </w:tr>
      <w:tr w14:paraId="339D10F4">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2DE6F27E">
            <w:pPr>
              <w:jc w:val="center"/>
              <w:rPr>
                <w:rFonts w:ascii="宋体" w:hAnsi="宋体"/>
                <w:color w:val="auto"/>
                <w:szCs w:val="21"/>
                <w:highlight w:val="none"/>
              </w:rPr>
            </w:pPr>
            <w:r>
              <w:rPr>
                <w:rFonts w:ascii="宋体" w:hAnsi="宋体"/>
                <w:color w:val="auto"/>
                <w:szCs w:val="21"/>
                <w:highlight w:val="none"/>
              </w:rPr>
              <w:t>7.1</w:t>
            </w:r>
          </w:p>
        </w:tc>
        <w:tc>
          <w:tcPr>
            <w:tcW w:w="2292" w:type="dxa"/>
            <w:tcBorders>
              <w:top w:val="single" w:color="auto" w:sz="4" w:space="0"/>
              <w:left w:val="single" w:color="auto" w:sz="4" w:space="0"/>
              <w:bottom w:val="single" w:color="auto" w:sz="4" w:space="0"/>
              <w:right w:val="single" w:color="auto" w:sz="4" w:space="0"/>
            </w:tcBorders>
            <w:vAlign w:val="center"/>
          </w:tcPr>
          <w:p w14:paraId="5692C525">
            <w:pPr>
              <w:jc w:val="center"/>
              <w:rPr>
                <w:rFonts w:ascii="宋体" w:hAnsi="宋体"/>
                <w:color w:val="auto"/>
                <w:szCs w:val="21"/>
                <w:highlight w:val="none"/>
              </w:rPr>
            </w:pPr>
            <w:r>
              <w:rPr>
                <w:rFonts w:ascii="宋体" w:hAnsi="宋体"/>
                <w:color w:val="auto"/>
                <w:szCs w:val="21"/>
                <w:highlight w:val="none"/>
              </w:rPr>
              <w:t>中标候选人公示媒介及期限</w:t>
            </w:r>
          </w:p>
        </w:tc>
        <w:tc>
          <w:tcPr>
            <w:tcW w:w="5865" w:type="dxa"/>
            <w:tcBorders>
              <w:top w:val="single" w:color="auto" w:sz="4" w:space="0"/>
              <w:left w:val="single" w:color="auto" w:sz="4" w:space="0"/>
              <w:bottom w:val="single" w:color="auto" w:sz="4" w:space="0"/>
              <w:right w:val="single" w:color="auto" w:sz="4" w:space="0"/>
            </w:tcBorders>
            <w:vAlign w:val="center"/>
          </w:tcPr>
          <w:p w14:paraId="73708EE8">
            <w:pPr>
              <w:rPr>
                <w:rFonts w:ascii="宋体" w:hAnsi="宋体"/>
                <w:color w:val="auto"/>
                <w:szCs w:val="21"/>
                <w:highlight w:val="none"/>
              </w:rPr>
            </w:pPr>
            <w:r>
              <w:rPr>
                <w:rFonts w:hint="eastAsia" w:ascii="宋体" w:hAnsi="宋体"/>
                <w:color w:val="auto"/>
                <w:szCs w:val="21"/>
                <w:highlight w:val="none"/>
              </w:rPr>
              <w:t>公示媒介：</w:t>
            </w:r>
            <w:r>
              <w:rPr>
                <w:rFonts w:hint="eastAsia" w:ascii="宋体" w:hAnsi="宋体"/>
                <w:bCs/>
                <w:color w:val="auto"/>
                <w:szCs w:val="21"/>
                <w:highlight w:val="none"/>
                <w:u w:val="single"/>
              </w:rPr>
              <w:t>中国招标投标公共服务平台、广东省招标投标监管网、广州交易集团有限公司（广州公共资源交易中心）网站</w:t>
            </w:r>
            <w:r>
              <w:rPr>
                <w:rFonts w:hint="eastAsia" w:ascii="宋体" w:hAnsi="宋体" w:cs="宋体"/>
                <w:color w:val="auto"/>
                <w:szCs w:val="21"/>
                <w:highlight w:val="none"/>
              </w:rPr>
              <w:t>。</w:t>
            </w:r>
          </w:p>
          <w:p w14:paraId="3EEA88C4">
            <w:pPr>
              <w:rPr>
                <w:rFonts w:ascii="宋体" w:hAnsi="宋体"/>
                <w:color w:val="auto"/>
                <w:szCs w:val="21"/>
                <w:highlight w:val="none"/>
              </w:rPr>
            </w:pPr>
            <w:r>
              <w:rPr>
                <w:rFonts w:hint="eastAsia" w:ascii="宋体" w:hAnsi="宋体"/>
                <w:color w:val="auto"/>
                <w:szCs w:val="21"/>
                <w:highlight w:val="none"/>
              </w:rPr>
              <w:t>公示期限：</w:t>
            </w:r>
            <w:r>
              <w:rPr>
                <w:rFonts w:ascii="宋体" w:hAnsi="宋体"/>
                <w:color w:val="auto"/>
                <w:szCs w:val="21"/>
                <w:highlight w:val="none"/>
                <w:u w:val="single"/>
              </w:rPr>
              <w:t xml:space="preserve"> 3 </w:t>
            </w:r>
            <w:r>
              <w:rPr>
                <w:rFonts w:hint="eastAsia" w:ascii="宋体" w:hAnsi="宋体"/>
                <w:color w:val="auto"/>
                <w:szCs w:val="21"/>
                <w:highlight w:val="none"/>
              </w:rPr>
              <w:t>日，公示结束日为工作日。</w:t>
            </w:r>
          </w:p>
        </w:tc>
      </w:tr>
      <w:tr w14:paraId="280BAB27">
        <w:tblPrEx>
          <w:tblCellMar>
            <w:top w:w="0" w:type="dxa"/>
            <w:left w:w="108" w:type="dxa"/>
            <w:bottom w:w="0" w:type="dxa"/>
            <w:right w:w="108" w:type="dxa"/>
          </w:tblCellMar>
        </w:tblPrEx>
        <w:trPr>
          <w:trHeight w:val="404" w:hRule="atLeast"/>
        </w:trPr>
        <w:tc>
          <w:tcPr>
            <w:tcW w:w="1165" w:type="dxa"/>
            <w:tcBorders>
              <w:top w:val="single" w:color="auto" w:sz="4" w:space="0"/>
              <w:left w:val="single" w:color="auto" w:sz="4" w:space="0"/>
              <w:bottom w:val="single" w:color="auto" w:sz="4" w:space="0"/>
              <w:right w:val="single" w:color="auto" w:sz="4" w:space="0"/>
            </w:tcBorders>
            <w:vAlign w:val="center"/>
          </w:tcPr>
          <w:p w14:paraId="40A00E14">
            <w:pPr>
              <w:jc w:val="center"/>
              <w:rPr>
                <w:rFonts w:ascii="宋体" w:hAnsi="宋体"/>
                <w:color w:val="auto"/>
                <w:szCs w:val="21"/>
                <w:highlight w:val="none"/>
              </w:rPr>
            </w:pPr>
            <w:r>
              <w:rPr>
                <w:rFonts w:ascii="宋体" w:hAnsi="宋体"/>
                <w:color w:val="auto"/>
                <w:szCs w:val="21"/>
                <w:highlight w:val="none"/>
              </w:rPr>
              <w:t>7.4</w:t>
            </w:r>
          </w:p>
        </w:tc>
        <w:tc>
          <w:tcPr>
            <w:tcW w:w="2292" w:type="dxa"/>
            <w:tcBorders>
              <w:top w:val="single" w:color="auto" w:sz="4" w:space="0"/>
              <w:left w:val="single" w:color="auto" w:sz="4" w:space="0"/>
              <w:bottom w:val="single" w:color="auto" w:sz="4" w:space="0"/>
              <w:right w:val="single" w:color="auto" w:sz="4" w:space="0"/>
            </w:tcBorders>
            <w:vAlign w:val="center"/>
          </w:tcPr>
          <w:p w14:paraId="08295D1A">
            <w:pPr>
              <w:jc w:val="center"/>
              <w:rPr>
                <w:rFonts w:ascii="宋体" w:hAnsi="宋体"/>
                <w:color w:val="auto"/>
                <w:szCs w:val="21"/>
                <w:highlight w:val="none"/>
              </w:rPr>
            </w:pPr>
            <w:r>
              <w:rPr>
                <w:rFonts w:hint="eastAsia" w:ascii="宋体" w:hAnsi="宋体"/>
                <w:color w:val="auto"/>
                <w:szCs w:val="21"/>
                <w:highlight w:val="none"/>
              </w:rPr>
              <w:t>定标</w:t>
            </w:r>
          </w:p>
        </w:tc>
        <w:tc>
          <w:tcPr>
            <w:tcW w:w="5865" w:type="dxa"/>
            <w:tcBorders>
              <w:top w:val="single" w:color="auto" w:sz="4" w:space="0"/>
              <w:left w:val="single" w:color="auto" w:sz="4" w:space="0"/>
              <w:bottom w:val="single" w:color="auto" w:sz="4" w:space="0"/>
              <w:right w:val="single" w:color="auto" w:sz="4" w:space="0"/>
            </w:tcBorders>
            <w:vAlign w:val="center"/>
          </w:tcPr>
          <w:p w14:paraId="27716344">
            <w:pPr>
              <w:snapToGrid w:val="0"/>
              <w:rPr>
                <w:rFonts w:ascii="宋体" w:hAnsi="宋体"/>
                <w:color w:val="auto"/>
                <w:szCs w:val="21"/>
                <w:highlight w:val="none"/>
                <w:u w:val="single"/>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bidi="ar"/>
              </w:rPr>
              <w:t>1）定标工作由招标人依法组建的定标委员会负责。</w:t>
            </w:r>
          </w:p>
          <w:p w14:paraId="5C042D08">
            <w:pPr>
              <w:widowControl/>
              <w:jc w:val="left"/>
              <w:rPr>
                <w:rFonts w:ascii="宋体" w:hAnsi="宋体"/>
                <w:color w:val="auto"/>
                <w:szCs w:val="21"/>
                <w:highlight w:val="none"/>
                <w:u w:val="single"/>
              </w:rPr>
            </w:pPr>
            <w:r>
              <w:rPr>
                <w:rFonts w:hint="eastAsia" w:ascii="宋体" w:hAnsi="宋体" w:cs="宋体"/>
                <w:color w:val="auto"/>
                <w:szCs w:val="21"/>
                <w:highlight w:val="none"/>
                <w:u w:val="single"/>
                <w:lang w:bidi="ar"/>
              </w:rPr>
              <w:t>（2）</w:t>
            </w:r>
            <w:r>
              <w:rPr>
                <w:rFonts w:hint="eastAsia" w:ascii="宋体" w:hAnsi="宋体" w:cs="宋体"/>
                <w:color w:val="auto"/>
                <w:szCs w:val="21"/>
                <w:highlight w:val="none"/>
                <w:u w:val="single"/>
              </w:rPr>
              <w:t>定标委员会按照第三章评标办法（“评定分离”定标办法）规定的定标方法、标准和程序，在评标委员会向招标人推荐的合格的中标候选人中，采用</w:t>
            </w:r>
            <w:r>
              <w:rPr>
                <w:rFonts w:hint="eastAsia" w:ascii="宋体" w:hAnsi="宋体" w:cs="宋体"/>
                <w:color w:val="auto"/>
                <w:szCs w:val="21"/>
                <w:highlight w:val="none"/>
                <w:u w:val="single"/>
                <w:lang w:eastAsia="zh-CN"/>
              </w:rPr>
              <w:t>综合评审</w:t>
            </w:r>
            <w:r>
              <w:rPr>
                <w:rFonts w:hint="eastAsia" w:ascii="宋体" w:hAnsi="宋体" w:cs="宋体"/>
                <w:color w:val="auto"/>
                <w:szCs w:val="21"/>
                <w:highlight w:val="none"/>
                <w:u w:val="single"/>
              </w:rPr>
              <w:t>方式确定中标人。</w:t>
            </w:r>
          </w:p>
          <w:p w14:paraId="6AEE84D1">
            <w:pPr>
              <w:snapToGrid w:val="0"/>
              <w:rPr>
                <w:rFonts w:ascii="宋体" w:hAnsi="宋体" w:cs="宋体"/>
                <w:color w:val="auto"/>
                <w:szCs w:val="21"/>
                <w:highlight w:val="none"/>
                <w:u w:val="single"/>
                <w:lang w:bidi="ar"/>
              </w:rPr>
            </w:pPr>
            <w:r>
              <w:rPr>
                <w:rFonts w:hint="eastAsia" w:ascii="宋体" w:hAnsi="宋体" w:cs="宋体"/>
                <w:color w:val="auto"/>
                <w:szCs w:val="21"/>
                <w:highlight w:val="none"/>
                <w:u w:val="single"/>
                <w:lang w:bidi="ar"/>
              </w:rPr>
              <w:t>（3）招标人应当在定标工作完成后的3日内公示中标结果。公示内容包括：定标时间、所有合格的中标候选人的评审结果或票数及理由、中标人等内容。</w:t>
            </w:r>
          </w:p>
          <w:p w14:paraId="37F35B7E">
            <w:pPr>
              <w:rPr>
                <w:rFonts w:ascii="宋体" w:hAnsi="宋体"/>
                <w:color w:val="auto"/>
                <w:szCs w:val="21"/>
                <w:highlight w:val="none"/>
              </w:rPr>
            </w:pPr>
            <w:r>
              <w:rPr>
                <w:rFonts w:hint="eastAsia" w:ascii="宋体" w:hAnsi="宋体" w:cs="宋体"/>
                <w:color w:val="auto"/>
                <w:szCs w:val="21"/>
                <w:highlight w:val="none"/>
                <w:u w:val="single"/>
                <w:lang w:bidi="ar"/>
              </w:rPr>
              <w:t>（4）定标后出现中标人放弃中标、因不可抗力不能履行合同或不符合法定情形的，招标人可从其他合格的中标候选人中采用原定标办法，由原定标委员会</w:t>
            </w:r>
            <w:r>
              <w:rPr>
                <w:rFonts w:ascii="宋体" w:hAnsi="宋体" w:cs="宋体"/>
                <w:color w:val="auto"/>
                <w:szCs w:val="21"/>
                <w:highlight w:val="none"/>
                <w:u w:val="single"/>
                <w:lang w:bidi="ar"/>
              </w:rPr>
              <w:t>重新</w:t>
            </w:r>
            <w:r>
              <w:rPr>
                <w:rFonts w:hint="eastAsia" w:ascii="宋体" w:hAnsi="宋体" w:cs="宋体"/>
                <w:color w:val="auto"/>
                <w:szCs w:val="21"/>
                <w:highlight w:val="none"/>
                <w:u w:val="single"/>
                <w:lang w:bidi="ar"/>
              </w:rPr>
              <w:t>确定中标人，也可以重新招标。</w:t>
            </w:r>
          </w:p>
        </w:tc>
      </w:tr>
      <w:tr w14:paraId="6155385F">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29CFE21E">
            <w:pPr>
              <w:jc w:val="center"/>
              <w:rPr>
                <w:rFonts w:ascii="宋体" w:hAnsi="宋体"/>
                <w:color w:val="auto"/>
                <w:szCs w:val="21"/>
                <w:highlight w:val="none"/>
              </w:rPr>
            </w:pPr>
            <w:r>
              <w:rPr>
                <w:rFonts w:ascii="宋体" w:hAnsi="宋体"/>
                <w:color w:val="auto"/>
                <w:szCs w:val="21"/>
                <w:highlight w:val="none"/>
              </w:rPr>
              <w:t>7.6.1</w:t>
            </w:r>
          </w:p>
        </w:tc>
        <w:tc>
          <w:tcPr>
            <w:tcW w:w="2292" w:type="dxa"/>
            <w:tcBorders>
              <w:top w:val="single" w:color="auto" w:sz="4" w:space="0"/>
              <w:left w:val="single" w:color="auto" w:sz="4" w:space="0"/>
              <w:bottom w:val="single" w:color="auto" w:sz="4" w:space="0"/>
              <w:right w:val="single" w:color="auto" w:sz="4" w:space="0"/>
            </w:tcBorders>
            <w:vAlign w:val="center"/>
          </w:tcPr>
          <w:p w14:paraId="5B29D7D1">
            <w:pPr>
              <w:jc w:val="center"/>
              <w:rPr>
                <w:rFonts w:ascii="宋体" w:hAnsi="宋体"/>
                <w:color w:val="auto"/>
                <w:szCs w:val="21"/>
                <w:highlight w:val="none"/>
              </w:rPr>
            </w:pPr>
            <w:r>
              <w:rPr>
                <w:rFonts w:ascii="宋体" w:hAnsi="宋体"/>
                <w:color w:val="auto"/>
                <w:szCs w:val="21"/>
                <w:highlight w:val="none"/>
              </w:rPr>
              <w:t>履约保证金</w:t>
            </w:r>
          </w:p>
        </w:tc>
        <w:tc>
          <w:tcPr>
            <w:tcW w:w="5865" w:type="dxa"/>
            <w:tcBorders>
              <w:top w:val="single" w:color="auto" w:sz="4" w:space="0"/>
              <w:left w:val="single" w:color="auto" w:sz="4" w:space="0"/>
              <w:bottom w:val="single" w:color="auto" w:sz="4" w:space="0"/>
              <w:right w:val="single" w:color="auto" w:sz="4" w:space="0"/>
            </w:tcBorders>
            <w:vAlign w:val="center"/>
          </w:tcPr>
          <w:p w14:paraId="7A8B253D">
            <w:pPr>
              <w:topLinePunct/>
              <w:snapToGrid w:val="0"/>
              <w:rPr>
                <w:rFonts w:ascii="宋体" w:hAnsi="宋体"/>
                <w:color w:val="auto"/>
                <w:szCs w:val="21"/>
                <w:highlight w:val="none"/>
              </w:rPr>
            </w:pPr>
            <w:r>
              <w:rPr>
                <w:rFonts w:hint="eastAsia" w:ascii="宋体" w:hAnsi="宋体"/>
                <w:color w:val="auto"/>
                <w:szCs w:val="21"/>
                <w:highlight w:val="none"/>
              </w:rPr>
              <w:t>是否要求中标人提交履约保证金：</w:t>
            </w:r>
          </w:p>
          <w:p w14:paraId="4212647D">
            <w:pPr>
              <w:topLinePunct/>
              <w:ind w:left="40" w:leftChars="19" w:right="107" w:rightChars="51"/>
              <w:rPr>
                <w:rFonts w:ascii="宋体" w:hAnsi="宋体"/>
                <w:color w:val="auto"/>
                <w:szCs w:val="21"/>
                <w:highlight w:val="none"/>
              </w:rPr>
            </w:pPr>
            <w:r>
              <w:rPr>
                <w:rFonts w:hint="eastAsia" w:hAnsi="宋体"/>
                <w:color w:val="auto"/>
                <w:szCs w:val="21"/>
                <w:highlight w:val="none"/>
              </w:rPr>
              <w:t>□</w:t>
            </w:r>
            <w:r>
              <w:rPr>
                <w:rFonts w:hint="eastAsia" w:ascii="宋体" w:hAnsi="宋体"/>
                <w:color w:val="auto"/>
                <w:szCs w:val="21"/>
                <w:highlight w:val="none"/>
              </w:rPr>
              <w:t>要求，履约保证金的形式：</w:t>
            </w:r>
            <w:r>
              <w:rPr>
                <w:rFonts w:hint="eastAsia" w:ascii="宋体" w:hAnsi="宋体"/>
                <w:color w:val="auto"/>
                <w:szCs w:val="21"/>
                <w:highlight w:val="none"/>
                <w:u w:val="single"/>
                <w:lang w:val="en-US" w:eastAsia="zh-CN"/>
              </w:rPr>
              <w:t>/</w:t>
            </w:r>
            <w:r>
              <w:rPr>
                <w:rFonts w:ascii="宋体" w:hAnsi="宋体"/>
                <w:color w:val="auto"/>
                <w:szCs w:val="21"/>
                <w:highlight w:val="none"/>
                <w:u w:val="single"/>
              </w:rPr>
              <w:t>。</w:t>
            </w:r>
          </w:p>
          <w:p w14:paraId="3D961E3A">
            <w:pPr>
              <w:ind w:left="40" w:leftChars="19" w:right="107" w:rightChars="51" w:firstLine="840" w:firstLineChars="400"/>
              <w:rPr>
                <w:rFonts w:ascii="宋体" w:hAnsi="宋体"/>
                <w:color w:val="auto"/>
                <w:szCs w:val="21"/>
                <w:highlight w:val="none"/>
              </w:rPr>
            </w:pPr>
            <w:r>
              <w:rPr>
                <w:rFonts w:hint="eastAsia" w:ascii="宋体" w:hAnsi="宋体"/>
                <w:color w:val="auto"/>
                <w:szCs w:val="21"/>
                <w:highlight w:val="none"/>
              </w:rPr>
              <w:t>履约保证金的金额：</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w:t>
            </w:r>
          </w:p>
          <w:p w14:paraId="46A3EE43">
            <w:pPr>
              <w:pStyle w:val="19"/>
              <w:topLinePunct/>
              <w:rPr>
                <w:rFonts w:hAnsi="宋体"/>
                <w:color w:val="auto"/>
                <w:sz w:val="21"/>
                <w:szCs w:val="21"/>
                <w:highlight w:val="none"/>
              </w:rPr>
            </w:pPr>
            <w:r>
              <w:rPr>
                <w:rFonts w:hint="eastAsia" w:ascii="宋体" w:hAnsi="宋体"/>
                <w:color w:val="auto"/>
                <w:spacing w:val="-1"/>
                <w:szCs w:val="21"/>
                <w:highlight w:val="none"/>
              </w:rPr>
              <w:t>■</w:t>
            </w:r>
            <w:r>
              <w:rPr>
                <w:rFonts w:hint="eastAsia" w:hAnsi="宋体"/>
                <w:color w:val="auto"/>
                <w:sz w:val="21"/>
                <w:szCs w:val="21"/>
                <w:highlight w:val="none"/>
              </w:rPr>
              <w:t>不要求</w:t>
            </w:r>
          </w:p>
        </w:tc>
      </w:tr>
      <w:tr w14:paraId="680D39B2">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6214E0E5">
            <w:pPr>
              <w:jc w:val="center"/>
              <w:rPr>
                <w:rFonts w:ascii="宋体" w:hAnsi="宋体"/>
                <w:color w:val="auto"/>
                <w:szCs w:val="21"/>
                <w:highlight w:val="none"/>
              </w:rPr>
            </w:pPr>
            <w:r>
              <w:rPr>
                <w:rFonts w:ascii="宋体" w:hAnsi="宋体"/>
                <w:color w:val="auto"/>
                <w:szCs w:val="21"/>
                <w:highlight w:val="none"/>
              </w:rPr>
              <w:t>9</w:t>
            </w:r>
          </w:p>
        </w:tc>
        <w:tc>
          <w:tcPr>
            <w:tcW w:w="2292" w:type="dxa"/>
            <w:tcBorders>
              <w:top w:val="single" w:color="auto" w:sz="4" w:space="0"/>
              <w:left w:val="single" w:color="auto" w:sz="4" w:space="0"/>
              <w:bottom w:val="single" w:color="auto" w:sz="4" w:space="0"/>
              <w:right w:val="single" w:color="auto" w:sz="4" w:space="0"/>
            </w:tcBorders>
            <w:vAlign w:val="center"/>
          </w:tcPr>
          <w:p w14:paraId="7BE0A471">
            <w:pPr>
              <w:jc w:val="center"/>
              <w:rPr>
                <w:rFonts w:ascii="宋体" w:hAnsi="宋体"/>
                <w:color w:val="auto"/>
                <w:szCs w:val="21"/>
                <w:highlight w:val="none"/>
              </w:rPr>
            </w:pPr>
            <w:r>
              <w:rPr>
                <w:rFonts w:ascii="宋体" w:hAnsi="宋体"/>
                <w:color w:val="auto"/>
                <w:szCs w:val="21"/>
                <w:highlight w:val="none"/>
              </w:rPr>
              <w:t>是否采用电子招标投标</w:t>
            </w:r>
          </w:p>
        </w:tc>
        <w:tc>
          <w:tcPr>
            <w:tcW w:w="5865" w:type="dxa"/>
            <w:tcBorders>
              <w:top w:val="single" w:color="auto" w:sz="4" w:space="0"/>
              <w:left w:val="single" w:color="auto" w:sz="4" w:space="0"/>
              <w:bottom w:val="single" w:color="auto" w:sz="4" w:space="0"/>
              <w:right w:val="single" w:color="auto" w:sz="4" w:space="0"/>
            </w:tcBorders>
            <w:vAlign w:val="center"/>
          </w:tcPr>
          <w:p w14:paraId="70871890">
            <w:pPr>
              <w:rPr>
                <w:rFonts w:ascii="宋体" w:hAnsi="宋体"/>
                <w:color w:val="auto"/>
                <w:szCs w:val="21"/>
                <w:highlight w:val="none"/>
              </w:rPr>
            </w:pPr>
            <w:r>
              <w:rPr>
                <w:rFonts w:ascii="宋体" w:hAnsi="宋体"/>
                <w:color w:val="auto"/>
                <w:szCs w:val="21"/>
                <w:highlight w:val="none"/>
              </w:rPr>
              <w:t>□否</w:t>
            </w:r>
          </w:p>
          <w:p w14:paraId="00689D91">
            <w:pP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是，具体要求：</w:t>
            </w:r>
          </w:p>
          <w:p w14:paraId="516D178D">
            <w:pPr>
              <w:snapToGrid w:val="0"/>
              <w:jc w:val="left"/>
              <w:rPr>
                <w:rFonts w:ascii="宋体" w:hAnsi="宋体"/>
                <w:color w:val="auto"/>
                <w:szCs w:val="21"/>
                <w:highlight w:val="none"/>
              </w:rPr>
            </w:pPr>
            <w:r>
              <w:rPr>
                <w:rFonts w:hint="eastAsia" w:ascii="宋体" w:hAnsi="宋体"/>
                <w:color w:val="auto"/>
                <w:szCs w:val="21"/>
                <w:highlight w:val="none"/>
              </w:rPr>
              <w:t>1、具体操作详见广州交易集团有限公司（广州公共资源交易中心）网站发布的《建设工程全流程电子化项目操作指南》。</w:t>
            </w:r>
          </w:p>
          <w:p w14:paraId="6191AE3E">
            <w:pPr>
              <w:snapToGrid w:val="0"/>
              <w:jc w:val="left"/>
              <w:rPr>
                <w:rFonts w:ascii="宋体" w:hAnsi="宋体"/>
                <w:color w:val="auto"/>
                <w:szCs w:val="21"/>
                <w:highlight w:val="none"/>
              </w:rPr>
            </w:pPr>
            <w:r>
              <w:rPr>
                <w:rFonts w:hint="eastAsia" w:ascii="宋体" w:hAnsi="宋体"/>
                <w:color w:val="auto"/>
                <w:szCs w:val="21"/>
                <w:highlight w:val="none"/>
              </w:rPr>
              <w:t>2、提交投标文件光盘备用</w:t>
            </w:r>
          </w:p>
          <w:p w14:paraId="0BA6B74A">
            <w:pPr>
              <w:snapToGrid w:val="0"/>
              <w:jc w:val="left"/>
              <w:rPr>
                <w:rFonts w:ascii="宋体" w:hAnsi="宋体"/>
                <w:color w:val="auto"/>
                <w:szCs w:val="21"/>
                <w:highlight w:val="none"/>
              </w:rPr>
            </w:pPr>
            <w:r>
              <w:rPr>
                <w:rFonts w:hint="eastAsia" w:ascii="宋体" w:hAnsi="宋体"/>
                <w:color w:val="auto"/>
                <w:szCs w:val="21"/>
                <w:highlight w:val="none"/>
              </w:rPr>
              <w:t>投标人将按《建设工程全流程电子化项目操作指南》的操作方法制作的非加密的电子投标文件刻入光盘（1份），在规定的时间、地点</w:t>
            </w:r>
            <w:r>
              <w:rPr>
                <w:rFonts w:hint="eastAsia" w:ascii="宋体" w:hAnsi="宋体" w:cs="宋体"/>
                <w:b/>
                <w:color w:val="auto"/>
                <w:szCs w:val="21"/>
                <w:highlight w:val="none"/>
                <w:u w:val="single"/>
                <w:lang w:bidi="ar"/>
              </w:rPr>
              <w:t>凭法定代表人证明书原件、法定代表人授权委托证明书原件（非法定代表人办理手续时提供）、本人身份证原件</w:t>
            </w:r>
            <w:r>
              <w:rPr>
                <w:rFonts w:hint="eastAsia" w:ascii="宋体" w:hAnsi="宋体"/>
                <w:color w:val="auto"/>
                <w:szCs w:val="21"/>
                <w:highlight w:val="none"/>
              </w:rPr>
              <w:t>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3B7DF142">
            <w:pPr>
              <w:snapToGrid w:val="0"/>
              <w:jc w:val="left"/>
              <w:rPr>
                <w:rFonts w:ascii="宋体" w:hAnsi="宋体"/>
                <w:color w:val="auto"/>
                <w:szCs w:val="21"/>
                <w:highlight w:val="none"/>
              </w:rPr>
            </w:pPr>
            <w:r>
              <w:rPr>
                <w:rFonts w:hint="eastAsia" w:ascii="宋体" w:hAnsi="宋体"/>
                <w:color w:val="auto"/>
                <w:szCs w:val="21"/>
                <w:highlight w:val="none"/>
              </w:rPr>
              <w:t>3.补救方案</w:t>
            </w:r>
          </w:p>
          <w:p w14:paraId="2169F3C0">
            <w:pPr>
              <w:snapToGrid w:val="0"/>
              <w:jc w:val="left"/>
              <w:rPr>
                <w:rFonts w:ascii="宋体" w:hAnsi="宋体"/>
                <w:color w:val="auto"/>
                <w:szCs w:val="21"/>
                <w:highlight w:val="none"/>
              </w:rPr>
            </w:pPr>
            <w:r>
              <w:rPr>
                <w:rFonts w:hint="eastAsia" w:ascii="宋体" w:hAnsi="宋体"/>
                <w:color w:val="auto"/>
                <w:szCs w:val="21"/>
                <w:highlight w:val="none"/>
              </w:rPr>
              <w:t>（1）投标文件解密失败的补救方案：</w:t>
            </w:r>
          </w:p>
          <w:p w14:paraId="01D4C2E0">
            <w:pPr>
              <w:snapToGrid w:val="0"/>
              <w:jc w:val="left"/>
              <w:rPr>
                <w:rFonts w:ascii="宋体" w:hAnsi="宋体"/>
                <w:color w:val="auto"/>
                <w:szCs w:val="21"/>
                <w:highlight w:val="none"/>
              </w:rPr>
            </w:pPr>
            <w:r>
              <w:rPr>
                <w:rFonts w:ascii="宋体" w:hAnsi="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C5261AD">
            <w:pPr>
              <w:snapToGrid w:val="0"/>
              <w:jc w:val="left"/>
              <w:rPr>
                <w:rFonts w:ascii="宋体" w:hAnsi="宋体"/>
                <w:color w:val="auto"/>
                <w:szCs w:val="21"/>
                <w:highlight w:val="none"/>
              </w:rPr>
            </w:pPr>
            <w:r>
              <w:rPr>
                <w:rFonts w:hint="eastAsia" w:ascii="宋体" w:hAnsi="宋体"/>
                <w:color w:val="auto"/>
                <w:szCs w:val="21"/>
                <w:highlight w:val="none"/>
              </w:rPr>
              <w:t>（2）评标时突发情况的补救方案</w:t>
            </w:r>
          </w:p>
          <w:p w14:paraId="14C05F2B">
            <w:pPr>
              <w:snapToGrid w:val="0"/>
              <w:jc w:val="left"/>
              <w:rPr>
                <w:rFonts w:ascii="宋体" w:hAnsi="宋体"/>
                <w:color w:val="auto"/>
                <w:szCs w:val="21"/>
                <w:highlight w:val="none"/>
              </w:rPr>
            </w:pPr>
            <w:r>
              <w:rPr>
                <w:rFonts w:ascii="宋体" w:hAnsi="宋体"/>
                <w:color w:val="auto"/>
                <w:szCs w:val="21"/>
                <w:highlight w:val="none"/>
              </w:rPr>
              <w:t>若遇不可抗力发生（指网络瘫痪、服务器损坏、交易系统故障短期无法恢复等因素），由评标委员会开启投标人递交的全部投标文件光盘，并按光盘内容进行评审。</w:t>
            </w:r>
          </w:p>
          <w:p w14:paraId="7474FB81">
            <w:pPr>
              <w:rPr>
                <w:rFonts w:ascii="宋体" w:hAnsi="宋体"/>
                <w:color w:val="auto"/>
                <w:szCs w:val="21"/>
                <w:highlight w:val="none"/>
              </w:rPr>
            </w:pPr>
            <w:r>
              <w:rPr>
                <w:rFonts w:hint="eastAsia" w:ascii="宋体" w:hAnsi="宋体"/>
                <w:color w:val="auto"/>
                <w:szCs w:val="21"/>
                <w:highlight w:val="none"/>
              </w:rPr>
              <w:t>（3）除发生上述情况外，开标评标均以投标人通过交易平台网上递交的电子投标文件为准。</w:t>
            </w:r>
          </w:p>
        </w:tc>
      </w:tr>
      <w:tr w14:paraId="2E14EA6E">
        <w:tblPrEx>
          <w:tblCellMar>
            <w:top w:w="0" w:type="dxa"/>
            <w:left w:w="108" w:type="dxa"/>
            <w:bottom w:w="0" w:type="dxa"/>
            <w:right w:w="108" w:type="dxa"/>
          </w:tblCellMar>
        </w:tblPrEx>
        <w:trPr>
          <w:trHeight w:val="372" w:hRule="atLeast"/>
        </w:trPr>
        <w:tc>
          <w:tcPr>
            <w:tcW w:w="1165" w:type="dxa"/>
            <w:tcBorders>
              <w:top w:val="single" w:color="auto" w:sz="4" w:space="0"/>
              <w:left w:val="single" w:color="auto" w:sz="4" w:space="0"/>
              <w:bottom w:val="single" w:color="auto" w:sz="4" w:space="0"/>
              <w:right w:val="single" w:color="auto" w:sz="4" w:space="0"/>
            </w:tcBorders>
            <w:vAlign w:val="center"/>
          </w:tcPr>
          <w:p w14:paraId="7520B9E5">
            <w:pPr>
              <w:jc w:val="center"/>
              <w:rPr>
                <w:rFonts w:ascii="宋体" w:hAnsi="宋体"/>
                <w:color w:val="auto"/>
                <w:szCs w:val="21"/>
                <w:highlight w:val="none"/>
              </w:rPr>
            </w:pPr>
            <w:r>
              <w:rPr>
                <w:rFonts w:ascii="宋体" w:hAnsi="宋体"/>
                <w:color w:val="auto"/>
                <w:szCs w:val="21"/>
                <w:highlight w:val="none"/>
              </w:rPr>
              <w:t>10</w:t>
            </w:r>
          </w:p>
        </w:tc>
        <w:tc>
          <w:tcPr>
            <w:tcW w:w="8157" w:type="dxa"/>
            <w:gridSpan w:val="2"/>
            <w:tcBorders>
              <w:top w:val="single" w:color="auto" w:sz="4" w:space="0"/>
              <w:left w:val="single" w:color="auto" w:sz="4" w:space="0"/>
              <w:bottom w:val="single" w:color="auto" w:sz="4" w:space="0"/>
              <w:right w:val="single" w:color="auto" w:sz="4" w:space="0"/>
            </w:tcBorders>
            <w:vAlign w:val="center"/>
          </w:tcPr>
          <w:p w14:paraId="7FAA77E5">
            <w:pPr>
              <w:rPr>
                <w:rFonts w:ascii="宋体" w:hAnsi="宋体"/>
                <w:color w:val="auto"/>
                <w:szCs w:val="21"/>
                <w:highlight w:val="none"/>
              </w:rPr>
            </w:pPr>
            <w:r>
              <w:rPr>
                <w:rFonts w:ascii="宋体" w:hAnsi="宋体"/>
                <w:color w:val="auto"/>
                <w:szCs w:val="21"/>
                <w:highlight w:val="none"/>
              </w:rPr>
              <w:t>需要补充的其他内容</w:t>
            </w:r>
          </w:p>
        </w:tc>
      </w:tr>
      <w:tr w14:paraId="4F249DD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539392A">
            <w:pPr>
              <w:jc w:val="center"/>
              <w:rPr>
                <w:rFonts w:ascii="宋体" w:hAnsi="宋体"/>
                <w:color w:val="auto"/>
                <w:szCs w:val="21"/>
                <w:highlight w:val="none"/>
              </w:rPr>
            </w:pPr>
            <w:r>
              <w:rPr>
                <w:rFonts w:ascii="宋体" w:hAnsi="宋体"/>
                <w:color w:val="auto"/>
                <w:szCs w:val="21"/>
                <w:highlight w:val="none"/>
              </w:rPr>
              <w:t>10.1</w:t>
            </w:r>
          </w:p>
        </w:tc>
        <w:tc>
          <w:tcPr>
            <w:tcW w:w="2292" w:type="dxa"/>
            <w:tcBorders>
              <w:top w:val="single" w:color="auto" w:sz="4" w:space="0"/>
              <w:left w:val="single" w:color="auto" w:sz="4" w:space="0"/>
              <w:bottom w:val="single" w:color="auto" w:sz="4" w:space="0"/>
              <w:right w:val="single" w:color="auto" w:sz="4" w:space="0"/>
            </w:tcBorders>
            <w:vAlign w:val="center"/>
          </w:tcPr>
          <w:p w14:paraId="25B8AA12">
            <w:pPr>
              <w:jc w:val="center"/>
              <w:rPr>
                <w:rFonts w:ascii="宋体" w:hAnsi="宋体"/>
                <w:color w:val="auto"/>
                <w:szCs w:val="21"/>
                <w:highlight w:val="none"/>
              </w:rPr>
            </w:pPr>
            <w:r>
              <w:rPr>
                <w:rFonts w:hint="eastAsia" w:ascii="宋体" w:hAnsi="宋体"/>
                <w:color w:val="auto"/>
                <w:szCs w:val="21"/>
                <w:highlight w:val="none"/>
              </w:rPr>
              <w:t>特别提示</w:t>
            </w:r>
          </w:p>
        </w:tc>
        <w:tc>
          <w:tcPr>
            <w:tcW w:w="5865" w:type="dxa"/>
            <w:tcBorders>
              <w:top w:val="single" w:color="auto" w:sz="4" w:space="0"/>
              <w:left w:val="single" w:color="auto" w:sz="4" w:space="0"/>
              <w:bottom w:val="single" w:color="auto" w:sz="4" w:space="0"/>
              <w:right w:val="single" w:color="auto" w:sz="4" w:space="0"/>
            </w:tcBorders>
            <w:vAlign w:val="center"/>
          </w:tcPr>
          <w:p w14:paraId="7960A7A3">
            <w:pPr>
              <w:snapToGrid w:val="0"/>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w:t>
            </w:r>
            <w:r>
              <w:rPr>
                <w:rFonts w:hint="eastAsia" w:ascii="宋体" w:hAnsi="宋体"/>
                <w:b/>
                <w:bCs/>
                <w:color w:val="auto"/>
                <w:szCs w:val="21"/>
                <w:highlight w:val="none"/>
                <w:u w:val="single"/>
              </w:rPr>
              <w:t>1年内</w:t>
            </w:r>
            <w:r>
              <w:rPr>
                <w:rFonts w:hint="eastAsia" w:ascii="宋体" w:hAnsi="宋体"/>
                <w:color w:val="auto"/>
                <w:szCs w:val="21"/>
                <w:highlight w:val="none"/>
              </w:rPr>
              <w:t>参与我单位后续工程投标。（注：拒绝投标时限自招标人发出通知之日起计）：</w:t>
            </w:r>
          </w:p>
          <w:p w14:paraId="5CEBC5EC">
            <w:pPr>
              <w:snapToGrid w:val="0"/>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14:paraId="661BA5A8">
            <w:pPr>
              <w:snapToGrid w:val="0"/>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322440D5">
            <w:pPr>
              <w:snapToGrid w:val="0"/>
              <w:jc w:val="left"/>
              <w:rPr>
                <w:rFonts w:ascii="宋体" w:hAnsi="宋体"/>
                <w:color w:val="auto"/>
                <w:szCs w:val="21"/>
                <w:highlight w:val="none"/>
              </w:rPr>
            </w:pPr>
            <w:r>
              <w:rPr>
                <w:rFonts w:hint="eastAsia" w:ascii="宋体" w:hAnsi="宋体"/>
                <w:color w:val="auto"/>
                <w:szCs w:val="21"/>
                <w:highlight w:val="none"/>
              </w:rPr>
              <w:t>（3）出让投标资格的；</w:t>
            </w:r>
          </w:p>
          <w:p w14:paraId="636BAE3E">
            <w:pPr>
              <w:rPr>
                <w:rFonts w:ascii="宋体" w:hAnsi="宋体"/>
                <w:color w:val="auto"/>
                <w:szCs w:val="21"/>
                <w:highlight w:val="none"/>
              </w:rPr>
            </w:pPr>
            <w:r>
              <w:rPr>
                <w:rFonts w:hint="eastAsia" w:ascii="宋体" w:hAnsi="宋体"/>
                <w:color w:val="auto"/>
                <w:szCs w:val="21"/>
                <w:highlight w:val="none"/>
              </w:rPr>
              <w:t>（4）在投标文件中提供虚假材料的；</w:t>
            </w:r>
          </w:p>
          <w:p w14:paraId="2D6B28ED">
            <w:pPr>
              <w:snapToGrid w:val="0"/>
              <w:jc w:val="left"/>
              <w:rPr>
                <w:rFonts w:ascii="宋体" w:hAnsi="宋体"/>
                <w:color w:val="auto"/>
                <w:szCs w:val="21"/>
                <w:highlight w:val="none"/>
              </w:rPr>
            </w:pPr>
            <w:r>
              <w:rPr>
                <w:rFonts w:hint="eastAsia" w:ascii="宋体" w:hAnsi="宋体"/>
                <w:color w:val="auto"/>
                <w:szCs w:val="21"/>
                <w:highlight w:val="none"/>
              </w:rPr>
              <w:t>（5）存在少放、不放业绩、奖项等客观评审资料，减少自身竞争力情形的；</w:t>
            </w:r>
          </w:p>
          <w:p w14:paraId="19D9D30C">
            <w:pPr>
              <w:snapToGrid w:val="0"/>
              <w:jc w:val="left"/>
              <w:rPr>
                <w:rFonts w:ascii="宋体" w:hAnsi="宋体"/>
                <w:color w:val="auto"/>
                <w:szCs w:val="21"/>
                <w:highlight w:val="none"/>
              </w:rPr>
            </w:pPr>
            <w:r>
              <w:rPr>
                <w:rFonts w:hint="eastAsia" w:ascii="宋体" w:hAnsi="宋体"/>
                <w:color w:val="auto"/>
                <w:szCs w:val="21"/>
                <w:highlight w:val="none"/>
              </w:rPr>
              <w:t>（6）存在行贿情形的；</w:t>
            </w:r>
          </w:p>
          <w:p w14:paraId="2D5B110C">
            <w:pPr>
              <w:snapToGrid w:val="0"/>
              <w:jc w:val="left"/>
              <w:rPr>
                <w:rFonts w:ascii="宋体" w:hAnsi="宋体"/>
                <w:color w:val="auto"/>
                <w:szCs w:val="21"/>
                <w:highlight w:val="none"/>
              </w:rPr>
            </w:pPr>
            <w:r>
              <w:rPr>
                <w:rFonts w:hint="eastAsia" w:ascii="宋体" w:hAnsi="宋体"/>
                <w:color w:val="auto"/>
                <w:szCs w:val="21"/>
                <w:highlight w:val="none"/>
              </w:rPr>
              <w:t>（7）为招标人提供服务过程中存在因过错行为被生效法律文书认定承担违约或侵权责任的；</w:t>
            </w:r>
          </w:p>
          <w:p w14:paraId="17CCADB0">
            <w:pPr>
              <w:snapToGrid w:val="0"/>
              <w:jc w:val="left"/>
              <w:rPr>
                <w:rFonts w:ascii="宋体" w:hAnsi="宋体"/>
                <w:color w:val="auto"/>
                <w:szCs w:val="21"/>
                <w:highlight w:val="none"/>
              </w:rPr>
            </w:pPr>
            <w:r>
              <w:rPr>
                <w:rFonts w:hint="eastAsia" w:ascii="宋体" w:hAnsi="宋体"/>
                <w:color w:val="auto"/>
                <w:szCs w:val="21"/>
                <w:highlight w:val="none"/>
              </w:rPr>
              <w:t>（8）违反合同约定自行调换或未按照招标人要求及时更换项目负责人（即总监理工程师）的；</w:t>
            </w:r>
          </w:p>
          <w:p w14:paraId="5AFD7A76">
            <w:pPr>
              <w:snapToGrid w:val="0"/>
              <w:jc w:val="left"/>
              <w:rPr>
                <w:rFonts w:ascii="宋体" w:hAnsi="宋体"/>
                <w:color w:val="auto"/>
                <w:szCs w:val="21"/>
                <w:highlight w:val="none"/>
              </w:rPr>
            </w:pPr>
            <w:r>
              <w:rPr>
                <w:rFonts w:hint="eastAsia" w:ascii="宋体" w:hAnsi="宋体"/>
                <w:color w:val="auto"/>
                <w:szCs w:val="21"/>
                <w:highlight w:val="none"/>
              </w:rPr>
              <w:t>（9）委派的项目负责人已在其他在建项目中任职且任职数量不符合相关规定并拒绝按照任职承诺书的规定更换的。</w:t>
            </w:r>
          </w:p>
          <w:p w14:paraId="71D04A72">
            <w:pPr>
              <w:snapToGrid w:val="0"/>
              <w:jc w:val="left"/>
              <w:rPr>
                <w:rFonts w:ascii="宋体" w:hAnsi="宋体"/>
                <w:color w:val="auto"/>
                <w:szCs w:val="21"/>
                <w:highlight w:val="none"/>
              </w:rPr>
            </w:pPr>
            <w:r>
              <w:rPr>
                <w:rFonts w:hint="eastAsia" w:ascii="宋体" w:hAnsi="宋体"/>
                <w:color w:val="auto"/>
                <w:szCs w:val="21"/>
                <w:highlight w:val="none"/>
              </w:rPr>
              <w:t>（10）中标人无正当理由不与招标人订立合同，在签订合同时向招标人提出附加条件，或者不按照招标文件要求提交履约保证金；</w:t>
            </w:r>
          </w:p>
          <w:p w14:paraId="187DC3FB">
            <w:pPr>
              <w:snapToGrid w:val="0"/>
              <w:jc w:val="left"/>
              <w:rPr>
                <w:rFonts w:ascii="宋体" w:hAnsi="宋体"/>
                <w:color w:val="auto"/>
                <w:szCs w:val="21"/>
                <w:highlight w:val="none"/>
              </w:rPr>
            </w:pPr>
            <w:r>
              <w:rPr>
                <w:rFonts w:hint="eastAsia" w:ascii="宋体" w:hAnsi="宋体"/>
                <w:color w:val="auto"/>
                <w:szCs w:val="21"/>
                <w:highlight w:val="none"/>
              </w:rPr>
              <w:t>（11）存在串通投标、围标情况的；</w:t>
            </w:r>
          </w:p>
          <w:p w14:paraId="251D5992">
            <w:pPr>
              <w:snapToGrid w:val="0"/>
              <w:jc w:val="left"/>
              <w:rPr>
                <w:rFonts w:ascii="宋体" w:hAnsi="宋体"/>
                <w:color w:val="auto"/>
                <w:szCs w:val="21"/>
                <w:highlight w:val="none"/>
              </w:rPr>
            </w:pPr>
            <w:r>
              <w:rPr>
                <w:rFonts w:hint="eastAsia" w:ascii="宋体" w:hAnsi="宋体"/>
                <w:color w:val="auto"/>
                <w:szCs w:val="21"/>
                <w:highlight w:val="none"/>
              </w:rPr>
              <w:t>（12）投标人以他人名义投标或者允许他人挂靠投标或借用本公司名义投标的；</w:t>
            </w:r>
          </w:p>
          <w:p w14:paraId="356D046C">
            <w:pPr>
              <w:rPr>
                <w:rFonts w:ascii="宋体" w:hAnsi="宋体"/>
                <w:color w:val="auto"/>
                <w:szCs w:val="21"/>
                <w:highlight w:val="none"/>
              </w:rPr>
            </w:pPr>
            <w:r>
              <w:rPr>
                <w:rFonts w:hint="eastAsia" w:ascii="宋体" w:hAnsi="宋体"/>
                <w:color w:val="auto"/>
                <w:szCs w:val="21"/>
                <w:highlight w:val="none"/>
              </w:rPr>
              <w:t>（13）提供虚假投标文件、虚假证明、虚假承诺/声明/保证或者以其他方式弄虚作假的。</w:t>
            </w:r>
          </w:p>
        </w:tc>
      </w:tr>
      <w:tr w14:paraId="72719D0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42C27C1">
            <w:pPr>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292" w:type="dxa"/>
            <w:tcBorders>
              <w:top w:val="single" w:color="auto" w:sz="4" w:space="0"/>
              <w:left w:val="single" w:color="auto" w:sz="4" w:space="0"/>
              <w:bottom w:val="single" w:color="auto" w:sz="4" w:space="0"/>
              <w:right w:val="single" w:color="auto" w:sz="4" w:space="0"/>
            </w:tcBorders>
            <w:vAlign w:val="center"/>
          </w:tcPr>
          <w:p w14:paraId="0F5722A4">
            <w:pPr>
              <w:jc w:val="center"/>
              <w:rPr>
                <w:rFonts w:ascii="宋体" w:hAnsi="宋体"/>
                <w:color w:val="auto"/>
                <w:szCs w:val="21"/>
                <w:highlight w:val="none"/>
              </w:rPr>
            </w:pPr>
            <w:r>
              <w:rPr>
                <w:rFonts w:hint="eastAsia" w:ascii="宋体" w:hAnsi="宋体"/>
                <w:color w:val="auto"/>
                <w:szCs w:val="21"/>
                <w:highlight w:val="none"/>
              </w:rPr>
              <w:t>招标失败的情形</w:t>
            </w:r>
          </w:p>
        </w:tc>
        <w:tc>
          <w:tcPr>
            <w:tcW w:w="5865" w:type="dxa"/>
            <w:tcBorders>
              <w:top w:val="single" w:color="auto" w:sz="4" w:space="0"/>
              <w:left w:val="single" w:color="auto" w:sz="4" w:space="0"/>
              <w:bottom w:val="single" w:color="auto" w:sz="4" w:space="0"/>
              <w:right w:val="single" w:color="auto" w:sz="4" w:space="0"/>
            </w:tcBorders>
            <w:vAlign w:val="center"/>
          </w:tcPr>
          <w:p w14:paraId="7223C767">
            <w:pPr>
              <w:pStyle w:val="84"/>
              <w:spacing w:line="276" w:lineRule="auto"/>
              <w:jc w:val="left"/>
              <w:rPr>
                <w:rFonts w:ascii="宋体" w:hAnsi="宋体" w:cs="宋体"/>
                <w:color w:val="auto"/>
                <w:szCs w:val="21"/>
                <w:highlight w:val="none"/>
              </w:rPr>
            </w:pPr>
            <w:r>
              <w:rPr>
                <w:rFonts w:hint="eastAsia" w:ascii="宋体" w:hAnsi="宋体" w:cs="宋体"/>
                <w:color w:val="auto"/>
                <w:szCs w:val="21"/>
                <w:highlight w:val="none"/>
              </w:rPr>
              <w:t>本项目采用资格后审方式，满足资格审查合格条件或通过初步评审的投标申请人不足3名时为招标失败。招标人分析招标失败原因，修正招标方案，报有关管理部门核准后，重新组织招标。</w:t>
            </w:r>
          </w:p>
          <w:p w14:paraId="64B510F1">
            <w:pPr>
              <w:ind w:left="1"/>
              <w:rPr>
                <w:rFonts w:ascii="宋体" w:hAnsi="宋体"/>
                <w:color w:val="auto"/>
                <w:szCs w:val="21"/>
                <w:highlight w:val="none"/>
              </w:rPr>
            </w:pPr>
            <w:r>
              <w:rPr>
                <w:rFonts w:hint="eastAsia" w:ascii="宋体" w:hAnsi="宋体" w:cs="宋体"/>
                <w:color w:val="auto"/>
                <w:szCs w:val="21"/>
                <w:highlight w:val="none"/>
              </w:rPr>
              <w:t>招标人因两次或多次招标失败，需申请改变招标方式或不招标的，按相关法律法规规定办理。</w:t>
            </w:r>
          </w:p>
        </w:tc>
      </w:tr>
      <w:tr w14:paraId="40FEA632">
        <w:tblPrEx>
          <w:tblCellMar>
            <w:top w:w="0" w:type="dxa"/>
            <w:left w:w="108" w:type="dxa"/>
            <w:bottom w:w="0" w:type="dxa"/>
            <w:right w:w="108" w:type="dxa"/>
          </w:tblCellMar>
        </w:tblPrEx>
        <w:trPr>
          <w:trHeight w:val="589" w:hRule="atLeast"/>
        </w:trPr>
        <w:tc>
          <w:tcPr>
            <w:tcW w:w="1165" w:type="dxa"/>
            <w:tcBorders>
              <w:top w:val="single" w:color="auto" w:sz="4" w:space="0"/>
              <w:left w:val="single" w:color="auto" w:sz="4" w:space="0"/>
              <w:bottom w:val="single" w:color="auto" w:sz="4" w:space="0"/>
              <w:right w:val="single" w:color="auto" w:sz="4" w:space="0"/>
            </w:tcBorders>
            <w:vAlign w:val="center"/>
          </w:tcPr>
          <w:p w14:paraId="5DFEDFDA">
            <w:pPr>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292" w:type="dxa"/>
            <w:tcBorders>
              <w:top w:val="single" w:color="auto" w:sz="4" w:space="0"/>
              <w:left w:val="single" w:color="auto" w:sz="4" w:space="0"/>
              <w:bottom w:val="single" w:color="auto" w:sz="4" w:space="0"/>
              <w:right w:val="single" w:color="auto" w:sz="4" w:space="0"/>
            </w:tcBorders>
            <w:vAlign w:val="center"/>
          </w:tcPr>
          <w:p w14:paraId="72FFA742">
            <w:pPr>
              <w:jc w:val="center"/>
              <w:rPr>
                <w:rFonts w:ascii="宋体" w:hAnsi="宋体"/>
                <w:color w:val="auto"/>
                <w:szCs w:val="21"/>
                <w:highlight w:val="none"/>
              </w:rPr>
            </w:pPr>
            <w:r>
              <w:rPr>
                <w:rFonts w:hint="eastAsia" w:ascii="宋体" w:hAnsi="宋体"/>
                <w:color w:val="auto"/>
                <w:szCs w:val="21"/>
                <w:highlight w:val="none"/>
              </w:rPr>
              <w:t>其他</w:t>
            </w:r>
          </w:p>
        </w:tc>
        <w:tc>
          <w:tcPr>
            <w:tcW w:w="5865" w:type="dxa"/>
            <w:tcBorders>
              <w:top w:val="single" w:color="auto" w:sz="4" w:space="0"/>
              <w:left w:val="single" w:color="auto" w:sz="4" w:space="0"/>
              <w:bottom w:val="single" w:color="auto" w:sz="4" w:space="0"/>
              <w:right w:val="single" w:color="auto" w:sz="4" w:space="0"/>
            </w:tcBorders>
            <w:vAlign w:val="center"/>
          </w:tcPr>
          <w:p w14:paraId="7635B77A">
            <w:pPr>
              <w:ind w:left="1"/>
              <w:rPr>
                <w:rFonts w:ascii="宋体" w:hAnsi="宋体"/>
                <w:color w:val="auto"/>
                <w:highlight w:val="none"/>
              </w:rPr>
            </w:pPr>
            <w:r>
              <w:rPr>
                <w:rFonts w:hint="eastAsia" w:ascii="宋体" w:hAnsi="宋体"/>
                <w:color w:val="auto"/>
                <w:highlight w:val="none"/>
              </w:rPr>
              <w:t>1.</w:t>
            </w:r>
            <w:r>
              <w:rPr>
                <w:rFonts w:hint="eastAsia" w:ascii="宋体" w:hAnsi="宋体"/>
                <w:color w:val="auto"/>
                <w:szCs w:val="21"/>
                <w:highlight w:val="none"/>
                <w:u w:val="single"/>
              </w:rPr>
              <w:t>在产生中标候选人后，招标人将中标候选人的投标文件初步评审部分的电子版（涉及商业秘密的内容除外）在</w:t>
            </w:r>
            <w:r>
              <w:rPr>
                <w:rFonts w:hint="eastAsia" w:ascii="宋体" w:hAnsi="宋体" w:cs="宋体"/>
                <w:color w:val="auto"/>
                <w:kern w:val="0"/>
                <w:szCs w:val="21"/>
                <w:highlight w:val="none"/>
                <w:u w:val="single"/>
              </w:rPr>
              <w:t>广州交易集团有限公司（广州公共资源交易中心）</w:t>
            </w:r>
            <w:r>
              <w:rPr>
                <w:rFonts w:hint="eastAsia" w:ascii="宋体" w:hAnsi="宋体"/>
                <w:color w:val="auto"/>
                <w:szCs w:val="21"/>
                <w:highlight w:val="none"/>
                <w:u w:val="single"/>
              </w:rPr>
              <w:t>网站公开。</w:t>
            </w:r>
            <w:r>
              <w:rPr>
                <w:rFonts w:hint="eastAsia" w:ascii="宋体" w:hAnsi="宋体"/>
                <w:color w:val="auto"/>
                <w:highlight w:val="none"/>
              </w:rPr>
              <w:t>招标人或招标代理在公示前应对中标候选人提交的电子文件内容进行核对，确定电子文件内容是否与中标候选人提交的电子投标文件内容一致。若电子文件内容与中标候选人提交的电子投标文件内容不一致或不完整的，中标候选人应补充或修改电子文件后公开。</w:t>
            </w:r>
          </w:p>
          <w:p w14:paraId="7A8DDB79">
            <w:pPr>
              <w:ind w:left="1"/>
              <w:rPr>
                <w:rFonts w:ascii="宋体" w:hAnsi="宋体"/>
                <w:color w:val="auto"/>
                <w:highlight w:val="none"/>
              </w:rPr>
            </w:pPr>
            <w:r>
              <w:rPr>
                <w:rFonts w:hint="eastAsia" w:ascii="宋体" w:hAnsi="宋体"/>
                <w:color w:val="auto"/>
                <w:highlight w:val="none"/>
              </w:rPr>
              <w:t>2.招标人根据评标委员会递交的评标报告，最终依法审定中标人。但在签订合同前的任何时候，评委、招标人以及其他人员发现投标人在招标过程有弄虚作假、虚报资料情况的，一经查实，立即取消其中标人资格。</w:t>
            </w:r>
          </w:p>
          <w:p w14:paraId="0C19C54E">
            <w:pPr>
              <w:ind w:left="1"/>
              <w:rPr>
                <w:rFonts w:ascii="宋体" w:hAnsi="宋体"/>
                <w:color w:val="auto"/>
                <w:highlight w:val="none"/>
              </w:rPr>
            </w:pPr>
            <w:r>
              <w:rPr>
                <w:rFonts w:hint="eastAsia" w:ascii="宋体" w:hAnsi="宋体"/>
                <w:color w:val="auto"/>
                <w:highlight w:val="none"/>
              </w:rPr>
              <w:t>3.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p w14:paraId="4E6CB577">
            <w:pPr>
              <w:ind w:left="1"/>
              <w:rPr>
                <w:rFonts w:ascii="宋体" w:hAnsi="宋体"/>
                <w:color w:val="auto"/>
                <w:highlight w:val="none"/>
              </w:rPr>
            </w:pPr>
            <w:r>
              <w:rPr>
                <w:rFonts w:hint="eastAsia" w:ascii="宋体" w:hAnsi="宋体"/>
                <w:color w:val="auto"/>
                <w:highlight w:val="none"/>
              </w:rPr>
              <w:t>4.</w:t>
            </w:r>
            <w:r>
              <w:rPr>
                <w:rFonts w:hint="eastAsia" w:ascii="宋体" w:hAnsi="宋体"/>
                <w:color w:val="auto"/>
                <w:szCs w:val="21"/>
                <w:highlight w:val="none"/>
              </w:rPr>
              <w:t>中标结果公示结束后</w:t>
            </w:r>
            <w:r>
              <w:rPr>
                <w:rFonts w:ascii="宋体" w:hAnsi="宋体"/>
                <w:color w:val="auto"/>
                <w:szCs w:val="21"/>
                <w:highlight w:val="none"/>
              </w:rPr>
              <w:t>5个工作日内，</w:t>
            </w:r>
            <w:r>
              <w:rPr>
                <w:rFonts w:hint="eastAsia" w:ascii="宋体" w:hAnsi="宋体"/>
                <w:color w:val="auto"/>
                <w:highlight w:val="none"/>
              </w:rPr>
              <w:t>中标人须向招标人（招标代理机构）提供与递交的电子投标文件内容一致的纸质投标文件三套及电子文件二套（电子文件介质使用CD-R光盘，所有电子文件不能采用压缩加密处理）。</w:t>
            </w:r>
          </w:p>
          <w:p w14:paraId="46AF6106">
            <w:pPr>
              <w:pStyle w:val="14"/>
              <w:ind w:firstLine="0"/>
              <w:rPr>
                <w:color w:val="auto"/>
                <w:highlight w:val="none"/>
              </w:rPr>
            </w:pPr>
            <w:r>
              <w:rPr>
                <w:rFonts w:hint="eastAsia" w:ascii="宋体" w:hAnsi="宋体"/>
                <w:color w:val="auto"/>
                <w:highlight w:val="none"/>
              </w:rPr>
              <w:t>5.</w:t>
            </w:r>
            <w:r>
              <w:rPr>
                <w:rFonts w:hint="eastAsia" w:ascii="宋体" w:hAnsi="宋体"/>
                <w:color w:val="auto"/>
                <w:szCs w:val="21"/>
                <w:highlight w:val="none"/>
              </w:rPr>
              <w:t>中标人代缴广州交易集团有限公司（广州公共资源交易中心）交易服务费，其费用包含在中标人报价中，由广州交易集团有限公司（广州公共资源交易中心）向中标人开具发票，招标人不再另行支付。</w:t>
            </w:r>
          </w:p>
        </w:tc>
      </w:tr>
      <w:tr w14:paraId="6F24C371">
        <w:tblPrEx>
          <w:tblCellMar>
            <w:top w:w="0" w:type="dxa"/>
            <w:left w:w="108" w:type="dxa"/>
            <w:bottom w:w="0" w:type="dxa"/>
            <w:right w:w="108" w:type="dxa"/>
          </w:tblCellMar>
        </w:tblPrEx>
        <w:trPr>
          <w:trHeight w:val="589" w:hRule="atLeast"/>
        </w:trPr>
        <w:tc>
          <w:tcPr>
            <w:tcW w:w="1165" w:type="dxa"/>
            <w:tcBorders>
              <w:top w:val="single" w:color="auto" w:sz="4" w:space="0"/>
              <w:left w:val="single" w:color="auto" w:sz="4" w:space="0"/>
              <w:bottom w:val="single" w:color="auto" w:sz="4" w:space="0"/>
              <w:right w:val="single" w:color="auto" w:sz="4" w:space="0"/>
            </w:tcBorders>
            <w:vAlign w:val="center"/>
          </w:tcPr>
          <w:p w14:paraId="27640F63">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292" w:type="dxa"/>
            <w:tcBorders>
              <w:top w:val="single" w:color="auto" w:sz="4" w:space="0"/>
              <w:left w:val="single" w:color="auto" w:sz="4" w:space="0"/>
              <w:bottom w:val="single" w:color="auto" w:sz="4" w:space="0"/>
              <w:right w:val="single" w:color="auto" w:sz="4" w:space="0"/>
            </w:tcBorders>
            <w:vAlign w:val="center"/>
          </w:tcPr>
          <w:p w14:paraId="493B2634">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招标代理服务费</w:t>
            </w:r>
          </w:p>
        </w:tc>
        <w:tc>
          <w:tcPr>
            <w:tcW w:w="5865" w:type="dxa"/>
            <w:tcBorders>
              <w:top w:val="single" w:color="auto" w:sz="4" w:space="0"/>
              <w:left w:val="single" w:color="auto" w:sz="4" w:space="0"/>
              <w:bottom w:val="single" w:color="auto" w:sz="4" w:space="0"/>
              <w:right w:val="single" w:color="auto" w:sz="4" w:space="0"/>
            </w:tcBorders>
            <w:vAlign w:val="center"/>
          </w:tcPr>
          <w:p w14:paraId="02E457AA">
            <w:pPr>
              <w:pStyle w:val="14"/>
              <w:ind w:firstLine="0"/>
              <w:rPr>
                <w:rFonts w:hint="eastAsia" w:ascii="宋体" w:hAnsi="宋体"/>
                <w:color w:val="auto"/>
                <w:highlight w:val="none"/>
              </w:rPr>
            </w:pPr>
            <w:r>
              <w:rPr>
                <w:rFonts w:hint="eastAsia" w:ascii="宋体" w:hAnsi="宋体"/>
                <w:color w:val="auto"/>
                <w:highlight w:val="none"/>
              </w:rPr>
              <w:t>在中标通知书发放前，由中标人一次性支付本项目的招标代理服务费。</w:t>
            </w:r>
          </w:p>
        </w:tc>
      </w:tr>
    </w:tbl>
    <w:p w14:paraId="1A1004BB">
      <w:pPr>
        <w:widowControl/>
        <w:jc w:val="left"/>
        <w:rPr>
          <w:rFonts w:ascii="宋体" w:hAnsi="宋体"/>
          <w:highlight w:val="none"/>
        </w:rPr>
      </w:pPr>
      <w:r>
        <w:rPr>
          <w:rFonts w:ascii="宋体" w:hAnsi="宋体"/>
          <w:highlight w:val="none"/>
        </w:rPr>
        <w:br w:type="page"/>
      </w:r>
      <w:bookmarkStart w:id="24" w:name="_Toc49509965"/>
      <w:r>
        <w:rPr>
          <w:rFonts w:ascii="宋体" w:hAnsi="宋体"/>
          <w:b/>
          <w:bCs/>
          <w:sz w:val="32"/>
          <w:szCs w:val="32"/>
          <w:highlight w:val="none"/>
        </w:rPr>
        <w:t xml:space="preserve">1. </w:t>
      </w:r>
      <w:r>
        <w:rPr>
          <w:rFonts w:hint="eastAsia" w:ascii="宋体" w:hAnsi="宋体"/>
          <w:b/>
          <w:bCs/>
          <w:sz w:val="32"/>
          <w:szCs w:val="32"/>
          <w:highlight w:val="none"/>
        </w:rPr>
        <w:t>总则</w:t>
      </w:r>
      <w:bookmarkEnd w:id="24"/>
    </w:p>
    <w:p w14:paraId="7798CDF1">
      <w:pPr>
        <w:pStyle w:val="5"/>
        <w:spacing w:line="240" w:lineRule="auto"/>
        <w:ind w:firstLine="137"/>
        <w:rPr>
          <w:rFonts w:ascii="宋体" w:hAnsi="宋体" w:eastAsia="宋体"/>
          <w:highlight w:val="none"/>
        </w:rPr>
      </w:pPr>
      <w:bookmarkStart w:id="25" w:name="_Toc13415"/>
      <w:bookmarkStart w:id="26" w:name="_Toc49509966"/>
      <w:bookmarkStart w:id="27" w:name="_Toc29639"/>
      <w:bookmarkStart w:id="28" w:name="_Toc49506132"/>
      <w:r>
        <w:rPr>
          <w:rFonts w:ascii="宋体" w:hAnsi="宋体" w:eastAsia="宋体"/>
          <w:highlight w:val="none"/>
        </w:rPr>
        <w:t xml:space="preserve">1.1 </w:t>
      </w:r>
      <w:r>
        <w:rPr>
          <w:rFonts w:hint="eastAsia" w:ascii="宋体" w:hAnsi="宋体" w:eastAsia="宋体"/>
          <w:highlight w:val="none"/>
        </w:rPr>
        <w:t>招标项目概况</w:t>
      </w:r>
      <w:bookmarkEnd w:id="25"/>
      <w:bookmarkEnd w:id="26"/>
      <w:bookmarkEnd w:id="27"/>
      <w:bookmarkEnd w:id="28"/>
    </w:p>
    <w:p w14:paraId="68E5D01B">
      <w:pPr>
        <w:spacing w:line="400" w:lineRule="exact"/>
        <w:ind w:firstLine="420" w:firstLineChars="200"/>
        <w:rPr>
          <w:rFonts w:ascii="宋体" w:hAnsi="宋体"/>
          <w:highlight w:val="none"/>
        </w:rPr>
      </w:pPr>
      <w:r>
        <w:rPr>
          <w:rFonts w:ascii="宋体" w:hAnsi="宋体"/>
          <w:highlight w:val="none"/>
        </w:rPr>
        <w:t>1.1.1</w:t>
      </w:r>
      <w:r>
        <w:rPr>
          <w:rFonts w:hint="eastAsia" w:ascii="宋体" w:hAnsi="宋体"/>
          <w:highlight w:val="none"/>
        </w:rPr>
        <w:t>根据《中华人民共和国招标投标法》、《中华人民共和国招标投标法实施条例》等有关法律、法规和规章的规定，本招标项目已具备招标条件，现对</w:t>
      </w:r>
      <w:r>
        <w:rPr>
          <w:rFonts w:hint="eastAsia" w:ascii="宋体" w:hAnsi="宋体"/>
          <w:highlight w:val="none"/>
          <w:u w:val="single"/>
        </w:rPr>
        <w:t>监理</w:t>
      </w:r>
      <w:r>
        <w:rPr>
          <w:rFonts w:hint="eastAsia" w:ascii="宋体" w:hAnsi="宋体"/>
          <w:highlight w:val="none"/>
        </w:rPr>
        <w:t>进行招标。</w:t>
      </w:r>
    </w:p>
    <w:p w14:paraId="12A829E1">
      <w:pPr>
        <w:spacing w:line="400" w:lineRule="exact"/>
        <w:ind w:firstLine="420" w:firstLineChars="200"/>
        <w:rPr>
          <w:rFonts w:ascii="宋体" w:hAnsi="宋体"/>
          <w:highlight w:val="none"/>
        </w:rPr>
      </w:pPr>
      <w:r>
        <w:rPr>
          <w:rFonts w:ascii="宋体" w:hAnsi="宋体"/>
          <w:highlight w:val="none"/>
        </w:rPr>
        <w:t>1.1.2</w:t>
      </w:r>
      <w:r>
        <w:rPr>
          <w:rFonts w:hint="eastAsia" w:ascii="宋体" w:hAnsi="宋体"/>
          <w:highlight w:val="none"/>
        </w:rPr>
        <w:t>招标人：见投标人须知前附表。</w:t>
      </w:r>
    </w:p>
    <w:p w14:paraId="07E8560B">
      <w:pPr>
        <w:spacing w:line="400" w:lineRule="exact"/>
        <w:ind w:firstLine="420" w:firstLineChars="200"/>
        <w:rPr>
          <w:rFonts w:ascii="宋体" w:hAnsi="宋体"/>
          <w:highlight w:val="none"/>
        </w:rPr>
      </w:pPr>
      <w:r>
        <w:rPr>
          <w:rFonts w:ascii="宋体" w:hAnsi="宋体"/>
          <w:highlight w:val="none"/>
        </w:rPr>
        <w:t>1.1.3</w:t>
      </w:r>
      <w:r>
        <w:rPr>
          <w:rFonts w:hint="eastAsia" w:ascii="宋体" w:hAnsi="宋体"/>
          <w:highlight w:val="none"/>
        </w:rPr>
        <w:t>招标代理机构：见投标人须知前附表。</w:t>
      </w:r>
    </w:p>
    <w:p w14:paraId="423CF91B">
      <w:pPr>
        <w:spacing w:line="400" w:lineRule="exact"/>
        <w:ind w:firstLine="420" w:firstLineChars="200"/>
        <w:rPr>
          <w:rFonts w:ascii="宋体" w:hAnsi="宋体"/>
          <w:highlight w:val="none"/>
        </w:rPr>
      </w:pPr>
      <w:r>
        <w:rPr>
          <w:rFonts w:ascii="宋体" w:hAnsi="宋体"/>
          <w:highlight w:val="none"/>
        </w:rPr>
        <w:t xml:space="preserve">1.1.4 </w:t>
      </w:r>
      <w:r>
        <w:rPr>
          <w:rFonts w:hint="eastAsia" w:ascii="宋体" w:hAnsi="宋体"/>
          <w:highlight w:val="none"/>
        </w:rPr>
        <w:t>招标项目名称：见投标人须知前附表。</w:t>
      </w:r>
    </w:p>
    <w:p w14:paraId="511D80C4">
      <w:pPr>
        <w:spacing w:line="400" w:lineRule="exact"/>
        <w:ind w:firstLine="420" w:firstLineChars="200"/>
        <w:rPr>
          <w:rFonts w:ascii="宋体" w:hAnsi="宋体"/>
          <w:highlight w:val="none"/>
        </w:rPr>
      </w:pPr>
      <w:r>
        <w:rPr>
          <w:rFonts w:ascii="宋体" w:hAnsi="宋体"/>
          <w:highlight w:val="none"/>
        </w:rPr>
        <w:t>1.1.5项目建设地点：见投标人须知前附表。</w:t>
      </w:r>
    </w:p>
    <w:p w14:paraId="5D693253">
      <w:pPr>
        <w:spacing w:line="400" w:lineRule="exact"/>
        <w:ind w:firstLine="420" w:firstLineChars="200"/>
        <w:rPr>
          <w:rFonts w:ascii="宋体" w:hAnsi="宋体"/>
          <w:highlight w:val="none"/>
        </w:rPr>
      </w:pPr>
      <w:r>
        <w:rPr>
          <w:rFonts w:ascii="宋体" w:hAnsi="宋体"/>
          <w:highlight w:val="none"/>
        </w:rPr>
        <w:t>1.1.6 项目建设规模：见投标人须知前附表。</w:t>
      </w:r>
    </w:p>
    <w:p w14:paraId="1E99BCF4">
      <w:pPr>
        <w:spacing w:line="400" w:lineRule="exact"/>
        <w:ind w:firstLine="420" w:firstLineChars="200"/>
        <w:rPr>
          <w:rFonts w:ascii="宋体" w:hAnsi="宋体"/>
          <w:highlight w:val="none"/>
        </w:rPr>
      </w:pPr>
      <w:r>
        <w:rPr>
          <w:rFonts w:ascii="宋体" w:hAnsi="宋体"/>
          <w:highlight w:val="none"/>
        </w:rPr>
        <w:t xml:space="preserve">1.1.7 </w:t>
      </w:r>
      <w:r>
        <w:rPr>
          <w:rFonts w:hint="eastAsia" w:ascii="宋体" w:hAnsi="宋体"/>
          <w:highlight w:val="none"/>
        </w:rPr>
        <w:t>工程项目施工预计开工日期和建设周期：见投标人须知前附表。</w:t>
      </w:r>
    </w:p>
    <w:p w14:paraId="649B979A">
      <w:pPr>
        <w:spacing w:line="400" w:lineRule="exact"/>
        <w:ind w:firstLine="420" w:firstLineChars="200"/>
        <w:rPr>
          <w:rFonts w:ascii="宋体" w:hAnsi="宋体"/>
          <w:highlight w:val="none"/>
        </w:rPr>
      </w:pPr>
      <w:r>
        <w:rPr>
          <w:rFonts w:ascii="宋体" w:hAnsi="宋体"/>
          <w:highlight w:val="none"/>
        </w:rPr>
        <w:t xml:space="preserve">1.1.8 </w:t>
      </w:r>
      <w:r>
        <w:rPr>
          <w:rFonts w:hint="eastAsia" w:ascii="宋体" w:hAnsi="宋体"/>
          <w:highlight w:val="none"/>
        </w:rPr>
        <w:t>建筑安装工程费</w:t>
      </w:r>
      <w:r>
        <w:rPr>
          <w:rFonts w:ascii="宋体" w:hAnsi="宋体"/>
          <w:highlight w:val="none"/>
        </w:rPr>
        <w:t>/</w:t>
      </w:r>
      <w:r>
        <w:rPr>
          <w:rFonts w:hint="eastAsia" w:ascii="宋体" w:hAnsi="宋体"/>
          <w:highlight w:val="none"/>
        </w:rPr>
        <w:t>工程概算：见投标人须知前附表。</w:t>
      </w:r>
    </w:p>
    <w:p w14:paraId="5F14461F">
      <w:pPr>
        <w:pStyle w:val="5"/>
        <w:spacing w:line="240" w:lineRule="auto"/>
        <w:ind w:firstLine="137"/>
        <w:rPr>
          <w:rFonts w:ascii="宋体" w:hAnsi="宋体" w:eastAsia="宋体"/>
          <w:highlight w:val="none"/>
        </w:rPr>
      </w:pPr>
      <w:bookmarkStart w:id="29" w:name="_Toc17811"/>
      <w:bookmarkStart w:id="30" w:name="_Toc49506133"/>
      <w:bookmarkStart w:id="31" w:name="_Toc26295"/>
      <w:bookmarkStart w:id="32" w:name="_Toc49509967"/>
      <w:r>
        <w:rPr>
          <w:rFonts w:ascii="宋体" w:hAnsi="宋体" w:eastAsia="宋体"/>
          <w:highlight w:val="none"/>
        </w:rPr>
        <w:t xml:space="preserve">1.2 </w:t>
      </w:r>
      <w:r>
        <w:rPr>
          <w:rFonts w:hint="eastAsia" w:ascii="宋体" w:hAnsi="宋体" w:eastAsia="宋体"/>
          <w:highlight w:val="none"/>
        </w:rPr>
        <w:t>招标项目的资金来源和落实情况</w:t>
      </w:r>
      <w:bookmarkEnd w:id="29"/>
      <w:bookmarkEnd w:id="30"/>
      <w:bookmarkEnd w:id="31"/>
      <w:bookmarkEnd w:id="32"/>
    </w:p>
    <w:p w14:paraId="4B434281">
      <w:pPr>
        <w:spacing w:line="400" w:lineRule="exact"/>
        <w:ind w:firstLine="420" w:firstLineChars="200"/>
        <w:rPr>
          <w:rFonts w:ascii="宋体" w:hAnsi="宋体"/>
          <w:highlight w:val="none"/>
        </w:rPr>
      </w:pPr>
      <w:r>
        <w:rPr>
          <w:rFonts w:ascii="宋体" w:hAnsi="宋体"/>
          <w:highlight w:val="none"/>
        </w:rPr>
        <w:t>1.2.1</w:t>
      </w:r>
      <w:r>
        <w:rPr>
          <w:rFonts w:hint="eastAsia" w:ascii="宋体" w:hAnsi="宋体"/>
          <w:highlight w:val="none"/>
        </w:rPr>
        <w:t>资金来源及比例：见投标人须知前附表。</w:t>
      </w:r>
    </w:p>
    <w:p w14:paraId="72F78445">
      <w:pPr>
        <w:spacing w:line="400" w:lineRule="exact"/>
        <w:ind w:firstLine="420" w:firstLineChars="200"/>
        <w:rPr>
          <w:rFonts w:ascii="宋体" w:hAnsi="宋体"/>
          <w:highlight w:val="none"/>
        </w:rPr>
      </w:pPr>
      <w:r>
        <w:rPr>
          <w:rFonts w:ascii="宋体" w:hAnsi="宋体"/>
          <w:highlight w:val="none"/>
        </w:rPr>
        <w:t>1.2.2</w:t>
      </w:r>
      <w:r>
        <w:rPr>
          <w:rFonts w:hint="eastAsia" w:ascii="宋体" w:hAnsi="宋体"/>
          <w:highlight w:val="none"/>
        </w:rPr>
        <w:t>资金落实情况：见投标人须知前附表。</w:t>
      </w:r>
    </w:p>
    <w:p w14:paraId="63C6BAD2">
      <w:pPr>
        <w:pStyle w:val="5"/>
        <w:spacing w:line="240" w:lineRule="auto"/>
        <w:ind w:firstLine="137"/>
        <w:rPr>
          <w:rFonts w:ascii="宋体" w:hAnsi="宋体" w:eastAsia="宋体"/>
          <w:highlight w:val="none"/>
        </w:rPr>
      </w:pPr>
      <w:bookmarkStart w:id="33" w:name="_Toc49509968"/>
      <w:bookmarkStart w:id="34" w:name="_Toc8196"/>
      <w:bookmarkStart w:id="35" w:name="_Toc49506134"/>
      <w:bookmarkStart w:id="36" w:name="_Toc21844"/>
      <w:r>
        <w:rPr>
          <w:rFonts w:ascii="宋体" w:hAnsi="宋体" w:eastAsia="宋体"/>
          <w:highlight w:val="none"/>
        </w:rPr>
        <w:t>1.3</w:t>
      </w:r>
      <w:r>
        <w:rPr>
          <w:rFonts w:hint="eastAsia" w:ascii="宋体" w:hAnsi="宋体" w:eastAsia="宋体"/>
          <w:highlight w:val="none"/>
        </w:rPr>
        <w:t>招标范围、监理服务期限和质量标准</w:t>
      </w:r>
      <w:bookmarkEnd w:id="33"/>
      <w:bookmarkEnd w:id="34"/>
      <w:bookmarkEnd w:id="35"/>
      <w:bookmarkEnd w:id="36"/>
    </w:p>
    <w:p w14:paraId="139D1CCB">
      <w:pPr>
        <w:spacing w:line="400" w:lineRule="exact"/>
        <w:ind w:firstLine="420" w:firstLineChars="200"/>
        <w:rPr>
          <w:rFonts w:ascii="宋体" w:hAnsi="宋体"/>
          <w:highlight w:val="none"/>
        </w:rPr>
      </w:pPr>
      <w:r>
        <w:rPr>
          <w:rFonts w:ascii="宋体" w:hAnsi="宋体"/>
          <w:highlight w:val="none"/>
        </w:rPr>
        <w:t>1.3.1</w:t>
      </w:r>
      <w:r>
        <w:rPr>
          <w:rFonts w:hint="eastAsia" w:ascii="宋体" w:hAnsi="宋体"/>
          <w:highlight w:val="none"/>
        </w:rPr>
        <w:t>招标范围：见投标人须知前附表。</w:t>
      </w:r>
    </w:p>
    <w:p w14:paraId="29356EE5">
      <w:pPr>
        <w:spacing w:line="400" w:lineRule="exact"/>
        <w:ind w:firstLine="420" w:firstLineChars="200"/>
        <w:rPr>
          <w:rFonts w:ascii="宋体" w:hAnsi="宋体"/>
          <w:highlight w:val="none"/>
        </w:rPr>
      </w:pPr>
      <w:r>
        <w:rPr>
          <w:rFonts w:ascii="宋体" w:hAnsi="宋体"/>
          <w:highlight w:val="none"/>
        </w:rPr>
        <w:t>1.3.2</w:t>
      </w:r>
      <w:r>
        <w:rPr>
          <w:rFonts w:hint="eastAsia" w:ascii="宋体" w:hAnsi="宋体"/>
          <w:highlight w:val="none"/>
        </w:rPr>
        <w:t>监理服务期限：见投标人须知前附表。</w:t>
      </w:r>
    </w:p>
    <w:p w14:paraId="1B8600EB">
      <w:pPr>
        <w:spacing w:line="400" w:lineRule="exact"/>
        <w:ind w:firstLine="420" w:firstLineChars="200"/>
        <w:rPr>
          <w:rFonts w:ascii="宋体" w:hAnsi="宋体"/>
          <w:highlight w:val="none"/>
        </w:rPr>
      </w:pPr>
      <w:r>
        <w:rPr>
          <w:rFonts w:ascii="宋体" w:hAnsi="宋体"/>
          <w:highlight w:val="none"/>
        </w:rPr>
        <w:t xml:space="preserve">1.3.3 </w:t>
      </w:r>
      <w:r>
        <w:rPr>
          <w:rFonts w:hint="eastAsia" w:ascii="宋体" w:hAnsi="宋体"/>
          <w:highlight w:val="none"/>
        </w:rPr>
        <w:t>质量标准：见投标人须知前附表。</w:t>
      </w:r>
    </w:p>
    <w:p w14:paraId="70DF3250">
      <w:pPr>
        <w:pStyle w:val="5"/>
        <w:spacing w:line="240" w:lineRule="auto"/>
        <w:ind w:firstLine="137"/>
        <w:rPr>
          <w:rFonts w:ascii="宋体" w:hAnsi="宋体" w:eastAsia="宋体"/>
          <w:highlight w:val="none"/>
        </w:rPr>
      </w:pPr>
      <w:bookmarkStart w:id="37" w:name="_Toc49506135"/>
      <w:bookmarkStart w:id="38" w:name="_Toc2293"/>
      <w:bookmarkStart w:id="39" w:name="_Toc15091"/>
      <w:bookmarkStart w:id="40" w:name="_Toc49509969"/>
      <w:r>
        <w:rPr>
          <w:rFonts w:ascii="宋体" w:hAnsi="宋体" w:eastAsia="宋体"/>
          <w:highlight w:val="none"/>
        </w:rPr>
        <w:t>1.4</w:t>
      </w:r>
      <w:r>
        <w:rPr>
          <w:rFonts w:hint="eastAsia" w:ascii="宋体" w:hAnsi="宋体" w:eastAsia="宋体"/>
          <w:highlight w:val="none"/>
        </w:rPr>
        <w:t>投标人资格要求</w:t>
      </w:r>
      <w:bookmarkEnd w:id="37"/>
      <w:bookmarkEnd w:id="38"/>
      <w:bookmarkEnd w:id="39"/>
      <w:bookmarkEnd w:id="40"/>
    </w:p>
    <w:p w14:paraId="517A00CA">
      <w:pPr>
        <w:spacing w:line="400" w:lineRule="exact"/>
        <w:ind w:firstLine="420" w:firstLineChars="200"/>
        <w:rPr>
          <w:rFonts w:ascii="宋体" w:hAnsi="宋体"/>
          <w:highlight w:val="none"/>
        </w:rPr>
      </w:pPr>
      <w:r>
        <w:rPr>
          <w:rFonts w:ascii="宋体" w:hAnsi="宋体"/>
          <w:highlight w:val="none"/>
        </w:rPr>
        <w:t xml:space="preserve">1.4.1 </w:t>
      </w:r>
      <w:r>
        <w:rPr>
          <w:rFonts w:hint="eastAsia" w:ascii="宋体" w:hAnsi="宋体"/>
          <w:highlight w:val="none"/>
        </w:rPr>
        <w:t>投标人应具备承担本招标项目资质条件、能力和信誉</w:t>
      </w:r>
      <w:r>
        <w:rPr>
          <w:rFonts w:ascii="宋体" w:hAnsi="宋体"/>
          <w:highlight w:val="none"/>
        </w:rPr>
        <w:t>：</w:t>
      </w:r>
    </w:p>
    <w:p w14:paraId="1CC531C9">
      <w:pPr>
        <w:spacing w:line="400" w:lineRule="exact"/>
        <w:ind w:firstLine="315" w:firstLineChars="150"/>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）资质要求：见投标人须知前附表；</w:t>
      </w:r>
    </w:p>
    <w:p w14:paraId="0A92FD68">
      <w:pPr>
        <w:spacing w:line="400" w:lineRule="exact"/>
        <w:ind w:firstLine="315" w:firstLineChars="150"/>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w:t>
      </w:r>
      <w:r>
        <w:rPr>
          <w:rFonts w:ascii="宋体" w:hAnsi="宋体"/>
          <w:highlight w:val="none"/>
        </w:rPr>
        <w:t>财务</w:t>
      </w:r>
      <w:r>
        <w:rPr>
          <w:rFonts w:hint="eastAsia" w:ascii="宋体" w:hAnsi="宋体"/>
          <w:highlight w:val="none"/>
        </w:rPr>
        <w:t>要求：见投标人须知前附表；</w:t>
      </w:r>
    </w:p>
    <w:p w14:paraId="2AD71067">
      <w:pPr>
        <w:spacing w:line="400" w:lineRule="exact"/>
        <w:ind w:firstLine="315" w:firstLineChars="150"/>
        <w:rPr>
          <w:rFonts w:ascii="宋体" w:hAnsi="宋体"/>
          <w:highlight w:val="none"/>
        </w:rPr>
      </w:pPr>
      <w:r>
        <w:rPr>
          <w:rFonts w:ascii="宋体" w:hAnsi="宋体"/>
          <w:highlight w:val="none"/>
        </w:rPr>
        <w:t>（3）业绩要求：见投标人须知前附表；</w:t>
      </w:r>
    </w:p>
    <w:p w14:paraId="24293F95">
      <w:pPr>
        <w:spacing w:line="400" w:lineRule="exact"/>
        <w:ind w:firstLine="315" w:firstLineChars="150"/>
        <w:rPr>
          <w:rFonts w:ascii="宋体" w:hAnsi="宋体"/>
          <w:highlight w:val="none"/>
        </w:rPr>
      </w:pPr>
      <w:r>
        <w:rPr>
          <w:rFonts w:ascii="宋体" w:hAnsi="宋体"/>
          <w:highlight w:val="none"/>
        </w:rPr>
        <w:t>（4）信誉要求：见投标人须知前附表；</w:t>
      </w:r>
    </w:p>
    <w:p w14:paraId="6BC207BC">
      <w:pPr>
        <w:spacing w:line="400" w:lineRule="exact"/>
        <w:ind w:firstLine="315" w:firstLineChars="150"/>
        <w:rPr>
          <w:rFonts w:ascii="宋体" w:hAnsi="宋体"/>
          <w:highlight w:val="none"/>
        </w:rPr>
      </w:pPr>
      <w:r>
        <w:rPr>
          <w:rFonts w:ascii="宋体" w:hAnsi="宋体"/>
          <w:highlight w:val="none"/>
        </w:rPr>
        <w:t>（5）总监理工程师的资格要求：具体要求见投标人须知前附表；</w:t>
      </w:r>
    </w:p>
    <w:p w14:paraId="7663D0D1">
      <w:pPr>
        <w:spacing w:line="400" w:lineRule="exact"/>
        <w:ind w:firstLine="315" w:firstLineChars="150"/>
        <w:rPr>
          <w:rFonts w:ascii="宋体" w:hAnsi="宋体"/>
          <w:highlight w:val="none"/>
        </w:rPr>
      </w:pPr>
      <w:r>
        <w:rPr>
          <w:rFonts w:ascii="宋体" w:hAnsi="宋体"/>
          <w:highlight w:val="none"/>
        </w:rPr>
        <w:t>（6）其他主要人员要求：见投标人须知前附表；</w:t>
      </w:r>
    </w:p>
    <w:p w14:paraId="7C5B522A">
      <w:pPr>
        <w:spacing w:line="400" w:lineRule="exact"/>
        <w:ind w:firstLine="315" w:firstLineChars="150"/>
        <w:rPr>
          <w:rFonts w:ascii="宋体" w:hAnsi="宋体"/>
          <w:highlight w:val="none"/>
        </w:rPr>
      </w:pPr>
      <w:r>
        <w:rPr>
          <w:rFonts w:ascii="宋体" w:hAnsi="宋体"/>
          <w:highlight w:val="none"/>
        </w:rPr>
        <w:t>（7）试验检测仪器设备要求：见投标人须知前附表；</w:t>
      </w:r>
    </w:p>
    <w:p w14:paraId="0B64C1A0">
      <w:pPr>
        <w:spacing w:line="400" w:lineRule="exact"/>
        <w:ind w:firstLine="315" w:firstLineChars="150"/>
        <w:rPr>
          <w:rFonts w:ascii="宋体" w:hAnsi="宋体"/>
          <w:highlight w:val="none"/>
        </w:rPr>
      </w:pPr>
      <w:r>
        <w:rPr>
          <w:rFonts w:ascii="宋体" w:hAnsi="宋体"/>
          <w:highlight w:val="none"/>
        </w:rPr>
        <w:t>（8）其他要求：见投标人须知前附表。</w:t>
      </w:r>
    </w:p>
    <w:p w14:paraId="3F754AD8">
      <w:pPr>
        <w:spacing w:line="400" w:lineRule="exact"/>
        <w:ind w:firstLine="420" w:firstLineChars="200"/>
        <w:rPr>
          <w:rFonts w:ascii="宋体" w:hAnsi="宋体"/>
          <w:highlight w:val="none"/>
        </w:rPr>
      </w:pPr>
      <w:r>
        <w:rPr>
          <w:rFonts w:ascii="宋体" w:hAnsi="宋体"/>
          <w:highlight w:val="none"/>
        </w:rPr>
        <w:t>需要提交的相关证明材料见本章第3.5款的规定。</w:t>
      </w:r>
    </w:p>
    <w:p w14:paraId="5678BA68">
      <w:pPr>
        <w:spacing w:line="400" w:lineRule="exact"/>
        <w:ind w:firstLine="420" w:firstLineChars="200"/>
        <w:rPr>
          <w:rFonts w:ascii="宋体" w:hAnsi="宋体"/>
          <w:highlight w:val="none"/>
        </w:rPr>
      </w:pPr>
      <w:r>
        <w:rPr>
          <w:rFonts w:ascii="宋体" w:hAnsi="宋体"/>
          <w:highlight w:val="none"/>
        </w:rPr>
        <w:t>1.4.2投标人须知前附表规定接受联合体投标的，</w:t>
      </w:r>
      <w:r>
        <w:rPr>
          <w:rFonts w:hint="eastAsia" w:ascii="宋体" w:hAnsi="宋体"/>
          <w:highlight w:val="none"/>
        </w:rPr>
        <w:t>联合体除应符合本章第</w:t>
      </w:r>
      <w:r>
        <w:rPr>
          <w:rFonts w:ascii="宋体" w:hAnsi="宋体"/>
          <w:highlight w:val="none"/>
        </w:rPr>
        <w:t>1.4.1</w:t>
      </w:r>
      <w:r>
        <w:rPr>
          <w:rFonts w:hint="eastAsia" w:ascii="宋体" w:hAnsi="宋体"/>
          <w:highlight w:val="none"/>
        </w:rPr>
        <w:t>项和投标人须知前附表的要求外，还应遵守以下规定：</w:t>
      </w:r>
    </w:p>
    <w:p w14:paraId="2A450EFC">
      <w:pPr>
        <w:spacing w:line="400" w:lineRule="exact"/>
        <w:ind w:firstLine="315" w:firstLineChars="150"/>
        <w:rPr>
          <w:rFonts w:ascii="宋体" w:hAnsi="宋体"/>
          <w:highlight w:val="none"/>
        </w:rPr>
      </w:pPr>
      <w:r>
        <w:rPr>
          <w:rFonts w:ascii="宋体" w:hAnsi="宋体"/>
          <w:highlight w:val="none"/>
        </w:rPr>
        <w:t>（1）联合体各方应按招标文件提供的格式签订联合体协议书，明确联合体牵头人和各方权利义务，并承诺就中标项目向招标人承担连带责任；</w:t>
      </w:r>
    </w:p>
    <w:p w14:paraId="212B6482">
      <w:pPr>
        <w:spacing w:line="400" w:lineRule="exact"/>
        <w:ind w:firstLine="315" w:firstLineChars="150"/>
        <w:rPr>
          <w:rFonts w:ascii="宋体" w:hAnsi="宋体"/>
          <w:highlight w:val="none"/>
        </w:rPr>
      </w:pPr>
      <w:r>
        <w:rPr>
          <w:rFonts w:ascii="宋体" w:hAnsi="宋体"/>
          <w:highlight w:val="none"/>
        </w:rPr>
        <w:t>（2）由同一专业的单位组成的联合体，按照资质等级较低的单位确定资质等级；</w:t>
      </w:r>
    </w:p>
    <w:p w14:paraId="27D6480A">
      <w:pPr>
        <w:spacing w:line="400" w:lineRule="exact"/>
        <w:ind w:firstLine="315" w:firstLineChars="150"/>
        <w:rPr>
          <w:rFonts w:ascii="宋体" w:hAnsi="宋体"/>
          <w:highlight w:val="none"/>
        </w:rPr>
      </w:pPr>
      <w:r>
        <w:rPr>
          <w:rFonts w:ascii="宋体" w:hAnsi="宋体"/>
          <w:highlight w:val="none"/>
        </w:rPr>
        <w:t>（3）联合体各方不得再以自己名义单独或参加其他联合体在本招标项目中投标，否则各相关投标均无效。</w:t>
      </w:r>
    </w:p>
    <w:p w14:paraId="00E13326">
      <w:pPr>
        <w:spacing w:line="400" w:lineRule="exact"/>
        <w:ind w:firstLine="420" w:firstLineChars="200"/>
        <w:rPr>
          <w:rFonts w:ascii="宋体" w:hAnsi="宋体"/>
          <w:highlight w:val="none"/>
        </w:rPr>
      </w:pPr>
      <w:r>
        <w:rPr>
          <w:rFonts w:ascii="宋体" w:hAnsi="宋体"/>
          <w:highlight w:val="none"/>
        </w:rPr>
        <w:t>1.4.3</w:t>
      </w:r>
      <w:r>
        <w:rPr>
          <w:rFonts w:hint="eastAsia" w:ascii="宋体" w:hAnsi="宋体"/>
          <w:highlight w:val="none"/>
        </w:rPr>
        <w:t>投标人不得存在下列情形之一：</w:t>
      </w:r>
    </w:p>
    <w:p w14:paraId="660E5C08">
      <w:pPr>
        <w:spacing w:line="360" w:lineRule="auto"/>
        <w:ind w:firstLine="420" w:firstLineChars="200"/>
        <w:rPr>
          <w:rFonts w:ascii="宋体" w:hAnsi="宋体"/>
          <w:szCs w:val="21"/>
          <w:highlight w:val="none"/>
        </w:rPr>
      </w:pPr>
      <w:r>
        <w:rPr>
          <w:rFonts w:hint="eastAsia" w:ascii="宋体" w:hAnsi="宋体"/>
          <w:szCs w:val="21"/>
          <w:highlight w:val="none"/>
        </w:rPr>
        <w:t>（1）为招标人不具有独立法人资格的附属机构（单位）；</w:t>
      </w:r>
    </w:p>
    <w:p w14:paraId="1DE1C4E2">
      <w:pPr>
        <w:spacing w:line="360" w:lineRule="auto"/>
        <w:ind w:firstLine="420" w:firstLineChars="200"/>
        <w:rPr>
          <w:rFonts w:ascii="宋体" w:hAnsi="宋体"/>
          <w:szCs w:val="21"/>
          <w:highlight w:val="none"/>
        </w:rPr>
      </w:pPr>
      <w:r>
        <w:rPr>
          <w:rFonts w:hint="eastAsia" w:ascii="宋体" w:hAnsi="宋体"/>
          <w:szCs w:val="21"/>
          <w:highlight w:val="none"/>
        </w:rPr>
        <w:t>（2）与招标人存在利害关系且可能影响招标公正性；</w:t>
      </w:r>
    </w:p>
    <w:p w14:paraId="54B7FEAB">
      <w:pPr>
        <w:spacing w:line="360" w:lineRule="auto"/>
        <w:ind w:firstLine="420" w:firstLineChars="200"/>
        <w:rPr>
          <w:rFonts w:ascii="宋体" w:hAnsi="宋体"/>
          <w:szCs w:val="21"/>
          <w:highlight w:val="none"/>
        </w:rPr>
      </w:pPr>
      <w:r>
        <w:rPr>
          <w:rFonts w:hint="eastAsia" w:ascii="宋体" w:hAnsi="宋体"/>
          <w:szCs w:val="21"/>
          <w:highlight w:val="none"/>
        </w:rPr>
        <w:t>（3）与本招标项目的其他投标人为同一个单位负责人；</w:t>
      </w:r>
    </w:p>
    <w:p w14:paraId="5DCEC0E7">
      <w:pPr>
        <w:spacing w:line="360" w:lineRule="auto"/>
        <w:ind w:firstLine="420" w:firstLineChars="200"/>
        <w:rPr>
          <w:rFonts w:ascii="宋体" w:hAnsi="宋体"/>
          <w:szCs w:val="21"/>
          <w:highlight w:val="none"/>
        </w:rPr>
      </w:pPr>
      <w:r>
        <w:rPr>
          <w:rFonts w:hint="eastAsia" w:ascii="宋体" w:hAnsi="宋体"/>
          <w:szCs w:val="21"/>
          <w:highlight w:val="none"/>
        </w:rPr>
        <w:t>（4）与本招标项目的其他投标人存在控股、管理关系；</w:t>
      </w:r>
    </w:p>
    <w:p w14:paraId="08233F46">
      <w:pPr>
        <w:spacing w:line="360" w:lineRule="auto"/>
        <w:ind w:firstLine="420" w:firstLineChars="200"/>
        <w:rPr>
          <w:rFonts w:ascii="宋体" w:hAnsi="宋体"/>
          <w:szCs w:val="21"/>
          <w:highlight w:val="none"/>
        </w:rPr>
      </w:pPr>
      <w:r>
        <w:rPr>
          <w:rFonts w:hint="eastAsia" w:ascii="宋体" w:hAnsi="宋体"/>
          <w:szCs w:val="21"/>
          <w:highlight w:val="none"/>
        </w:rPr>
        <w:t>（5）为本招标项目的代建人；</w:t>
      </w:r>
    </w:p>
    <w:p w14:paraId="73B85524">
      <w:pPr>
        <w:spacing w:line="360" w:lineRule="auto"/>
        <w:ind w:firstLine="420" w:firstLineChars="200"/>
        <w:rPr>
          <w:rFonts w:ascii="宋体" w:hAnsi="宋体"/>
          <w:szCs w:val="21"/>
          <w:highlight w:val="none"/>
        </w:rPr>
      </w:pPr>
      <w:r>
        <w:rPr>
          <w:rFonts w:hint="eastAsia" w:ascii="宋体" w:hAnsi="宋体"/>
          <w:szCs w:val="21"/>
          <w:highlight w:val="none"/>
        </w:rPr>
        <w:t>（6）为本招标项目的招标代理机构；</w:t>
      </w:r>
    </w:p>
    <w:p w14:paraId="52E6765D">
      <w:pPr>
        <w:spacing w:line="360" w:lineRule="auto"/>
        <w:ind w:firstLine="420" w:firstLineChars="200"/>
        <w:rPr>
          <w:rFonts w:ascii="宋体" w:hAnsi="宋体"/>
          <w:szCs w:val="21"/>
          <w:highlight w:val="none"/>
        </w:rPr>
      </w:pPr>
      <w:r>
        <w:rPr>
          <w:rFonts w:hint="eastAsia" w:ascii="宋体" w:hAnsi="宋体"/>
          <w:szCs w:val="21"/>
          <w:highlight w:val="none"/>
        </w:rPr>
        <w:t>（7）与本招标项目的代建人或招标代理机构同为一个法定代表人；</w:t>
      </w:r>
    </w:p>
    <w:p w14:paraId="42BDFC0A">
      <w:pPr>
        <w:spacing w:line="360" w:lineRule="auto"/>
        <w:ind w:firstLine="420" w:firstLineChars="200"/>
        <w:rPr>
          <w:rFonts w:ascii="宋体" w:hAnsi="宋体"/>
          <w:szCs w:val="21"/>
          <w:highlight w:val="none"/>
        </w:rPr>
      </w:pPr>
      <w:r>
        <w:rPr>
          <w:rFonts w:hint="eastAsia" w:ascii="宋体" w:hAnsi="宋体"/>
          <w:szCs w:val="21"/>
          <w:highlight w:val="none"/>
        </w:rPr>
        <w:t>（8）与本招标项目的代建人或招标代理机构存在控股或参股关系；</w:t>
      </w:r>
    </w:p>
    <w:p w14:paraId="5DCA38E9">
      <w:pPr>
        <w:spacing w:line="360" w:lineRule="auto"/>
        <w:ind w:firstLine="420" w:firstLineChars="200"/>
        <w:rPr>
          <w:rFonts w:ascii="宋体" w:hAnsi="宋体"/>
          <w:szCs w:val="21"/>
          <w:highlight w:val="none"/>
        </w:rPr>
      </w:pPr>
      <w:r>
        <w:rPr>
          <w:rFonts w:hint="eastAsia" w:ascii="宋体" w:hAnsi="宋体"/>
          <w:szCs w:val="21"/>
          <w:highlight w:val="none"/>
        </w:rPr>
        <w:t>（9）与本招标项目的施工承包人以及建筑材料、建筑构配件和设备供应商有隶属关系或者其他利害关系；</w:t>
      </w:r>
    </w:p>
    <w:p w14:paraId="6DD30EA5">
      <w:pPr>
        <w:spacing w:line="360" w:lineRule="auto"/>
        <w:ind w:firstLine="420" w:firstLineChars="200"/>
        <w:rPr>
          <w:rFonts w:ascii="宋体" w:hAnsi="宋体"/>
          <w:szCs w:val="21"/>
          <w:highlight w:val="none"/>
        </w:rPr>
      </w:pPr>
      <w:r>
        <w:rPr>
          <w:rFonts w:hint="eastAsia" w:ascii="宋体" w:hAnsi="宋体"/>
          <w:szCs w:val="21"/>
          <w:highlight w:val="none"/>
        </w:rPr>
        <w:t>（10）被依法暂停或者取消投标资格</w:t>
      </w:r>
      <w:r>
        <w:rPr>
          <w:rFonts w:hint="eastAsia" w:ascii="宋体" w:hAnsi="宋体"/>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szCs w:val="21"/>
          <w:highlight w:val="none"/>
        </w:rPr>
        <w:t>；</w:t>
      </w:r>
    </w:p>
    <w:p w14:paraId="66D4C620">
      <w:pPr>
        <w:spacing w:line="360" w:lineRule="auto"/>
        <w:ind w:firstLine="420" w:firstLineChars="200"/>
        <w:rPr>
          <w:rFonts w:ascii="宋体" w:hAnsi="宋体"/>
          <w:szCs w:val="21"/>
          <w:highlight w:val="none"/>
          <w:u w:val="single"/>
        </w:rPr>
      </w:pPr>
      <w:r>
        <w:rPr>
          <w:rFonts w:hint="eastAsia" w:ascii="宋体" w:hAnsi="宋体"/>
          <w:szCs w:val="21"/>
          <w:highlight w:val="none"/>
        </w:rPr>
        <w:t>（11）被责令停产停业、暂扣或者吊销许可证、暂扣或者吊销执照</w:t>
      </w:r>
      <w:r>
        <w:rPr>
          <w:rFonts w:hint="eastAsia" w:ascii="宋体" w:hAnsi="宋体"/>
          <w:szCs w:val="21"/>
          <w:highlight w:val="none"/>
          <w:u w:val="single"/>
        </w:rPr>
        <w:t>（本项事实应当以根据《中华人民共和国行政处罚法》依法作出并已经生效的行政处罚决定为认定依据）</w:t>
      </w:r>
      <w:r>
        <w:rPr>
          <w:rFonts w:hint="eastAsia" w:ascii="宋体" w:hAnsi="宋体"/>
          <w:szCs w:val="21"/>
          <w:highlight w:val="none"/>
        </w:rPr>
        <w:t>；</w:t>
      </w:r>
    </w:p>
    <w:p w14:paraId="5405A707">
      <w:pPr>
        <w:spacing w:line="360" w:lineRule="auto"/>
        <w:ind w:firstLine="420" w:firstLineChars="200"/>
        <w:rPr>
          <w:rFonts w:ascii="宋体" w:hAnsi="宋体"/>
          <w:szCs w:val="21"/>
          <w:highlight w:val="none"/>
        </w:rPr>
      </w:pPr>
      <w:r>
        <w:rPr>
          <w:rFonts w:hint="eastAsia" w:ascii="宋体" w:hAnsi="宋体"/>
          <w:szCs w:val="21"/>
          <w:highlight w:val="none"/>
        </w:rPr>
        <w:t>（12）进入清算程序，或被宣告破产，或其他丧失履约能力的情形；</w:t>
      </w:r>
    </w:p>
    <w:p w14:paraId="1A7A2322">
      <w:pPr>
        <w:spacing w:line="360" w:lineRule="auto"/>
        <w:ind w:firstLine="420" w:firstLineChars="200"/>
        <w:rPr>
          <w:rFonts w:ascii="宋体" w:hAnsi="宋体"/>
          <w:szCs w:val="21"/>
          <w:highlight w:val="none"/>
        </w:rPr>
      </w:pPr>
      <w:r>
        <w:rPr>
          <w:rFonts w:hint="eastAsia" w:ascii="宋体" w:hAnsi="宋体"/>
          <w:szCs w:val="21"/>
          <w:highlight w:val="none"/>
        </w:rPr>
        <w:t>（13）</w:t>
      </w:r>
      <w:r>
        <w:rPr>
          <w:rFonts w:hint="eastAsia" w:ascii="宋体" w:hAnsi="宋体"/>
          <w:szCs w:val="21"/>
          <w:highlight w:val="none"/>
          <w:u w:val="single"/>
        </w:rPr>
        <w:t>在最近三年内发生重大监理质量问题；（“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6A32DEF">
      <w:pPr>
        <w:spacing w:line="360" w:lineRule="auto"/>
        <w:ind w:firstLine="420" w:firstLineChars="200"/>
        <w:rPr>
          <w:rFonts w:ascii="宋体" w:hAnsi="宋体"/>
          <w:szCs w:val="21"/>
          <w:highlight w:val="none"/>
        </w:rPr>
      </w:pPr>
      <w:r>
        <w:rPr>
          <w:rFonts w:hint="eastAsia" w:ascii="宋体" w:hAnsi="宋体"/>
          <w:szCs w:val="21"/>
          <w:highlight w:val="none"/>
        </w:rPr>
        <w:t>（14）法律法规或投标人须知前附表规定的其他情形。</w:t>
      </w:r>
    </w:p>
    <w:p w14:paraId="57594A78">
      <w:pPr>
        <w:pStyle w:val="5"/>
        <w:spacing w:line="240" w:lineRule="auto"/>
        <w:ind w:firstLine="137"/>
        <w:rPr>
          <w:rFonts w:ascii="宋体" w:hAnsi="宋体" w:eastAsia="宋体"/>
          <w:highlight w:val="none"/>
        </w:rPr>
      </w:pPr>
      <w:bookmarkStart w:id="41" w:name="_Toc32594"/>
      <w:bookmarkStart w:id="42" w:name="_Toc24082"/>
      <w:bookmarkStart w:id="43" w:name="_Toc49506136"/>
      <w:bookmarkStart w:id="44" w:name="_Toc49509970"/>
      <w:r>
        <w:rPr>
          <w:rFonts w:ascii="宋体" w:hAnsi="宋体" w:eastAsia="宋体"/>
          <w:highlight w:val="none"/>
        </w:rPr>
        <w:t xml:space="preserve">1.5 </w:t>
      </w:r>
      <w:r>
        <w:rPr>
          <w:rFonts w:hint="eastAsia" w:ascii="宋体" w:hAnsi="宋体" w:eastAsia="宋体"/>
          <w:highlight w:val="none"/>
        </w:rPr>
        <w:t>费用承担</w:t>
      </w:r>
      <w:bookmarkEnd w:id="41"/>
      <w:bookmarkEnd w:id="42"/>
      <w:bookmarkEnd w:id="43"/>
      <w:bookmarkEnd w:id="44"/>
    </w:p>
    <w:p w14:paraId="17272EB0">
      <w:pPr>
        <w:spacing w:line="400" w:lineRule="exact"/>
        <w:ind w:firstLine="420" w:firstLineChars="200"/>
        <w:rPr>
          <w:rFonts w:ascii="宋体" w:hAnsi="宋体"/>
          <w:highlight w:val="none"/>
        </w:rPr>
      </w:pPr>
      <w:r>
        <w:rPr>
          <w:rFonts w:ascii="宋体" w:hAnsi="宋体"/>
          <w:highlight w:val="none"/>
        </w:rPr>
        <w:t>投标人准备和参加投标活动发生的费用自理。</w:t>
      </w:r>
    </w:p>
    <w:p w14:paraId="741E00BB">
      <w:pPr>
        <w:pStyle w:val="5"/>
        <w:spacing w:line="240" w:lineRule="auto"/>
        <w:ind w:firstLine="137"/>
        <w:rPr>
          <w:rFonts w:ascii="宋体" w:hAnsi="宋体" w:eastAsia="宋体"/>
          <w:highlight w:val="none"/>
        </w:rPr>
      </w:pPr>
      <w:bookmarkStart w:id="45" w:name="_Toc49506137"/>
      <w:bookmarkStart w:id="46" w:name="_Toc32678"/>
      <w:bookmarkStart w:id="47" w:name="_Toc31408"/>
      <w:bookmarkStart w:id="48" w:name="_Toc49509971"/>
      <w:r>
        <w:rPr>
          <w:rFonts w:ascii="宋体" w:hAnsi="宋体" w:eastAsia="宋体"/>
          <w:highlight w:val="none"/>
        </w:rPr>
        <w:t>1.6</w:t>
      </w:r>
      <w:r>
        <w:rPr>
          <w:rFonts w:hint="eastAsia" w:ascii="宋体" w:hAnsi="宋体" w:eastAsia="宋体"/>
          <w:highlight w:val="none"/>
        </w:rPr>
        <w:t>保密</w:t>
      </w:r>
      <w:bookmarkEnd w:id="45"/>
      <w:bookmarkEnd w:id="46"/>
      <w:bookmarkEnd w:id="47"/>
      <w:bookmarkEnd w:id="48"/>
    </w:p>
    <w:p w14:paraId="532D5241">
      <w:pPr>
        <w:spacing w:line="400" w:lineRule="exact"/>
        <w:ind w:firstLine="420" w:firstLineChars="200"/>
        <w:rPr>
          <w:rFonts w:ascii="宋体" w:hAnsi="宋体"/>
          <w:highlight w:val="none"/>
        </w:rPr>
      </w:pPr>
      <w:r>
        <w:rPr>
          <w:rFonts w:hint="eastAsia" w:ascii="宋体" w:hAnsi="宋体"/>
          <w:highlight w:val="none"/>
        </w:rPr>
        <w:t>参与招标投标活动的各方应对招标文件和投标文件中</w:t>
      </w:r>
      <w:bookmarkStart w:id="49" w:name="_Toc361508589"/>
      <w:bookmarkStart w:id="50" w:name="_Toc5326"/>
      <w:bookmarkStart w:id="51" w:name="_Toc384308214"/>
      <w:bookmarkStart w:id="52" w:name="_Toc369531519"/>
      <w:bookmarkStart w:id="53" w:name="_Toc352691477"/>
      <w:r>
        <w:rPr>
          <w:rFonts w:hint="eastAsia" w:ascii="宋体" w:hAnsi="宋体"/>
          <w:highlight w:val="none"/>
        </w:rPr>
        <w:t>的商业和技术等秘密保密</w:t>
      </w:r>
      <w:bookmarkEnd w:id="49"/>
      <w:bookmarkEnd w:id="50"/>
      <w:bookmarkEnd w:id="51"/>
      <w:bookmarkEnd w:id="52"/>
      <w:bookmarkEnd w:id="53"/>
      <w:r>
        <w:rPr>
          <w:rFonts w:hint="eastAsia" w:ascii="宋体" w:hAnsi="宋体"/>
          <w:highlight w:val="none"/>
        </w:rPr>
        <w:t>，否则应承担相应的法律责任。</w:t>
      </w:r>
    </w:p>
    <w:p w14:paraId="7022EC10">
      <w:pPr>
        <w:pStyle w:val="5"/>
        <w:spacing w:line="240" w:lineRule="auto"/>
        <w:ind w:firstLine="137"/>
        <w:rPr>
          <w:rFonts w:ascii="宋体" w:hAnsi="宋体" w:eastAsia="宋体"/>
          <w:highlight w:val="none"/>
        </w:rPr>
      </w:pPr>
      <w:bookmarkStart w:id="54" w:name="_Toc30378"/>
      <w:bookmarkStart w:id="55" w:name="_Toc1538"/>
      <w:bookmarkStart w:id="56" w:name="_Toc49506138"/>
      <w:bookmarkStart w:id="57" w:name="_Toc49509972"/>
      <w:r>
        <w:rPr>
          <w:rFonts w:ascii="宋体" w:hAnsi="宋体" w:eastAsia="宋体"/>
          <w:highlight w:val="none"/>
        </w:rPr>
        <w:t>1.7</w:t>
      </w:r>
      <w:r>
        <w:rPr>
          <w:rFonts w:hint="eastAsia" w:ascii="宋体" w:hAnsi="宋体" w:eastAsia="宋体"/>
          <w:highlight w:val="none"/>
        </w:rPr>
        <w:t>语言文字</w:t>
      </w:r>
      <w:bookmarkEnd w:id="54"/>
      <w:bookmarkEnd w:id="55"/>
      <w:bookmarkEnd w:id="56"/>
      <w:bookmarkEnd w:id="57"/>
    </w:p>
    <w:p w14:paraId="118BFAEC">
      <w:pPr>
        <w:spacing w:line="400" w:lineRule="exact"/>
        <w:ind w:firstLine="420" w:firstLineChars="200"/>
        <w:rPr>
          <w:rFonts w:ascii="宋体" w:hAnsi="宋体"/>
          <w:highlight w:val="none"/>
        </w:rPr>
      </w:pPr>
      <w:r>
        <w:rPr>
          <w:rFonts w:hint="eastAsia" w:ascii="宋体" w:hAnsi="宋体"/>
          <w:highlight w:val="none"/>
        </w:rPr>
        <w:t>招标投标文件使用的语言文字为中文。专用术语使用外文的，应附有中文注释。</w:t>
      </w:r>
    </w:p>
    <w:p w14:paraId="125B1F8A">
      <w:pPr>
        <w:pStyle w:val="5"/>
        <w:spacing w:line="240" w:lineRule="auto"/>
        <w:ind w:firstLine="137"/>
        <w:rPr>
          <w:rFonts w:ascii="宋体" w:hAnsi="宋体" w:eastAsia="宋体"/>
          <w:highlight w:val="none"/>
        </w:rPr>
      </w:pPr>
      <w:bookmarkStart w:id="58" w:name="_Toc49509973"/>
      <w:bookmarkStart w:id="59" w:name="_Toc19923"/>
      <w:bookmarkStart w:id="60" w:name="_Toc49506139"/>
      <w:bookmarkStart w:id="61" w:name="_Toc23596"/>
      <w:r>
        <w:rPr>
          <w:rFonts w:ascii="宋体" w:hAnsi="宋体" w:eastAsia="宋体"/>
          <w:highlight w:val="none"/>
        </w:rPr>
        <w:t>1.8</w:t>
      </w:r>
      <w:r>
        <w:rPr>
          <w:rFonts w:hint="eastAsia" w:ascii="宋体" w:hAnsi="宋体" w:eastAsia="宋体"/>
          <w:highlight w:val="none"/>
        </w:rPr>
        <w:t>计量单位</w:t>
      </w:r>
      <w:bookmarkEnd w:id="58"/>
      <w:bookmarkEnd w:id="59"/>
      <w:bookmarkEnd w:id="60"/>
      <w:bookmarkEnd w:id="61"/>
    </w:p>
    <w:p w14:paraId="70A69B0A">
      <w:pPr>
        <w:spacing w:line="400" w:lineRule="exact"/>
        <w:ind w:firstLine="420" w:firstLineChars="200"/>
        <w:rPr>
          <w:rFonts w:ascii="宋体" w:hAnsi="宋体"/>
          <w:highlight w:val="none"/>
        </w:rPr>
      </w:pPr>
      <w:r>
        <w:rPr>
          <w:rFonts w:hint="eastAsia" w:ascii="宋体" w:hAnsi="宋体"/>
          <w:highlight w:val="none"/>
        </w:rPr>
        <w:t>所有计量均采用中华人民共和国法定计量单位。</w:t>
      </w:r>
    </w:p>
    <w:p w14:paraId="43B3357B">
      <w:pPr>
        <w:pStyle w:val="5"/>
        <w:spacing w:line="240" w:lineRule="auto"/>
        <w:ind w:firstLine="137"/>
        <w:rPr>
          <w:rFonts w:ascii="宋体" w:hAnsi="宋体" w:eastAsia="宋体"/>
          <w:highlight w:val="none"/>
        </w:rPr>
      </w:pPr>
      <w:bookmarkStart w:id="62" w:name="_Toc152042315"/>
      <w:bookmarkStart w:id="63" w:name="_Toc49509974"/>
      <w:bookmarkStart w:id="64" w:name="_Toc247527563"/>
      <w:bookmarkStart w:id="65" w:name="_Toc29765"/>
      <w:bookmarkStart w:id="66" w:name="_Toc384308219"/>
      <w:bookmarkStart w:id="67" w:name="_Toc361508594"/>
      <w:bookmarkStart w:id="68" w:name="_Toc482188480"/>
      <w:bookmarkStart w:id="69" w:name="_Toc144974507"/>
      <w:bookmarkStart w:id="70" w:name="_Toc247513962"/>
      <w:bookmarkStart w:id="71" w:name="_Toc370676289"/>
      <w:bookmarkStart w:id="72" w:name="_Toc49506140"/>
      <w:bookmarkStart w:id="73" w:name="_Toc300834959"/>
      <w:bookmarkStart w:id="74" w:name="_Toc391393967"/>
      <w:bookmarkStart w:id="75" w:name="_Toc152045539"/>
      <w:bookmarkStart w:id="76" w:name="_Toc20772"/>
      <w:r>
        <w:rPr>
          <w:rFonts w:ascii="宋体" w:hAnsi="宋体" w:eastAsia="宋体"/>
          <w:highlight w:val="none"/>
        </w:rPr>
        <w:t xml:space="preserve">1.9 </w:t>
      </w:r>
      <w:r>
        <w:rPr>
          <w:rFonts w:hint="eastAsia" w:ascii="宋体" w:hAnsi="宋体" w:eastAsia="宋体"/>
          <w:highlight w:val="none"/>
        </w:rPr>
        <w:t>踏勘现场</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F3A630E">
      <w:pPr>
        <w:spacing w:line="400" w:lineRule="exact"/>
        <w:ind w:firstLine="420" w:firstLineChars="200"/>
        <w:rPr>
          <w:rFonts w:ascii="宋体" w:hAnsi="宋体"/>
          <w:highlight w:val="none"/>
        </w:rPr>
      </w:pPr>
      <w:r>
        <w:rPr>
          <w:rFonts w:ascii="宋体" w:hAnsi="宋体"/>
          <w:highlight w:val="none"/>
        </w:rPr>
        <w:t xml:space="preserve">1.9.1 </w:t>
      </w:r>
      <w:r>
        <w:rPr>
          <w:rFonts w:hint="eastAsia" w:ascii="宋体" w:hAnsi="宋体"/>
          <w:highlight w:val="none"/>
        </w:rPr>
        <w:t>投标人须知前附表规定组织踏勘现场的，招标人按投标人须知前附表规定的时间、地点组织投标人踏勘项目现场。部分投标人未按时参加踏勘现场的，不影响踏勘现场的正常进行。</w:t>
      </w:r>
    </w:p>
    <w:p w14:paraId="3C7C053F">
      <w:pPr>
        <w:spacing w:line="400" w:lineRule="exact"/>
        <w:ind w:firstLine="420" w:firstLineChars="200"/>
        <w:rPr>
          <w:rFonts w:ascii="宋体" w:hAnsi="宋体"/>
          <w:highlight w:val="none"/>
        </w:rPr>
      </w:pPr>
      <w:r>
        <w:rPr>
          <w:rFonts w:ascii="宋体" w:hAnsi="宋体"/>
          <w:highlight w:val="none"/>
        </w:rPr>
        <w:t xml:space="preserve">1.9.2 </w:t>
      </w:r>
      <w:r>
        <w:rPr>
          <w:rFonts w:hint="eastAsia" w:ascii="宋体" w:hAnsi="宋体"/>
          <w:highlight w:val="none"/>
        </w:rPr>
        <w:t>投标人踏勘现场发生的费用自理。</w:t>
      </w:r>
    </w:p>
    <w:p w14:paraId="6CDB5FA7">
      <w:pPr>
        <w:spacing w:line="400" w:lineRule="exact"/>
        <w:ind w:firstLine="420" w:firstLineChars="200"/>
        <w:rPr>
          <w:rFonts w:ascii="宋体" w:hAnsi="宋体"/>
          <w:highlight w:val="none"/>
        </w:rPr>
      </w:pPr>
      <w:r>
        <w:rPr>
          <w:rFonts w:ascii="宋体" w:hAnsi="宋体"/>
          <w:highlight w:val="none"/>
        </w:rPr>
        <w:t xml:space="preserve">1.9.3 </w:t>
      </w:r>
      <w:r>
        <w:rPr>
          <w:rFonts w:hint="eastAsia" w:ascii="宋体" w:hAnsi="宋体"/>
          <w:highlight w:val="none"/>
        </w:rPr>
        <w:t>除招标人的原因外，投标人自行负责在踏勘现场中所发生的人员伤亡和财产损失。</w:t>
      </w:r>
    </w:p>
    <w:p w14:paraId="37FD39D9">
      <w:pPr>
        <w:spacing w:line="400" w:lineRule="exact"/>
        <w:ind w:firstLine="420" w:firstLineChars="200"/>
        <w:rPr>
          <w:rFonts w:ascii="宋体" w:hAnsi="宋体"/>
          <w:highlight w:val="none"/>
        </w:rPr>
      </w:pPr>
      <w:r>
        <w:rPr>
          <w:rFonts w:ascii="宋体" w:hAnsi="宋体"/>
          <w:highlight w:val="none"/>
        </w:rPr>
        <w:t xml:space="preserve">1.9.4 </w:t>
      </w:r>
      <w:r>
        <w:rPr>
          <w:rFonts w:hint="eastAsia" w:ascii="宋体" w:hAnsi="宋体"/>
          <w:highlight w:val="none"/>
        </w:rPr>
        <w:t>招标人在踏勘现场中介绍的工程场地和相关的周边环境情况，供投标人在编制投标文件时参考，招标人不对投标人据此作出的判断和决策负责。</w:t>
      </w:r>
    </w:p>
    <w:p w14:paraId="476B8126">
      <w:pPr>
        <w:pStyle w:val="5"/>
        <w:spacing w:line="240" w:lineRule="auto"/>
        <w:ind w:firstLine="137"/>
        <w:rPr>
          <w:rFonts w:ascii="宋体" w:hAnsi="宋体" w:eastAsia="宋体"/>
          <w:highlight w:val="none"/>
        </w:rPr>
      </w:pPr>
      <w:bookmarkStart w:id="77" w:name="_Toc13460"/>
      <w:bookmarkStart w:id="78" w:name="_Toc49509975"/>
      <w:bookmarkStart w:id="79" w:name="_Toc4941"/>
      <w:bookmarkStart w:id="80" w:name="_Toc49506141"/>
      <w:r>
        <w:rPr>
          <w:rFonts w:ascii="宋体" w:hAnsi="宋体" w:eastAsia="宋体"/>
          <w:highlight w:val="none"/>
        </w:rPr>
        <w:t>1.10</w:t>
      </w:r>
      <w:r>
        <w:rPr>
          <w:rFonts w:hint="eastAsia" w:ascii="宋体" w:hAnsi="宋体" w:eastAsia="宋体"/>
          <w:highlight w:val="none"/>
        </w:rPr>
        <w:t>投标预备会</w:t>
      </w:r>
      <w:bookmarkEnd w:id="77"/>
      <w:bookmarkEnd w:id="78"/>
      <w:bookmarkEnd w:id="79"/>
      <w:bookmarkEnd w:id="80"/>
    </w:p>
    <w:p w14:paraId="2E3B9AA7">
      <w:pPr>
        <w:spacing w:line="400" w:lineRule="exact"/>
        <w:ind w:firstLine="420" w:firstLineChars="200"/>
        <w:rPr>
          <w:rFonts w:ascii="宋体" w:hAnsi="宋体"/>
          <w:highlight w:val="none"/>
        </w:rPr>
      </w:pPr>
      <w:r>
        <w:rPr>
          <w:rFonts w:ascii="宋体" w:hAnsi="宋体"/>
          <w:highlight w:val="none"/>
        </w:rPr>
        <w:t xml:space="preserve">1.10.1 </w:t>
      </w:r>
      <w:r>
        <w:rPr>
          <w:rFonts w:hint="eastAsia" w:ascii="宋体" w:hAnsi="宋体"/>
          <w:highlight w:val="none"/>
        </w:rPr>
        <w:t>投标人须知前附表规定召开投标预备会的，招标人按投标人须知前附表规定的时间和地点召开投标预备会，澄清投标人提出的问题。</w:t>
      </w:r>
    </w:p>
    <w:p w14:paraId="3B52FF81">
      <w:pPr>
        <w:spacing w:line="400" w:lineRule="exact"/>
        <w:ind w:firstLine="420" w:firstLineChars="200"/>
        <w:rPr>
          <w:rFonts w:ascii="宋体" w:hAnsi="宋体"/>
          <w:highlight w:val="none"/>
        </w:rPr>
      </w:pPr>
      <w:r>
        <w:rPr>
          <w:rFonts w:ascii="宋体" w:hAnsi="宋体"/>
          <w:highlight w:val="none"/>
        </w:rPr>
        <w:t xml:space="preserve">1.10.2 </w:t>
      </w:r>
      <w:r>
        <w:rPr>
          <w:rFonts w:hint="eastAsia" w:ascii="宋体" w:hAnsi="宋体"/>
          <w:highlight w:val="none"/>
        </w:rPr>
        <w:t>投标人应按投标人须知前附表规定的时间和形式将提出的问题送达招标人，以便招标人在会议期间澄清。</w:t>
      </w:r>
    </w:p>
    <w:p w14:paraId="4378D7D5">
      <w:pPr>
        <w:spacing w:line="400" w:lineRule="exact"/>
        <w:ind w:firstLine="420" w:firstLineChars="200"/>
        <w:rPr>
          <w:rFonts w:ascii="宋体" w:hAnsi="宋体"/>
          <w:highlight w:val="none"/>
        </w:rPr>
      </w:pPr>
      <w:r>
        <w:rPr>
          <w:rFonts w:ascii="宋体" w:hAnsi="宋体"/>
          <w:highlight w:val="none"/>
        </w:rPr>
        <w:t xml:space="preserve">1.10.3 </w:t>
      </w:r>
      <w:r>
        <w:rPr>
          <w:rFonts w:hint="eastAsia" w:ascii="宋体" w:hAnsi="宋体"/>
          <w:highlight w:val="none"/>
        </w:rPr>
        <w:t>投标预备会后，招标人将对投标人所提问题的澄清，以投标人须知前附表规定的形式通知所有</w:t>
      </w:r>
      <w:r>
        <w:rPr>
          <w:rFonts w:hint="eastAsia" w:ascii="宋体" w:hAnsi="宋体"/>
          <w:highlight w:val="none"/>
          <w:u w:val="single"/>
        </w:rPr>
        <w:t>投标登记</w:t>
      </w:r>
      <w:r>
        <w:rPr>
          <w:rFonts w:hint="eastAsia" w:ascii="宋体" w:hAnsi="宋体"/>
          <w:highlight w:val="none"/>
        </w:rPr>
        <w:t>的投标人。该澄清内容为招标文件的组成部分。</w:t>
      </w:r>
    </w:p>
    <w:p w14:paraId="0425B3F8">
      <w:pPr>
        <w:pStyle w:val="5"/>
        <w:spacing w:line="240" w:lineRule="auto"/>
        <w:ind w:firstLine="137"/>
        <w:rPr>
          <w:rFonts w:ascii="宋体" w:hAnsi="宋体" w:eastAsia="宋体"/>
          <w:highlight w:val="none"/>
        </w:rPr>
      </w:pPr>
      <w:bookmarkStart w:id="81" w:name="_Toc31914"/>
      <w:bookmarkStart w:id="82" w:name="_Toc49506142"/>
      <w:bookmarkStart w:id="83" w:name="_Toc2310"/>
      <w:bookmarkStart w:id="84" w:name="_Toc49509976"/>
      <w:r>
        <w:rPr>
          <w:rFonts w:ascii="宋体" w:hAnsi="宋体" w:eastAsia="宋体"/>
          <w:highlight w:val="none"/>
        </w:rPr>
        <w:t xml:space="preserve">1.11 </w:t>
      </w:r>
      <w:r>
        <w:rPr>
          <w:rFonts w:hint="eastAsia" w:ascii="宋体" w:hAnsi="宋体" w:eastAsia="宋体"/>
          <w:highlight w:val="none"/>
        </w:rPr>
        <w:t>分包</w:t>
      </w:r>
      <w:bookmarkEnd w:id="81"/>
      <w:bookmarkEnd w:id="82"/>
      <w:bookmarkEnd w:id="83"/>
      <w:bookmarkEnd w:id="84"/>
    </w:p>
    <w:p w14:paraId="101F36B0">
      <w:pPr>
        <w:spacing w:line="400" w:lineRule="exact"/>
        <w:ind w:firstLine="420" w:firstLineChars="200"/>
        <w:rPr>
          <w:rFonts w:ascii="宋体" w:hAnsi="宋体"/>
          <w:highlight w:val="none"/>
        </w:rPr>
      </w:pPr>
      <w:r>
        <w:rPr>
          <w:rFonts w:hint="eastAsia" w:ascii="宋体" w:hAnsi="宋体"/>
          <w:highlight w:val="none"/>
        </w:rPr>
        <w:t>本项目严禁分包。</w:t>
      </w:r>
    </w:p>
    <w:p w14:paraId="5A0C5132">
      <w:pPr>
        <w:pStyle w:val="5"/>
        <w:spacing w:line="240" w:lineRule="auto"/>
        <w:ind w:firstLine="137"/>
        <w:rPr>
          <w:rFonts w:ascii="宋体" w:hAnsi="宋体" w:eastAsia="宋体"/>
          <w:highlight w:val="none"/>
        </w:rPr>
      </w:pPr>
      <w:bookmarkStart w:id="85" w:name="_Toc49506143"/>
      <w:bookmarkStart w:id="86" w:name="_Toc49509977"/>
      <w:bookmarkStart w:id="87" w:name="_Toc14314"/>
      <w:bookmarkStart w:id="88" w:name="_Toc31390"/>
      <w:r>
        <w:rPr>
          <w:rFonts w:ascii="宋体" w:hAnsi="宋体" w:eastAsia="宋体"/>
          <w:highlight w:val="none"/>
        </w:rPr>
        <w:t>1.12</w:t>
      </w:r>
      <w:r>
        <w:rPr>
          <w:rFonts w:hint="eastAsia" w:ascii="宋体" w:hAnsi="宋体" w:eastAsia="宋体"/>
          <w:highlight w:val="none"/>
        </w:rPr>
        <w:t>响应和偏差</w:t>
      </w:r>
      <w:bookmarkEnd w:id="85"/>
      <w:bookmarkEnd w:id="86"/>
      <w:bookmarkEnd w:id="87"/>
      <w:bookmarkEnd w:id="88"/>
    </w:p>
    <w:p w14:paraId="52B4B532">
      <w:pPr>
        <w:spacing w:line="400" w:lineRule="exact"/>
        <w:ind w:firstLine="420" w:firstLineChars="200"/>
        <w:rPr>
          <w:rFonts w:ascii="宋体" w:hAnsi="宋体"/>
          <w:highlight w:val="none"/>
        </w:rPr>
      </w:pPr>
      <w:r>
        <w:rPr>
          <w:rFonts w:ascii="宋体" w:hAnsi="宋体"/>
          <w:highlight w:val="none"/>
        </w:rPr>
        <w:t>1.12.1</w:t>
      </w:r>
      <w:r>
        <w:rPr>
          <w:rFonts w:hint="eastAsia" w:ascii="宋体" w:hAnsi="宋体"/>
          <w:highlight w:val="none"/>
        </w:rPr>
        <w:t>投标文件应当对招标文件的实质性要求和条件作出满足性或更有利于招标人的响应，否则，投标人的投标将被否决。实质性要求和条件见投标人须知前附表。</w:t>
      </w:r>
    </w:p>
    <w:p w14:paraId="1229BA6B">
      <w:pPr>
        <w:spacing w:line="400" w:lineRule="exact"/>
        <w:ind w:firstLine="420" w:firstLineChars="200"/>
        <w:rPr>
          <w:rFonts w:ascii="宋体" w:hAnsi="宋体"/>
          <w:highlight w:val="none"/>
        </w:rPr>
      </w:pPr>
      <w:r>
        <w:rPr>
          <w:rFonts w:ascii="宋体" w:hAnsi="宋体"/>
          <w:highlight w:val="none"/>
        </w:rPr>
        <w:t xml:space="preserve">1.12.2 </w:t>
      </w:r>
      <w:r>
        <w:rPr>
          <w:rFonts w:ascii="宋体" w:hAnsi="宋体"/>
          <w:szCs w:val="21"/>
          <w:highlight w:val="none"/>
        </w:rPr>
        <w:t>投标人应根据招标文件的要求提供</w:t>
      </w:r>
      <w:r>
        <w:rPr>
          <w:rFonts w:ascii="宋体" w:hAnsi="宋体"/>
          <w:highlight w:val="none"/>
        </w:rPr>
        <w:t>投标</w:t>
      </w:r>
      <w:r>
        <w:rPr>
          <w:rFonts w:hint="eastAsia" w:ascii="宋体" w:hAnsi="宋体"/>
          <w:highlight w:val="none"/>
        </w:rPr>
        <w:t>监理方案大纲</w:t>
      </w:r>
      <w:r>
        <w:rPr>
          <w:rFonts w:ascii="宋体" w:hAnsi="宋体"/>
          <w:highlight w:val="none"/>
        </w:rPr>
        <w:t>等内容以对招标文件作出响应。</w:t>
      </w:r>
    </w:p>
    <w:p w14:paraId="6ACE393E">
      <w:pPr>
        <w:spacing w:line="400" w:lineRule="exact"/>
        <w:ind w:firstLine="435"/>
        <w:rPr>
          <w:rFonts w:ascii="宋体" w:hAnsi="宋体"/>
          <w:highlight w:val="none"/>
        </w:rPr>
      </w:pPr>
      <w:r>
        <w:rPr>
          <w:rFonts w:ascii="宋体" w:hAnsi="宋体"/>
          <w:highlight w:val="none"/>
        </w:rPr>
        <w:t>1.12.3投标人须知前附表允许投标文件偏离招标文件某些要求的，偏差应当符合招标文件规定的偏差范围和幅度。</w:t>
      </w:r>
    </w:p>
    <w:p w14:paraId="478E6100">
      <w:pPr>
        <w:pStyle w:val="4"/>
        <w:rPr>
          <w:rFonts w:ascii="宋体" w:hAnsi="宋体" w:eastAsia="宋体"/>
          <w:highlight w:val="none"/>
        </w:rPr>
      </w:pPr>
      <w:bookmarkStart w:id="89" w:name="_Toc49509978"/>
      <w:bookmarkStart w:id="90" w:name="_Toc20"/>
      <w:bookmarkStart w:id="91" w:name="_Toc22400"/>
      <w:r>
        <w:rPr>
          <w:rFonts w:ascii="宋体" w:hAnsi="宋体" w:eastAsia="宋体"/>
          <w:highlight w:val="none"/>
        </w:rPr>
        <w:t xml:space="preserve">2. </w:t>
      </w:r>
      <w:r>
        <w:rPr>
          <w:rFonts w:hint="eastAsia" w:ascii="宋体" w:hAnsi="宋体" w:eastAsia="宋体"/>
          <w:highlight w:val="none"/>
        </w:rPr>
        <w:t>招标文件</w:t>
      </w:r>
      <w:bookmarkEnd w:id="89"/>
      <w:bookmarkEnd w:id="90"/>
      <w:bookmarkEnd w:id="91"/>
    </w:p>
    <w:p w14:paraId="0FB189A2">
      <w:pPr>
        <w:pStyle w:val="5"/>
        <w:spacing w:line="240" w:lineRule="auto"/>
        <w:ind w:firstLine="137"/>
        <w:rPr>
          <w:rFonts w:ascii="宋体" w:hAnsi="宋体" w:eastAsia="宋体"/>
          <w:highlight w:val="none"/>
        </w:rPr>
      </w:pPr>
      <w:bookmarkStart w:id="92" w:name="_Toc49509979"/>
      <w:bookmarkStart w:id="93" w:name="_Toc49506145"/>
      <w:bookmarkStart w:id="94" w:name="_Toc23046"/>
      <w:bookmarkStart w:id="95" w:name="_Toc28812"/>
      <w:r>
        <w:rPr>
          <w:rFonts w:ascii="宋体" w:hAnsi="宋体" w:eastAsia="宋体"/>
          <w:highlight w:val="none"/>
        </w:rPr>
        <w:t xml:space="preserve">2.1 </w:t>
      </w:r>
      <w:r>
        <w:rPr>
          <w:rFonts w:hint="eastAsia" w:ascii="宋体" w:hAnsi="宋体" w:eastAsia="宋体"/>
          <w:highlight w:val="none"/>
        </w:rPr>
        <w:t>招标文件的组成</w:t>
      </w:r>
      <w:bookmarkEnd w:id="92"/>
      <w:bookmarkEnd w:id="93"/>
      <w:bookmarkEnd w:id="94"/>
      <w:bookmarkEnd w:id="95"/>
    </w:p>
    <w:p w14:paraId="6181BCD2">
      <w:pPr>
        <w:spacing w:line="400" w:lineRule="exact"/>
        <w:ind w:firstLine="359" w:firstLineChars="171"/>
        <w:rPr>
          <w:rFonts w:ascii="宋体" w:hAnsi="宋体"/>
          <w:highlight w:val="none"/>
        </w:rPr>
      </w:pPr>
      <w:r>
        <w:rPr>
          <w:rFonts w:hint="eastAsia" w:ascii="宋体" w:hAnsi="宋体"/>
          <w:highlight w:val="none"/>
        </w:rPr>
        <w:t>本招标文件包括：</w:t>
      </w:r>
    </w:p>
    <w:p w14:paraId="5A2787F4">
      <w:pPr>
        <w:spacing w:line="400" w:lineRule="exact"/>
        <w:ind w:firstLine="359" w:firstLineChars="171"/>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）招标公告</w:t>
      </w:r>
      <w:r>
        <w:rPr>
          <w:rFonts w:hint="eastAsia" w:ascii="宋体" w:hAnsi="宋体"/>
          <w:strike/>
          <w:highlight w:val="none"/>
        </w:rPr>
        <w:t>（或投标邀请书）</w:t>
      </w:r>
      <w:r>
        <w:rPr>
          <w:rFonts w:hint="eastAsia" w:ascii="宋体" w:hAnsi="宋体"/>
          <w:highlight w:val="none"/>
        </w:rPr>
        <w:t>；</w:t>
      </w:r>
    </w:p>
    <w:p w14:paraId="052365C3">
      <w:pPr>
        <w:spacing w:line="400" w:lineRule="exact"/>
        <w:ind w:firstLine="359" w:firstLineChars="171"/>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）投标人须知；</w:t>
      </w:r>
    </w:p>
    <w:p w14:paraId="045FE443">
      <w:pPr>
        <w:spacing w:line="400" w:lineRule="exact"/>
        <w:ind w:firstLine="359" w:firstLineChars="171"/>
        <w:rPr>
          <w:rFonts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）评标办法</w:t>
      </w:r>
      <w:r>
        <w:rPr>
          <w:rFonts w:hint="eastAsia" w:ascii="宋体" w:hAnsi="宋体"/>
          <w:highlight w:val="none"/>
          <w:u w:val="single"/>
        </w:rPr>
        <w:t>（“评定分离”定标办法）</w:t>
      </w:r>
      <w:r>
        <w:rPr>
          <w:rFonts w:hint="eastAsia" w:ascii="宋体" w:hAnsi="宋体"/>
          <w:highlight w:val="none"/>
        </w:rPr>
        <w:t>；</w:t>
      </w:r>
    </w:p>
    <w:p w14:paraId="16400212">
      <w:pPr>
        <w:spacing w:line="400" w:lineRule="exact"/>
        <w:ind w:firstLine="359" w:firstLineChars="171"/>
        <w:rPr>
          <w:rFonts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）合同条款及格式；</w:t>
      </w:r>
    </w:p>
    <w:p w14:paraId="0DAB0A26">
      <w:pPr>
        <w:spacing w:line="400" w:lineRule="exact"/>
        <w:ind w:firstLine="359" w:firstLineChars="171"/>
        <w:rPr>
          <w:rFonts w:ascii="宋体" w:hAns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）委托人要求；</w:t>
      </w:r>
    </w:p>
    <w:p w14:paraId="07A9C30F">
      <w:pPr>
        <w:spacing w:line="400" w:lineRule="exact"/>
        <w:ind w:firstLine="359" w:firstLineChars="171"/>
        <w:rPr>
          <w:rFonts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）投标文件格式；</w:t>
      </w:r>
    </w:p>
    <w:p w14:paraId="612D25FC">
      <w:pPr>
        <w:spacing w:line="400" w:lineRule="exact"/>
        <w:ind w:firstLine="359" w:firstLineChars="171"/>
        <w:rPr>
          <w:rFonts w:ascii="宋体" w:hAnsi="宋体"/>
          <w:highlight w:val="none"/>
          <w:u w:val="single"/>
        </w:rPr>
      </w:pPr>
      <w:r>
        <w:rPr>
          <w:rFonts w:hint="eastAsia" w:ascii="宋体" w:hAnsi="宋体"/>
          <w:highlight w:val="none"/>
          <w:u w:val="single"/>
        </w:rPr>
        <w:t>（7）投标人须知前附表规定的其他资料。</w:t>
      </w:r>
    </w:p>
    <w:p w14:paraId="2AEFE717">
      <w:pPr>
        <w:spacing w:line="400" w:lineRule="exact"/>
        <w:ind w:firstLine="420" w:firstLineChars="200"/>
        <w:rPr>
          <w:rFonts w:ascii="宋体" w:hAnsi="宋体"/>
          <w:highlight w:val="none"/>
        </w:rPr>
      </w:pPr>
      <w:r>
        <w:rPr>
          <w:rFonts w:hint="eastAsia" w:ascii="宋体" w:hAnsi="宋体"/>
          <w:highlight w:val="none"/>
        </w:rPr>
        <w:t>根据本章第</w:t>
      </w:r>
      <w:r>
        <w:rPr>
          <w:rFonts w:ascii="宋体" w:hAnsi="宋体"/>
          <w:highlight w:val="none"/>
        </w:rPr>
        <w:t>1.10</w:t>
      </w:r>
      <w:r>
        <w:rPr>
          <w:rFonts w:hint="eastAsia" w:ascii="宋体" w:hAnsi="宋体"/>
          <w:highlight w:val="none"/>
        </w:rPr>
        <w:t>款、第</w:t>
      </w:r>
      <w:r>
        <w:rPr>
          <w:rFonts w:ascii="宋体" w:hAnsi="宋体"/>
          <w:highlight w:val="none"/>
        </w:rPr>
        <w:t>2.2</w:t>
      </w:r>
      <w:r>
        <w:rPr>
          <w:rFonts w:hint="eastAsia" w:ascii="宋体" w:hAnsi="宋体"/>
          <w:highlight w:val="none"/>
        </w:rPr>
        <w:t>款和第</w:t>
      </w:r>
      <w:r>
        <w:rPr>
          <w:rFonts w:ascii="宋体" w:hAnsi="宋体"/>
          <w:highlight w:val="none"/>
        </w:rPr>
        <w:t>2.3</w:t>
      </w:r>
      <w:r>
        <w:rPr>
          <w:rFonts w:hint="eastAsia" w:ascii="宋体" w:hAnsi="宋体"/>
          <w:highlight w:val="none"/>
        </w:rPr>
        <w:t>款对招标文件所作的澄清、修改，构成招标文件的组成部分。</w:t>
      </w:r>
    </w:p>
    <w:p w14:paraId="3ED8D53B">
      <w:pPr>
        <w:pStyle w:val="5"/>
        <w:spacing w:line="240" w:lineRule="auto"/>
        <w:ind w:firstLine="137"/>
        <w:rPr>
          <w:rFonts w:ascii="宋体" w:hAnsi="宋体" w:eastAsia="宋体"/>
          <w:highlight w:val="none"/>
        </w:rPr>
      </w:pPr>
      <w:bookmarkStart w:id="96" w:name="_Toc5196"/>
      <w:bookmarkStart w:id="97" w:name="_Toc49509980"/>
      <w:bookmarkStart w:id="98" w:name="_Toc49506146"/>
      <w:bookmarkStart w:id="99" w:name="_Toc2108"/>
      <w:r>
        <w:rPr>
          <w:rFonts w:ascii="宋体" w:hAnsi="宋体" w:eastAsia="宋体"/>
          <w:highlight w:val="none"/>
        </w:rPr>
        <w:t xml:space="preserve">2.2 </w:t>
      </w:r>
      <w:r>
        <w:rPr>
          <w:rFonts w:hint="eastAsia" w:ascii="宋体" w:hAnsi="宋体" w:eastAsia="宋体"/>
          <w:highlight w:val="none"/>
        </w:rPr>
        <w:t>招标文件的澄清</w:t>
      </w:r>
      <w:bookmarkEnd w:id="96"/>
      <w:bookmarkEnd w:id="97"/>
      <w:bookmarkEnd w:id="98"/>
      <w:bookmarkEnd w:id="99"/>
    </w:p>
    <w:p w14:paraId="679A9E28">
      <w:pPr>
        <w:spacing w:line="400" w:lineRule="exact"/>
        <w:ind w:firstLine="420" w:firstLineChars="200"/>
        <w:rPr>
          <w:rFonts w:ascii="宋体" w:hAnsi="宋体"/>
          <w:highlight w:val="none"/>
        </w:rPr>
      </w:pPr>
      <w:r>
        <w:rPr>
          <w:rFonts w:ascii="宋体" w:hAnsi="宋体"/>
          <w:highlight w:val="none"/>
        </w:rPr>
        <w:t>2.2.1</w:t>
      </w:r>
      <w:r>
        <w:rPr>
          <w:rFonts w:hint="eastAsia" w:ascii="宋体" w:hAnsi="宋体"/>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BCA3F47">
      <w:pPr>
        <w:spacing w:line="400" w:lineRule="exact"/>
        <w:ind w:firstLine="420" w:firstLineChars="200"/>
        <w:rPr>
          <w:rFonts w:ascii="宋体" w:hAnsi="宋体"/>
          <w:highlight w:val="none"/>
        </w:rPr>
      </w:pPr>
      <w:r>
        <w:rPr>
          <w:rFonts w:ascii="宋体" w:hAnsi="宋体"/>
          <w:highlight w:val="none"/>
        </w:rPr>
        <w:t>2.2.2</w:t>
      </w:r>
      <w:r>
        <w:rPr>
          <w:rFonts w:hint="eastAsia" w:ascii="宋体" w:hAnsi="宋体"/>
          <w:highlight w:val="none"/>
        </w:rPr>
        <w:t>招标文件的澄清以投标人须知前附表规定的形式发给所有</w:t>
      </w:r>
      <w:r>
        <w:rPr>
          <w:rFonts w:hint="eastAsia" w:ascii="宋体" w:hAnsi="宋体"/>
          <w:highlight w:val="none"/>
          <w:u w:val="single"/>
        </w:rPr>
        <w:t>投标登记</w:t>
      </w:r>
      <w:r>
        <w:rPr>
          <w:rFonts w:hint="eastAsia" w:ascii="宋体" w:hAnsi="宋体"/>
          <w:highlight w:val="none"/>
        </w:rPr>
        <w:t>的投标人，但不指明澄清问题的来源。澄清发出的时间距本章第</w:t>
      </w:r>
      <w:r>
        <w:rPr>
          <w:rFonts w:ascii="宋体" w:hAnsi="宋体"/>
          <w:highlight w:val="none"/>
        </w:rPr>
        <w:t>4.2.1</w:t>
      </w:r>
      <w:r>
        <w:rPr>
          <w:rFonts w:hint="eastAsia" w:ascii="宋体" w:hAnsi="宋体"/>
          <w:highlight w:val="none"/>
        </w:rPr>
        <w:t>项规定的投标截止时间不足</w:t>
      </w:r>
      <w:r>
        <w:rPr>
          <w:rFonts w:ascii="宋体" w:hAnsi="宋体"/>
          <w:highlight w:val="none"/>
        </w:rPr>
        <w:t>15</w:t>
      </w:r>
      <w:r>
        <w:rPr>
          <w:rFonts w:hint="eastAsia" w:ascii="宋体" w:hAnsi="宋体"/>
          <w:highlight w:val="none"/>
        </w:rPr>
        <w:t>日的，并且澄清内容可能影响投标文件编制的，将相应延长投标截止时间。</w:t>
      </w:r>
    </w:p>
    <w:p w14:paraId="08985FA6">
      <w:pPr>
        <w:spacing w:line="400" w:lineRule="exact"/>
        <w:ind w:firstLine="420" w:firstLineChars="200"/>
        <w:rPr>
          <w:rFonts w:ascii="宋体" w:hAnsi="宋体"/>
          <w:highlight w:val="none"/>
        </w:rPr>
      </w:pPr>
      <w:r>
        <w:rPr>
          <w:rFonts w:ascii="宋体" w:hAnsi="宋体"/>
          <w:highlight w:val="none"/>
        </w:rPr>
        <w:t>2.2.3</w:t>
      </w:r>
      <w:r>
        <w:rPr>
          <w:rFonts w:hint="eastAsia" w:ascii="宋体" w:hAnsi="宋体"/>
          <w:highlight w:val="none"/>
        </w:rPr>
        <w:t>投标人在收到澄清后，应按投标人须知前附表规定的时间和形式通知招标人，确认已收到该澄清。</w:t>
      </w:r>
    </w:p>
    <w:p w14:paraId="1E64B4C2">
      <w:pPr>
        <w:spacing w:line="400" w:lineRule="exact"/>
        <w:ind w:firstLine="420" w:firstLineChars="200"/>
        <w:rPr>
          <w:rFonts w:ascii="宋体" w:hAnsi="宋体"/>
          <w:highlight w:val="none"/>
        </w:rPr>
      </w:pPr>
      <w:r>
        <w:rPr>
          <w:rFonts w:ascii="宋体" w:hAnsi="宋体"/>
          <w:highlight w:val="none"/>
        </w:rPr>
        <w:t>2.2.4</w:t>
      </w:r>
      <w:r>
        <w:rPr>
          <w:rFonts w:hint="eastAsia" w:ascii="宋体" w:hAnsi="宋体"/>
          <w:highlight w:val="none"/>
        </w:rPr>
        <w:t>除非招标人认为确有必要答复，否则，招标人有权拒绝回复投标人在本章第</w:t>
      </w:r>
      <w:r>
        <w:rPr>
          <w:rFonts w:ascii="宋体" w:hAnsi="宋体"/>
          <w:highlight w:val="none"/>
        </w:rPr>
        <w:t>2.2.1</w:t>
      </w:r>
      <w:r>
        <w:rPr>
          <w:rFonts w:hint="eastAsia" w:ascii="宋体" w:hAnsi="宋体"/>
          <w:highlight w:val="none"/>
        </w:rPr>
        <w:t>项规定的时间后的任何澄清要求。</w:t>
      </w:r>
    </w:p>
    <w:p w14:paraId="52424B33">
      <w:pPr>
        <w:pStyle w:val="5"/>
        <w:spacing w:line="240" w:lineRule="auto"/>
        <w:ind w:firstLine="137"/>
        <w:rPr>
          <w:rFonts w:ascii="宋体" w:hAnsi="宋体" w:eastAsia="宋体"/>
          <w:highlight w:val="none"/>
        </w:rPr>
      </w:pPr>
      <w:bookmarkStart w:id="100" w:name="_Toc734"/>
      <w:bookmarkStart w:id="101" w:name="_Toc11988"/>
      <w:bookmarkStart w:id="102" w:name="_Toc49506147"/>
      <w:bookmarkStart w:id="103" w:name="_Toc49509981"/>
      <w:bookmarkStart w:id="104" w:name="_Toc352691479"/>
      <w:r>
        <w:rPr>
          <w:rFonts w:ascii="宋体" w:hAnsi="宋体" w:eastAsia="宋体"/>
          <w:highlight w:val="none"/>
        </w:rPr>
        <w:t xml:space="preserve">2.3 </w:t>
      </w:r>
      <w:r>
        <w:rPr>
          <w:rFonts w:hint="eastAsia" w:ascii="宋体" w:hAnsi="宋体" w:eastAsia="宋体"/>
          <w:highlight w:val="none"/>
        </w:rPr>
        <w:t>招标文件的修</w:t>
      </w:r>
      <w:bookmarkStart w:id="105" w:name="_Toc16514"/>
      <w:bookmarkStart w:id="106" w:name="_Toc369531521"/>
      <w:r>
        <w:rPr>
          <w:rFonts w:hint="eastAsia" w:ascii="宋体" w:hAnsi="宋体" w:eastAsia="宋体"/>
          <w:highlight w:val="none"/>
        </w:rPr>
        <w:t>改</w:t>
      </w:r>
      <w:bookmarkEnd w:id="100"/>
      <w:bookmarkEnd w:id="101"/>
      <w:bookmarkEnd w:id="102"/>
      <w:bookmarkEnd w:id="103"/>
    </w:p>
    <w:p w14:paraId="2AA1FF18">
      <w:pPr>
        <w:spacing w:line="400" w:lineRule="exact"/>
        <w:ind w:firstLine="420" w:firstLineChars="200"/>
        <w:rPr>
          <w:rFonts w:ascii="宋体" w:hAnsi="宋体"/>
          <w:highlight w:val="none"/>
        </w:rPr>
      </w:pPr>
      <w:r>
        <w:rPr>
          <w:rFonts w:ascii="宋体" w:hAnsi="宋体"/>
          <w:highlight w:val="none"/>
        </w:rPr>
        <w:t>2.3.1</w:t>
      </w:r>
      <w:r>
        <w:rPr>
          <w:rFonts w:hint="eastAsia" w:ascii="宋体" w:hAnsi="宋体"/>
          <w:highlight w:val="none"/>
        </w:rPr>
        <w:t>招标人以投标人须知前附表规定的形式修改招标文件，并通知所有</w:t>
      </w:r>
      <w:r>
        <w:rPr>
          <w:rFonts w:hint="eastAsia" w:ascii="宋体" w:hAnsi="宋体"/>
          <w:highlight w:val="none"/>
          <w:u w:val="single"/>
        </w:rPr>
        <w:t>投标登记</w:t>
      </w:r>
      <w:r>
        <w:rPr>
          <w:rFonts w:hint="eastAsia" w:ascii="宋体" w:hAnsi="宋体"/>
          <w:highlight w:val="none"/>
        </w:rPr>
        <w:t>的投标人。修改招标文件的时间距本章第</w:t>
      </w:r>
      <w:r>
        <w:rPr>
          <w:rFonts w:ascii="宋体" w:hAnsi="宋体"/>
          <w:highlight w:val="none"/>
        </w:rPr>
        <w:t>4.2.1</w:t>
      </w:r>
      <w:r>
        <w:rPr>
          <w:rFonts w:hint="eastAsia" w:ascii="宋体" w:hAnsi="宋体"/>
          <w:highlight w:val="none"/>
        </w:rPr>
        <w:t>项规定的投标截止时间不足</w:t>
      </w:r>
      <w:r>
        <w:rPr>
          <w:rFonts w:ascii="宋体" w:hAnsi="宋体"/>
          <w:highlight w:val="none"/>
        </w:rPr>
        <w:t>15</w:t>
      </w:r>
      <w:r>
        <w:rPr>
          <w:rFonts w:hint="eastAsia" w:ascii="宋体" w:hAnsi="宋体"/>
          <w:highlight w:val="none"/>
        </w:rPr>
        <w:t>日的，并且修改内容可能影响投标文件编制的，将相应延长投标截止时间。</w:t>
      </w:r>
    </w:p>
    <w:bookmarkEnd w:id="104"/>
    <w:bookmarkEnd w:id="105"/>
    <w:bookmarkEnd w:id="106"/>
    <w:p w14:paraId="1AB82E20">
      <w:pPr>
        <w:spacing w:line="400" w:lineRule="exact"/>
        <w:ind w:firstLine="420" w:firstLineChars="200"/>
        <w:rPr>
          <w:rFonts w:ascii="宋体" w:hAnsi="宋体"/>
          <w:highlight w:val="none"/>
        </w:rPr>
      </w:pPr>
      <w:r>
        <w:rPr>
          <w:rFonts w:ascii="宋体" w:hAnsi="宋体"/>
          <w:highlight w:val="none"/>
        </w:rPr>
        <w:t>2.3.2</w:t>
      </w:r>
      <w:r>
        <w:rPr>
          <w:rFonts w:hint="eastAsia" w:ascii="宋体" w:hAnsi="宋体"/>
          <w:highlight w:val="none"/>
        </w:rPr>
        <w:t>投标人收到修改内容</w:t>
      </w:r>
      <w:bookmarkStart w:id="107" w:name="_Toc144974506"/>
      <w:bookmarkStart w:id="108" w:name="_Toc300834958"/>
      <w:bookmarkStart w:id="109" w:name="_Toc352691482"/>
      <w:bookmarkStart w:id="110" w:name="_Toc152042314"/>
      <w:bookmarkStart w:id="111" w:name="_Toc361508593"/>
      <w:bookmarkStart w:id="112" w:name="_Toc369531524"/>
      <w:bookmarkStart w:id="113" w:name="_Toc152045538"/>
      <w:bookmarkStart w:id="114" w:name="_Toc384308218"/>
      <w:bookmarkStart w:id="115" w:name="_Toc24632"/>
      <w:bookmarkStart w:id="116" w:name="_Toc247513961"/>
      <w:bookmarkStart w:id="117" w:name="_Toc247527562"/>
      <w:r>
        <w:rPr>
          <w:rFonts w:hint="eastAsia" w:ascii="宋体" w:hAnsi="宋体"/>
          <w:highlight w:val="none"/>
        </w:rPr>
        <w:t>后，</w:t>
      </w:r>
      <w:bookmarkEnd w:id="107"/>
      <w:bookmarkEnd w:id="108"/>
      <w:bookmarkEnd w:id="109"/>
      <w:bookmarkEnd w:id="110"/>
      <w:bookmarkEnd w:id="111"/>
      <w:bookmarkEnd w:id="112"/>
      <w:bookmarkEnd w:id="113"/>
      <w:bookmarkEnd w:id="114"/>
      <w:bookmarkEnd w:id="115"/>
      <w:bookmarkEnd w:id="116"/>
      <w:bookmarkEnd w:id="117"/>
      <w:bookmarkStart w:id="118" w:name="_Toc247527564"/>
      <w:bookmarkStart w:id="119" w:name="_Toc247513963"/>
      <w:bookmarkStart w:id="120" w:name="_Toc152045540"/>
      <w:bookmarkStart w:id="121" w:name="_Toc361508595"/>
      <w:bookmarkStart w:id="122" w:name="_Toc144974508"/>
      <w:bookmarkStart w:id="123" w:name="_Toc352691484"/>
      <w:bookmarkStart w:id="124" w:name="_Toc16623"/>
      <w:bookmarkStart w:id="125" w:name="_Toc152042316"/>
      <w:bookmarkStart w:id="126" w:name="_Toc300834960"/>
      <w:bookmarkStart w:id="127" w:name="_Toc384308220"/>
      <w:bookmarkStart w:id="128" w:name="_Toc369531526"/>
      <w:r>
        <w:rPr>
          <w:rFonts w:hint="eastAsia" w:ascii="宋体" w:hAnsi="宋体"/>
          <w:highlight w:val="none"/>
        </w:rPr>
        <w:t>应按投标人须知前附表规定的时间和形式通知招标人，确认已收到该修改。</w:t>
      </w:r>
    </w:p>
    <w:p w14:paraId="5CCC5F26">
      <w:pPr>
        <w:pStyle w:val="5"/>
        <w:spacing w:line="240" w:lineRule="auto"/>
        <w:ind w:firstLine="137"/>
        <w:rPr>
          <w:rFonts w:ascii="宋体" w:hAnsi="宋体" w:eastAsia="宋体"/>
          <w:highlight w:val="none"/>
        </w:rPr>
      </w:pPr>
      <w:bookmarkStart w:id="129" w:name="_Toc24096"/>
      <w:bookmarkStart w:id="130" w:name="_Toc49506148"/>
      <w:bookmarkStart w:id="131" w:name="_Toc49509982"/>
      <w:bookmarkStart w:id="132" w:name="_Toc20309"/>
      <w:r>
        <w:rPr>
          <w:rFonts w:ascii="宋体" w:hAnsi="宋体" w:eastAsia="宋体"/>
          <w:highlight w:val="none"/>
        </w:rPr>
        <w:t>2.</w:t>
      </w:r>
      <w:bookmarkEnd w:id="118"/>
      <w:bookmarkEnd w:id="119"/>
      <w:bookmarkEnd w:id="120"/>
      <w:bookmarkEnd w:id="121"/>
      <w:bookmarkEnd w:id="122"/>
      <w:bookmarkEnd w:id="123"/>
      <w:bookmarkEnd w:id="124"/>
      <w:bookmarkEnd w:id="125"/>
      <w:bookmarkEnd w:id="126"/>
      <w:bookmarkEnd w:id="127"/>
      <w:bookmarkEnd w:id="128"/>
      <w:r>
        <w:rPr>
          <w:rFonts w:ascii="宋体" w:hAnsi="宋体" w:eastAsia="宋体"/>
          <w:highlight w:val="none"/>
        </w:rPr>
        <w:t xml:space="preserve">4 </w:t>
      </w:r>
      <w:r>
        <w:rPr>
          <w:rFonts w:hint="eastAsia" w:ascii="宋体" w:hAnsi="宋体" w:eastAsia="宋体"/>
          <w:highlight w:val="none"/>
        </w:rPr>
        <w:t>招标文件的异议</w:t>
      </w:r>
      <w:bookmarkEnd w:id="129"/>
      <w:bookmarkEnd w:id="130"/>
      <w:bookmarkEnd w:id="131"/>
      <w:bookmarkEnd w:id="132"/>
    </w:p>
    <w:p w14:paraId="178A8AE8">
      <w:pPr>
        <w:spacing w:line="400" w:lineRule="exact"/>
        <w:ind w:firstLine="420" w:firstLineChars="200"/>
        <w:rPr>
          <w:rFonts w:ascii="宋体" w:hAnsi="宋体"/>
          <w:highlight w:val="none"/>
        </w:rPr>
      </w:pPr>
      <w:r>
        <w:rPr>
          <w:rFonts w:hint="eastAsia" w:ascii="宋体" w:hAnsi="宋体"/>
          <w:highlight w:val="none"/>
        </w:rPr>
        <w:t>投标人或者其他利害关系人对招标文件有异议的，应当在投标截止时间</w:t>
      </w:r>
      <w:r>
        <w:rPr>
          <w:rFonts w:ascii="宋体" w:hAnsi="宋体"/>
          <w:highlight w:val="none"/>
        </w:rPr>
        <w:t>10</w:t>
      </w:r>
      <w:r>
        <w:rPr>
          <w:rFonts w:hint="eastAsia" w:ascii="宋体" w:hAnsi="宋体"/>
          <w:highlight w:val="none"/>
        </w:rPr>
        <w:t>日前以书面形式提出。招标人将在收到异议之日起</w:t>
      </w:r>
      <w:r>
        <w:rPr>
          <w:rFonts w:ascii="宋体" w:hAnsi="宋体"/>
          <w:highlight w:val="none"/>
        </w:rPr>
        <w:t>3</w:t>
      </w:r>
      <w:r>
        <w:rPr>
          <w:rFonts w:hint="eastAsia" w:ascii="宋体" w:hAnsi="宋体"/>
          <w:highlight w:val="none"/>
        </w:rPr>
        <w:t>日内作出答复；作出答复前，将暂停招标投标活动。</w:t>
      </w:r>
    </w:p>
    <w:p w14:paraId="6A8C5DD1">
      <w:pPr>
        <w:spacing w:line="400" w:lineRule="exact"/>
        <w:ind w:firstLine="420" w:firstLineChars="200"/>
        <w:rPr>
          <w:rFonts w:ascii="宋体" w:hAnsi="宋体"/>
          <w:highlight w:val="none"/>
        </w:rPr>
      </w:pPr>
      <w:r>
        <w:rPr>
          <w:rFonts w:hint="eastAsia" w:ascii="宋体" w:hAnsi="宋体"/>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770CE7D">
      <w:pPr>
        <w:pStyle w:val="4"/>
        <w:rPr>
          <w:rFonts w:ascii="宋体" w:hAnsi="宋体" w:eastAsia="宋体"/>
          <w:highlight w:val="none"/>
        </w:rPr>
      </w:pPr>
      <w:bookmarkStart w:id="133" w:name="_Toc28813"/>
      <w:bookmarkStart w:id="134" w:name="_Toc49509983"/>
      <w:bookmarkStart w:id="135" w:name="_Toc710"/>
      <w:r>
        <w:rPr>
          <w:rFonts w:ascii="宋体" w:hAnsi="宋体" w:eastAsia="宋体"/>
          <w:highlight w:val="none"/>
        </w:rPr>
        <w:t xml:space="preserve">3. </w:t>
      </w:r>
      <w:r>
        <w:rPr>
          <w:rFonts w:hint="eastAsia" w:ascii="宋体" w:hAnsi="宋体" w:eastAsia="宋体"/>
          <w:highlight w:val="none"/>
        </w:rPr>
        <w:t>投标文件</w:t>
      </w:r>
      <w:bookmarkEnd w:id="133"/>
      <w:bookmarkEnd w:id="134"/>
      <w:bookmarkEnd w:id="135"/>
    </w:p>
    <w:p w14:paraId="28EE019D">
      <w:pPr>
        <w:pStyle w:val="5"/>
        <w:spacing w:line="240" w:lineRule="auto"/>
        <w:ind w:firstLine="137"/>
        <w:rPr>
          <w:rFonts w:ascii="宋体" w:hAnsi="宋体" w:eastAsia="宋体"/>
          <w:highlight w:val="none"/>
        </w:rPr>
      </w:pPr>
      <w:bookmarkStart w:id="136" w:name="_Toc1531"/>
      <w:bookmarkStart w:id="137" w:name="_Toc12199"/>
      <w:bookmarkStart w:id="138" w:name="_Toc49509984"/>
      <w:bookmarkStart w:id="139" w:name="_Toc49506150"/>
      <w:r>
        <w:rPr>
          <w:rFonts w:ascii="宋体" w:hAnsi="宋体" w:eastAsia="宋体"/>
          <w:highlight w:val="none"/>
        </w:rPr>
        <w:t xml:space="preserve">3.1 </w:t>
      </w:r>
      <w:r>
        <w:rPr>
          <w:rFonts w:hint="eastAsia" w:ascii="宋体" w:hAnsi="宋体" w:eastAsia="宋体"/>
          <w:highlight w:val="none"/>
        </w:rPr>
        <w:t>投标文件的组成</w:t>
      </w:r>
      <w:bookmarkEnd w:id="136"/>
      <w:bookmarkEnd w:id="137"/>
      <w:bookmarkEnd w:id="138"/>
      <w:bookmarkEnd w:id="139"/>
    </w:p>
    <w:p w14:paraId="65C8E2D1">
      <w:pPr>
        <w:spacing w:line="360" w:lineRule="auto"/>
        <w:ind w:firstLine="420" w:firstLineChars="200"/>
        <w:rPr>
          <w:rFonts w:ascii="宋体" w:hAnsi="宋体"/>
          <w:highlight w:val="none"/>
        </w:rPr>
      </w:pPr>
      <w:r>
        <w:rPr>
          <w:rFonts w:ascii="宋体" w:hAnsi="宋体"/>
          <w:highlight w:val="none"/>
        </w:rPr>
        <w:t>3.1.1投标文件应</w:t>
      </w:r>
      <w:r>
        <w:rPr>
          <w:rFonts w:hint="eastAsia" w:ascii="宋体" w:hAnsi="宋体"/>
          <w:highlight w:val="none"/>
        </w:rPr>
        <w:t>包括下列内容：</w:t>
      </w:r>
    </w:p>
    <w:p w14:paraId="625FEB98">
      <w:pPr>
        <w:topLinePunct/>
        <w:adjustRightInd w:val="0"/>
        <w:snapToGrid w:val="0"/>
        <w:spacing w:line="360" w:lineRule="auto"/>
        <w:ind w:firstLine="420" w:firstLineChars="200"/>
        <w:rPr>
          <w:rFonts w:ascii="宋体" w:hAnsi="宋体"/>
          <w:kern w:val="0"/>
          <w:szCs w:val="24"/>
          <w:highlight w:val="none"/>
        </w:rPr>
      </w:pPr>
      <w:r>
        <w:rPr>
          <w:rFonts w:hint="eastAsia" w:ascii="宋体" w:hAnsi="宋体"/>
          <w:kern w:val="0"/>
          <w:szCs w:val="24"/>
          <w:highlight w:val="none"/>
        </w:rPr>
        <w:t>（1）投标函及投标函附录；</w:t>
      </w:r>
    </w:p>
    <w:p w14:paraId="1429BA20">
      <w:pPr>
        <w:topLinePunct/>
        <w:adjustRightInd w:val="0"/>
        <w:snapToGrid w:val="0"/>
        <w:spacing w:line="360" w:lineRule="auto"/>
        <w:ind w:firstLine="420" w:firstLineChars="200"/>
        <w:rPr>
          <w:rFonts w:ascii="宋体" w:hAnsi="宋体"/>
          <w:kern w:val="0"/>
          <w:szCs w:val="24"/>
          <w:highlight w:val="none"/>
        </w:rPr>
      </w:pPr>
      <w:r>
        <w:rPr>
          <w:rFonts w:hint="eastAsia" w:ascii="宋体" w:hAnsi="宋体"/>
          <w:kern w:val="0"/>
          <w:szCs w:val="24"/>
          <w:highlight w:val="none"/>
        </w:rPr>
        <w:t>（2）法定代表人身份证明或授权委托书；</w:t>
      </w:r>
    </w:p>
    <w:p w14:paraId="5AF6FA50">
      <w:pPr>
        <w:topLinePunct/>
        <w:adjustRightInd w:val="0"/>
        <w:snapToGrid w:val="0"/>
        <w:spacing w:line="360" w:lineRule="auto"/>
        <w:ind w:firstLine="420" w:firstLineChars="200"/>
        <w:rPr>
          <w:rFonts w:ascii="宋体" w:hAnsi="宋体"/>
          <w:strike/>
          <w:kern w:val="0"/>
          <w:szCs w:val="24"/>
          <w:highlight w:val="none"/>
        </w:rPr>
      </w:pPr>
      <w:r>
        <w:rPr>
          <w:rFonts w:hint="eastAsia" w:ascii="宋体" w:hAnsi="宋体"/>
          <w:strike/>
          <w:kern w:val="0"/>
          <w:szCs w:val="24"/>
          <w:highlight w:val="none"/>
        </w:rPr>
        <w:t>（</w:t>
      </w:r>
      <w:r>
        <w:rPr>
          <w:rFonts w:ascii="宋体" w:hAnsi="宋体"/>
          <w:strike/>
          <w:kern w:val="0"/>
          <w:szCs w:val="24"/>
          <w:highlight w:val="none"/>
        </w:rPr>
        <w:t>3）联合体协议书；</w:t>
      </w:r>
    </w:p>
    <w:p w14:paraId="147C5660">
      <w:pPr>
        <w:topLinePunct/>
        <w:adjustRightInd w:val="0"/>
        <w:snapToGrid w:val="0"/>
        <w:spacing w:line="360" w:lineRule="auto"/>
        <w:ind w:firstLine="420" w:firstLineChars="200"/>
        <w:rPr>
          <w:rFonts w:ascii="宋体" w:hAnsi="宋体"/>
          <w:strike w:val="0"/>
          <w:kern w:val="0"/>
          <w:szCs w:val="24"/>
          <w:highlight w:val="none"/>
        </w:rPr>
      </w:pPr>
      <w:r>
        <w:rPr>
          <w:rFonts w:hint="eastAsia" w:ascii="宋体" w:hAnsi="宋体"/>
          <w:strike w:val="0"/>
          <w:kern w:val="0"/>
          <w:szCs w:val="24"/>
          <w:highlight w:val="none"/>
        </w:rPr>
        <w:t>（</w:t>
      </w:r>
      <w:r>
        <w:rPr>
          <w:rFonts w:ascii="宋体" w:hAnsi="宋体"/>
          <w:strike w:val="0"/>
          <w:kern w:val="0"/>
          <w:szCs w:val="24"/>
          <w:highlight w:val="none"/>
        </w:rPr>
        <w:t>4）投标保证金</w:t>
      </w:r>
      <w:r>
        <w:rPr>
          <w:rFonts w:hint="eastAsia" w:ascii="宋体" w:hAnsi="宋体"/>
          <w:strike w:val="0"/>
          <w:kern w:val="0"/>
          <w:szCs w:val="24"/>
          <w:highlight w:val="none"/>
        </w:rPr>
        <w:t>；</w:t>
      </w:r>
    </w:p>
    <w:p w14:paraId="4EF8A722">
      <w:pPr>
        <w:topLinePunct/>
        <w:adjustRightInd w:val="0"/>
        <w:snapToGrid w:val="0"/>
        <w:spacing w:line="360" w:lineRule="auto"/>
        <w:ind w:firstLine="420" w:firstLineChars="200"/>
        <w:rPr>
          <w:rFonts w:ascii="宋体" w:hAnsi="宋体"/>
          <w:kern w:val="0"/>
          <w:szCs w:val="24"/>
          <w:highlight w:val="none"/>
        </w:rPr>
      </w:pPr>
      <w:r>
        <w:rPr>
          <w:rFonts w:hint="eastAsia" w:ascii="宋体" w:hAnsi="宋体"/>
          <w:kern w:val="0"/>
          <w:szCs w:val="24"/>
          <w:highlight w:val="none"/>
        </w:rPr>
        <w:t>（5）监理报酬清单；</w:t>
      </w:r>
    </w:p>
    <w:p w14:paraId="44D9BFB0">
      <w:pPr>
        <w:topLinePunct/>
        <w:adjustRightInd w:val="0"/>
        <w:snapToGrid w:val="0"/>
        <w:spacing w:line="360" w:lineRule="auto"/>
        <w:ind w:firstLine="420" w:firstLineChars="200"/>
        <w:rPr>
          <w:rFonts w:ascii="宋体" w:hAnsi="宋体"/>
          <w:kern w:val="0"/>
          <w:szCs w:val="24"/>
          <w:highlight w:val="none"/>
        </w:rPr>
      </w:pPr>
      <w:r>
        <w:rPr>
          <w:rFonts w:hint="eastAsia" w:ascii="宋体" w:hAnsi="宋体"/>
          <w:kern w:val="0"/>
          <w:szCs w:val="24"/>
          <w:highlight w:val="none"/>
        </w:rPr>
        <w:t>（6）资格审查资料；</w:t>
      </w:r>
    </w:p>
    <w:p w14:paraId="13EBF0F1">
      <w:pPr>
        <w:topLinePunct/>
        <w:adjustRightInd w:val="0"/>
        <w:snapToGrid w:val="0"/>
        <w:spacing w:line="360" w:lineRule="auto"/>
        <w:ind w:firstLine="420" w:firstLineChars="200"/>
        <w:rPr>
          <w:rFonts w:ascii="宋体" w:hAnsi="宋体"/>
          <w:kern w:val="0"/>
          <w:szCs w:val="24"/>
          <w:highlight w:val="none"/>
        </w:rPr>
      </w:pPr>
      <w:r>
        <w:rPr>
          <w:rFonts w:hint="eastAsia" w:ascii="宋体" w:hAnsi="宋体"/>
          <w:kern w:val="0"/>
          <w:szCs w:val="24"/>
          <w:highlight w:val="none"/>
        </w:rPr>
        <w:t>（7）监理大纲；</w:t>
      </w:r>
    </w:p>
    <w:p w14:paraId="0BB7858C">
      <w:pPr>
        <w:topLinePunct/>
        <w:adjustRightInd w:val="0"/>
        <w:snapToGrid w:val="0"/>
        <w:spacing w:line="360" w:lineRule="auto"/>
        <w:ind w:firstLine="420" w:firstLineChars="200"/>
        <w:rPr>
          <w:rFonts w:ascii="宋体" w:hAnsi="宋体"/>
          <w:kern w:val="0"/>
          <w:szCs w:val="24"/>
          <w:highlight w:val="none"/>
        </w:rPr>
      </w:pPr>
      <w:r>
        <w:rPr>
          <w:rFonts w:hint="eastAsia" w:ascii="宋体" w:hAnsi="宋体"/>
          <w:kern w:val="0"/>
          <w:szCs w:val="24"/>
          <w:highlight w:val="none"/>
        </w:rPr>
        <w:t>（8）投标人须知前附表规定的其他资料。</w:t>
      </w:r>
    </w:p>
    <w:p w14:paraId="098B0785">
      <w:pPr>
        <w:spacing w:line="400" w:lineRule="exact"/>
        <w:ind w:firstLine="420" w:firstLineChars="200"/>
        <w:rPr>
          <w:rFonts w:ascii="宋体" w:hAnsi="宋体"/>
          <w:highlight w:val="none"/>
        </w:rPr>
      </w:pPr>
      <w:r>
        <w:rPr>
          <w:rFonts w:ascii="宋体" w:hAnsi="宋体"/>
          <w:highlight w:val="none"/>
        </w:rPr>
        <w:t>投标人在评标过程中作出的符合法律法规和招标文件规定的澄清确认，构成投标文件的组成部分。</w:t>
      </w:r>
    </w:p>
    <w:p w14:paraId="7A63A5DD">
      <w:pPr>
        <w:spacing w:line="400" w:lineRule="exact"/>
        <w:ind w:firstLine="359" w:firstLineChars="171"/>
        <w:rPr>
          <w:rFonts w:ascii="宋体" w:hAnsi="宋体"/>
          <w:strike/>
          <w:highlight w:val="none"/>
        </w:rPr>
      </w:pPr>
      <w:r>
        <w:rPr>
          <w:rFonts w:ascii="宋体" w:hAnsi="宋体"/>
          <w:strike/>
          <w:highlight w:val="none"/>
        </w:rPr>
        <w:t>3.1.2投标人须知前附表规定不接受联合体投标的，或投标人没有组成联合体的，投标文件不包括本章第3.1.1（3）目所指的联合体协议书。</w:t>
      </w:r>
    </w:p>
    <w:p w14:paraId="2682598B">
      <w:pPr>
        <w:spacing w:line="400" w:lineRule="exact"/>
        <w:ind w:firstLine="359" w:firstLineChars="171"/>
        <w:rPr>
          <w:rFonts w:ascii="宋体" w:hAnsi="宋体"/>
          <w:highlight w:val="none"/>
        </w:rPr>
      </w:pPr>
      <w:r>
        <w:rPr>
          <w:rFonts w:ascii="宋体" w:hAnsi="宋体"/>
          <w:strike/>
          <w:highlight w:val="none"/>
        </w:rPr>
        <w:t>3</w:t>
      </w:r>
      <w:r>
        <w:rPr>
          <w:rFonts w:ascii="宋体" w:hAnsi="宋体"/>
          <w:highlight w:val="none"/>
        </w:rPr>
        <w:t>.1.3投标人须知前附表未要求提交投标保证金的，投标文件不包括本章第3.1.1（4）目所指的投标保证金。</w:t>
      </w:r>
    </w:p>
    <w:p w14:paraId="18722609">
      <w:pPr>
        <w:pStyle w:val="5"/>
        <w:spacing w:line="240" w:lineRule="auto"/>
        <w:ind w:firstLine="137"/>
        <w:rPr>
          <w:rFonts w:ascii="宋体" w:hAnsi="宋体" w:eastAsia="宋体"/>
          <w:highlight w:val="none"/>
        </w:rPr>
      </w:pPr>
      <w:bookmarkStart w:id="140" w:name="_Toc29601"/>
      <w:bookmarkStart w:id="141" w:name="_Toc49509985"/>
      <w:bookmarkStart w:id="142" w:name="_Toc49506151"/>
      <w:bookmarkStart w:id="143" w:name="_Toc317"/>
      <w:r>
        <w:rPr>
          <w:rFonts w:ascii="宋体" w:hAnsi="宋体" w:eastAsia="宋体"/>
          <w:highlight w:val="none"/>
        </w:rPr>
        <w:t xml:space="preserve">3.2 </w:t>
      </w:r>
      <w:r>
        <w:rPr>
          <w:rFonts w:hint="eastAsia" w:ascii="宋体" w:hAnsi="宋体" w:eastAsia="宋体"/>
          <w:highlight w:val="none"/>
        </w:rPr>
        <w:t>投标报价</w:t>
      </w:r>
      <w:bookmarkEnd w:id="140"/>
      <w:bookmarkEnd w:id="141"/>
      <w:bookmarkEnd w:id="142"/>
      <w:bookmarkEnd w:id="143"/>
    </w:p>
    <w:p w14:paraId="31109B62">
      <w:pPr>
        <w:spacing w:line="400" w:lineRule="exact"/>
        <w:ind w:firstLine="420" w:firstLineChars="200"/>
        <w:rPr>
          <w:rFonts w:ascii="宋体" w:hAnsi="宋体"/>
          <w:highlight w:val="none"/>
        </w:rPr>
      </w:pPr>
      <w:r>
        <w:rPr>
          <w:rFonts w:ascii="宋体" w:hAnsi="宋体"/>
          <w:highlight w:val="none"/>
        </w:rPr>
        <w:t>3.2.1投标报价应包括国家规定的增值税税金，除投标人须知前附表另有规定外，增值税税金按一般计税方法计算。投标人应按第六章“投标文件格式”的要求在投标函中进行报价并填写</w:t>
      </w:r>
      <w:r>
        <w:rPr>
          <w:rFonts w:hint="eastAsia" w:ascii="宋体" w:hAnsi="宋体"/>
          <w:highlight w:val="none"/>
        </w:rPr>
        <w:t>监理费投标报价表</w:t>
      </w:r>
      <w:r>
        <w:rPr>
          <w:rFonts w:ascii="宋体" w:hAnsi="宋体"/>
          <w:highlight w:val="none"/>
        </w:rPr>
        <w:t>。</w:t>
      </w:r>
    </w:p>
    <w:p w14:paraId="3B4285B5">
      <w:pPr>
        <w:spacing w:line="400" w:lineRule="exact"/>
        <w:ind w:firstLine="420" w:firstLineChars="200"/>
        <w:rPr>
          <w:rFonts w:ascii="宋体" w:hAnsi="宋体"/>
          <w:highlight w:val="none"/>
        </w:rPr>
      </w:pPr>
      <w:r>
        <w:rPr>
          <w:rFonts w:ascii="宋体" w:hAnsi="宋体"/>
          <w:highlight w:val="none"/>
        </w:rPr>
        <w:t>3.2.2投标人应充分了解该项目的总体情况以及影响投标报价的其他要素。</w:t>
      </w:r>
    </w:p>
    <w:p w14:paraId="1E3D89B9">
      <w:pPr>
        <w:spacing w:line="400" w:lineRule="exact"/>
        <w:ind w:firstLine="420" w:firstLineChars="200"/>
        <w:rPr>
          <w:rFonts w:ascii="宋体" w:hAnsi="宋体"/>
          <w:highlight w:val="none"/>
        </w:rPr>
      </w:pPr>
      <w:r>
        <w:rPr>
          <w:rFonts w:ascii="宋体" w:hAnsi="宋体"/>
          <w:highlight w:val="none"/>
        </w:rPr>
        <w:t>3.2.3</w:t>
      </w:r>
      <w:bookmarkStart w:id="144" w:name="_Toc247513967"/>
      <w:bookmarkEnd w:id="144"/>
      <w:bookmarkStart w:id="145" w:name="_Toc384308224"/>
      <w:bookmarkEnd w:id="145"/>
      <w:bookmarkStart w:id="146" w:name="_Toc152042319"/>
      <w:bookmarkEnd w:id="146"/>
      <w:bookmarkStart w:id="147" w:name="_Toc352691487"/>
      <w:bookmarkEnd w:id="147"/>
      <w:bookmarkStart w:id="148" w:name="_Toc152045543"/>
      <w:bookmarkEnd w:id="148"/>
      <w:bookmarkStart w:id="149" w:name="_Toc247527568"/>
      <w:bookmarkEnd w:id="149"/>
      <w:bookmarkStart w:id="150" w:name="_Toc300834964"/>
      <w:bookmarkEnd w:id="150"/>
      <w:bookmarkStart w:id="151" w:name="_Toc369531530"/>
      <w:bookmarkEnd w:id="151"/>
      <w:bookmarkStart w:id="152" w:name="_Toc361508599"/>
      <w:bookmarkEnd w:id="152"/>
      <w:bookmarkStart w:id="153" w:name="_Toc144974511"/>
      <w:bookmarkEnd w:id="153"/>
      <w:bookmarkStart w:id="154" w:name="_Toc15242"/>
      <w:bookmarkEnd w:id="154"/>
      <w:r>
        <w:rPr>
          <w:rFonts w:hint="eastAsia" w:ascii="宋体" w:hAnsi="宋体"/>
          <w:highlight w:val="none"/>
        </w:rPr>
        <w:t>本项目的报价方式见投标人须知前附表。</w:t>
      </w:r>
      <w:r>
        <w:rPr>
          <w:rFonts w:ascii="宋体" w:hAnsi="宋体"/>
          <w:highlight w:val="none"/>
        </w:rPr>
        <w:t>投标人在投标截止时间前修改投标函中的投标报价总额，应同时修改投标文件“</w:t>
      </w:r>
      <w:r>
        <w:rPr>
          <w:rFonts w:hint="eastAsia" w:ascii="宋体" w:hAnsi="宋体"/>
          <w:highlight w:val="none"/>
        </w:rPr>
        <w:t>投标报价表</w:t>
      </w:r>
      <w:r>
        <w:rPr>
          <w:rFonts w:ascii="宋体" w:hAnsi="宋体"/>
          <w:highlight w:val="none"/>
        </w:rPr>
        <w:t>”中的相应报价。此修改须符合本章第4.3款的有关要求。</w:t>
      </w:r>
    </w:p>
    <w:p w14:paraId="55B5720D">
      <w:pPr>
        <w:spacing w:line="400" w:lineRule="exact"/>
        <w:ind w:firstLine="420" w:firstLineChars="200"/>
        <w:rPr>
          <w:rFonts w:ascii="宋体" w:hAnsi="宋体"/>
          <w:highlight w:val="none"/>
        </w:rPr>
      </w:pPr>
      <w:r>
        <w:rPr>
          <w:rFonts w:ascii="宋体" w:hAnsi="宋体"/>
          <w:highlight w:val="none"/>
        </w:rPr>
        <w:t>3.2.4招标人设有最高投标限价的，投标人的投标报价不得超过最高投标限价，最高投标限价在投标</w:t>
      </w:r>
      <w:bookmarkStart w:id="155" w:name="_Toc361508600"/>
      <w:bookmarkStart w:id="156" w:name="_Toc352691488"/>
      <w:bookmarkStart w:id="157" w:name="_Toc247513968"/>
      <w:bookmarkStart w:id="158" w:name="_Toc152045544"/>
      <w:bookmarkStart w:id="159" w:name="_Toc369531531"/>
      <w:bookmarkStart w:id="160" w:name="_Toc152042320"/>
      <w:bookmarkStart w:id="161" w:name="_Toc300834965"/>
      <w:bookmarkStart w:id="162" w:name="_Toc144974512"/>
      <w:bookmarkStart w:id="163" w:name="_Toc247527569"/>
      <w:bookmarkStart w:id="164" w:name="_Toc384308225"/>
      <w:bookmarkStart w:id="165" w:name="_Toc10429"/>
      <w:r>
        <w:rPr>
          <w:rFonts w:ascii="宋体" w:hAnsi="宋体"/>
          <w:highlight w:val="none"/>
        </w:rPr>
        <w:t>人须知前附表中载明。</w:t>
      </w:r>
      <w:bookmarkEnd w:id="155"/>
      <w:bookmarkEnd w:id="156"/>
      <w:bookmarkEnd w:id="157"/>
      <w:bookmarkEnd w:id="158"/>
      <w:bookmarkEnd w:id="159"/>
      <w:bookmarkEnd w:id="160"/>
      <w:bookmarkEnd w:id="161"/>
      <w:bookmarkEnd w:id="162"/>
      <w:bookmarkEnd w:id="163"/>
      <w:bookmarkEnd w:id="164"/>
      <w:bookmarkEnd w:id="165"/>
    </w:p>
    <w:p w14:paraId="096BC104">
      <w:pPr>
        <w:spacing w:line="400" w:lineRule="exact"/>
        <w:ind w:firstLine="420" w:firstLineChars="200"/>
        <w:rPr>
          <w:rFonts w:ascii="宋体" w:hAnsi="宋体"/>
          <w:highlight w:val="none"/>
        </w:rPr>
      </w:pPr>
      <w:r>
        <w:rPr>
          <w:rFonts w:ascii="宋体" w:hAnsi="宋体"/>
          <w:highlight w:val="none"/>
        </w:rPr>
        <w:t xml:space="preserve">3.2.5 </w:t>
      </w:r>
      <w:r>
        <w:rPr>
          <w:rFonts w:hint="eastAsia" w:ascii="宋体" w:hAnsi="宋体"/>
          <w:highlight w:val="none"/>
        </w:rPr>
        <w:t>投标报价的其他要求见投标人须知前附表。</w:t>
      </w:r>
    </w:p>
    <w:p w14:paraId="0311B6B0">
      <w:pPr>
        <w:pStyle w:val="5"/>
        <w:spacing w:line="240" w:lineRule="auto"/>
        <w:ind w:firstLine="137"/>
        <w:rPr>
          <w:rFonts w:ascii="宋体" w:hAnsi="宋体" w:eastAsia="宋体"/>
          <w:highlight w:val="none"/>
        </w:rPr>
      </w:pPr>
      <w:bookmarkStart w:id="166" w:name="_Toc49506152"/>
      <w:bookmarkStart w:id="167" w:name="_Toc49509986"/>
      <w:bookmarkStart w:id="168" w:name="_Toc18880"/>
      <w:bookmarkStart w:id="169" w:name="_Toc5448"/>
      <w:r>
        <w:rPr>
          <w:rFonts w:ascii="宋体" w:hAnsi="宋体" w:eastAsia="宋体"/>
          <w:highlight w:val="none"/>
        </w:rPr>
        <w:t xml:space="preserve">3.3 </w:t>
      </w:r>
      <w:r>
        <w:rPr>
          <w:rFonts w:hint="eastAsia" w:ascii="宋体" w:hAnsi="宋体" w:eastAsia="宋体"/>
          <w:highlight w:val="none"/>
        </w:rPr>
        <w:t>投标有效期</w:t>
      </w:r>
      <w:bookmarkEnd w:id="166"/>
      <w:bookmarkEnd w:id="167"/>
      <w:bookmarkEnd w:id="168"/>
      <w:bookmarkEnd w:id="169"/>
    </w:p>
    <w:p w14:paraId="5F8FFE24">
      <w:pPr>
        <w:spacing w:line="400" w:lineRule="exact"/>
        <w:ind w:firstLine="420" w:firstLineChars="200"/>
        <w:rPr>
          <w:rFonts w:ascii="宋体" w:hAnsi="宋体"/>
          <w:highlight w:val="none"/>
        </w:rPr>
      </w:pPr>
      <w:r>
        <w:rPr>
          <w:rFonts w:ascii="宋体" w:hAnsi="宋体"/>
          <w:highlight w:val="none"/>
        </w:rPr>
        <w:t>3.3.1</w:t>
      </w:r>
      <w:r>
        <w:rPr>
          <w:rFonts w:hint="eastAsia" w:ascii="宋体" w:hAnsi="宋体"/>
          <w:highlight w:val="none"/>
        </w:rPr>
        <w:t>除</w:t>
      </w:r>
      <w:r>
        <w:rPr>
          <w:rFonts w:ascii="宋体" w:hAnsi="宋体"/>
          <w:highlight w:val="none"/>
        </w:rPr>
        <w:t>投标人须知前附表另有规定外，投标有效期为</w:t>
      </w:r>
      <w:r>
        <w:rPr>
          <w:rFonts w:hint="eastAsia" w:ascii="宋体" w:hAnsi="宋体"/>
          <w:highlight w:val="none"/>
        </w:rPr>
        <w:t>90</w:t>
      </w:r>
      <w:r>
        <w:rPr>
          <w:rFonts w:ascii="宋体" w:hAnsi="宋体"/>
          <w:highlight w:val="none"/>
        </w:rPr>
        <w:t>天</w:t>
      </w:r>
      <w:r>
        <w:rPr>
          <w:rFonts w:hint="eastAsia" w:ascii="宋体" w:hAnsi="宋体"/>
          <w:highlight w:val="none"/>
        </w:rPr>
        <w:t>。</w:t>
      </w:r>
    </w:p>
    <w:p w14:paraId="58D311D1">
      <w:pPr>
        <w:spacing w:line="400" w:lineRule="exact"/>
        <w:ind w:firstLine="420" w:firstLineChars="200"/>
        <w:rPr>
          <w:rFonts w:ascii="宋体" w:hAnsi="宋体"/>
          <w:highlight w:val="none"/>
        </w:rPr>
      </w:pPr>
      <w:r>
        <w:rPr>
          <w:rFonts w:ascii="宋体" w:hAnsi="宋体"/>
          <w:highlight w:val="none"/>
        </w:rPr>
        <w:t>3.3.2</w:t>
      </w:r>
      <w:r>
        <w:rPr>
          <w:rFonts w:hint="eastAsia" w:ascii="宋体" w:hAnsi="宋体"/>
          <w:highlight w:val="none"/>
        </w:rPr>
        <w:t>在投标有效期内，投标人撤销投标文件的，应承担招标文件和法律规定的责任。</w:t>
      </w:r>
    </w:p>
    <w:p w14:paraId="63B780A4">
      <w:pPr>
        <w:spacing w:line="400" w:lineRule="exact"/>
        <w:ind w:firstLine="420" w:firstLineChars="200"/>
        <w:rPr>
          <w:rFonts w:ascii="宋体" w:hAnsi="宋体"/>
          <w:highlight w:val="none"/>
        </w:rPr>
      </w:pPr>
      <w:r>
        <w:rPr>
          <w:rFonts w:ascii="宋体" w:hAnsi="宋体"/>
          <w:highlight w:val="none"/>
        </w:rPr>
        <w:t>3.3.3</w:t>
      </w:r>
      <w:r>
        <w:rPr>
          <w:rFonts w:hint="eastAsia" w:ascii="宋体" w:hAnsi="宋体"/>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w:t>
      </w:r>
      <w:r>
        <w:rPr>
          <w:rFonts w:ascii="宋体" w:hAnsi="宋体"/>
          <w:highlight w:val="none"/>
        </w:rPr>
        <w:t>人有权收回其投标保证金及以现金或者支票形式递交的投标保证金的银行同期存款利息。</w:t>
      </w:r>
    </w:p>
    <w:p w14:paraId="2AE8D05A">
      <w:pPr>
        <w:pStyle w:val="5"/>
        <w:spacing w:line="240" w:lineRule="auto"/>
        <w:ind w:firstLine="137"/>
        <w:rPr>
          <w:rFonts w:ascii="宋体" w:hAnsi="宋体" w:eastAsia="宋体"/>
          <w:highlight w:val="none"/>
        </w:rPr>
      </w:pPr>
      <w:bookmarkStart w:id="170" w:name="_Toc49506153"/>
      <w:bookmarkStart w:id="171" w:name="_Toc9876"/>
      <w:bookmarkStart w:id="172" w:name="_Toc21305"/>
      <w:bookmarkStart w:id="173" w:name="_Toc49509987"/>
      <w:r>
        <w:rPr>
          <w:rFonts w:ascii="宋体" w:hAnsi="宋体" w:eastAsia="宋体"/>
          <w:highlight w:val="none"/>
        </w:rPr>
        <w:t xml:space="preserve">3.4 </w:t>
      </w:r>
      <w:r>
        <w:rPr>
          <w:rFonts w:hint="eastAsia" w:ascii="宋体" w:hAnsi="宋体" w:eastAsia="宋体"/>
          <w:highlight w:val="none"/>
        </w:rPr>
        <w:t>投标保证金</w:t>
      </w:r>
      <w:bookmarkEnd w:id="170"/>
      <w:bookmarkEnd w:id="171"/>
      <w:bookmarkEnd w:id="172"/>
      <w:bookmarkEnd w:id="173"/>
    </w:p>
    <w:p w14:paraId="74C9F932">
      <w:pPr>
        <w:spacing w:line="400" w:lineRule="exact"/>
        <w:ind w:firstLine="315" w:firstLineChars="150"/>
        <w:rPr>
          <w:rFonts w:ascii="宋体" w:hAnsi="宋体"/>
          <w:highlight w:val="none"/>
        </w:rPr>
      </w:pPr>
      <w:r>
        <w:rPr>
          <w:rFonts w:hint="eastAsia" w:ascii="宋体" w:hAnsi="宋体"/>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64EB2F21">
      <w:pPr>
        <w:spacing w:line="400" w:lineRule="exact"/>
        <w:ind w:firstLine="315" w:firstLineChars="150"/>
        <w:rPr>
          <w:rFonts w:ascii="宋体" w:hAnsi="宋体"/>
          <w:highlight w:val="none"/>
        </w:rPr>
      </w:pPr>
      <w:r>
        <w:rPr>
          <w:rFonts w:hint="eastAsia" w:ascii="宋体" w:hAnsi="宋体"/>
          <w:highlight w:val="none"/>
        </w:rPr>
        <w:t>3.4.2 投标人不按本章第3.4.1项要求提交投标保证金的，评标委员会将否决其投标。</w:t>
      </w:r>
    </w:p>
    <w:p w14:paraId="533E317B">
      <w:pPr>
        <w:spacing w:line="400" w:lineRule="exact"/>
        <w:ind w:firstLine="315" w:firstLineChars="150"/>
        <w:rPr>
          <w:rFonts w:ascii="宋体" w:hAnsi="宋体"/>
          <w:highlight w:val="none"/>
        </w:rPr>
      </w:pPr>
      <w:r>
        <w:rPr>
          <w:rFonts w:hint="eastAsia" w:ascii="宋体" w:hAnsi="宋体"/>
          <w:highlight w:val="none"/>
        </w:rPr>
        <w:t>3.4.3 招标人最迟将在与中标人签订合同后5日内，向未中标的投标人和中标人退还投标保证金。</w:t>
      </w:r>
    </w:p>
    <w:p w14:paraId="314A307E">
      <w:pPr>
        <w:spacing w:line="400" w:lineRule="exact"/>
        <w:ind w:firstLine="315" w:firstLineChars="150"/>
        <w:rPr>
          <w:rFonts w:ascii="宋体" w:hAnsi="宋体"/>
          <w:highlight w:val="none"/>
        </w:rPr>
      </w:pPr>
      <w:r>
        <w:rPr>
          <w:rFonts w:hint="eastAsia" w:ascii="宋体" w:hAnsi="宋体"/>
          <w:highlight w:val="none"/>
        </w:rPr>
        <w:t>3.4.4 有下列情形之一的，投标保证金将不予退还：</w:t>
      </w:r>
    </w:p>
    <w:p w14:paraId="5878B688">
      <w:pPr>
        <w:spacing w:line="400" w:lineRule="exact"/>
        <w:ind w:firstLine="315" w:firstLineChars="150"/>
        <w:rPr>
          <w:rFonts w:ascii="宋体" w:hAnsi="宋体"/>
          <w:highlight w:val="none"/>
        </w:rPr>
      </w:pPr>
      <w:r>
        <w:rPr>
          <w:rFonts w:hint="eastAsia" w:ascii="宋体" w:hAnsi="宋体"/>
          <w:highlight w:val="none"/>
        </w:rPr>
        <w:t>（1）投标人在投标有效期内撤销投标文件；</w:t>
      </w:r>
    </w:p>
    <w:p w14:paraId="3E79D6B3">
      <w:pPr>
        <w:spacing w:line="400" w:lineRule="exact"/>
        <w:ind w:firstLine="315" w:firstLineChars="150"/>
        <w:rPr>
          <w:rFonts w:ascii="宋体" w:hAnsi="宋体"/>
          <w:highlight w:val="none"/>
        </w:rPr>
      </w:pPr>
      <w:r>
        <w:rPr>
          <w:rFonts w:hint="eastAsia" w:ascii="宋体" w:hAnsi="宋体"/>
          <w:highlight w:val="none"/>
        </w:rPr>
        <w:t>（2）中标人在收到中标通知书后，无正当理由不与招标人订立合同，在签订合同时向招标人提出附加条件，或者不按照招标文件要求提交履约保证金；</w:t>
      </w:r>
    </w:p>
    <w:p w14:paraId="1F0422D0">
      <w:pPr>
        <w:spacing w:line="400" w:lineRule="exact"/>
        <w:ind w:firstLine="315" w:firstLineChars="150"/>
        <w:rPr>
          <w:rFonts w:ascii="宋体" w:hAnsi="宋体"/>
          <w:highlight w:val="none"/>
        </w:rPr>
      </w:pPr>
      <w:r>
        <w:rPr>
          <w:rFonts w:hint="eastAsia" w:ascii="宋体" w:hAnsi="宋体"/>
          <w:highlight w:val="none"/>
        </w:rPr>
        <w:t>（3）发生投标人须知前附表规定的其他可以不予退还投标保证金的情形。</w:t>
      </w:r>
    </w:p>
    <w:p w14:paraId="4C596DA4">
      <w:pPr>
        <w:pStyle w:val="5"/>
        <w:spacing w:line="240" w:lineRule="auto"/>
        <w:ind w:firstLine="137"/>
        <w:rPr>
          <w:rFonts w:ascii="宋体" w:hAnsi="宋体" w:eastAsia="宋体"/>
          <w:highlight w:val="none"/>
        </w:rPr>
      </w:pPr>
      <w:bookmarkStart w:id="174" w:name="_Toc25196"/>
      <w:bookmarkStart w:id="175" w:name="_Toc49509988"/>
      <w:bookmarkStart w:id="176" w:name="_Toc18598"/>
      <w:bookmarkStart w:id="177" w:name="_Toc49506154"/>
      <w:r>
        <w:rPr>
          <w:rFonts w:ascii="宋体" w:hAnsi="宋体" w:eastAsia="宋体"/>
          <w:highlight w:val="none"/>
        </w:rPr>
        <w:t xml:space="preserve">3.5 </w:t>
      </w:r>
      <w:r>
        <w:rPr>
          <w:rFonts w:hint="eastAsia" w:ascii="宋体" w:hAnsi="宋体" w:eastAsia="宋体"/>
          <w:highlight w:val="none"/>
        </w:rPr>
        <w:t>资格审查资料（适用于未进行资格预审的）</w:t>
      </w:r>
      <w:bookmarkEnd w:id="174"/>
      <w:bookmarkEnd w:id="175"/>
      <w:bookmarkEnd w:id="176"/>
      <w:bookmarkEnd w:id="177"/>
    </w:p>
    <w:p w14:paraId="6E0F36C2">
      <w:pPr>
        <w:spacing w:line="400" w:lineRule="exact"/>
        <w:ind w:firstLine="420" w:firstLineChars="200"/>
        <w:rPr>
          <w:rFonts w:ascii="宋体" w:hAnsi="宋体"/>
          <w:highlight w:val="none"/>
        </w:rPr>
      </w:pPr>
      <w:r>
        <w:rPr>
          <w:rFonts w:ascii="宋体" w:hAnsi="宋体"/>
          <w:highlight w:val="none"/>
        </w:rPr>
        <w:t>除投标人须知前附表另有规定外，投标人应按下列规定提供资格审查资料，以证明其满足本章第1.4款规定的</w:t>
      </w:r>
      <w:r>
        <w:rPr>
          <w:rFonts w:hint="eastAsia" w:ascii="宋体" w:hAnsi="宋体"/>
          <w:highlight w:val="none"/>
        </w:rPr>
        <w:t>资质、财务、业绩、信誉等要求。</w:t>
      </w:r>
    </w:p>
    <w:p w14:paraId="6D346190">
      <w:pPr>
        <w:spacing w:line="400" w:lineRule="exact"/>
        <w:ind w:firstLine="420" w:firstLineChars="200"/>
        <w:rPr>
          <w:rFonts w:ascii="宋体" w:hAnsi="宋体"/>
          <w:highlight w:val="none"/>
        </w:rPr>
      </w:pPr>
      <w:r>
        <w:rPr>
          <w:rFonts w:hint="eastAsia" w:ascii="宋体" w:hAnsi="宋体"/>
          <w:highlight w:val="none"/>
        </w:rPr>
        <w:t>3.5.1 “投标人基本情况表”应附投标人</w:t>
      </w:r>
      <w:r>
        <w:rPr>
          <w:rFonts w:hint="eastAsia" w:ascii="宋体" w:hAnsi="宋体"/>
          <w:highlight w:val="none"/>
          <w:u w:val="single"/>
        </w:rPr>
        <w:t>营业执照、资质证书</w:t>
      </w:r>
      <w:r>
        <w:rPr>
          <w:rFonts w:hint="eastAsia" w:ascii="宋体" w:hAnsi="宋体"/>
          <w:highlight w:val="none"/>
        </w:rPr>
        <w:t>等材料。</w:t>
      </w:r>
    </w:p>
    <w:p w14:paraId="6AF24F1B">
      <w:pPr>
        <w:spacing w:line="400" w:lineRule="exact"/>
        <w:ind w:firstLine="420" w:firstLineChars="200"/>
        <w:rPr>
          <w:rFonts w:ascii="宋体" w:hAnsi="宋体"/>
          <w:highlight w:val="none"/>
        </w:rPr>
      </w:pPr>
      <w:r>
        <w:rPr>
          <w:rFonts w:hint="eastAsia" w:ascii="宋体" w:hAnsi="宋体"/>
          <w:highlight w:val="none"/>
        </w:rPr>
        <w:t>3.5.2 按招标公告要求提供总监理工程师相关证明资料。</w:t>
      </w:r>
    </w:p>
    <w:p w14:paraId="5077A177">
      <w:pPr>
        <w:spacing w:line="400" w:lineRule="exact"/>
        <w:ind w:firstLine="420" w:firstLineChars="200"/>
        <w:rPr>
          <w:rFonts w:ascii="宋体" w:hAnsi="宋体"/>
          <w:highlight w:val="none"/>
        </w:rPr>
      </w:pPr>
      <w:r>
        <w:rPr>
          <w:rFonts w:hint="eastAsia" w:ascii="宋体" w:hAnsi="宋体"/>
          <w:highlight w:val="none"/>
        </w:rPr>
        <w:t>3.5.3按照招标文件的附件内容签署盖章的投标人声明（原件扫描件）。</w:t>
      </w:r>
    </w:p>
    <w:p w14:paraId="268B8D9B">
      <w:pPr>
        <w:spacing w:line="400" w:lineRule="exact"/>
        <w:ind w:firstLine="420" w:firstLineChars="200"/>
        <w:rPr>
          <w:rFonts w:ascii="宋体" w:hAnsi="宋体"/>
          <w:highlight w:val="none"/>
        </w:rPr>
      </w:pPr>
      <w:r>
        <w:rPr>
          <w:rFonts w:hint="eastAsia" w:ascii="宋体" w:hAnsi="宋体"/>
          <w:highlight w:val="none"/>
        </w:rPr>
        <w:t>3.5.4投标人认为需要提交的其他资料。</w:t>
      </w:r>
    </w:p>
    <w:p w14:paraId="7091993D">
      <w:pPr>
        <w:spacing w:line="400" w:lineRule="exact"/>
        <w:ind w:firstLine="420" w:firstLineChars="200"/>
        <w:rPr>
          <w:rFonts w:ascii="宋体" w:hAnsi="宋体"/>
          <w:highlight w:val="none"/>
        </w:rPr>
      </w:pPr>
      <w:r>
        <w:rPr>
          <w:rFonts w:hint="eastAsia" w:ascii="宋体" w:hAnsi="宋体"/>
          <w:highlight w:val="none"/>
        </w:rPr>
        <w:t>3.5.5 投标人须知前附表规定不接受联合体投标。</w:t>
      </w:r>
    </w:p>
    <w:p w14:paraId="6990771F">
      <w:pPr>
        <w:pStyle w:val="5"/>
        <w:spacing w:line="240" w:lineRule="auto"/>
        <w:ind w:firstLine="137"/>
        <w:rPr>
          <w:rFonts w:ascii="宋体" w:hAnsi="宋体" w:eastAsia="宋体"/>
          <w:highlight w:val="none"/>
        </w:rPr>
      </w:pPr>
      <w:bookmarkStart w:id="178" w:name="_Toc6041"/>
      <w:bookmarkStart w:id="179" w:name="_Toc49506155"/>
      <w:bookmarkStart w:id="180" w:name="_Toc49509989"/>
      <w:bookmarkStart w:id="181" w:name="_Toc21200"/>
      <w:r>
        <w:rPr>
          <w:rFonts w:ascii="宋体" w:hAnsi="宋体" w:eastAsia="宋体"/>
          <w:highlight w:val="none"/>
        </w:rPr>
        <w:t xml:space="preserve">3.6 </w:t>
      </w:r>
      <w:r>
        <w:rPr>
          <w:rFonts w:hint="eastAsia" w:ascii="宋体" w:hAnsi="宋体" w:eastAsia="宋体"/>
          <w:highlight w:val="none"/>
        </w:rPr>
        <w:t>备选投标方案</w:t>
      </w:r>
      <w:bookmarkEnd w:id="178"/>
      <w:bookmarkEnd w:id="179"/>
      <w:bookmarkEnd w:id="180"/>
      <w:bookmarkEnd w:id="181"/>
    </w:p>
    <w:p w14:paraId="72151196">
      <w:pPr>
        <w:spacing w:line="400" w:lineRule="exact"/>
        <w:ind w:firstLine="420" w:firstLineChars="200"/>
        <w:rPr>
          <w:rFonts w:ascii="宋体" w:hAnsi="宋体"/>
          <w:highlight w:val="none"/>
        </w:rPr>
      </w:pPr>
      <w:r>
        <w:rPr>
          <w:rFonts w:ascii="宋体" w:hAnsi="宋体"/>
          <w:highlight w:val="none"/>
        </w:rPr>
        <w:t>3.6.1</w:t>
      </w:r>
      <w:r>
        <w:rPr>
          <w:rFonts w:hint="eastAsia" w:ascii="宋体" w:hAnsi="宋体"/>
          <w:highlight w:val="none"/>
        </w:rPr>
        <w:t>除投标人须知前附表规定允许外，投标人不得递交备选投标方案，否则其投标将被否决。</w:t>
      </w:r>
    </w:p>
    <w:p w14:paraId="1CF5C2ED">
      <w:pPr>
        <w:spacing w:line="400" w:lineRule="exact"/>
        <w:ind w:firstLine="420" w:firstLineChars="200"/>
        <w:rPr>
          <w:rFonts w:ascii="宋体" w:hAnsi="宋体"/>
          <w:highlight w:val="none"/>
        </w:rPr>
      </w:pPr>
      <w:r>
        <w:rPr>
          <w:rFonts w:ascii="宋体" w:hAnsi="宋体"/>
          <w:highlight w:val="none"/>
        </w:rPr>
        <w:t>3.6.2</w:t>
      </w:r>
      <w:r>
        <w:rPr>
          <w:rFonts w:hint="eastAsia" w:ascii="宋体" w:hAnsi="宋体"/>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07E7967">
      <w:pPr>
        <w:spacing w:line="400" w:lineRule="exact"/>
        <w:ind w:firstLine="420" w:firstLineChars="200"/>
        <w:rPr>
          <w:rFonts w:ascii="宋体" w:hAnsi="宋体"/>
          <w:highlight w:val="none"/>
        </w:rPr>
      </w:pPr>
      <w:r>
        <w:rPr>
          <w:rFonts w:ascii="宋体" w:hAnsi="宋体"/>
          <w:highlight w:val="none"/>
        </w:rPr>
        <w:t>3.6.3</w:t>
      </w:r>
      <w:r>
        <w:rPr>
          <w:rFonts w:hint="eastAsia" w:ascii="宋体" w:hAnsi="宋体"/>
          <w:highlight w:val="none"/>
        </w:rPr>
        <w:t>投标人提供两个或两个以上投标报价，或者在投标文件中提供一个报价，但同时提供两个或两个以上</w:t>
      </w:r>
      <w:bookmarkStart w:id="182" w:name="_Toc300834971"/>
      <w:bookmarkStart w:id="183" w:name="_Toc361508607"/>
      <w:bookmarkStart w:id="184" w:name="_Toc384308232"/>
      <w:bookmarkStart w:id="185" w:name="_Toc152042326"/>
      <w:bookmarkStart w:id="186" w:name="_Toc152045550"/>
      <w:bookmarkStart w:id="187" w:name="_Toc247513974"/>
      <w:bookmarkStart w:id="188" w:name="_Toc247527575"/>
      <w:bookmarkStart w:id="189" w:name="_Toc29902"/>
      <w:bookmarkStart w:id="190" w:name="_Toc369531538"/>
      <w:bookmarkStart w:id="191" w:name="_Toc352691495"/>
      <w:bookmarkStart w:id="192" w:name="_Toc144974518"/>
      <w:r>
        <w:rPr>
          <w:rFonts w:hint="eastAsia" w:ascii="宋体" w:hAnsi="宋体"/>
          <w:highlight w:val="none"/>
        </w:rPr>
        <w:t>监理</w:t>
      </w:r>
      <w:r>
        <w:rPr>
          <w:rFonts w:ascii="宋体" w:hAnsi="宋体"/>
          <w:highlight w:val="none"/>
        </w:rPr>
        <w:t>方案的</w:t>
      </w:r>
      <w:bookmarkEnd w:id="182"/>
      <w:bookmarkEnd w:id="183"/>
      <w:bookmarkEnd w:id="184"/>
      <w:bookmarkEnd w:id="185"/>
      <w:bookmarkEnd w:id="186"/>
      <w:bookmarkEnd w:id="187"/>
      <w:bookmarkEnd w:id="188"/>
      <w:bookmarkEnd w:id="189"/>
      <w:bookmarkEnd w:id="190"/>
      <w:bookmarkEnd w:id="191"/>
      <w:bookmarkEnd w:id="192"/>
      <w:r>
        <w:rPr>
          <w:rFonts w:ascii="宋体" w:hAnsi="宋体"/>
          <w:highlight w:val="none"/>
        </w:rPr>
        <w:t>，</w:t>
      </w:r>
      <w:r>
        <w:rPr>
          <w:rFonts w:hint="eastAsia" w:ascii="宋体" w:hAnsi="宋体"/>
          <w:highlight w:val="none"/>
        </w:rPr>
        <w:t>视为提供备选方案。</w:t>
      </w:r>
    </w:p>
    <w:p w14:paraId="3278C3BA">
      <w:pPr>
        <w:pStyle w:val="5"/>
        <w:spacing w:line="240" w:lineRule="auto"/>
        <w:ind w:firstLine="137"/>
        <w:rPr>
          <w:rFonts w:ascii="宋体" w:hAnsi="宋体" w:eastAsia="宋体"/>
          <w:highlight w:val="none"/>
        </w:rPr>
      </w:pPr>
      <w:bookmarkStart w:id="193" w:name="_Toc49506156"/>
      <w:bookmarkStart w:id="194" w:name="_Toc24294"/>
      <w:bookmarkStart w:id="195" w:name="_Toc19571"/>
      <w:bookmarkStart w:id="196" w:name="_Toc49509990"/>
      <w:r>
        <w:rPr>
          <w:rFonts w:ascii="宋体" w:hAnsi="宋体" w:eastAsia="宋体"/>
          <w:highlight w:val="none"/>
        </w:rPr>
        <w:t xml:space="preserve">3.7 </w:t>
      </w:r>
      <w:r>
        <w:rPr>
          <w:rFonts w:hint="eastAsia" w:ascii="宋体" w:hAnsi="宋体" w:eastAsia="宋体"/>
          <w:highlight w:val="none"/>
        </w:rPr>
        <w:t>投标文件的编制</w:t>
      </w:r>
      <w:bookmarkEnd w:id="193"/>
      <w:bookmarkEnd w:id="194"/>
      <w:bookmarkEnd w:id="195"/>
      <w:bookmarkEnd w:id="196"/>
    </w:p>
    <w:p w14:paraId="7082392A">
      <w:pPr>
        <w:spacing w:line="400" w:lineRule="exact"/>
        <w:ind w:firstLine="420" w:firstLineChars="200"/>
        <w:rPr>
          <w:rFonts w:ascii="宋体" w:hAnsi="宋体"/>
          <w:highlight w:val="none"/>
        </w:rPr>
      </w:pPr>
      <w:r>
        <w:rPr>
          <w:rFonts w:ascii="宋体" w:hAnsi="宋体"/>
          <w:highlight w:val="none"/>
        </w:rPr>
        <w:t>3.7.1</w:t>
      </w:r>
      <w:r>
        <w:rPr>
          <w:rFonts w:hint="eastAsia" w:ascii="宋体" w:hAnsi="宋体"/>
          <w:highlight w:val="none"/>
        </w:rPr>
        <w:t>投标文件应按第六章</w:t>
      </w:r>
      <w:r>
        <w:rPr>
          <w:rFonts w:ascii="宋体" w:hAnsi="宋体"/>
          <w:highlight w:val="none"/>
        </w:rPr>
        <w:t>“</w:t>
      </w:r>
      <w:r>
        <w:rPr>
          <w:rFonts w:hint="eastAsia" w:ascii="宋体" w:hAnsi="宋体"/>
          <w:highlight w:val="none"/>
        </w:rPr>
        <w:t>投标文件格式</w:t>
      </w:r>
      <w:r>
        <w:rPr>
          <w:rFonts w:ascii="宋体" w:hAnsi="宋体"/>
          <w:highlight w:val="none"/>
        </w:rPr>
        <w:t>”</w:t>
      </w:r>
      <w:r>
        <w:rPr>
          <w:rFonts w:hint="eastAsia" w:ascii="宋体" w:hAnsi="宋体"/>
          <w:highlight w:val="none"/>
        </w:rPr>
        <w:t>进行编写，如有必要，可以增加附页，作为投标文件的组成部分。</w:t>
      </w:r>
      <w:r>
        <w:rPr>
          <w:rFonts w:ascii="宋体" w:hAnsi="宋体"/>
          <w:highlight w:val="none"/>
        </w:rPr>
        <w:t>其中，投标函附录在满足招标文件实质性要求的基础上，可以提出比招标文件要求更有利于招标人的承诺。</w:t>
      </w:r>
    </w:p>
    <w:p w14:paraId="62C016E3">
      <w:pPr>
        <w:spacing w:line="400" w:lineRule="exact"/>
        <w:ind w:firstLine="420" w:firstLineChars="200"/>
        <w:rPr>
          <w:rFonts w:ascii="宋体" w:hAnsi="宋体"/>
          <w:highlight w:val="none"/>
        </w:rPr>
      </w:pPr>
      <w:r>
        <w:rPr>
          <w:rFonts w:ascii="宋体" w:hAnsi="宋体"/>
          <w:highlight w:val="none"/>
        </w:rPr>
        <w:t>3.7.2</w:t>
      </w:r>
      <w:r>
        <w:rPr>
          <w:rFonts w:hint="eastAsia" w:ascii="宋体" w:hAnsi="宋体"/>
          <w:highlight w:val="none"/>
        </w:rPr>
        <w:t>投标文件应当对招标文件有关服务期限、投标有效期、委托人要求、招标范围等实质性内容作出响应。</w:t>
      </w:r>
    </w:p>
    <w:p w14:paraId="19C47CC7">
      <w:pPr>
        <w:spacing w:line="400" w:lineRule="exact"/>
        <w:ind w:firstLine="420" w:firstLineChars="200"/>
        <w:rPr>
          <w:rFonts w:ascii="宋体" w:hAnsi="宋体"/>
          <w:highlight w:val="none"/>
        </w:rPr>
      </w:pPr>
      <w:r>
        <w:rPr>
          <w:rFonts w:ascii="宋体" w:hAnsi="宋体"/>
          <w:highlight w:val="none"/>
        </w:rPr>
        <w:t>3.7.3</w:t>
      </w:r>
      <w:r>
        <w:rPr>
          <w:rFonts w:hint="eastAsia" w:ascii="宋体" w:hAnsi="宋体"/>
          <w:highlight w:val="none"/>
        </w:rPr>
        <w:t>投标文件全部采用电子文档，除投标人须知前附表另有规定外，投标文件所附证书证件需为原件清晰扫描件，并采用单位数字证书，按照招标文件要求在相应位置加盖电子印章。取消在招标文件中采用个人数字证书和加盖个人电子印章要求，投标文件中需法定代表人、代理人签字或加盖电子印章的，应手签后扫描上传，对加盖个人电子印章不做要求。投标文件按招标文件要求加盖单位电子印章。具体要求见投标人须知前附表。</w:t>
      </w:r>
    </w:p>
    <w:p w14:paraId="49E26642">
      <w:pPr>
        <w:pStyle w:val="4"/>
        <w:rPr>
          <w:rFonts w:ascii="宋体" w:hAnsi="宋体" w:eastAsia="宋体"/>
          <w:highlight w:val="none"/>
        </w:rPr>
      </w:pPr>
      <w:bookmarkStart w:id="197" w:name="_Toc12720"/>
      <w:bookmarkStart w:id="198" w:name="_Toc49509991"/>
      <w:bookmarkStart w:id="199" w:name="_Toc20689"/>
      <w:r>
        <w:rPr>
          <w:rFonts w:ascii="宋体" w:hAnsi="宋体" w:eastAsia="宋体"/>
          <w:highlight w:val="none"/>
        </w:rPr>
        <w:t xml:space="preserve">4. </w:t>
      </w:r>
      <w:r>
        <w:rPr>
          <w:rFonts w:hint="eastAsia" w:ascii="宋体" w:hAnsi="宋体" w:eastAsia="宋体"/>
          <w:highlight w:val="none"/>
        </w:rPr>
        <w:t>投标</w:t>
      </w:r>
      <w:bookmarkEnd w:id="197"/>
      <w:bookmarkEnd w:id="198"/>
      <w:bookmarkEnd w:id="199"/>
    </w:p>
    <w:p w14:paraId="1739BAB1">
      <w:pPr>
        <w:pStyle w:val="5"/>
        <w:spacing w:line="240" w:lineRule="auto"/>
        <w:ind w:firstLine="137"/>
        <w:rPr>
          <w:rFonts w:ascii="宋体" w:hAnsi="宋体" w:eastAsia="宋体"/>
          <w:highlight w:val="none"/>
        </w:rPr>
      </w:pPr>
      <w:bookmarkStart w:id="200" w:name="_Toc26547"/>
      <w:bookmarkStart w:id="201" w:name="_Toc49509992"/>
      <w:bookmarkStart w:id="202" w:name="_Toc49506158"/>
      <w:bookmarkStart w:id="203" w:name="_Toc720"/>
      <w:r>
        <w:rPr>
          <w:rFonts w:ascii="宋体" w:hAnsi="宋体" w:eastAsia="宋体"/>
          <w:highlight w:val="none"/>
        </w:rPr>
        <w:t xml:space="preserve">4.1 </w:t>
      </w:r>
      <w:r>
        <w:rPr>
          <w:rFonts w:hint="eastAsia" w:ascii="宋体" w:hAnsi="宋体" w:eastAsia="宋体"/>
          <w:highlight w:val="none"/>
        </w:rPr>
        <w:t>投标文件的密封和标记</w:t>
      </w:r>
      <w:bookmarkEnd w:id="200"/>
      <w:bookmarkEnd w:id="201"/>
      <w:bookmarkEnd w:id="202"/>
      <w:bookmarkEnd w:id="203"/>
    </w:p>
    <w:p w14:paraId="48F0A117">
      <w:pPr>
        <w:spacing w:line="400" w:lineRule="exact"/>
        <w:ind w:firstLine="420" w:firstLineChars="200"/>
        <w:rPr>
          <w:rFonts w:ascii="宋体" w:hAnsi="宋体"/>
          <w:highlight w:val="none"/>
        </w:rPr>
      </w:pPr>
      <w:r>
        <w:rPr>
          <w:rFonts w:ascii="宋体" w:hAnsi="宋体"/>
          <w:highlight w:val="none"/>
        </w:rPr>
        <w:t>4.1.1</w:t>
      </w:r>
      <w:r>
        <w:rPr>
          <w:rFonts w:hint="eastAsia" w:ascii="宋体" w:hAnsi="宋体"/>
          <w:highlight w:val="none"/>
        </w:rPr>
        <w:t>投标人应当按照招标文件和电子招标投标交易平台的要求加密投标文件，具体要求见投标人须知前附表。</w:t>
      </w:r>
    </w:p>
    <w:p w14:paraId="41E38AAE">
      <w:pPr>
        <w:spacing w:line="400" w:lineRule="exact"/>
        <w:ind w:firstLine="420" w:firstLineChars="200"/>
        <w:rPr>
          <w:rFonts w:ascii="宋体" w:hAnsi="宋体"/>
          <w:highlight w:val="none"/>
        </w:rPr>
      </w:pPr>
      <w:r>
        <w:rPr>
          <w:rFonts w:hint="eastAsia" w:ascii="宋体" w:hAnsi="宋体"/>
          <w:highlight w:val="none"/>
        </w:rPr>
        <w:t>4.</w:t>
      </w:r>
      <w:r>
        <w:rPr>
          <w:rFonts w:ascii="宋体" w:hAnsi="宋体"/>
          <w:highlight w:val="none"/>
        </w:rPr>
        <w:t>1.2</w:t>
      </w:r>
      <w:r>
        <w:rPr>
          <w:rFonts w:hint="eastAsia" w:ascii="宋体" w:hAnsi="宋体"/>
          <w:highlight w:val="none"/>
        </w:rPr>
        <w:t>网上递交的电子投标文件须进行加密。</w:t>
      </w:r>
    </w:p>
    <w:p w14:paraId="66C3F2C2">
      <w:pPr>
        <w:spacing w:line="400" w:lineRule="exact"/>
        <w:ind w:firstLine="420" w:firstLineChars="200"/>
        <w:rPr>
          <w:rFonts w:ascii="宋体" w:hAnsi="宋体"/>
          <w:highlight w:val="none"/>
        </w:rPr>
      </w:pPr>
      <w:r>
        <w:rPr>
          <w:rFonts w:ascii="宋体" w:hAnsi="宋体"/>
          <w:highlight w:val="none"/>
        </w:rPr>
        <w:t>4.1.3</w:t>
      </w:r>
      <w:r>
        <w:rPr>
          <w:rFonts w:hint="eastAsia" w:ascii="宋体" w:hAnsi="宋体"/>
          <w:highlight w:val="none"/>
        </w:rPr>
        <w:t>投标文件封套上应写明的内容见投标人须知前附表。</w:t>
      </w:r>
    </w:p>
    <w:p w14:paraId="51F6EB39">
      <w:pPr>
        <w:spacing w:line="400" w:lineRule="exact"/>
        <w:ind w:firstLine="420" w:firstLineChars="200"/>
        <w:rPr>
          <w:rFonts w:ascii="宋体" w:hAnsi="宋体"/>
          <w:highlight w:val="none"/>
        </w:rPr>
      </w:pPr>
      <w:r>
        <w:rPr>
          <w:rFonts w:ascii="宋体" w:hAnsi="宋体"/>
          <w:highlight w:val="none"/>
        </w:rPr>
        <w:t>4.1.4</w:t>
      </w:r>
      <w:r>
        <w:rPr>
          <w:rFonts w:hint="eastAsia" w:ascii="宋体" w:hAnsi="宋体"/>
          <w:highlight w:val="none"/>
        </w:rPr>
        <w:t>未按本章第</w:t>
      </w:r>
      <w:r>
        <w:rPr>
          <w:rFonts w:ascii="宋体" w:hAnsi="宋体"/>
          <w:highlight w:val="none"/>
        </w:rPr>
        <w:t>4.1.1</w:t>
      </w:r>
      <w:r>
        <w:rPr>
          <w:rFonts w:hint="eastAsia" w:ascii="宋体" w:hAnsi="宋体"/>
          <w:highlight w:val="none"/>
        </w:rPr>
        <w:t>项要求密封的投标文件，招标人将予以拒收。</w:t>
      </w:r>
    </w:p>
    <w:p w14:paraId="744F7FF7">
      <w:pPr>
        <w:pStyle w:val="5"/>
        <w:spacing w:line="240" w:lineRule="auto"/>
        <w:ind w:firstLine="137"/>
        <w:rPr>
          <w:rFonts w:ascii="宋体" w:hAnsi="宋体" w:eastAsia="宋体"/>
          <w:highlight w:val="none"/>
        </w:rPr>
      </w:pPr>
      <w:bookmarkStart w:id="204" w:name="_Toc49506159"/>
      <w:bookmarkStart w:id="205" w:name="_Toc14013"/>
      <w:bookmarkStart w:id="206" w:name="_Toc309"/>
      <w:bookmarkStart w:id="207" w:name="_Toc49509993"/>
      <w:r>
        <w:rPr>
          <w:rFonts w:ascii="宋体" w:hAnsi="宋体" w:eastAsia="宋体"/>
          <w:highlight w:val="none"/>
        </w:rPr>
        <w:t xml:space="preserve">4.2 </w:t>
      </w:r>
      <w:r>
        <w:rPr>
          <w:rFonts w:hint="eastAsia" w:ascii="宋体" w:hAnsi="宋体" w:eastAsia="宋体"/>
          <w:highlight w:val="none"/>
        </w:rPr>
        <w:t>投标文件的递交</w:t>
      </w:r>
      <w:bookmarkEnd w:id="204"/>
      <w:bookmarkEnd w:id="205"/>
      <w:bookmarkEnd w:id="206"/>
      <w:bookmarkEnd w:id="207"/>
    </w:p>
    <w:p w14:paraId="01F3FAC4">
      <w:pPr>
        <w:spacing w:line="400" w:lineRule="exact"/>
        <w:ind w:firstLine="420" w:firstLineChars="200"/>
        <w:rPr>
          <w:rFonts w:ascii="宋体" w:hAnsi="宋体"/>
          <w:highlight w:val="none"/>
        </w:rPr>
      </w:pPr>
      <w:r>
        <w:rPr>
          <w:rFonts w:ascii="宋体" w:hAnsi="宋体"/>
          <w:highlight w:val="none"/>
        </w:rPr>
        <w:t>4.2.1</w:t>
      </w:r>
      <w:r>
        <w:rPr>
          <w:rFonts w:hint="eastAsia" w:ascii="宋体" w:hAnsi="宋体"/>
          <w:highlight w:val="none"/>
        </w:rPr>
        <w:t>投标人应在投标人须知前附表规定的投标截止时间前递交投标文件。</w:t>
      </w:r>
    </w:p>
    <w:p w14:paraId="2123E419">
      <w:pPr>
        <w:spacing w:line="400" w:lineRule="exact"/>
        <w:ind w:firstLine="420" w:firstLineChars="200"/>
        <w:rPr>
          <w:rFonts w:ascii="宋体" w:hAnsi="宋体"/>
          <w:highlight w:val="none"/>
        </w:rPr>
      </w:pPr>
      <w:r>
        <w:rPr>
          <w:rFonts w:ascii="宋体" w:hAnsi="宋体"/>
          <w:highlight w:val="none"/>
        </w:rPr>
        <w:t>4.2.2</w:t>
      </w:r>
      <w:r>
        <w:rPr>
          <w:rFonts w:hint="eastAsia" w:ascii="宋体" w:hAnsi="宋体"/>
          <w:highlight w:val="none"/>
        </w:rPr>
        <w:t>投标人通过下载招标文件的电子招标投标交易平台递交电子投标文件。</w:t>
      </w:r>
    </w:p>
    <w:p w14:paraId="6319753F">
      <w:pPr>
        <w:spacing w:line="400" w:lineRule="exact"/>
        <w:ind w:firstLine="420" w:firstLineChars="200"/>
        <w:rPr>
          <w:rFonts w:ascii="宋体" w:hAnsi="宋体"/>
          <w:highlight w:val="none"/>
        </w:rPr>
      </w:pPr>
      <w:r>
        <w:rPr>
          <w:rFonts w:ascii="宋体" w:hAnsi="宋体"/>
          <w:highlight w:val="none"/>
        </w:rPr>
        <w:t>4.2.3</w:t>
      </w:r>
      <w:r>
        <w:rPr>
          <w:rFonts w:hint="eastAsia" w:ascii="宋体" w:hAnsi="宋体"/>
          <w:highlight w:val="none"/>
        </w:rPr>
        <w:t>除投标人须知前附表另有规定外，投标人所递交的投标文件不予退还。</w:t>
      </w:r>
    </w:p>
    <w:p w14:paraId="20DB0D07">
      <w:pPr>
        <w:spacing w:line="400" w:lineRule="exact"/>
        <w:ind w:firstLine="420" w:firstLineChars="200"/>
        <w:rPr>
          <w:rFonts w:ascii="宋体" w:hAnsi="宋体"/>
          <w:highlight w:val="none"/>
        </w:rPr>
      </w:pPr>
      <w:r>
        <w:rPr>
          <w:rFonts w:ascii="宋体" w:hAnsi="宋体"/>
          <w:highlight w:val="none"/>
        </w:rPr>
        <w:t>4.2.4</w:t>
      </w:r>
      <w:r>
        <w:rPr>
          <w:rFonts w:hint="eastAsia" w:ascii="宋体" w:hAnsi="宋体"/>
          <w:highlight w:val="none"/>
        </w:rPr>
        <w:t>投标人</w:t>
      </w:r>
      <w:r>
        <w:rPr>
          <w:rFonts w:ascii="宋体" w:hAnsi="宋体"/>
          <w:highlight w:val="none"/>
        </w:rPr>
        <w:t>完成电子投标文件上传后，</w:t>
      </w:r>
      <w:r>
        <w:rPr>
          <w:rFonts w:hint="eastAsia" w:ascii="宋体" w:hAnsi="宋体"/>
          <w:highlight w:val="none"/>
        </w:rPr>
        <w:t>电子招标投标交易平台即时向投标人发出递交回执通知</w:t>
      </w:r>
      <w:r>
        <w:rPr>
          <w:rFonts w:ascii="宋体" w:hAnsi="宋体"/>
          <w:highlight w:val="none"/>
        </w:rPr>
        <w:t>。递交时间以递交回执通知载明的传输完成时间为准。</w:t>
      </w:r>
    </w:p>
    <w:p w14:paraId="320913D1">
      <w:pPr>
        <w:spacing w:line="400" w:lineRule="exact"/>
        <w:ind w:firstLine="420" w:firstLineChars="200"/>
        <w:jc w:val="left"/>
        <w:rPr>
          <w:rFonts w:ascii="宋体" w:hAnsi="宋体"/>
          <w:highlight w:val="none"/>
        </w:rPr>
      </w:pPr>
      <w:r>
        <w:rPr>
          <w:rFonts w:ascii="宋体" w:hAnsi="宋体"/>
          <w:highlight w:val="none"/>
        </w:rPr>
        <w:t>4.2.5逾期送达的投标文件，电子招标投标交易平台将予以拒收。</w:t>
      </w:r>
    </w:p>
    <w:p w14:paraId="375B45B0">
      <w:pPr>
        <w:pStyle w:val="5"/>
        <w:spacing w:line="240" w:lineRule="auto"/>
        <w:ind w:firstLine="137"/>
        <w:rPr>
          <w:rFonts w:ascii="宋体" w:hAnsi="宋体" w:eastAsia="宋体"/>
          <w:highlight w:val="none"/>
        </w:rPr>
      </w:pPr>
      <w:bookmarkStart w:id="208" w:name="_Toc49506160"/>
      <w:bookmarkStart w:id="209" w:name="_Toc49509994"/>
      <w:bookmarkStart w:id="210" w:name="_Toc28159"/>
      <w:bookmarkStart w:id="211" w:name="_Toc26542"/>
      <w:r>
        <w:rPr>
          <w:rFonts w:ascii="宋体" w:hAnsi="宋体" w:eastAsia="宋体"/>
          <w:highlight w:val="none"/>
        </w:rPr>
        <w:t xml:space="preserve">4.3 </w:t>
      </w:r>
      <w:r>
        <w:rPr>
          <w:rFonts w:hint="eastAsia" w:ascii="宋体" w:hAnsi="宋体" w:eastAsia="宋体"/>
          <w:highlight w:val="none"/>
        </w:rPr>
        <w:t>投标文件的修改与撤回</w:t>
      </w:r>
      <w:bookmarkEnd w:id="208"/>
      <w:bookmarkEnd w:id="209"/>
      <w:bookmarkEnd w:id="210"/>
      <w:bookmarkEnd w:id="211"/>
    </w:p>
    <w:p w14:paraId="270C9B25">
      <w:pPr>
        <w:spacing w:line="400" w:lineRule="exact"/>
        <w:ind w:firstLine="420" w:firstLineChars="200"/>
        <w:rPr>
          <w:rFonts w:ascii="宋体" w:hAnsi="宋体"/>
          <w:highlight w:val="none"/>
        </w:rPr>
      </w:pPr>
      <w:r>
        <w:rPr>
          <w:rFonts w:ascii="宋体" w:hAnsi="宋体"/>
          <w:highlight w:val="none"/>
        </w:rPr>
        <w:t>4.3.1</w:t>
      </w:r>
      <w:r>
        <w:rPr>
          <w:rFonts w:hint="eastAsia" w:ascii="宋体" w:hAnsi="宋体"/>
          <w:highlight w:val="none"/>
        </w:rPr>
        <w:t>在本章第</w:t>
      </w:r>
      <w:r>
        <w:rPr>
          <w:rFonts w:ascii="宋体" w:hAnsi="宋体"/>
          <w:highlight w:val="none"/>
        </w:rPr>
        <w:t>4.2.1</w:t>
      </w:r>
      <w:r>
        <w:rPr>
          <w:rFonts w:hint="eastAsia" w:ascii="宋体" w:hAnsi="宋体"/>
          <w:highlight w:val="none"/>
        </w:rPr>
        <w:t>项规定的投标截止时间前，投标人可以修改或撤回已递交的投标文件，但应以书面形式通知招标人。</w:t>
      </w:r>
    </w:p>
    <w:p w14:paraId="4FAF8C42">
      <w:pPr>
        <w:spacing w:line="400" w:lineRule="exact"/>
        <w:ind w:firstLine="420" w:firstLineChars="200"/>
        <w:rPr>
          <w:rFonts w:ascii="宋体" w:hAnsi="宋体"/>
          <w:highlight w:val="none"/>
        </w:rPr>
      </w:pPr>
      <w:r>
        <w:rPr>
          <w:rFonts w:ascii="宋体" w:hAnsi="宋体"/>
          <w:highlight w:val="none"/>
        </w:rPr>
        <w:t>4.3.2</w:t>
      </w:r>
      <w:r>
        <w:rPr>
          <w:rFonts w:hint="eastAsia" w:ascii="宋体" w:hAnsi="宋体"/>
          <w:highlight w:val="none"/>
        </w:rPr>
        <w:t>投标人修改或撤回已递交投标文件的通知，应按照本章第</w:t>
      </w:r>
      <w:r>
        <w:rPr>
          <w:rFonts w:ascii="宋体" w:hAnsi="宋体"/>
          <w:highlight w:val="none"/>
        </w:rPr>
        <w:t>3.7.3</w:t>
      </w:r>
      <w:r>
        <w:rPr>
          <w:rFonts w:hint="eastAsia" w:ascii="宋体" w:hAnsi="宋体"/>
          <w:highlight w:val="none"/>
        </w:rPr>
        <w:t>（</w:t>
      </w:r>
      <w:r>
        <w:rPr>
          <w:rFonts w:ascii="宋体" w:hAnsi="宋体"/>
          <w:highlight w:val="none"/>
        </w:rPr>
        <w:t>B</w:t>
      </w:r>
      <w:r>
        <w:rPr>
          <w:rFonts w:hint="eastAsia" w:ascii="宋体" w:hAnsi="宋体"/>
          <w:highlight w:val="none"/>
        </w:rPr>
        <w:t>）项的要求加盖电子印章。电子招标投标交易平台收到通知后，即时向投标人发出确认回执通知。</w:t>
      </w:r>
    </w:p>
    <w:p w14:paraId="7EF0838B">
      <w:pPr>
        <w:spacing w:line="400" w:lineRule="exact"/>
        <w:ind w:firstLine="420" w:firstLineChars="200"/>
        <w:rPr>
          <w:rFonts w:ascii="宋体" w:hAnsi="宋体"/>
          <w:highlight w:val="none"/>
        </w:rPr>
      </w:pPr>
      <w:r>
        <w:rPr>
          <w:rFonts w:ascii="宋体" w:hAnsi="宋体"/>
          <w:highlight w:val="none"/>
        </w:rPr>
        <w:t>4.3.3</w:t>
      </w:r>
      <w:r>
        <w:rPr>
          <w:rFonts w:hint="eastAsia" w:ascii="宋体" w:hAnsi="宋体"/>
          <w:highlight w:val="none"/>
        </w:rPr>
        <w:t>投标人撤回投标文件的，招标人自收到投标人书面撤回通知之日起</w:t>
      </w:r>
      <w:r>
        <w:rPr>
          <w:rFonts w:ascii="宋体" w:hAnsi="宋体"/>
          <w:highlight w:val="none"/>
        </w:rPr>
        <w:t>5</w:t>
      </w:r>
      <w:r>
        <w:rPr>
          <w:rFonts w:hint="eastAsia" w:ascii="宋体" w:hAnsi="宋体"/>
          <w:highlight w:val="none"/>
        </w:rPr>
        <w:t>日内退还已收取的投标保证金。</w:t>
      </w:r>
    </w:p>
    <w:p w14:paraId="5327A1F7">
      <w:pPr>
        <w:spacing w:line="400" w:lineRule="exact"/>
        <w:ind w:firstLine="420" w:firstLineChars="200"/>
        <w:rPr>
          <w:rFonts w:ascii="宋体" w:hAnsi="宋体"/>
          <w:highlight w:val="none"/>
        </w:rPr>
      </w:pPr>
      <w:r>
        <w:rPr>
          <w:rFonts w:ascii="宋体" w:hAnsi="宋体"/>
          <w:highlight w:val="none"/>
        </w:rPr>
        <w:t>4.3.</w:t>
      </w:r>
      <w:bookmarkStart w:id="212" w:name="_Toc384308235"/>
      <w:bookmarkStart w:id="213" w:name="_Toc247527578"/>
      <w:bookmarkStart w:id="214" w:name="_Toc361508610"/>
      <w:bookmarkStart w:id="215" w:name="_Toc19203"/>
      <w:bookmarkStart w:id="216" w:name="_Toc152045553"/>
      <w:bookmarkStart w:id="217" w:name="_Toc369531541"/>
      <w:bookmarkStart w:id="218" w:name="_Toc144974521"/>
      <w:bookmarkStart w:id="219" w:name="_Toc247513977"/>
      <w:bookmarkStart w:id="220" w:name="_Toc152042329"/>
      <w:bookmarkStart w:id="221" w:name="_Toc352691497"/>
      <w:bookmarkStart w:id="222" w:name="_Toc300834974"/>
      <w:r>
        <w:rPr>
          <w:rFonts w:ascii="宋体" w:hAnsi="宋体"/>
          <w:highlight w:val="none"/>
        </w:rPr>
        <w:t>4</w:t>
      </w:r>
      <w:r>
        <w:rPr>
          <w:rFonts w:hint="eastAsia" w:ascii="宋体" w:hAnsi="宋体"/>
          <w:highlight w:val="none"/>
        </w:rPr>
        <w:t>修改的内容为投标</w:t>
      </w:r>
      <w:bookmarkEnd w:id="212"/>
      <w:bookmarkEnd w:id="213"/>
      <w:bookmarkEnd w:id="214"/>
      <w:bookmarkEnd w:id="215"/>
      <w:bookmarkEnd w:id="216"/>
      <w:bookmarkEnd w:id="217"/>
      <w:bookmarkEnd w:id="218"/>
      <w:bookmarkEnd w:id="219"/>
      <w:bookmarkEnd w:id="220"/>
      <w:bookmarkEnd w:id="221"/>
      <w:bookmarkEnd w:id="222"/>
      <w:r>
        <w:rPr>
          <w:rFonts w:hint="eastAsia" w:ascii="宋体" w:hAnsi="宋体"/>
          <w:highlight w:val="none"/>
        </w:rPr>
        <w:t>文件的组成部分。修改的投标文件应按照本章第</w:t>
      </w:r>
      <w:r>
        <w:rPr>
          <w:rFonts w:ascii="宋体" w:hAnsi="宋体"/>
          <w:highlight w:val="none"/>
        </w:rPr>
        <w:t>3</w:t>
      </w:r>
      <w:r>
        <w:rPr>
          <w:rFonts w:hint="eastAsia" w:ascii="宋体" w:hAnsi="宋体"/>
          <w:highlight w:val="none"/>
        </w:rPr>
        <w:t>条、第</w:t>
      </w:r>
      <w:r>
        <w:rPr>
          <w:rFonts w:ascii="宋体" w:hAnsi="宋体"/>
          <w:highlight w:val="none"/>
        </w:rPr>
        <w:t>4</w:t>
      </w:r>
      <w:r>
        <w:rPr>
          <w:rFonts w:hint="eastAsia" w:ascii="宋体" w:hAnsi="宋体"/>
          <w:highlight w:val="none"/>
        </w:rPr>
        <w:t>条的规定进行编制、密封、标记和递交，并标明</w:t>
      </w:r>
      <w:r>
        <w:rPr>
          <w:rFonts w:ascii="宋体" w:hAnsi="宋体"/>
          <w:highlight w:val="none"/>
        </w:rPr>
        <w:t>“</w:t>
      </w:r>
      <w:r>
        <w:rPr>
          <w:rFonts w:hint="eastAsia" w:ascii="宋体" w:hAnsi="宋体"/>
          <w:highlight w:val="none"/>
        </w:rPr>
        <w:t>修改</w:t>
      </w:r>
      <w:r>
        <w:rPr>
          <w:rFonts w:ascii="宋体" w:hAnsi="宋体"/>
          <w:highlight w:val="none"/>
        </w:rPr>
        <w:t>”</w:t>
      </w:r>
      <w:r>
        <w:rPr>
          <w:rFonts w:hint="eastAsia" w:ascii="宋体" w:hAnsi="宋体"/>
          <w:highlight w:val="none"/>
        </w:rPr>
        <w:t>字样。</w:t>
      </w:r>
    </w:p>
    <w:p w14:paraId="4A5F39B3">
      <w:pPr>
        <w:pStyle w:val="4"/>
        <w:rPr>
          <w:rFonts w:ascii="宋体" w:hAnsi="宋体" w:eastAsia="宋体"/>
          <w:highlight w:val="none"/>
        </w:rPr>
      </w:pPr>
      <w:bookmarkStart w:id="223" w:name="_Toc12129"/>
      <w:bookmarkStart w:id="224" w:name="_Toc49509995"/>
      <w:bookmarkStart w:id="225" w:name="_Toc30687"/>
      <w:r>
        <w:rPr>
          <w:rFonts w:ascii="宋体" w:hAnsi="宋体" w:eastAsia="宋体"/>
          <w:highlight w:val="none"/>
        </w:rPr>
        <w:t xml:space="preserve">5. </w:t>
      </w:r>
      <w:r>
        <w:rPr>
          <w:rFonts w:hint="eastAsia" w:ascii="宋体" w:hAnsi="宋体" w:eastAsia="宋体"/>
          <w:highlight w:val="none"/>
        </w:rPr>
        <w:t>开标</w:t>
      </w:r>
      <w:bookmarkEnd w:id="223"/>
      <w:bookmarkEnd w:id="224"/>
      <w:bookmarkEnd w:id="225"/>
    </w:p>
    <w:p w14:paraId="2BB3DD7F">
      <w:pPr>
        <w:pStyle w:val="5"/>
        <w:spacing w:line="240" w:lineRule="auto"/>
        <w:ind w:firstLine="137"/>
        <w:rPr>
          <w:rFonts w:ascii="宋体" w:hAnsi="宋体" w:eastAsia="宋体"/>
          <w:highlight w:val="none"/>
        </w:rPr>
      </w:pPr>
      <w:bookmarkStart w:id="226" w:name="_Toc49509996"/>
      <w:bookmarkStart w:id="227" w:name="_Toc49506162"/>
      <w:bookmarkStart w:id="228" w:name="_Toc18083"/>
      <w:bookmarkStart w:id="229" w:name="_Toc13562"/>
      <w:r>
        <w:rPr>
          <w:rFonts w:ascii="宋体" w:hAnsi="宋体" w:eastAsia="宋体"/>
          <w:highlight w:val="none"/>
        </w:rPr>
        <w:t xml:space="preserve">5.1 </w:t>
      </w:r>
      <w:r>
        <w:rPr>
          <w:rFonts w:hint="eastAsia" w:ascii="宋体" w:hAnsi="宋体" w:eastAsia="宋体"/>
          <w:highlight w:val="none"/>
        </w:rPr>
        <w:t>开标时间和地点</w:t>
      </w:r>
      <w:bookmarkEnd w:id="226"/>
      <w:bookmarkEnd w:id="227"/>
      <w:bookmarkEnd w:id="228"/>
      <w:bookmarkEnd w:id="229"/>
    </w:p>
    <w:p w14:paraId="329F3E94">
      <w:pPr>
        <w:spacing w:line="400" w:lineRule="exact"/>
        <w:ind w:firstLine="420" w:firstLineChars="200"/>
        <w:rPr>
          <w:rFonts w:ascii="宋体" w:hAnsi="宋体"/>
          <w:highlight w:val="none"/>
        </w:rPr>
      </w:pPr>
      <w:r>
        <w:rPr>
          <w:rFonts w:hint="eastAsia" w:ascii="宋体" w:hAnsi="宋体"/>
          <w:highlight w:val="none"/>
        </w:rPr>
        <w:t>招标人在本章第</w:t>
      </w:r>
      <w:r>
        <w:rPr>
          <w:rFonts w:ascii="宋体" w:hAnsi="宋体"/>
          <w:highlight w:val="none"/>
        </w:rPr>
        <w:t>4.2.1</w:t>
      </w:r>
      <w:r>
        <w:rPr>
          <w:rFonts w:hint="eastAsia" w:ascii="宋体" w:hAnsi="宋体"/>
          <w:highlight w:val="none"/>
        </w:rPr>
        <w:t>项规定的投标截止时间（开标时间）</w:t>
      </w:r>
      <w:r>
        <w:rPr>
          <w:rFonts w:ascii="宋体" w:hAnsi="宋体"/>
          <w:highlight w:val="none"/>
        </w:rPr>
        <w:t>,</w:t>
      </w:r>
      <w:r>
        <w:rPr>
          <w:rFonts w:hint="eastAsia" w:ascii="宋体" w:hAnsi="宋体"/>
          <w:highlight w:val="none"/>
        </w:rPr>
        <w:t>通过电子招标投标交易平台公开开标，所有投标人的法定代表人或其委托代理人应当准时参加。</w:t>
      </w:r>
    </w:p>
    <w:p w14:paraId="73ED42D0">
      <w:pPr>
        <w:pStyle w:val="5"/>
        <w:spacing w:line="240" w:lineRule="auto"/>
        <w:ind w:firstLine="137"/>
        <w:rPr>
          <w:rFonts w:ascii="宋体" w:hAnsi="宋体" w:eastAsia="宋体"/>
          <w:highlight w:val="none"/>
        </w:rPr>
      </w:pPr>
      <w:bookmarkStart w:id="230" w:name="_Toc49506163"/>
      <w:bookmarkStart w:id="231" w:name="_Toc19238"/>
      <w:bookmarkStart w:id="232" w:name="_Toc49509997"/>
      <w:bookmarkStart w:id="233" w:name="_Toc31739"/>
      <w:r>
        <w:rPr>
          <w:rFonts w:ascii="宋体" w:hAnsi="宋体" w:eastAsia="宋体"/>
          <w:highlight w:val="none"/>
        </w:rPr>
        <w:t xml:space="preserve">5.2 </w:t>
      </w:r>
      <w:r>
        <w:rPr>
          <w:rFonts w:hint="eastAsia" w:ascii="宋体" w:hAnsi="宋体" w:eastAsia="宋体"/>
          <w:highlight w:val="none"/>
        </w:rPr>
        <w:t>开标程序</w:t>
      </w:r>
      <w:bookmarkEnd w:id="230"/>
      <w:bookmarkEnd w:id="231"/>
      <w:bookmarkEnd w:id="232"/>
      <w:bookmarkEnd w:id="233"/>
    </w:p>
    <w:p w14:paraId="2168AF7B">
      <w:pPr>
        <w:spacing w:line="400" w:lineRule="exact"/>
        <w:ind w:firstLine="420" w:firstLineChars="200"/>
        <w:rPr>
          <w:rFonts w:ascii="宋体" w:hAnsi="宋体"/>
          <w:highlight w:val="none"/>
        </w:rPr>
      </w:pPr>
      <w:r>
        <w:rPr>
          <w:rFonts w:ascii="宋体" w:hAnsi="宋体"/>
          <w:szCs w:val="21"/>
          <w:highlight w:val="none"/>
          <w:u w:val="single"/>
        </w:rPr>
        <w:t>5.2.1</w:t>
      </w:r>
      <w:r>
        <w:rPr>
          <w:rFonts w:hint="eastAsia" w:ascii="宋体" w:hAnsi="宋体"/>
          <w:highlight w:val="none"/>
        </w:rPr>
        <w:t>主持人按下列程序进行开标：</w:t>
      </w:r>
    </w:p>
    <w:p w14:paraId="7259AA8B">
      <w:pPr>
        <w:ind w:firstLine="420" w:firstLineChars="200"/>
        <w:rPr>
          <w:rFonts w:hint="eastAsia" w:ascii="宋体" w:hAnsi="宋体"/>
          <w:highlight w:val="none"/>
          <w:u w:val="single"/>
        </w:rPr>
      </w:pPr>
      <w:r>
        <w:rPr>
          <w:rFonts w:hint="eastAsia" w:ascii="宋体" w:hAnsi="宋体"/>
          <w:highlight w:val="none"/>
          <w:u w:val="single"/>
        </w:rPr>
        <w:t>（1）宣布开标纪律；</w:t>
      </w:r>
    </w:p>
    <w:p w14:paraId="0AAC9173">
      <w:pPr>
        <w:ind w:firstLine="420" w:firstLineChars="200"/>
        <w:rPr>
          <w:rFonts w:hint="eastAsia" w:ascii="宋体" w:hAnsi="宋体"/>
          <w:highlight w:val="none"/>
          <w:u w:val="single"/>
        </w:rPr>
      </w:pPr>
      <w:r>
        <w:rPr>
          <w:rFonts w:hint="eastAsia" w:ascii="宋体" w:hAnsi="宋体"/>
          <w:highlight w:val="none"/>
          <w:u w:val="single"/>
        </w:rPr>
        <w:t>（2）公布在投标截止时间前递交投标文件的投标人名称；</w:t>
      </w:r>
    </w:p>
    <w:p w14:paraId="702AECD2">
      <w:pPr>
        <w:ind w:firstLine="420" w:firstLineChars="200"/>
        <w:rPr>
          <w:rFonts w:hint="eastAsia" w:ascii="宋体" w:hAnsi="宋体"/>
          <w:highlight w:val="none"/>
          <w:u w:val="single"/>
        </w:rPr>
      </w:pPr>
      <w:r>
        <w:rPr>
          <w:rFonts w:hint="eastAsia" w:ascii="宋体" w:hAnsi="宋体"/>
          <w:highlight w:val="none"/>
          <w:u w:val="single"/>
        </w:rPr>
        <w:t>（3）宣布开标人、唱标人、记录人、监标人等有关人员姓名；</w:t>
      </w:r>
    </w:p>
    <w:p w14:paraId="3235BFA9">
      <w:pPr>
        <w:ind w:firstLine="420" w:firstLineChars="200"/>
        <w:rPr>
          <w:rFonts w:hint="eastAsia" w:ascii="宋体" w:hAnsi="宋体"/>
          <w:highlight w:val="none"/>
          <w:u w:val="single"/>
        </w:rPr>
      </w:pPr>
      <w:r>
        <w:rPr>
          <w:rFonts w:hint="eastAsia" w:ascii="宋体" w:hAnsi="宋体"/>
          <w:highlight w:val="none"/>
          <w:u w:val="single"/>
        </w:rPr>
        <w:t>（4）（B）在投标截止时间后</w:t>
      </w:r>
      <w:r>
        <w:rPr>
          <w:rFonts w:hint="eastAsia" w:ascii="宋体" w:hAnsi="宋体"/>
          <w:highlight w:val="none"/>
          <w:u w:val="single"/>
          <w:lang w:val="en-US" w:eastAsia="zh-CN"/>
        </w:rPr>
        <w:t>一</w:t>
      </w:r>
      <w:r>
        <w:rPr>
          <w:rFonts w:hint="eastAsia" w:ascii="宋体" w:hAnsi="宋体"/>
          <w:highlight w:val="none"/>
          <w:u w:val="single"/>
        </w:rPr>
        <w:t>小时内，投标人通过电子招标投标交易平台对已递交的电子投标文件进行解密，投标人完成解密后，再由招标人进行解密。解密完成后，公布招标项目名称、投标人名称、投标保证金的递交情况、投标报价、监理服务期限及其他内容，并记录在案；</w:t>
      </w:r>
    </w:p>
    <w:p w14:paraId="126B7A27">
      <w:pPr>
        <w:ind w:firstLine="420" w:firstLineChars="200"/>
        <w:rPr>
          <w:rFonts w:hint="eastAsia" w:ascii="宋体" w:hAnsi="宋体"/>
          <w:highlight w:val="none"/>
          <w:u w:val="single"/>
        </w:rPr>
      </w:pPr>
      <w:r>
        <w:rPr>
          <w:rFonts w:hint="eastAsia" w:ascii="宋体" w:hAnsi="宋体"/>
          <w:highlight w:val="none"/>
          <w:u w:val="single"/>
        </w:rPr>
        <w:t>（5）（B）投标人代表、招标人代表、监标人、记录人等有关人员在开标记录上签字确认；若有关人员不签字的，不影响开标程序；</w:t>
      </w:r>
    </w:p>
    <w:p w14:paraId="6C0C0215">
      <w:pPr>
        <w:ind w:firstLine="420" w:firstLineChars="200"/>
        <w:rPr>
          <w:rFonts w:ascii="宋体" w:hAnsi="宋体"/>
          <w:highlight w:val="none"/>
        </w:rPr>
      </w:pPr>
      <w:r>
        <w:rPr>
          <w:rFonts w:hint="eastAsia" w:ascii="宋体" w:hAnsi="宋体"/>
          <w:highlight w:val="none"/>
          <w:u w:val="single"/>
        </w:rPr>
        <w:t>（6）开标结束</w:t>
      </w:r>
      <w:r>
        <w:rPr>
          <w:rFonts w:hint="eastAsia" w:ascii="宋体" w:hAnsi="宋体"/>
          <w:highlight w:val="none"/>
        </w:rPr>
        <w:t>。</w:t>
      </w:r>
    </w:p>
    <w:p w14:paraId="2E48A649">
      <w:pPr>
        <w:ind w:firstLine="420" w:firstLineChars="200"/>
        <w:rPr>
          <w:rFonts w:ascii="宋体" w:hAnsi="宋体"/>
          <w:szCs w:val="21"/>
          <w:highlight w:val="none"/>
          <w:u w:val="single"/>
        </w:rPr>
      </w:pPr>
      <w:r>
        <w:rPr>
          <w:rFonts w:ascii="宋体" w:hAnsi="宋体"/>
          <w:szCs w:val="21"/>
          <w:highlight w:val="none"/>
          <w:u w:val="single"/>
        </w:rPr>
        <w:t>5.2.2</w:t>
      </w:r>
      <w:r>
        <w:rPr>
          <w:rFonts w:hint="eastAsia" w:ascii="宋体" w:hAnsi="宋体"/>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852564C">
      <w:pPr>
        <w:ind w:firstLine="420" w:firstLineChars="200"/>
        <w:rPr>
          <w:rFonts w:ascii="宋体" w:hAnsi="宋体"/>
          <w:bCs/>
          <w:szCs w:val="21"/>
          <w:highlight w:val="none"/>
          <w:u w:val="single"/>
        </w:rPr>
      </w:pPr>
      <w:r>
        <w:rPr>
          <w:rFonts w:hint="eastAsia" w:ascii="宋体" w:hAnsi="宋体"/>
          <w:bCs/>
          <w:szCs w:val="21"/>
          <w:highlight w:val="none"/>
          <w:u w:val="single"/>
        </w:rPr>
        <w:t>5.2.3开标时，出现下列情形之一的，不参与资格审查和评标：</w:t>
      </w:r>
    </w:p>
    <w:p w14:paraId="11CF727B">
      <w:pPr>
        <w:ind w:firstLine="420" w:firstLineChars="200"/>
        <w:rPr>
          <w:rFonts w:ascii="宋体" w:hAnsi="宋体"/>
          <w:bCs/>
          <w:szCs w:val="21"/>
          <w:highlight w:val="none"/>
          <w:u w:val="single"/>
        </w:rPr>
      </w:pPr>
      <w:r>
        <w:rPr>
          <w:rFonts w:hint="eastAsia" w:ascii="宋体" w:hAnsi="宋体"/>
          <w:bCs/>
          <w:szCs w:val="21"/>
          <w:highlight w:val="none"/>
          <w:u w:val="single"/>
        </w:rPr>
        <w:t>（1）未成功递交投标文件的。</w:t>
      </w:r>
    </w:p>
    <w:p w14:paraId="47E18216">
      <w:pPr>
        <w:ind w:firstLine="420" w:firstLineChars="200"/>
        <w:rPr>
          <w:rFonts w:ascii="宋体" w:hAnsi="宋体"/>
          <w:bCs/>
          <w:szCs w:val="21"/>
          <w:highlight w:val="none"/>
          <w:u w:val="single"/>
        </w:rPr>
      </w:pPr>
      <w:r>
        <w:rPr>
          <w:rFonts w:hint="eastAsia" w:ascii="宋体" w:hAnsi="宋体"/>
          <w:bCs/>
          <w:szCs w:val="21"/>
          <w:highlight w:val="none"/>
          <w:u w:val="single"/>
        </w:rPr>
        <w:t>（2）因投标人原因造成投标文件未解密的。</w:t>
      </w:r>
    </w:p>
    <w:p w14:paraId="51007116">
      <w:pPr>
        <w:ind w:firstLine="420" w:firstLineChars="200"/>
        <w:rPr>
          <w:rFonts w:ascii="宋体" w:hAnsi="宋体"/>
          <w:highlight w:val="none"/>
        </w:rPr>
      </w:pPr>
      <w:r>
        <w:rPr>
          <w:rFonts w:hint="eastAsia" w:ascii="宋体" w:hAnsi="宋体"/>
          <w:bCs/>
          <w:szCs w:val="21"/>
          <w:highlight w:val="none"/>
          <w:u w:val="single"/>
        </w:rPr>
        <w:t>5.2.4开标时，两个（含两个）以上的投标人加密打包投标文件电脑机器特征码一致的，不参与下一程序，并由评标委员会否决其投标。</w:t>
      </w:r>
      <w:bookmarkStart w:id="234" w:name="_Toc49506164"/>
      <w:bookmarkStart w:id="235" w:name="_Toc49509998"/>
    </w:p>
    <w:p w14:paraId="043C4235">
      <w:pPr>
        <w:pStyle w:val="5"/>
        <w:spacing w:line="240" w:lineRule="auto"/>
        <w:ind w:firstLine="137"/>
        <w:rPr>
          <w:rFonts w:ascii="宋体" w:hAnsi="宋体" w:eastAsia="宋体"/>
          <w:highlight w:val="none"/>
        </w:rPr>
      </w:pPr>
      <w:bookmarkStart w:id="236" w:name="_Toc22541"/>
      <w:bookmarkStart w:id="237" w:name="_Toc18202"/>
      <w:r>
        <w:rPr>
          <w:rFonts w:ascii="宋体" w:hAnsi="宋体" w:eastAsia="宋体"/>
          <w:highlight w:val="none"/>
        </w:rPr>
        <w:t xml:space="preserve">5.3 </w:t>
      </w:r>
      <w:r>
        <w:rPr>
          <w:rFonts w:hint="eastAsia" w:ascii="宋体" w:hAnsi="宋体" w:eastAsia="宋体"/>
          <w:highlight w:val="none"/>
        </w:rPr>
        <w:t>开标异议</w:t>
      </w:r>
      <w:bookmarkEnd w:id="234"/>
      <w:bookmarkEnd w:id="235"/>
      <w:bookmarkEnd w:id="236"/>
      <w:bookmarkEnd w:id="237"/>
    </w:p>
    <w:p w14:paraId="06C5D59C">
      <w:pPr>
        <w:spacing w:line="400" w:lineRule="exact"/>
        <w:ind w:firstLine="359" w:firstLineChars="171"/>
        <w:rPr>
          <w:rFonts w:ascii="宋体" w:hAnsi="宋体"/>
          <w:highlight w:val="none"/>
        </w:rPr>
      </w:pPr>
      <w:r>
        <w:rPr>
          <w:rFonts w:hint="eastAsia" w:ascii="宋体" w:hAnsi="宋体"/>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A61854A">
      <w:pPr>
        <w:pStyle w:val="4"/>
        <w:rPr>
          <w:rFonts w:ascii="宋体" w:hAnsi="宋体" w:eastAsia="宋体"/>
          <w:highlight w:val="none"/>
        </w:rPr>
      </w:pPr>
      <w:bookmarkStart w:id="238" w:name="_Toc18232"/>
      <w:bookmarkStart w:id="239" w:name="_Toc25347"/>
      <w:bookmarkStart w:id="240" w:name="_Toc49509999"/>
      <w:r>
        <w:rPr>
          <w:rFonts w:ascii="宋体" w:hAnsi="宋体" w:eastAsia="宋体"/>
          <w:highlight w:val="none"/>
        </w:rPr>
        <w:t xml:space="preserve">6. </w:t>
      </w:r>
      <w:r>
        <w:rPr>
          <w:rFonts w:hint="eastAsia" w:ascii="宋体" w:hAnsi="宋体" w:eastAsia="宋体"/>
          <w:highlight w:val="none"/>
        </w:rPr>
        <w:t>评标</w:t>
      </w:r>
      <w:bookmarkEnd w:id="238"/>
      <w:bookmarkEnd w:id="239"/>
      <w:bookmarkEnd w:id="240"/>
    </w:p>
    <w:p w14:paraId="5206ABF1">
      <w:pPr>
        <w:pStyle w:val="5"/>
        <w:spacing w:line="240" w:lineRule="auto"/>
        <w:ind w:firstLine="137"/>
        <w:rPr>
          <w:rFonts w:ascii="宋体" w:hAnsi="宋体" w:eastAsia="宋体"/>
          <w:highlight w:val="none"/>
        </w:rPr>
      </w:pPr>
      <w:bookmarkStart w:id="241" w:name="_Toc15978"/>
      <w:bookmarkStart w:id="242" w:name="_Toc18562"/>
      <w:bookmarkStart w:id="243" w:name="_Toc49506166"/>
      <w:bookmarkStart w:id="244" w:name="_Toc49510000"/>
      <w:r>
        <w:rPr>
          <w:rFonts w:ascii="宋体" w:hAnsi="宋体" w:eastAsia="宋体"/>
          <w:highlight w:val="none"/>
        </w:rPr>
        <w:t xml:space="preserve">6.1 </w:t>
      </w:r>
      <w:r>
        <w:rPr>
          <w:rFonts w:hint="eastAsia" w:ascii="宋体" w:hAnsi="宋体" w:eastAsia="宋体"/>
          <w:highlight w:val="none"/>
        </w:rPr>
        <w:t>评标委员会</w:t>
      </w:r>
      <w:bookmarkEnd w:id="241"/>
      <w:bookmarkEnd w:id="242"/>
      <w:bookmarkEnd w:id="243"/>
      <w:bookmarkEnd w:id="244"/>
    </w:p>
    <w:p w14:paraId="16543ABD">
      <w:pPr>
        <w:spacing w:line="400" w:lineRule="exact"/>
        <w:ind w:firstLine="420" w:firstLineChars="200"/>
        <w:rPr>
          <w:rFonts w:ascii="宋体" w:hAnsi="宋体"/>
          <w:highlight w:val="none"/>
        </w:rPr>
      </w:pPr>
      <w:r>
        <w:rPr>
          <w:rFonts w:ascii="宋体" w:hAnsi="宋体"/>
          <w:highlight w:val="none"/>
        </w:rPr>
        <w:t>6.1.1</w:t>
      </w:r>
      <w:r>
        <w:rPr>
          <w:rFonts w:hint="eastAsia" w:ascii="宋体" w:hAnsi="宋体"/>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DE0727E">
      <w:pPr>
        <w:spacing w:line="400" w:lineRule="exact"/>
        <w:ind w:firstLine="420" w:firstLineChars="200"/>
        <w:rPr>
          <w:rFonts w:ascii="宋体" w:hAnsi="宋体"/>
          <w:highlight w:val="none"/>
        </w:rPr>
      </w:pPr>
      <w:r>
        <w:rPr>
          <w:rFonts w:ascii="宋体" w:hAnsi="宋体"/>
          <w:highlight w:val="none"/>
        </w:rPr>
        <w:t>6.1.2</w:t>
      </w:r>
      <w:r>
        <w:rPr>
          <w:rFonts w:hint="eastAsia" w:ascii="宋体" w:hAnsi="宋体"/>
          <w:highlight w:val="none"/>
        </w:rPr>
        <w:t>评标委员会成员有下列情形之一的，应当回避：</w:t>
      </w:r>
    </w:p>
    <w:p w14:paraId="4DFB5D34">
      <w:pPr>
        <w:spacing w:line="400" w:lineRule="exact"/>
        <w:ind w:firstLine="718" w:firstLineChars="342"/>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）投标人或投标人主要负责人的近亲属；</w:t>
      </w:r>
    </w:p>
    <w:p w14:paraId="66B4EA1C">
      <w:pPr>
        <w:spacing w:line="400" w:lineRule="exact"/>
        <w:ind w:firstLine="718" w:firstLineChars="342"/>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）项目主管部门或者行政监督部门的人员；</w:t>
      </w:r>
    </w:p>
    <w:p w14:paraId="0917A45A">
      <w:pPr>
        <w:spacing w:line="400" w:lineRule="exact"/>
        <w:ind w:firstLine="718" w:firstLineChars="342"/>
        <w:rPr>
          <w:rFonts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）与投标人有经济利益关系，可能影响对投标公正评审的；</w:t>
      </w:r>
    </w:p>
    <w:p w14:paraId="66D71265">
      <w:pPr>
        <w:spacing w:line="400" w:lineRule="exact"/>
        <w:ind w:firstLine="718" w:firstLineChars="342"/>
        <w:rPr>
          <w:rFonts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）曾因在招标、评</w:t>
      </w:r>
      <w:bookmarkStart w:id="245" w:name="_Toc300834976"/>
      <w:bookmarkStart w:id="246" w:name="_Toc247527580"/>
      <w:bookmarkStart w:id="247" w:name="_Toc247513979"/>
      <w:bookmarkStart w:id="248" w:name="_Toc369531543"/>
      <w:bookmarkStart w:id="249" w:name="_Toc144974523"/>
      <w:bookmarkStart w:id="250" w:name="_Toc6230"/>
      <w:bookmarkStart w:id="251" w:name="_Toc152042331"/>
      <w:bookmarkStart w:id="252" w:name="_Toc152045555"/>
      <w:bookmarkStart w:id="253" w:name="_Toc384308237"/>
      <w:bookmarkStart w:id="254" w:name="_Toc352691499"/>
      <w:bookmarkStart w:id="255" w:name="_Toc361508612"/>
      <w:r>
        <w:rPr>
          <w:rFonts w:hint="eastAsia" w:ascii="宋体" w:hAnsi="宋体"/>
          <w:highlight w:val="none"/>
        </w:rPr>
        <w:t>标以及其他</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highlight w:val="none"/>
        </w:rPr>
        <w:t>与</w:t>
      </w:r>
      <w:bookmarkStart w:id="256" w:name="_Toc152042332"/>
      <w:bookmarkStart w:id="257" w:name="_Toc17703"/>
      <w:bookmarkStart w:id="258" w:name="_Toc384308238"/>
      <w:bookmarkStart w:id="259" w:name="_Toc152045556"/>
      <w:bookmarkStart w:id="260" w:name="_Toc300834977"/>
      <w:bookmarkStart w:id="261" w:name="_Toc247527581"/>
      <w:bookmarkStart w:id="262" w:name="_Toc247513980"/>
      <w:bookmarkStart w:id="263" w:name="_Toc144974524"/>
      <w:bookmarkStart w:id="264" w:name="_Toc361508613"/>
      <w:bookmarkStart w:id="265" w:name="_Toc352691500"/>
      <w:bookmarkStart w:id="266" w:name="_Toc369531544"/>
      <w:r>
        <w:rPr>
          <w:rFonts w:hint="eastAsia" w:ascii="宋体" w:hAnsi="宋体"/>
          <w:highlight w:val="none"/>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rFonts w:hint="eastAsia" w:ascii="宋体" w:hAnsi="宋体"/>
          <w:highlight w:val="none"/>
        </w:rPr>
        <w:t>为而受过行政处罚或刑事处罚的；</w:t>
      </w:r>
    </w:p>
    <w:p w14:paraId="099C91D2">
      <w:pPr>
        <w:spacing w:line="400" w:lineRule="exact"/>
        <w:ind w:firstLine="718" w:firstLineChars="342"/>
        <w:rPr>
          <w:rFonts w:ascii="宋体" w:hAnsi="宋体"/>
          <w:highlight w:val="none"/>
        </w:rPr>
      </w:pPr>
      <w:r>
        <w:rPr>
          <w:rFonts w:hint="eastAsia" w:ascii="宋体" w:hAnsi="宋体"/>
          <w:highlight w:val="none"/>
          <w:u w:val="single"/>
        </w:rPr>
        <w:t>（5）招标项目的招标人【除组成评标委员会的招标人或其委托的招标代理机构熟悉相关业务的代表外（如有）】、投标人的工作人员、退休或离职未满3年的人员；</w:t>
      </w:r>
    </w:p>
    <w:p w14:paraId="4C78C201">
      <w:pPr>
        <w:spacing w:line="400" w:lineRule="exact"/>
        <w:ind w:firstLine="718" w:firstLineChars="342"/>
        <w:rPr>
          <w:rFonts w:ascii="宋体" w:hAnsi="宋体"/>
          <w:highlight w:val="none"/>
        </w:rPr>
      </w:pPr>
      <w:r>
        <w:rPr>
          <w:rFonts w:hint="eastAsia" w:ascii="宋体" w:hAnsi="宋体"/>
          <w:highlight w:val="none"/>
        </w:rPr>
        <w:t>（6）与投标人有其他利害关系。</w:t>
      </w:r>
    </w:p>
    <w:p w14:paraId="0995936E">
      <w:pPr>
        <w:spacing w:line="400" w:lineRule="exact"/>
        <w:ind w:firstLine="420" w:firstLineChars="200"/>
        <w:rPr>
          <w:rFonts w:ascii="宋体" w:hAnsi="宋体"/>
          <w:highlight w:val="none"/>
        </w:rPr>
      </w:pPr>
      <w:r>
        <w:rPr>
          <w:rFonts w:ascii="宋体" w:hAnsi="宋体"/>
          <w:highlight w:val="none"/>
        </w:rPr>
        <w:t>6.1.3</w:t>
      </w:r>
      <w:r>
        <w:rPr>
          <w:rFonts w:hint="eastAsia" w:ascii="宋体" w:hAnsi="宋体"/>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24640C36">
      <w:pPr>
        <w:pStyle w:val="5"/>
        <w:spacing w:line="240" w:lineRule="auto"/>
        <w:ind w:firstLine="137"/>
        <w:rPr>
          <w:rFonts w:ascii="宋体" w:hAnsi="宋体" w:eastAsia="宋体"/>
          <w:highlight w:val="none"/>
        </w:rPr>
      </w:pPr>
      <w:bookmarkStart w:id="267" w:name="_Toc3442"/>
      <w:bookmarkStart w:id="268" w:name="_Toc49506167"/>
      <w:bookmarkStart w:id="269" w:name="_Toc17280"/>
      <w:bookmarkStart w:id="270" w:name="_Toc49510001"/>
      <w:r>
        <w:rPr>
          <w:rFonts w:ascii="宋体" w:hAnsi="宋体" w:eastAsia="宋体"/>
          <w:highlight w:val="none"/>
        </w:rPr>
        <w:t xml:space="preserve">6.2 </w:t>
      </w:r>
      <w:r>
        <w:rPr>
          <w:rFonts w:hint="eastAsia" w:ascii="宋体" w:hAnsi="宋体" w:eastAsia="宋体"/>
          <w:highlight w:val="none"/>
        </w:rPr>
        <w:t>评标原则</w:t>
      </w:r>
      <w:bookmarkEnd w:id="267"/>
      <w:bookmarkEnd w:id="268"/>
      <w:bookmarkEnd w:id="269"/>
      <w:bookmarkEnd w:id="270"/>
    </w:p>
    <w:p w14:paraId="03B94085">
      <w:pPr>
        <w:spacing w:line="400" w:lineRule="exact"/>
        <w:ind w:firstLine="420" w:firstLineChars="200"/>
        <w:rPr>
          <w:rFonts w:ascii="宋体" w:hAnsi="宋体"/>
          <w:highlight w:val="none"/>
        </w:rPr>
      </w:pPr>
      <w:r>
        <w:rPr>
          <w:rFonts w:hint="eastAsia" w:ascii="宋体" w:hAnsi="宋体"/>
          <w:highlight w:val="none"/>
        </w:rPr>
        <w:t>评标活动遵循公平、公正、科学和择优的原</w:t>
      </w:r>
      <w:bookmarkStart w:id="271" w:name="_Toc247513981"/>
      <w:bookmarkStart w:id="272" w:name="_Toc369531545"/>
      <w:bookmarkStart w:id="273" w:name="_Toc152045557"/>
      <w:bookmarkStart w:id="274" w:name="_Toc144974525"/>
      <w:bookmarkStart w:id="275" w:name="_Toc300834978"/>
      <w:bookmarkStart w:id="276" w:name="_Toc361508614"/>
      <w:bookmarkStart w:id="277" w:name="_Toc352691501"/>
      <w:bookmarkStart w:id="278" w:name="_Toc384308239"/>
      <w:bookmarkStart w:id="279" w:name="_Toc152042333"/>
      <w:bookmarkStart w:id="280" w:name="_Toc18949"/>
      <w:bookmarkStart w:id="281" w:name="_Toc247527582"/>
      <w:r>
        <w:rPr>
          <w:rFonts w:hint="eastAsia" w:ascii="宋体" w:hAnsi="宋体"/>
          <w:highlight w:val="none"/>
        </w:rPr>
        <w:t>则。</w:t>
      </w:r>
    </w:p>
    <w:p w14:paraId="597A49E0">
      <w:pPr>
        <w:spacing w:line="400" w:lineRule="exact"/>
        <w:ind w:firstLine="420" w:firstLineChars="200"/>
        <w:rPr>
          <w:rFonts w:ascii="宋体" w:hAnsi="宋体"/>
          <w:highlight w:val="none"/>
        </w:rPr>
      </w:pPr>
      <w:r>
        <w:rPr>
          <w:rFonts w:ascii="宋体" w:hAnsi="宋体"/>
          <w:highlight w:val="none"/>
          <w:u w:val="single"/>
        </w:rPr>
        <w:t>评标委员会在开始评标前，应了解评标专家的职责及守则，认真阅读附件七《评标委员会成员声明》的内容并签名，签字后方可进行评标。</w:t>
      </w:r>
    </w:p>
    <w:p w14:paraId="74CD4AF6">
      <w:pPr>
        <w:pStyle w:val="5"/>
        <w:spacing w:line="240" w:lineRule="auto"/>
        <w:ind w:firstLine="137"/>
        <w:rPr>
          <w:rFonts w:ascii="宋体" w:hAnsi="宋体" w:eastAsia="宋体"/>
          <w:highlight w:val="none"/>
        </w:rPr>
      </w:pPr>
      <w:bookmarkStart w:id="282" w:name="_Toc49506168"/>
      <w:bookmarkStart w:id="283" w:name="_Toc49510002"/>
      <w:bookmarkStart w:id="284" w:name="_Toc1194"/>
      <w:bookmarkStart w:id="285" w:name="_Toc16461"/>
      <w:r>
        <w:rPr>
          <w:rFonts w:ascii="宋体" w:hAnsi="宋体" w:eastAsia="宋体"/>
          <w:highlight w:val="none"/>
        </w:rPr>
        <w:t xml:space="preserve">6.3 </w:t>
      </w:r>
      <w:r>
        <w:rPr>
          <w:rFonts w:hint="eastAsia" w:ascii="宋体" w:hAnsi="宋体" w:eastAsia="宋体"/>
          <w:highlight w:val="none"/>
        </w:rPr>
        <w:t>评标</w:t>
      </w:r>
      <w:bookmarkEnd w:id="282"/>
      <w:bookmarkEnd w:id="283"/>
      <w:bookmarkEnd w:id="284"/>
      <w:bookmarkEnd w:id="285"/>
    </w:p>
    <w:p w14:paraId="23B4D0F8">
      <w:pPr>
        <w:spacing w:line="400" w:lineRule="exact"/>
        <w:ind w:firstLine="420" w:firstLineChars="200"/>
        <w:rPr>
          <w:rFonts w:ascii="宋体" w:hAnsi="宋体"/>
          <w:highlight w:val="none"/>
        </w:rPr>
      </w:pPr>
      <w:r>
        <w:rPr>
          <w:rFonts w:ascii="宋体" w:hAnsi="宋体"/>
          <w:highlight w:val="none"/>
        </w:rPr>
        <w:t>6</w:t>
      </w:r>
      <w:bookmarkEnd w:id="271"/>
      <w:bookmarkEnd w:id="272"/>
      <w:bookmarkEnd w:id="273"/>
      <w:bookmarkEnd w:id="274"/>
      <w:bookmarkEnd w:id="275"/>
      <w:bookmarkEnd w:id="276"/>
      <w:bookmarkEnd w:id="277"/>
      <w:bookmarkEnd w:id="278"/>
      <w:bookmarkEnd w:id="279"/>
      <w:bookmarkEnd w:id="280"/>
      <w:bookmarkEnd w:id="281"/>
      <w:r>
        <w:rPr>
          <w:rFonts w:ascii="宋体" w:hAnsi="宋体"/>
          <w:highlight w:val="none"/>
        </w:rPr>
        <w:t>.3.1</w:t>
      </w:r>
      <w:r>
        <w:rPr>
          <w:rFonts w:hint="eastAsia" w:ascii="宋体" w:hAnsi="宋体"/>
          <w:highlight w:val="none"/>
        </w:rPr>
        <w:t>评标委员会按照第三章</w:t>
      </w:r>
      <w:r>
        <w:rPr>
          <w:rFonts w:ascii="宋体" w:hAnsi="宋体"/>
          <w:highlight w:val="none"/>
        </w:rPr>
        <w:t>评标办法（</w:t>
      </w:r>
      <w:r>
        <w:rPr>
          <w:rFonts w:hint="eastAsia" w:ascii="宋体" w:hAnsi="宋体"/>
          <w:highlight w:val="none"/>
        </w:rPr>
        <w:t>“</w:t>
      </w:r>
      <w:r>
        <w:rPr>
          <w:rFonts w:ascii="宋体" w:hAnsi="宋体"/>
          <w:highlight w:val="none"/>
        </w:rPr>
        <w:t>评定分离</w:t>
      </w:r>
      <w:r>
        <w:rPr>
          <w:rFonts w:hint="eastAsia" w:ascii="宋体" w:hAnsi="宋体"/>
          <w:highlight w:val="none"/>
        </w:rPr>
        <w:t>”</w:t>
      </w:r>
      <w:r>
        <w:rPr>
          <w:rFonts w:ascii="宋体" w:hAnsi="宋体"/>
          <w:highlight w:val="none"/>
        </w:rPr>
        <w:t>定标办法）</w:t>
      </w:r>
      <w:r>
        <w:rPr>
          <w:rFonts w:hint="eastAsia" w:ascii="宋体" w:hAnsi="宋体"/>
          <w:highlight w:val="none"/>
        </w:rPr>
        <w:t>规定的方法、评审因素、标准和程序对投标文件进行评审。第三章</w:t>
      </w:r>
      <w:r>
        <w:rPr>
          <w:rFonts w:ascii="宋体" w:hAnsi="宋体"/>
          <w:highlight w:val="none"/>
        </w:rPr>
        <w:t>评标办法（</w:t>
      </w:r>
      <w:r>
        <w:rPr>
          <w:rFonts w:hint="eastAsia" w:ascii="宋体" w:hAnsi="宋体"/>
          <w:highlight w:val="none"/>
        </w:rPr>
        <w:t>“</w:t>
      </w:r>
      <w:r>
        <w:rPr>
          <w:rFonts w:ascii="宋体" w:hAnsi="宋体"/>
          <w:highlight w:val="none"/>
        </w:rPr>
        <w:t>评定分离</w:t>
      </w:r>
      <w:r>
        <w:rPr>
          <w:rFonts w:hint="eastAsia" w:ascii="宋体" w:hAnsi="宋体"/>
          <w:highlight w:val="none"/>
        </w:rPr>
        <w:t>”</w:t>
      </w:r>
      <w:r>
        <w:rPr>
          <w:rFonts w:ascii="宋体" w:hAnsi="宋体"/>
          <w:highlight w:val="none"/>
        </w:rPr>
        <w:t>定标办法）</w:t>
      </w:r>
      <w:r>
        <w:rPr>
          <w:rFonts w:hint="eastAsia" w:ascii="宋体" w:hAnsi="宋体"/>
          <w:highlight w:val="none"/>
        </w:rPr>
        <w:t>没有规定的方法、评审因素和标准，不作为评标依据。</w:t>
      </w:r>
    </w:p>
    <w:p w14:paraId="769F66F0">
      <w:pPr>
        <w:spacing w:line="400" w:lineRule="exact"/>
        <w:ind w:firstLine="420" w:firstLineChars="200"/>
        <w:rPr>
          <w:rFonts w:ascii="宋体" w:hAnsi="宋体"/>
          <w:highlight w:val="none"/>
        </w:rPr>
      </w:pPr>
      <w:r>
        <w:rPr>
          <w:rFonts w:ascii="宋体" w:hAnsi="宋体"/>
          <w:highlight w:val="none"/>
        </w:rPr>
        <w:t>6.3.2</w:t>
      </w:r>
      <w:r>
        <w:rPr>
          <w:rFonts w:hint="eastAsia" w:ascii="宋体" w:hAnsi="宋体"/>
          <w:highlight w:val="none"/>
        </w:rPr>
        <w:t>评标完成后，评标委员会应当向招标人提交书面评标报告和中标候选人名单。</w:t>
      </w:r>
    </w:p>
    <w:p w14:paraId="630AC3D1">
      <w:pPr>
        <w:pStyle w:val="4"/>
        <w:rPr>
          <w:rFonts w:ascii="宋体" w:hAnsi="宋体" w:eastAsia="宋体"/>
          <w:highlight w:val="none"/>
        </w:rPr>
      </w:pPr>
      <w:bookmarkStart w:id="286" w:name="_Toc49510004"/>
      <w:bookmarkStart w:id="287" w:name="_Toc28654"/>
      <w:bookmarkStart w:id="288" w:name="_Toc11163"/>
      <w:r>
        <w:rPr>
          <w:rFonts w:ascii="宋体" w:hAnsi="宋体" w:eastAsia="宋体"/>
          <w:highlight w:val="none"/>
        </w:rPr>
        <w:t xml:space="preserve">7. </w:t>
      </w:r>
      <w:r>
        <w:rPr>
          <w:rFonts w:hint="eastAsia" w:ascii="宋体" w:hAnsi="宋体" w:eastAsia="宋体"/>
          <w:highlight w:val="none"/>
        </w:rPr>
        <w:t>合同授予</w:t>
      </w:r>
      <w:bookmarkEnd w:id="286"/>
      <w:bookmarkEnd w:id="287"/>
      <w:bookmarkEnd w:id="288"/>
    </w:p>
    <w:p w14:paraId="25CF2463">
      <w:pPr>
        <w:pStyle w:val="5"/>
        <w:spacing w:line="240" w:lineRule="auto"/>
        <w:ind w:firstLine="137"/>
        <w:rPr>
          <w:rFonts w:ascii="宋体" w:hAnsi="宋体" w:eastAsia="宋体"/>
          <w:highlight w:val="none"/>
        </w:rPr>
      </w:pPr>
      <w:bookmarkStart w:id="289" w:name="_Toc49510005"/>
      <w:bookmarkStart w:id="290" w:name="_Toc13549"/>
      <w:bookmarkStart w:id="291" w:name="_Toc49506170"/>
      <w:bookmarkStart w:id="292" w:name="_Toc20573"/>
      <w:r>
        <w:rPr>
          <w:rFonts w:ascii="宋体" w:hAnsi="宋体" w:eastAsia="宋体"/>
          <w:highlight w:val="none"/>
        </w:rPr>
        <w:t xml:space="preserve">7.1 </w:t>
      </w:r>
      <w:r>
        <w:rPr>
          <w:rFonts w:hint="eastAsia" w:ascii="宋体" w:hAnsi="宋体" w:eastAsia="宋体"/>
          <w:highlight w:val="none"/>
        </w:rPr>
        <w:t>中标候选人公示</w:t>
      </w:r>
      <w:bookmarkEnd w:id="289"/>
      <w:bookmarkEnd w:id="290"/>
      <w:bookmarkEnd w:id="291"/>
      <w:bookmarkEnd w:id="292"/>
    </w:p>
    <w:p w14:paraId="43487F68">
      <w:pPr>
        <w:spacing w:line="400" w:lineRule="exact"/>
        <w:ind w:firstLine="420" w:firstLineChars="200"/>
        <w:rPr>
          <w:rFonts w:ascii="宋体" w:hAnsi="宋体"/>
          <w:highlight w:val="none"/>
        </w:rPr>
      </w:pPr>
      <w:r>
        <w:rPr>
          <w:rFonts w:hint="eastAsia" w:ascii="宋体" w:hAnsi="宋体"/>
          <w:highlight w:val="none"/>
        </w:rPr>
        <w:t>招标人在</w:t>
      </w:r>
      <w:r>
        <w:rPr>
          <w:rFonts w:ascii="宋体" w:hAnsi="宋体"/>
          <w:highlight w:val="none"/>
        </w:rPr>
        <w:t>收到评标报告</w:t>
      </w:r>
      <w:r>
        <w:rPr>
          <w:rFonts w:hint="eastAsia" w:ascii="宋体" w:hAnsi="宋体"/>
          <w:highlight w:val="none"/>
        </w:rPr>
        <w:t>之日起</w:t>
      </w:r>
      <w:r>
        <w:rPr>
          <w:rFonts w:ascii="宋体" w:hAnsi="宋体"/>
          <w:highlight w:val="none"/>
        </w:rPr>
        <w:t>3</w:t>
      </w:r>
      <w:r>
        <w:rPr>
          <w:rFonts w:hint="eastAsia" w:ascii="宋体" w:hAnsi="宋体"/>
          <w:highlight w:val="none"/>
        </w:rPr>
        <w:t>日内，按照投标人须知前附表规定的公示媒介和期限公示中标候选人，公示期不得少于</w:t>
      </w:r>
      <w:r>
        <w:rPr>
          <w:rFonts w:ascii="宋体" w:hAnsi="宋体"/>
          <w:highlight w:val="none"/>
        </w:rPr>
        <w:t>3</w:t>
      </w:r>
      <w:r>
        <w:rPr>
          <w:rFonts w:hint="eastAsia" w:ascii="宋体" w:hAnsi="宋体"/>
          <w:highlight w:val="none"/>
        </w:rPr>
        <w:t>天。</w:t>
      </w:r>
    </w:p>
    <w:p w14:paraId="5542B5EB">
      <w:pPr>
        <w:pStyle w:val="5"/>
        <w:spacing w:line="240" w:lineRule="auto"/>
        <w:ind w:firstLine="137"/>
        <w:rPr>
          <w:rFonts w:ascii="宋体" w:hAnsi="宋体" w:eastAsia="宋体"/>
          <w:highlight w:val="none"/>
        </w:rPr>
      </w:pPr>
      <w:bookmarkStart w:id="293" w:name="_Toc29362"/>
      <w:bookmarkStart w:id="294" w:name="_Toc31944"/>
      <w:bookmarkStart w:id="295" w:name="_Toc49510006"/>
      <w:bookmarkStart w:id="296" w:name="_Toc49506171"/>
      <w:r>
        <w:rPr>
          <w:rFonts w:ascii="宋体" w:hAnsi="宋体" w:eastAsia="宋体"/>
          <w:highlight w:val="none"/>
        </w:rPr>
        <w:t xml:space="preserve">7.2 </w:t>
      </w:r>
      <w:r>
        <w:rPr>
          <w:rFonts w:hint="eastAsia" w:ascii="宋体" w:hAnsi="宋体" w:eastAsia="宋体"/>
          <w:highlight w:val="none"/>
        </w:rPr>
        <w:t>评标结果异议</w:t>
      </w:r>
      <w:bookmarkEnd w:id="293"/>
      <w:bookmarkEnd w:id="294"/>
      <w:bookmarkEnd w:id="295"/>
      <w:bookmarkEnd w:id="296"/>
    </w:p>
    <w:p w14:paraId="71092AA3">
      <w:pPr>
        <w:spacing w:line="400" w:lineRule="exact"/>
        <w:ind w:firstLine="420" w:firstLineChars="200"/>
        <w:rPr>
          <w:rFonts w:ascii="宋体" w:hAnsi="宋体"/>
          <w:highlight w:val="none"/>
        </w:rPr>
      </w:pPr>
      <w:r>
        <w:rPr>
          <w:rFonts w:hint="eastAsia" w:ascii="宋体" w:hAnsi="宋体"/>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711FE6A9">
      <w:pPr>
        <w:pStyle w:val="5"/>
        <w:spacing w:line="240" w:lineRule="auto"/>
        <w:ind w:firstLine="137"/>
        <w:rPr>
          <w:rFonts w:ascii="宋体" w:hAnsi="宋体" w:eastAsia="宋体"/>
          <w:highlight w:val="none"/>
        </w:rPr>
      </w:pPr>
      <w:bookmarkStart w:id="297" w:name="_Toc28580"/>
      <w:bookmarkStart w:id="298" w:name="_Toc49506172"/>
      <w:bookmarkStart w:id="299" w:name="_Toc31572"/>
      <w:bookmarkStart w:id="300" w:name="_Toc49510007"/>
      <w:r>
        <w:rPr>
          <w:rFonts w:ascii="宋体" w:hAnsi="宋体" w:eastAsia="宋体"/>
          <w:highlight w:val="none"/>
        </w:rPr>
        <w:t xml:space="preserve">7.3 </w:t>
      </w:r>
      <w:r>
        <w:rPr>
          <w:rFonts w:hint="eastAsia" w:ascii="宋体" w:hAnsi="宋体" w:eastAsia="宋体"/>
          <w:highlight w:val="none"/>
        </w:rPr>
        <w:t>中标候选人履约能力审查</w:t>
      </w:r>
      <w:bookmarkEnd w:id="297"/>
      <w:bookmarkEnd w:id="298"/>
      <w:bookmarkEnd w:id="299"/>
      <w:bookmarkEnd w:id="300"/>
    </w:p>
    <w:p w14:paraId="5A2F3A24">
      <w:pPr>
        <w:spacing w:line="400" w:lineRule="exact"/>
        <w:ind w:firstLine="420" w:firstLineChars="200"/>
        <w:rPr>
          <w:rFonts w:ascii="宋体" w:hAnsi="宋体"/>
          <w:highlight w:val="none"/>
        </w:rPr>
      </w:pPr>
      <w:r>
        <w:rPr>
          <w:rFonts w:hint="eastAsia" w:ascii="宋体" w:hAnsi="宋体"/>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86BBC1A">
      <w:pPr>
        <w:pStyle w:val="5"/>
        <w:spacing w:line="240" w:lineRule="auto"/>
        <w:ind w:firstLine="137"/>
        <w:rPr>
          <w:rFonts w:ascii="宋体" w:hAnsi="宋体" w:eastAsia="宋体"/>
          <w:highlight w:val="none"/>
        </w:rPr>
      </w:pPr>
      <w:bookmarkStart w:id="301" w:name="_Toc19387"/>
      <w:bookmarkStart w:id="302" w:name="_Toc28024"/>
      <w:bookmarkStart w:id="303" w:name="_Toc49510008"/>
      <w:bookmarkStart w:id="304" w:name="_Toc49506173"/>
      <w:r>
        <w:rPr>
          <w:rFonts w:ascii="宋体" w:hAnsi="宋体" w:eastAsia="宋体"/>
          <w:highlight w:val="none"/>
        </w:rPr>
        <w:t xml:space="preserve">7.4 </w:t>
      </w:r>
      <w:r>
        <w:rPr>
          <w:rFonts w:hint="eastAsia" w:ascii="宋体" w:hAnsi="宋体" w:eastAsia="宋体"/>
          <w:highlight w:val="none"/>
        </w:rPr>
        <w:t>定标</w:t>
      </w:r>
      <w:bookmarkEnd w:id="301"/>
      <w:bookmarkEnd w:id="302"/>
      <w:bookmarkEnd w:id="303"/>
      <w:bookmarkEnd w:id="304"/>
    </w:p>
    <w:p w14:paraId="78A4B286">
      <w:pPr>
        <w:spacing w:line="420" w:lineRule="exact"/>
        <w:ind w:firstLine="420" w:firstLineChars="200"/>
        <w:rPr>
          <w:rFonts w:ascii="宋体" w:hAnsi="宋体"/>
          <w:highlight w:val="none"/>
          <w:u w:val="single"/>
        </w:rPr>
      </w:pPr>
      <w:r>
        <w:rPr>
          <w:rFonts w:hint="eastAsia" w:ascii="宋体" w:hAnsi="宋体"/>
          <w:szCs w:val="24"/>
          <w:highlight w:val="none"/>
          <w:u w:val="single"/>
        </w:rPr>
        <w:t>定标委员会</w:t>
      </w:r>
      <w:r>
        <w:rPr>
          <w:rFonts w:hint="eastAsia" w:ascii="宋体" w:hAnsi="宋体"/>
          <w:highlight w:val="none"/>
          <w:u w:val="single"/>
        </w:rPr>
        <w:t>按照投标人须知前附表的规定依法确定中标人。</w:t>
      </w:r>
    </w:p>
    <w:p w14:paraId="6C3F7F6E">
      <w:pPr>
        <w:pStyle w:val="5"/>
        <w:spacing w:line="240" w:lineRule="auto"/>
        <w:ind w:firstLine="137"/>
        <w:rPr>
          <w:rFonts w:ascii="宋体" w:hAnsi="宋体" w:eastAsia="宋体"/>
          <w:highlight w:val="none"/>
        </w:rPr>
      </w:pPr>
      <w:bookmarkStart w:id="305" w:name="_Toc49506174"/>
      <w:bookmarkStart w:id="306" w:name="_Toc7589"/>
      <w:bookmarkStart w:id="307" w:name="_Toc49510009"/>
      <w:bookmarkStart w:id="308" w:name="_Toc8734"/>
      <w:r>
        <w:rPr>
          <w:rFonts w:ascii="宋体" w:hAnsi="宋体" w:eastAsia="宋体"/>
          <w:highlight w:val="none"/>
        </w:rPr>
        <w:t xml:space="preserve">7.5 </w:t>
      </w:r>
      <w:r>
        <w:rPr>
          <w:rFonts w:hint="eastAsia" w:ascii="宋体" w:hAnsi="宋体" w:eastAsia="宋体"/>
          <w:highlight w:val="none"/>
        </w:rPr>
        <w:t>中标通知</w:t>
      </w:r>
      <w:bookmarkEnd w:id="305"/>
      <w:bookmarkEnd w:id="306"/>
      <w:bookmarkEnd w:id="307"/>
      <w:bookmarkEnd w:id="308"/>
    </w:p>
    <w:p w14:paraId="1ACFD274">
      <w:pPr>
        <w:spacing w:line="400" w:lineRule="exact"/>
        <w:ind w:firstLine="420" w:firstLineChars="200"/>
        <w:rPr>
          <w:rFonts w:ascii="宋体" w:hAnsi="宋体"/>
          <w:highlight w:val="none"/>
        </w:rPr>
      </w:pPr>
      <w:r>
        <w:rPr>
          <w:rFonts w:hint="eastAsia" w:ascii="宋体" w:hAnsi="宋体"/>
          <w:highlight w:val="none"/>
        </w:rPr>
        <w:t>在本章第</w:t>
      </w:r>
      <w:r>
        <w:rPr>
          <w:rFonts w:ascii="宋体" w:hAnsi="宋体"/>
          <w:highlight w:val="none"/>
        </w:rPr>
        <w:t>3.3</w:t>
      </w:r>
      <w:r>
        <w:rPr>
          <w:rFonts w:hint="eastAsia" w:ascii="宋体" w:hAnsi="宋体"/>
          <w:highlight w:val="none"/>
        </w:rPr>
        <w:t>款规定的投标有效期内，招标人以书面形式向中标人发出中标</w:t>
      </w:r>
      <w:bookmarkStart w:id="309" w:name="_Toc5668"/>
      <w:bookmarkStart w:id="310" w:name="_Toc369531550"/>
      <w:bookmarkStart w:id="311" w:name="_Toc384308244"/>
      <w:bookmarkStart w:id="312" w:name="_Toc361508619"/>
      <w:bookmarkStart w:id="313" w:name="_Toc352691506"/>
      <w:bookmarkStart w:id="314" w:name="_Toc300834983"/>
      <w:r>
        <w:rPr>
          <w:rFonts w:hint="eastAsia" w:ascii="宋体" w:hAnsi="宋体"/>
          <w:highlight w:val="none"/>
        </w:rPr>
        <w:t>通知书，同时将中</w:t>
      </w:r>
      <w:bookmarkEnd w:id="309"/>
      <w:bookmarkEnd w:id="310"/>
      <w:bookmarkEnd w:id="311"/>
      <w:bookmarkEnd w:id="312"/>
      <w:bookmarkEnd w:id="313"/>
      <w:bookmarkEnd w:id="314"/>
      <w:r>
        <w:rPr>
          <w:rFonts w:hint="eastAsia" w:ascii="宋体" w:hAnsi="宋体"/>
          <w:highlight w:val="none"/>
        </w:rPr>
        <w:t>标结果通知未中标的投标人。</w:t>
      </w:r>
    </w:p>
    <w:p w14:paraId="293D5F63">
      <w:pPr>
        <w:pStyle w:val="5"/>
        <w:spacing w:line="240" w:lineRule="auto"/>
        <w:ind w:firstLine="137"/>
        <w:rPr>
          <w:rFonts w:ascii="宋体" w:hAnsi="宋体" w:eastAsia="宋体"/>
          <w:highlight w:val="none"/>
        </w:rPr>
      </w:pPr>
      <w:bookmarkStart w:id="315" w:name="_Toc6280"/>
      <w:bookmarkStart w:id="316" w:name="_Toc49506175"/>
      <w:bookmarkStart w:id="317" w:name="_Toc49510010"/>
      <w:bookmarkStart w:id="318" w:name="_Toc9643"/>
      <w:r>
        <w:rPr>
          <w:rFonts w:ascii="宋体" w:hAnsi="宋体" w:eastAsia="宋体"/>
          <w:highlight w:val="none"/>
        </w:rPr>
        <w:t xml:space="preserve">7.6 </w:t>
      </w:r>
      <w:r>
        <w:rPr>
          <w:rFonts w:hint="eastAsia" w:ascii="宋体" w:hAnsi="宋体" w:eastAsia="宋体"/>
          <w:highlight w:val="none"/>
        </w:rPr>
        <w:t>履约保证金</w:t>
      </w:r>
      <w:bookmarkEnd w:id="315"/>
      <w:bookmarkEnd w:id="316"/>
      <w:bookmarkEnd w:id="317"/>
      <w:bookmarkEnd w:id="318"/>
    </w:p>
    <w:p w14:paraId="4C73E6FE">
      <w:pPr>
        <w:spacing w:line="400" w:lineRule="exact"/>
        <w:ind w:firstLine="420" w:firstLineChars="200"/>
        <w:rPr>
          <w:rFonts w:ascii="宋体" w:hAnsi="宋体"/>
          <w:highlight w:val="none"/>
        </w:rPr>
      </w:pPr>
      <w:r>
        <w:rPr>
          <w:rFonts w:ascii="宋体" w:hAnsi="宋体"/>
          <w:highlight w:val="none"/>
        </w:rPr>
        <w:t>7.6.1</w:t>
      </w:r>
      <w:r>
        <w:rPr>
          <w:rFonts w:hint="eastAsia" w:ascii="宋体" w:hAnsi="宋体"/>
          <w:highlight w:val="none"/>
        </w:rPr>
        <w:t>在签订合同前，中标人应按投标人须知前附表规定的形式、金额和招标文件第四章</w:t>
      </w:r>
      <w:r>
        <w:rPr>
          <w:rFonts w:ascii="宋体" w:hAnsi="宋体"/>
          <w:highlight w:val="none"/>
        </w:rPr>
        <w:t>“</w:t>
      </w:r>
      <w:r>
        <w:rPr>
          <w:rFonts w:hint="eastAsia" w:ascii="宋体" w:hAnsi="宋体"/>
          <w:highlight w:val="none"/>
        </w:rPr>
        <w:t>合同条款及格式</w:t>
      </w:r>
      <w:r>
        <w:rPr>
          <w:rFonts w:ascii="宋体" w:hAnsi="宋体"/>
          <w:highlight w:val="none"/>
        </w:rPr>
        <w:t>”</w:t>
      </w:r>
      <w:r>
        <w:rPr>
          <w:rFonts w:hint="eastAsia" w:ascii="宋体" w:hAnsi="宋体"/>
          <w:highlight w:val="none"/>
        </w:rPr>
        <w:t>规定的或者事先经过招标人书面认可的履约保证金格式向招标人提交履约保证金。除投标人须知前附表另有规定外，履约保证金为中标合同金额的</w:t>
      </w:r>
      <w:r>
        <w:rPr>
          <w:rFonts w:ascii="宋体" w:hAnsi="宋体"/>
          <w:highlight w:val="none"/>
        </w:rPr>
        <w:t>10%</w:t>
      </w:r>
      <w:r>
        <w:rPr>
          <w:rFonts w:hint="eastAsia" w:ascii="宋体" w:hAnsi="宋体"/>
          <w:highlight w:val="none"/>
        </w:rPr>
        <w:t>。</w:t>
      </w:r>
      <w:r>
        <w:rPr>
          <w:rFonts w:hint="eastAsia" w:ascii="宋体" w:hAnsi="宋体"/>
          <w:strike/>
          <w:highlight w:val="none"/>
        </w:rPr>
        <w:t>联合体中标的，其履约保证金以联合体各方或者联合体中牵头人的名义提交。</w:t>
      </w:r>
    </w:p>
    <w:p w14:paraId="0D2B995D">
      <w:pPr>
        <w:spacing w:line="400" w:lineRule="exact"/>
        <w:ind w:firstLine="420" w:firstLineChars="200"/>
        <w:rPr>
          <w:rFonts w:ascii="宋体" w:hAnsi="宋体"/>
          <w:strike/>
          <w:highlight w:val="none"/>
        </w:rPr>
      </w:pPr>
      <w:r>
        <w:rPr>
          <w:rFonts w:ascii="宋体" w:hAnsi="宋体"/>
          <w:highlight w:val="none"/>
        </w:rPr>
        <w:t>7.6.2</w:t>
      </w:r>
      <w:r>
        <w:rPr>
          <w:rFonts w:hint="eastAsia" w:ascii="宋体" w:hAnsi="宋体"/>
          <w:highlight w:val="none"/>
        </w:rPr>
        <w:t>中标人不能按本章第</w:t>
      </w:r>
      <w:r>
        <w:rPr>
          <w:rFonts w:ascii="宋体" w:hAnsi="宋体"/>
          <w:highlight w:val="none"/>
        </w:rPr>
        <w:t>7.6.1</w:t>
      </w:r>
      <w:r>
        <w:rPr>
          <w:rFonts w:hint="eastAsia" w:ascii="宋体" w:hAnsi="宋体"/>
          <w:highlight w:val="none"/>
        </w:rPr>
        <w:t>项要求提交履约保证金的，视为放弃中标，其投标保证金不予退还，给招标人造成的损失超过投标保证金数额的，中标人还应当对超过部分予以赔偿。</w:t>
      </w:r>
    </w:p>
    <w:p w14:paraId="16B4856C">
      <w:pPr>
        <w:pStyle w:val="5"/>
        <w:spacing w:line="240" w:lineRule="auto"/>
        <w:ind w:firstLine="137"/>
        <w:rPr>
          <w:rFonts w:ascii="宋体" w:hAnsi="宋体" w:eastAsia="宋体"/>
          <w:highlight w:val="none"/>
        </w:rPr>
      </w:pPr>
      <w:bookmarkStart w:id="319" w:name="_Toc11900"/>
      <w:bookmarkStart w:id="320" w:name="_Toc11367"/>
      <w:bookmarkStart w:id="321" w:name="_Toc49506176"/>
      <w:bookmarkStart w:id="322" w:name="_Toc49510011"/>
      <w:r>
        <w:rPr>
          <w:rFonts w:ascii="宋体" w:hAnsi="宋体" w:eastAsia="宋体"/>
          <w:highlight w:val="none"/>
        </w:rPr>
        <w:t xml:space="preserve">7.7 </w:t>
      </w:r>
      <w:r>
        <w:rPr>
          <w:rFonts w:hint="eastAsia" w:ascii="宋体" w:hAnsi="宋体" w:eastAsia="宋体"/>
          <w:highlight w:val="none"/>
        </w:rPr>
        <w:t>签订合同</w:t>
      </w:r>
      <w:bookmarkEnd w:id="319"/>
      <w:bookmarkEnd w:id="320"/>
      <w:bookmarkEnd w:id="321"/>
      <w:bookmarkEnd w:id="322"/>
    </w:p>
    <w:p w14:paraId="028D43AD">
      <w:pPr>
        <w:spacing w:line="400" w:lineRule="exact"/>
        <w:ind w:firstLine="420" w:firstLineChars="200"/>
        <w:rPr>
          <w:rFonts w:ascii="宋体" w:hAnsi="宋体"/>
          <w:highlight w:val="none"/>
        </w:rPr>
      </w:pPr>
      <w:r>
        <w:rPr>
          <w:rFonts w:ascii="宋体" w:hAnsi="宋体"/>
          <w:highlight w:val="none"/>
        </w:rPr>
        <w:t>7.7.1</w:t>
      </w:r>
      <w:r>
        <w:rPr>
          <w:rFonts w:hint="eastAsia" w:ascii="宋体" w:hAnsi="宋体"/>
          <w:highlight w:val="none"/>
        </w:rPr>
        <w:t>招标人和中标人应当在中标通知书发出之日起</w:t>
      </w:r>
      <w:r>
        <w:rPr>
          <w:rFonts w:ascii="宋体" w:hAnsi="宋体"/>
          <w:highlight w:val="none"/>
        </w:rPr>
        <w:t>30</w:t>
      </w:r>
      <w:r>
        <w:rPr>
          <w:rFonts w:hint="eastAsia" w:ascii="宋体" w:hAnsi="宋体"/>
          <w:highlight w:val="none"/>
        </w:rPr>
        <w:t>日内，根据招标文件和中标人的投标文件订立书面合同。中标人</w:t>
      </w:r>
      <w:r>
        <w:rPr>
          <w:rFonts w:ascii="宋体" w:hAnsi="宋体"/>
          <w:highlight w:val="none"/>
        </w:rPr>
        <w:t>无正当理由</w:t>
      </w:r>
      <w:r>
        <w:rPr>
          <w:rFonts w:hint="eastAsia" w:ascii="宋体" w:hAnsi="宋体"/>
          <w:highlight w:val="none"/>
        </w:rPr>
        <w:t>拒签</w:t>
      </w:r>
      <w:r>
        <w:rPr>
          <w:rFonts w:ascii="宋体" w:hAnsi="宋体"/>
          <w:highlight w:val="none"/>
        </w:rPr>
        <w:t>合同，在签订合同时向招标人提出附加条件，或者不按照招标文件要求提交履约保证金的</w:t>
      </w:r>
      <w:r>
        <w:rPr>
          <w:rFonts w:hint="eastAsia" w:ascii="宋体" w:hAnsi="宋体"/>
          <w:highlight w:val="none"/>
        </w:rPr>
        <w:t>，招标人有权取消其中标资格，其投标保证金不予退还；给招标人造成的损失超过投标保证金数额的，中标人还应当对超过部分予以赔偿。</w:t>
      </w:r>
    </w:p>
    <w:p w14:paraId="0129EC33">
      <w:pPr>
        <w:spacing w:line="400" w:lineRule="exact"/>
        <w:ind w:firstLine="420" w:firstLineChars="200"/>
        <w:rPr>
          <w:rFonts w:ascii="宋体" w:hAnsi="宋体"/>
          <w:highlight w:val="none"/>
        </w:rPr>
      </w:pPr>
      <w:r>
        <w:rPr>
          <w:rFonts w:ascii="宋体" w:hAnsi="宋体"/>
          <w:highlight w:val="none"/>
        </w:rPr>
        <w:t>7.7.2</w:t>
      </w:r>
      <w:r>
        <w:rPr>
          <w:rFonts w:hint="eastAsia" w:ascii="宋体" w:hAnsi="宋体"/>
          <w:highlight w:val="none"/>
        </w:rPr>
        <w:t>发出中标通知书后，招标人无正当理由拒签合同，或者</w:t>
      </w:r>
      <w:r>
        <w:rPr>
          <w:rFonts w:ascii="宋体" w:hAnsi="宋体"/>
          <w:highlight w:val="none"/>
        </w:rPr>
        <w:t>在签订合同时</w:t>
      </w:r>
      <w:r>
        <w:rPr>
          <w:rFonts w:hint="eastAsia" w:ascii="宋体" w:hAnsi="宋体"/>
          <w:highlight w:val="none"/>
        </w:rPr>
        <w:t>向中标人提出附加条件的，招标人向中标人退还投标保证金；给中标人造成损失的，还应当赔偿损失。</w:t>
      </w:r>
    </w:p>
    <w:p w14:paraId="6ADC6328">
      <w:pPr>
        <w:spacing w:line="400" w:lineRule="exact"/>
        <w:ind w:firstLine="420" w:firstLineChars="200"/>
        <w:rPr>
          <w:rFonts w:ascii="宋体" w:hAnsi="宋体"/>
          <w:highlight w:val="none"/>
        </w:rPr>
      </w:pPr>
      <w:r>
        <w:rPr>
          <w:rFonts w:ascii="宋体" w:hAnsi="宋体"/>
          <w:strike/>
          <w:highlight w:val="none"/>
        </w:rPr>
        <w:t>7.7.3</w:t>
      </w:r>
      <w:r>
        <w:rPr>
          <w:rFonts w:hint="eastAsia" w:ascii="宋体" w:hAnsi="宋体"/>
          <w:strike/>
          <w:highlight w:val="none"/>
        </w:rPr>
        <w:t>联合体中标的，联合体各方应当共同与招标人签订合同，就中标项目向招标人承担连带责任。</w:t>
      </w:r>
    </w:p>
    <w:p w14:paraId="23F9DC22">
      <w:pPr>
        <w:pStyle w:val="4"/>
        <w:rPr>
          <w:rFonts w:ascii="宋体" w:hAnsi="宋体" w:eastAsia="宋体"/>
          <w:highlight w:val="none"/>
        </w:rPr>
      </w:pPr>
      <w:bookmarkStart w:id="323" w:name="_Toc361508627"/>
      <w:bookmarkStart w:id="324" w:name="_Toc24067"/>
      <w:bookmarkStart w:id="325" w:name="_Toc384308252"/>
      <w:bookmarkStart w:id="326" w:name="_Toc49510012"/>
      <w:bookmarkStart w:id="327" w:name="_Toc12751"/>
      <w:bookmarkStart w:id="328" w:name="_Toc8164"/>
      <w:bookmarkStart w:id="329" w:name="_Toc300834991"/>
      <w:bookmarkStart w:id="330" w:name="_Toc152045568"/>
      <w:bookmarkStart w:id="331" w:name="_Toc144974536"/>
      <w:bookmarkStart w:id="332" w:name="_Toc247527593"/>
      <w:bookmarkStart w:id="333" w:name="_Toc247513992"/>
      <w:bookmarkStart w:id="334" w:name="_Toc152042344"/>
      <w:r>
        <w:rPr>
          <w:rFonts w:ascii="宋体" w:hAnsi="宋体" w:eastAsia="宋体"/>
          <w:highlight w:val="none"/>
        </w:rPr>
        <w:t>8.</w:t>
      </w:r>
      <w:bookmarkEnd w:id="323"/>
      <w:bookmarkEnd w:id="324"/>
      <w:bookmarkEnd w:id="325"/>
      <w:r>
        <w:rPr>
          <w:rFonts w:hint="eastAsia" w:ascii="宋体" w:hAnsi="宋体" w:eastAsia="宋体"/>
          <w:highlight w:val="none"/>
        </w:rPr>
        <w:t>纪律和监督</w:t>
      </w:r>
      <w:bookmarkEnd w:id="326"/>
      <w:bookmarkEnd w:id="327"/>
      <w:bookmarkEnd w:id="328"/>
    </w:p>
    <w:p w14:paraId="0052D21C">
      <w:pPr>
        <w:pStyle w:val="5"/>
        <w:spacing w:line="240" w:lineRule="auto"/>
        <w:ind w:firstLine="137"/>
        <w:rPr>
          <w:rFonts w:ascii="宋体" w:hAnsi="宋体" w:eastAsia="宋体"/>
          <w:highlight w:val="none"/>
        </w:rPr>
      </w:pPr>
      <w:bookmarkStart w:id="335" w:name="_Toc16913"/>
      <w:bookmarkStart w:id="336" w:name="_Toc49510013"/>
      <w:bookmarkStart w:id="337" w:name="_Toc49506178"/>
      <w:bookmarkStart w:id="338" w:name="_Toc1519"/>
      <w:r>
        <w:rPr>
          <w:rFonts w:ascii="宋体" w:hAnsi="宋体" w:eastAsia="宋体"/>
          <w:highlight w:val="none"/>
        </w:rPr>
        <w:t xml:space="preserve">8.1 </w:t>
      </w:r>
      <w:r>
        <w:rPr>
          <w:rFonts w:hint="eastAsia" w:ascii="宋体" w:hAnsi="宋体" w:eastAsia="宋体"/>
          <w:highlight w:val="none"/>
        </w:rPr>
        <w:t>对招标人的纪律要求</w:t>
      </w:r>
      <w:bookmarkEnd w:id="335"/>
      <w:bookmarkEnd w:id="336"/>
      <w:bookmarkEnd w:id="337"/>
      <w:bookmarkEnd w:id="338"/>
    </w:p>
    <w:p w14:paraId="4642425A">
      <w:pPr>
        <w:spacing w:line="400" w:lineRule="exact"/>
        <w:ind w:firstLine="420" w:firstLineChars="200"/>
        <w:rPr>
          <w:rFonts w:ascii="宋体" w:hAnsi="宋体"/>
          <w:highlight w:val="none"/>
        </w:rPr>
      </w:pPr>
      <w:r>
        <w:rPr>
          <w:rFonts w:hint="eastAsia" w:ascii="宋体" w:hAnsi="宋体"/>
          <w:highlight w:val="none"/>
        </w:rPr>
        <w:t>招标人不得泄露招标投标活动中应当保密的情况和资料，不得与投标人串通损害国家利益、社会公共利益或者他人合法权益。</w:t>
      </w:r>
    </w:p>
    <w:p w14:paraId="73389133">
      <w:pPr>
        <w:pStyle w:val="5"/>
        <w:spacing w:line="240" w:lineRule="auto"/>
        <w:ind w:firstLine="137"/>
        <w:rPr>
          <w:rFonts w:ascii="宋体" w:hAnsi="宋体" w:eastAsia="宋体"/>
          <w:highlight w:val="none"/>
        </w:rPr>
      </w:pPr>
      <w:bookmarkStart w:id="339" w:name="_Toc49510014"/>
      <w:bookmarkStart w:id="340" w:name="_Toc49506179"/>
      <w:bookmarkStart w:id="341" w:name="_Toc2287"/>
      <w:bookmarkStart w:id="342" w:name="_Toc1999"/>
      <w:r>
        <w:rPr>
          <w:rFonts w:ascii="宋体" w:hAnsi="宋体" w:eastAsia="宋体"/>
          <w:highlight w:val="none"/>
        </w:rPr>
        <w:t xml:space="preserve">8.2 </w:t>
      </w:r>
      <w:r>
        <w:rPr>
          <w:rFonts w:hint="eastAsia" w:ascii="宋体" w:hAnsi="宋体" w:eastAsia="宋体"/>
          <w:highlight w:val="none"/>
        </w:rPr>
        <w:t>对投标人的纪律要求</w:t>
      </w:r>
      <w:bookmarkEnd w:id="339"/>
      <w:bookmarkEnd w:id="340"/>
      <w:bookmarkEnd w:id="341"/>
      <w:bookmarkEnd w:id="342"/>
    </w:p>
    <w:p w14:paraId="7D0F9EDD">
      <w:pPr>
        <w:spacing w:line="400" w:lineRule="exact"/>
        <w:ind w:firstLine="420" w:firstLineChars="200"/>
        <w:rPr>
          <w:rFonts w:ascii="宋体" w:hAnsi="宋体"/>
          <w:highlight w:val="none"/>
        </w:rPr>
      </w:pPr>
      <w:r>
        <w:rPr>
          <w:rFonts w:hint="eastAsia" w:ascii="宋体" w:hAnsi="宋体"/>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7806477">
      <w:pPr>
        <w:pStyle w:val="5"/>
        <w:spacing w:line="240" w:lineRule="auto"/>
        <w:ind w:firstLine="137"/>
        <w:rPr>
          <w:rFonts w:ascii="宋体" w:hAnsi="宋体" w:eastAsia="宋体"/>
          <w:highlight w:val="none"/>
        </w:rPr>
      </w:pPr>
      <w:bookmarkStart w:id="343" w:name="_Toc29888"/>
      <w:bookmarkStart w:id="344" w:name="_Toc2862"/>
      <w:bookmarkStart w:id="345" w:name="_Toc49506180"/>
      <w:bookmarkStart w:id="346" w:name="_Toc49510015"/>
      <w:r>
        <w:rPr>
          <w:rFonts w:ascii="宋体" w:hAnsi="宋体" w:eastAsia="宋体"/>
          <w:highlight w:val="none"/>
        </w:rPr>
        <w:t xml:space="preserve">8.3 </w:t>
      </w:r>
      <w:r>
        <w:rPr>
          <w:rFonts w:hint="eastAsia" w:ascii="宋体" w:hAnsi="宋体" w:eastAsia="宋体"/>
          <w:highlight w:val="none"/>
        </w:rPr>
        <w:t>对评标委员会成员的纪律要求</w:t>
      </w:r>
      <w:bookmarkEnd w:id="343"/>
      <w:bookmarkEnd w:id="344"/>
      <w:bookmarkEnd w:id="345"/>
      <w:bookmarkEnd w:id="346"/>
    </w:p>
    <w:p w14:paraId="284857B0">
      <w:pPr>
        <w:spacing w:line="400" w:lineRule="exact"/>
        <w:ind w:firstLine="420" w:firstLineChars="200"/>
        <w:rPr>
          <w:rFonts w:ascii="宋体" w:hAnsi="宋体"/>
          <w:highlight w:val="none"/>
        </w:rPr>
      </w:pPr>
      <w:r>
        <w:rPr>
          <w:rFonts w:hint="eastAsia" w:ascii="宋体" w:hAnsi="宋体"/>
          <w:highlight w:val="none"/>
        </w:rPr>
        <w:t>评标委员会成员不得收受他人的财物或者其他好处，不得向他人透露对投标文件的评审</w:t>
      </w:r>
      <w:bookmarkStart w:id="347" w:name="_Toc384308253"/>
      <w:bookmarkStart w:id="348" w:name="_Toc361508628"/>
      <w:bookmarkStart w:id="349" w:name="_Toc13644"/>
      <w:bookmarkStart w:id="350" w:name="_Toc352691515"/>
      <w:bookmarkStart w:id="351" w:name="_Toc369531559"/>
      <w:r>
        <w:rPr>
          <w:rFonts w:hint="eastAsia" w:ascii="宋体" w:hAnsi="宋体"/>
          <w:highlight w:val="none"/>
        </w:rPr>
        <w:t>和比较、中标候选人</w:t>
      </w:r>
      <w:bookmarkEnd w:id="329"/>
      <w:bookmarkEnd w:id="330"/>
      <w:bookmarkEnd w:id="331"/>
      <w:bookmarkEnd w:id="332"/>
      <w:bookmarkEnd w:id="333"/>
      <w:bookmarkEnd w:id="334"/>
      <w:bookmarkEnd w:id="347"/>
      <w:bookmarkEnd w:id="348"/>
      <w:bookmarkEnd w:id="349"/>
      <w:bookmarkEnd w:id="350"/>
      <w:bookmarkEnd w:id="351"/>
      <w:r>
        <w:rPr>
          <w:rFonts w:hint="eastAsia" w:ascii="宋体" w:hAnsi="宋体"/>
          <w:highlight w:val="none"/>
        </w:rPr>
        <w:t>的推荐情况以及评标有关的其他情况。在评标活动中，评标委员会成员应当客观、公正地履行职责，遵守职业道德，不得擅离职守，影响评标程序正常进行，不得使用第三章</w:t>
      </w:r>
      <w:r>
        <w:rPr>
          <w:rFonts w:ascii="宋体" w:hAnsi="宋体"/>
          <w:highlight w:val="none"/>
        </w:rPr>
        <w:t>评标办法（</w:t>
      </w:r>
      <w:r>
        <w:rPr>
          <w:rFonts w:hint="eastAsia" w:ascii="宋体" w:hAnsi="宋体"/>
          <w:highlight w:val="none"/>
        </w:rPr>
        <w:t>“</w:t>
      </w:r>
      <w:r>
        <w:rPr>
          <w:rFonts w:ascii="宋体" w:hAnsi="宋体"/>
          <w:highlight w:val="none"/>
        </w:rPr>
        <w:t>评定分离</w:t>
      </w:r>
      <w:r>
        <w:rPr>
          <w:rFonts w:hint="eastAsia" w:ascii="宋体" w:hAnsi="宋体"/>
          <w:highlight w:val="none"/>
        </w:rPr>
        <w:t>”</w:t>
      </w:r>
      <w:r>
        <w:rPr>
          <w:rFonts w:ascii="宋体" w:hAnsi="宋体"/>
          <w:highlight w:val="none"/>
        </w:rPr>
        <w:t>定标办法）</w:t>
      </w:r>
      <w:r>
        <w:rPr>
          <w:rFonts w:hint="eastAsia" w:ascii="宋体" w:hAnsi="宋体"/>
          <w:highlight w:val="none"/>
        </w:rPr>
        <w:t>没有规定的评审因素和标准进行评标。</w:t>
      </w:r>
    </w:p>
    <w:p w14:paraId="7A383A1B">
      <w:pPr>
        <w:pStyle w:val="5"/>
        <w:spacing w:line="240" w:lineRule="auto"/>
        <w:ind w:firstLine="137"/>
        <w:rPr>
          <w:rFonts w:ascii="宋体" w:hAnsi="宋体" w:eastAsia="宋体"/>
          <w:highlight w:val="none"/>
        </w:rPr>
      </w:pPr>
      <w:bookmarkStart w:id="352" w:name="_Toc14863"/>
      <w:bookmarkStart w:id="353" w:name="_Toc49506181"/>
      <w:bookmarkStart w:id="354" w:name="_Toc14070"/>
      <w:bookmarkStart w:id="355" w:name="_Toc49510016"/>
      <w:r>
        <w:rPr>
          <w:rFonts w:ascii="宋体" w:hAnsi="宋体" w:eastAsia="宋体"/>
          <w:highlight w:val="none"/>
        </w:rPr>
        <w:t xml:space="preserve">8.4 </w:t>
      </w:r>
      <w:r>
        <w:rPr>
          <w:rFonts w:hint="eastAsia" w:ascii="宋体" w:hAnsi="宋体" w:eastAsia="宋体"/>
          <w:highlight w:val="none"/>
        </w:rPr>
        <w:t>对与评标活动有关的工作人员的纪律要求</w:t>
      </w:r>
      <w:bookmarkEnd w:id="352"/>
      <w:bookmarkEnd w:id="353"/>
      <w:bookmarkEnd w:id="354"/>
      <w:bookmarkEnd w:id="355"/>
    </w:p>
    <w:p w14:paraId="101D7E58">
      <w:pPr>
        <w:spacing w:line="400" w:lineRule="exact"/>
        <w:ind w:firstLine="420" w:firstLineChars="200"/>
        <w:rPr>
          <w:rFonts w:ascii="宋体" w:hAnsi="宋体"/>
          <w:highlight w:val="none"/>
        </w:rPr>
      </w:pPr>
      <w:r>
        <w:rPr>
          <w:rFonts w:hint="eastAsia" w:ascii="宋体" w:hAnsi="宋体"/>
          <w:highlight w:val="none"/>
        </w:rPr>
        <w:t>与评标活动有关的工作人员不得收受他人的财物或者其他好处，不得向他人透露对投标文件</w:t>
      </w:r>
      <w:bookmarkStart w:id="356" w:name="_Toc152045569"/>
      <w:bookmarkStart w:id="357" w:name="_Toc361508629"/>
      <w:bookmarkStart w:id="358" w:name="_Toc247513993"/>
      <w:bookmarkStart w:id="359" w:name="_Toc369531560"/>
      <w:bookmarkStart w:id="360" w:name="_Toc152042345"/>
      <w:bookmarkStart w:id="361" w:name="_Toc352691516"/>
      <w:bookmarkStart w:id="362" w:name="_Toc19429"/>
      <w:bookmarkStart w:id="363" w:name="_Toc300834992"/>
      <w:bookmarkStart w:id="364" w:name="_Toc247527594"/>
      <w:bookmarkStart w:id="365" w:name="_Toc144974537"/>
      <w:bookmarkStart w:id="366" w:name="_Toc384308254"/>
      <w:r>
        <w:rPr>
          <w:rFonts w:hint="eastAsia" w:ascii="宋体" w:hAnsi="宋体"/>
          <w:highlight w:val="none"/>
        </w:rPr>
        <w:t>的评审和比较、中标</w:t>
      </w:r>
      <w:bookmarkEnd w:id="356"/>
      <w:bookmarkEnd w:id="357"/>
      <w:bookmarkEnd w:id="358"/>
      <w:bookmarkEnd w:id="359"/>
      <w:bookmarkEnd w:id="360"/>
      <w:bookmarkEnd w:id="361"/>
      <w:bookmarkEnd w:id="362"/>
      <w:bookmarkEnd w:id="363"/>
      <w:bookmarkEnd w:id="364"/>
      <w:bookmarkEnd w:id="365"/>
      <w:bookmarkEnd w:id="366"/>
      <w:r>
        <w:rPr>
          <w:rFonts w:hint="eastAsia" w:ascii="宋体" w:hAnsi="宋体"/>
          <w:highlight w:val="none"/>
        </w:rPr>
        <w:t>候选人的推荐情况以及评标有关的其他情况。在评标活动中，与评标活动有关的工作人员不得擅离职守，影响评标程序正常进行。</w:t>
      </w:r>
    </w:p>
    <w:p w14:paraId="7CBEDF21">
      <w:pPr>
        <w:pStyle w:val="5"/>
        <w:spacing w:line="240" w:lineRule="auto"/>
        <w:ind w:firstLine="137"/>
        <w:rPr>
          <w:rFonts w:ascii="宋体" w:hAnsi="宋体" w:eastAsia="宋体"/>
          <w:highlight w:val="none"/>
        </w:rPr>
      </w:pPr>
      <w:bookmarkStart w:id="367" w:name="_Toc49510017"/>
      <w:bookmarkStart w:id="368" w:name="_Toc14049"/>
      <w:bookmarkStart w:id="369" w:name="_Toc23121"/>
      <w:bookmarkStart w:id="370" w:name="_Toc49506182"/>
      <w:r>
        <w:rPr>
          <w:rFonts w:ascii="宋体" w:hAnsi="宋体" w:eastAsia="宋体"/>
          <w:highlight w:val="none"/>
        </w:rPr>
        <w:t xml:space="preserve">8.5 </w:t>
      </w:r>
      <w:r>
        <w:rPr>
          <w:rFonts w:hint="eastAsia" w:ascii="宋体" w:hAnsi="宋体" w:eastAsia="宋体"/>
          <w:highlight w:val="none"/>
        </w:rPr>
        <w:t>投诉</w:t>
      </w:r>
      <w:bookmarkEnd w:id="367"/>
      <w:bookmarkEnd w:id="368"/>
      <w:bookmarkEnd w:id="369"/>
      <w:bookmarkEnd w:id="370"/>
    </w:p>
    <w:p w14:paraId="590A2BCA">
      <w:pPr>
        <w:spacing w:line="400" w:lineRule="exact"/>
        <w:ind w:firstLine="420" w:firstLineChars="200"/>
        <w:rPr>
          <w:rFonts w:ascii="宋体" w:hAnsi="宋体"/>
          <w:highlight w:val="none"/>
        </w:rPr>
      </w:pPr>
      <w:r>
        <w:rPr>
          <w:rFonts w:ascii="宋体" w:hAnsi="宋体"/>
          <w:highlight w:val="none"/>
        </w:rPr>
        <w:t>8.5.1</w:t>
      </w:r>
      <w:r>
        <w:rPr>
          <w:rFonts w:hint="eastAsia" w:ascii="宋体" w:hAnsi="宋体"/>
          <w:highlight w:val="none"/>
        </w:rPr>
        <w:t>投标人或者其他利害关系人认为招标投标活动不符合法律、行政法规规定的，可以自知道或者应当知道之日起</w:t>
      </w:r>
      <w:r>
        <w:rPr>
          <w:rFonts w:ascii="宋体" w:hAnsi="宋体"/>
          <w:highlight w:val="none"/>
        </w:rPr>
        <w:t>10</w:t>
      </w:r>
      <w:r>
        <w:rPr>
          <w:rFonts w:hint="eastAsia" w:ascii="宋体" w:hAnsi="宋体"/>
          <w:highlight w:val="none"/>
        </w:rPr>
        <w:t>日内向有关行政监督部门投诉。投诉应当有明确的请求和必要的证明材料。</w:t>
      </w:r>
    </w:p>
    <w:p w14:paraId="312D3841">
      <w:pPr>
        <w:spacing w:line="400" w:lineRule="exact"/>
        <w:ind w:firstLine="420" w:firstLineChars="200"/>
        <w:rPr>
          <w:rFonts w:ascii="宋体" w:hAnsi="宋体"/>
          <w:highlight w:val="none"/>
        </w:rPr>
      </w:pPr>
      <w:r>
        <w:rPr>
          <w:rFonts w:ascii="宋体" w:hAnsi="宋体"/>
          <w:highlight w:val="none"/>
        </w:rPr>
        <w:t xml:space="preserve">8.5.2 </w:t>
      </w:r>
      <w:r>
        <w:rPr>
          <w:rFonts w:hint="eastAsia" w:ascii="宋体" w:hAnsi="宋体"/>
          <w:highlight w:val="none"/>
        </w:rPr>
        <w:t>投标人或者其他利害关系人对招标文件、开标和评标结果提出投诉的，应当按照投标人须知第</w:t>
      </w:r>
      <w:r>
        <w:rPr>
          <w:rFonts w:ascii="宋体" w:hAnsi="宋体"/>
          <w:highlight w:val="none"/>
        </w:rPr>
        <w:t>2.4</w:t>
      </w:r>
      <w:r>
        <w:rPr>
          <w:rFonts w:hint="eastAsia" w:ascii="宋体" w:hAnsi="宋体"/>
          <w:highlight w:val="none"/>
        </w:rPr>
        <w:t>款、第</w:t>
      </w:r>
      <w:r>
        <w:rPr>
          <w:rFonts w:ascii="宋体" w:hAnsi="宋体"/>
          <w:highlight w:val="none"/>
        </w:rPr>
        <w:t>5.3</w:t>
      </w:r>
      <w:r>
        <w:rPr>
          <w:rFonts w:hint="eastAsia" w:ascii="宋体" w:hAnsi="宋体"/>
          <w:highlight w:val="none"/>
        </w:rPr>
        <w:t>款和第</w:t>
      </w:r>
      <w:r>
        <w:rPr>
          <w:rFonts w:ascii="宋体" w:hAnsi="宋体"/>
          <w:highlight w:val="none"/>
        </w:rPr>
        <w:t>7.2</w:t>
      </w:r>
      <w:r>
        <w:rPr>
          <w:rFonts w:hint="eastAsia" w:ascii="宋体" w:hAnsi="宋体"/>
          <w:highlight w:val="none"/>
        </w:rPr>
        <w:t>款的规定先向招标人提出异议。异议答复期间</w:t>
      </w:r>
      <w:bookmarkStart w:id="371" w:name="_Toc247527595"/>
      <w:bookmarkStart w:id="372" w:name="_Toc144974538"/>
      <w:bookmarkStart w:id="373" w:name="_Toc12776"/>
      <w:bookmarkStart w:id="374" w:name="_Toc384308255"/>
      <w:bookmarkStart w:id="375" w:name="_Toc369531561"/>
      <w:bookmarkStart w:id="376" w:name="_Toc247513994"/>
      <w:bookmarkStart w:id="377" w:name="_Toc152042346"/>
      <w:bookmarkStart w:id="378" w:name="_Toc152045570"/>
      <w:bookmarkStart w:id="379" w:name="_Toc300834993"/>
      <w:bookmarkStart w:id="380" w:name="_Toc352691517"/>
      <w:bookmarkStart w:id="381" w:name="_Toc361508630"/>
      <w:r>
        <w:rPr>
          <w:rFonts w:hint="eastAsia" w:ascii="宋体" w:hAnsi="宋体"/>
          <w:highlight w:val="none"/>
        </w:rPr>
        <w:t>不计算在第</w:t>
      </w:r>
      <w:r>
        <w:rPr>
          <w:rFonts w:ascii="宋体" w:hAnsi="宋体"/>
          <w:highlight w:val="none"/>
        </w:rPr>
        <w:t>8.5.</w:t>
      </w:r>
      <w:bookmarkEnd w:id="371"/>
      <w:bookmarkEnd w:id="372"/>
      <w:bookmarkEnd w:id="373"/>
      <w:bookmarkEnd w:id="374"/>
      <w:bookmarkEnd w:id="375"/>
      <w:bookmarkEnd w:id="376"/>
      <w:bookmarkEnd w:id="377"/>
      <w:bookmarkEnd w:id="378"/>
      <w:bookmarkEnd w:id="379"/>
      <w:bookmarkEnd w:id="380"/>
      <w:bookmarkEnd w:id="381"/>
      <w:r>
        <w:rPr>
          <w:rFonts w:ascii="宋体" w:hAnsi="宋体"/>
          <w:highlight w:val="none"/>
        </w:rPr>
        <w:t>1</w:t>
      </w:r>
      <w:r>
        <w:rPr>
          <w:rFonts w:hint="eastAsia" w:ascii="宋体" w:hAnsi="宋体"/>
          <w:highlight w:val="none"/>
        </w:rPr>
        <w:t>项规定的期限内。</w:t>
      </w:r>
    </w:p>
    <w:p w14:paraId="6E007110">
      <w:pPr>
        <w:pStyle w:val="4"/>
        <w:spacing w:line="240" w:lineRule="auto"/>
        <w:rPr>
          <w:rFonts w:ascii="宋体" w:hAnsi="宋体" w:eastAsia="宋体"/>
          <w:highlight w:val="none"/>
        </w:rPr>
      </w:pPr>
      <w:bookmarkStart w:id="382" w:name="_Toc18859"/>
      <w:bookmarkStart w:id="383" w:name="_Toc32393"/>
      <w:bookmarkStart w:id="384" w:name="_Toc49510018"/>
      <w:bookmarkStart w:id="385" w:name="_Toc477134992"/>
      <w:r>
        <w:rPr>
          <w:rFonts w:ascii="宋体" w:hAnsi="宋体" w:eastAsia="宋体"/>
          <w:highlight w:val="none"/>
        </w:rPr>
        <w:t>9. 是否采用电子招标投标</w:t>
      </w:r>
      <w:bookmarkEnd w:id="382"/>
      <w:bookmarkEnd w:id="383"/>
      <w:bookmarkEnd w:id="384"/>
      <w:bookmarkEnd w:id="385"/>
    </w:p>
    <w:p w14:paraId="7BC902F8">
      <w:pPr>
        <w:spacing w:line="400" w:lineRule="exact"/>
        <w:ind w:firstLine="420" w:firstLineChars="200"/>
        <w:rPr>
          <w:rFonts w:ascii="宋体" w:hAnsi="宋体"/>
          <w:highlight w:val="none"/>
        </w:rPr>
      </w:pPr>
      <w:r>
        <w:rPr>
          <w:rFonts w:hint="eastAsia" w:ascii="宋体" w:hAnsi="宋体"/>
          <w:highlight w:val="none"/>
        </w:rPr>
        <w:t>本招标项目是否采用电子招标投标方式，</w:t>
      </w:r>
      <w:r>
        <w:rPr>
          <w:rFonts w:ascii="宋体" w:hAnsi="宋体"/>
          <w:highlight w:val="none"/>
        </w:rPr>
        <w:t>见投标人须知前附表。</w:t>
      </w:r>
    </w:p>
    <w:p w14:paraId="7D8FD308">
      <w:pPr>
        <w:pStyle w:val="4"/>
        <w:spacing w:line="240" w:lineRule="auto"/>
        <w:rPr>
          <w:rFonts w:ascii="宋体" w:hAnsi="宋体" w:eastAsia="宋体"/>
          <w:highlight w:val="none"/>
        </w:rPr>
      </w:pPr>
      <w:bookmarkStart w:id="386" w:name="_Toc49510019"/>
      <w:bookmarkStart w:id="387" w:name="_Toc26929"/>
      <w:bookmarkStart w:id="388" w:name="_Toc7623"/>
      <w:r>
        <w:rPr>
          <w:rFonts w:ascii="宋体" w:hAnsi="宋体" w:eastAsia="宋体"/>
          <w:highlight w:val="none"/>
        </w:rPr>
        <w:t xml:space="preserve">10. </w:t>
      </w:r>
      <w:r>
        <w:rPr>
          <w:rFonts w:hint="eastAsia" w:ascii="宋体" w:hAnsi="宋体" w:eastAsia="宋体"/>
          <w:highlight w:val="none"/>
        </w:rPr>
        <w:t>需要补充的其他内容</w:t>
      </w:r>
      <w:bookmarkEnd w:id="386"/>
      <w:bookmarkEnd w:id="387"/>
      <w:bookmarkEnd w:id="388"/>
    </w:p>
    <w:p w14:paraId="22943A5C">
      <w:pPr>
        <w:spacing w:line="400" w:lineRule="exact"/>
        <w:ind w:firstLine="420" w:firstLineChars="200"/>
        <w:rPr>
          <w:rFonts w:ascii="宋体" w:hAnsi="宋体"/>
          <w:highlight w:val="none"/>
        </w:rPr>
      </w:pPr>
      <w:r>
        <w:rPr>
          <w:rFonts w:hint="eastAsia" w:ascii="宋体" w:hAnsi="宋体"/>
          <w:highlight w:val="none"/>
        </w:rPr>
        <w:t>需要补充的其他内容：见投标人须知前附表。</w:t>
      </w:r>
    </w:p>
    <w:p w14:paraId="2B2C59F9">
      <w:pPr>
        <w:jc w:val="left"/>
        <w:rPr>
          <w:rFonts w:ascii="宋体" w:hAnsi="宋体"/>
          <w:sz w:val="28"/>
          <w:highlight w:val="none"/>
        </w:rPr>
      </w:pPr>
      <w:r>
        <w:rPr>
          <w:rFonts w:hint="eastAsia" w:ascii="宋体" w:hAnsi="宋体"/>
          <w:highlight w:val="none"/>
        </w:rPr>
        <w:br w:type="page"/>
      </w:r>
      <w:r>
        <w:rPr>
          <w:rFonts w:ascii="宋体" w:hAnsi="宋体"/>
          <w:position w:val="-4"/>
          <w:sz w:val="28"/>
          <w:highlight w:val="none"/>
        </w:rPr>
        <w:t>附件</w:t>
      </w:r>
      <w:r>
        <w:rPr>
          <w:rFonts w:hint="eastAsia" w:ascii="宋体" w:hAnsi="宋体"/>
          <w:position w:val="-4"/>
          <w:sz w:val="28"/>
          <w:highlight w:val="none"/>
        </w:rPr>
        <w:t>一</w:t>
      </w:r>
      <w:r>
        <w:rPr>
          <w:rFonts w:ascii="宋体" w:hAnsi="宋体"/>
          <w:spacing w:val="-3"/>
          <w:position w:val="-4"/>
          <w:sz w:val="28"/>
          <w:highlight w:val="none"/>
        </w:rPr>
        <w:t>：</w:t>
      </w:r>
      <w:r>
        <w:rPr>
          <w:rFonts w:ascii="宋体" w:hAnsi="宋体"/>
          <w:position w:val="-4"/>
          <w:sz w:val="28"/>
          <w:highlight w:val="none"/>
        </w:rPr>
        <w:t>开标</w:t>
      </w:r>
      <w:r>
        <w:rPr>
          <w:rFonts w:ascii="宋体" w:hAnsi="宋体"/>
          <w:spacing w:val="-3"/>
          <w:position w:val="-4"/>
          <w:sz w:val="28"/>
          <w:highlight w:val="none"/>
        </w:rPr>
        <w:t>记录</w:t>
      </w:r>
      <w:r>
        <w:rPr>
          <w:rFonts w:ascii="宋体" w:hAnsi="宋体"/>
          <w:position w:val="-4"/>
          <w:sz w:val="28"/>
          <w:highlight w:val="none"/>
        </w:rPr>
        <w:t>表</w:t>
      </w:r>
      <w:r>
        <w:rPr>
          <w:rFonts w:hint="eastAsia" w:ascii="宋体" w:hAnsi="宋体"/>
          <w:position w:val="-4"/>
          <w:sz w:val="28"/>
          <w:highlight w:val="none"/>
        </w:rPr>
        <w:t>（按广州交易集团有限公司（广州公共资源交易中心）系统导出为准）</w:t>
      </w:r>
    </w:p>
    <w:p w14:paraId="4D02E1A1">
      <w:pPr>
        <w:spacing w:line="200" w:lineRule="exact"/>
        <w:jc w:val="left"/>
        <w:rPr>
          <w:rFonts w:ascii="宋体" w:hAnsi="宋体"/>
          <w:sz w:val="20"/>
          <w:highlight w:val="none"/>
        </w:rPr>
      </w:pPr>
    </w:p>
    <w:p w14:paraId="03100C6A">
      <w:pPr>
        <w:spacing w:line="360" w:lineRule="auto"/>
        <w:ind w:left="3799" w:right="3400"/>
        <w:jc w:val="center"/>
        <w:rPr>
          <w:rFonts w:ascii="宋体" w:hAnsi="宋体"/>
          <w:sz w:val="28"/>
          <w:highlight w:val="none"/>
        </w:rPr>
      </w:pPr>
      <w:r>
        <w:rPr>
          <w:rFonts w:ascii="宋体" w:hAnsi="宋体"/>
          <w:sz w:val="28"/>
          <w:highlight w:val="none"/>
        </w:rPr>
        <w:t>开标记</w:t>
      </w:r>
      <w:r>
        <w:rPr>
          <w:rFonts w:ascii="宋体" w:hAnsi="宋体"/>
          <w:spacing w:val="-3"/>
          <w:sz w:val="28"/>
          <w:highlight w:val="none"/>
        </w:rPr>
        <w:t>录</w:t>
      </w:r>
      <w:r>
        <w:rPr>
          <w:rFonts w:ascii="宋体" w:hAnsi="宋体"/>
          <w:sz w:val="28"/>
          <w:highlight w:val="none"/>
        </w:rPr>
        <w:t>表</w:t>
      </w:r>
    </w:p>
    <w:p w14:paraId="7903953D">
      <w:pPr>
        <w:spacing w:before="7" w:line="360" w:lineRule="auto"/>
        <w:jc w:val="left"/>
        <w:rPr>
          <w:rFonts w:ascii="宋体" w:hAnsi="宋体"/>
          <w:sz w:val="14"/>
          <w:highlight w:val="none"/>
        </w:rPr>
      </w:pPr>
    </w:p>
    <w:p w14:paraId="68AEE9A0">
      <w:pPr>
        <w:tabs>
          <w:tab w:val="left" w:pos="3600"/>
          <w:tab w:val="left" w:pos="4760"/>
          <w:tab w:val="left" w:pos="5920"/>
          <w:tab w:val="left" w:pos="7060"/>
          <w:tab w:val="left" w:pos="8220"/>
        </w:tabs>
        <w:spacing w:line="360" w:lineRule="auto"/>
        <w:ind w:right="-20"/>
        <w:jc w:val="left"/>
        <w:rPr>
          <w:rFonts w:ascii="宋体" w:hAnsi="宋体"/>
          <w:position w:val="-4"/>
          <w:highlight w:val="none"/>
        </w:rPr>
      </w:pPr>
      <w:r>
        <w:rPr>
          <w:rFonts w:ascii="宋体" w:hAnsi="宋体"/>
          <w:position w:val="-4"/>
          <w:highlight w:val="none"/>
        </w:rPr>
        <w:t>开标</w:t>
      </w:r>
      <w:r>
        <w:rPr>
          <w:rFonts w:ascii="宋体" w:hAnsi="宋体"/>
          <w:spacing w:val="-2"/>
          <w:position w:val="-4"/>
          <w:highlight w:val="none"/>
        </w:rPr>
        <w:t>时</w:t>
      </w:r>
      <w:r>
        <w:rPr>
          <w:rFonts w:ascii="宋体" w:hAnsi="宋体"/>
          <w:position w:val="-4"/>
          <w:highlight w:val="none"/>
        </w:rPr>
        <w:t>间</w:t>
      </w:r>
      <w:r>
        <w:rPr>
          <w:rFonts w:ascii="宋体" w:hAnsi="宋体"/>
          <w:spacing w:val="-2"/>
          <w:position w:val="-4"/>
          <w:highlight w:val="none"/>
        </w:rPr>
        <w:t>：</w:t>
      </w:r>
      <w:r>
        <w:rPr>
          <w:rFonts w:ascii="宋体" w:hAnsi="宋体"/>
          <w:position w:val="-4"/>
          <w:highlight w:val="none"/>
          <w:u w:val="single"/>
        </w:rPr>
        <w:t xml:space="preserve"> </w:t>
      </w:r>
      <w:r>
        <w:rPr>
          <w:rFonts w:ascii="宋体" w:hAnsi="宋体"/>
          <w:spacing w:val="1"/>
          <w:position w:val="-4"/>
          <w:highlight w:val="none"/>
          <w:u w:val="single"/>
        </w:rPr>
        <w:t xml:space="preserve"> </w:t>
      </w:r>
      <w:r>
        <w:rPr>
          <w:rFonts w:ascii="宋体" w:hAnsi="宋体"/>
          <w:position w:val="-4"/>
          <w:highlight w:val="none"/>
        </w:rPr>
        <w:t>年</w:t>
      </w:r>
      <w:r>
        <w:rPr>
          <w:rFonts w:ascii="宋体" w:hAnsi="宋体"/>
          <w:position w:val="-4"/>
          <w:highlight w:val="none"/>
          <w:u w:val="single"/>
        </w:rPr>
        <w:t xml:space="preserve"> </w:t>
      </w:r>
      <w:r>
        <w:rPr>
          <w:rFonts w:ascii="宋体" w:hAnsi="宋体"/>
          <w:spacing w:val="1"/>
          <w:position w:val="-4"/>
          <w:highlight w:val="none"/>
          <w:u w:val="single"/>
        </w:rPr>
        <w:t xml:space="preserve"> </w:t>
      </w:r>
      <w:r>
        <w:rPr>
          <w:rFonts w:ascii="宋体" w:hAnsi="宋体"/>
          <w:position w:val="-4"/>
          <w:highlight w:val="none"/>
        </w:rPr>
        <w:t>月</w:t>
      </w:r>
      <w:r>
        <w:rPr>
          <w:rFonts w:ascii="宋体" w:hAnsi="宋体"/>
          <w:position w:val="-4"/>
          <w:highlight w:val="none"/>
          <w:u w:val="single"/>
        </w:rPr>
        <w:t xml:space="preserve"> </w:t>
      </w:r>
      <w:r>
        <w:rPr>
          <w:rFonts w:ascii="宋体" w:hAnsi="宋体"/>
          <w:spacing w:val="1"/>
          <w:position w:val="-4"/>
          <w:highlight w:val="none"/>
          <w:u w:val="single"/>
        </w:rPr>
        <w:t xml:space="preserve"> </w:t>
      </w:r>
      <w:r>
        <w:rPr>
          <w:rFonts w:ascii="宋体" w:hAnsi="宋体"/>
          <w:position w:val="-4"/>
          <w:highlight w:val="none"/>
        </w:rPr>
        <w:t>日</w:t>
      </w:r>
      <w:r>
        <w:rPr>
          <w:rFonts w:ascii="宋体" w:hAnsi="宋体"/>
          <w:position w:val="-4"/>
          <w:highlight w:val="none"/>
          <w:u w:val="single"/>
        </w:rPr>
        <w:t xml:space="preserve"> </w:t>
      </w:r>
      <w:r>
        <w:rPr>
          <w:rFonts w:ascii="宋体" w:hAnsi="宋体"/>
          <w:spacing w:val="1"/>
          <w:position w:val="-4"/>
          <w:highlight w:val="none"/>
          <w:u w:val="single"/>
        </w:rPr>
        <w:t xml:space="preserve"> </w:t>
      </w:r>
      <w:r>
        <w:rPr>
          <w:rFonts w:ascii="宋体" w:hAnsi="宋体"/>
          <w:position w:val="-4"/>
          <w:highlight w:val="none"/>
        </w:rPr>
        <w:t>时</w:t>
      </w:r>
      <w:r>
        <w:rPr>
          <w:rFonts w:ascii="宋体" w:hAnsi="宋体"/>
          <w:position w:val="-4"/>
          <w:highlight w:val="none"/>
          <w:u w:val="single"/>
        </w:rPr>
        <w:t xml:space="preserve"> </w:t>
      </w:r>
      <w:r>
        <w:rPr>
          <w:rFonts w:ascii="宋体" w:hAnsi="宋体"/>
          <w:spacing w:val="1"/>
          <w:position w:val="-4"/>
          <w:highlight w:val="none"/>
          <w:u w:val="single"/>
        </w:rPr>
        <w:t xml:space="preserve"> </w:t>
      </w:r>
      <w:r>
        <w:rPr>
          <w:rFonts w:ascii="宋体" w:hAnsi="宋体"/>
          <w:position w:val="-4"/>
          <w:highlight w:val="none"/>
        </w:rPr>
        <w:t>分</w:t>
      </w:r>
    </w:p>
    <w:p w14:paraId="696719ED">
      <w:pPr>
        <w:tabs>
          <w:tab w:val="left" w:pos="3600"/>
          <w:tab w:val="left" w:pos="4760"/>
          <w:tab w:val="left" w:pos="5920"/>
          <w:tab w:val="left" w:pos="7060"/>
          <w:tab w:val="left" w:pos="8220"/>
        </w:tabs>
        <w:spacing w:line="360" w:lineRule="auto"/>
        <w:ind w:right="-20"/>
        <w:jc w:val="left"/>
        <w:rPr>
          <w:rFonts w:ascii="宋体" w:hAnsi="宋体"/>
          <w:position w:val="-4"/>
          <w:highlight w:val="none"/>
        </w:rPr>
      </w:pPr>
      <w:r>
        <w:rPr>
          <w:rFonts w:hint="eastAsia" w:ascii="宋体" w:hAnsi="宋体"/>
          <w:position w:val="-4"/>
          <w:highlight w:val="none"/>
        </w:rPr>
        <w:t>项目名称：</w:t>
      </w:r>
    </w:p>
    <w:tbl>
      <w:tblPr>
        <w:tblStyle w:val="46"/>
        <w:tblW w:w="0" w:type="auto"/>
        <w:jc w:val="center"/>
        <w:tblLayout w:type="fixed"/>
        <w:tblCellMar>
          <w:top w:w="0" w:type="dxa"/>
          <w:left w:w="108" w:type="dxa"/>
          <w:bottom w:w="0" w:type="dxa"/>
          <w:right w:w="108" w:type="dxa"/>
        </w:tblCellMar>
      </w:tblPr>
      <w:tblGrid>
        <w:gridCol w:w="1195"/>
        <w:gridCol w:w="1260"/>
        <w:gridCol w:w="973"/>
        <w:gridCol w:w="10"/>
        <w:gridCol w:w="841"/>
        <w:gridCol w:w="10"/>
        <w:gridCol w:w="839"/>
        <w:gridCol w:w="10"/>
        <w:gridCol w:w="1124"/>
        <w:gridCol w:w="10"/>
        <w:gridCol w:w="1121"/>
        <w:gridCol w:w="10"/>
        <w:gridCol w:w="695"/>
        <w:gridCol w:w="10"/>
        <w:gridCol w:w="1135"/>
        <w:gridCol w:w="10"/>
      </w:tblGrid>
      <w:tr w14:paraId="7D101A46">
        <w:tblPrEx>
          <w:tblCellMar>
            <w:top w:w="0" w:type="dxa"/>
            <w:left w:w="108" w:type="dxa"/>
            <w:bottom w:w="0" w:type="dxa"/>
            <w:right w:w="108" w:type="dxa"/>
          </w:tblCellMar>
        </w:tblPrEx>
        <w:trPr>
          <w:trHeight w:val="850" w:hRule="atLeast"/>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6883C718">
            <w:pPr>
              <w:spacing w:line="360" w:lineRule="auto"/>
              <w:jc w:val="center"/>
              <w:rPr>
                <w:rFonts w:ascii="宋体" w:hAnsi="宋体"/>
                <w:highlight w:val="none"/>
              </w:rPr>
            </w:pPr>
            <w:r>
              <w:rPr>
                <w:rFonts w:hint="eastAsia" w:ascii="宋体" w:hAnsi="宋体"/>
                <w:highlight w:val="none"/>
              </w:rPr>
              <w:t>序号</w:t>
            </w:r>
          </w:p>
        </w:tc>
        <w:tc>
          <w:tcPr>
            <w:tcW w:w="1260" w:type="dxa"/>
            <w:tcBorders>
              <w:top w:val="single" w:color="auto" w:sz="4" w:space="0"/>
              <w:left w:val="single" w:color="auto" w:sz="4" w:space="0"/>
              <w:bottom w:val="single" w:color="auto" w:sz="4" w:space="0"/>
              <w:right w:val="single" w:color="auto" w:sz="4" w:space="0"/>
            </w:tcBorders>
            <w:noWrap/>
            <w:vAlign w:val="center"/>
          </w:tcPr>
          <w:p w14:paraId="05053530">
            <w:pPr>
              <w:spacing w:line="360" w:lineRule="auto"/>
              <w:jc w:val="center"/>
              <w:rPr>
                <w:rFonts w:ascii="宋体" w:hAnsi="宋体"/>
                <w:highlight w:val="none"/>
              </w:rPr>
            </w:pPr>
            <w:r>
              <w:rPr>
                <w:rFonts w:hint="eastAsia" w:ascii="宋体" w:hAnsi="宋体"/>
                <w:highlight w:val="none"/>
              </w:rPr>
              <w:t>投标人</w:t>
            </w: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57F5FE66">
            <w:pPr>
              <w:spacing w:line="360" w:lineRule="auto"/>
              <w:ind w:right="-13" w:rightChars="-6"/>
              <w:jc w:val="center"/>
              <w:rPr>
                <w:rFonts w:ascii="宋体" w:hAnsi="宋体"/>
                <w:highlight w:val="none"/>
              </w:rPr>
            </w:pPr>
            <w:r>
              <w:rPr>
                <w:rFonts w:hint="eastAsia" w:ascii="宋体" w:hAnsi="宋体"/>
                <w:highlight w:val="none"/>
              </w:rPr>
              <w:t>投标总报价（元）</w:t>
            </w: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73A282A3">
            <w:pPr>
              <w:spacing w:line="360" w:lineRule="auto"/>
              <w:jc w:val="center"/>
              <w:rPr>
                <w:rFonts w:ascii="宋体" w:hAnsi="宋体"/>
                <w:highlight w:val="none"/>
              </w:rPr>
            </w:pPr>
            <w:r>
              <w:rPr>
                <w:rFonts w:hint="eastAsia" w:ascii="宋体" w:hAnsi="宋体"/>
                <w:highlight w:val="none"/>
              </w:rPr>
              <w:t>总监理工程师</w:t>
            </w: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60B529D6">
            <w:pPr>
              <w:spacing w:line="360" w:lineRule="auto"/>
              <w:jc w:val="center"/>
              <w:rPr>
                <w:rFonts w:ascii="宋体" w:hAnsi="宋体"/>
                <w:highlight w:val="none"/>
              </w:rPr>
            </w:pPr>
            <w:r>
              <w:rPr>
                <w:rFonts w:hint="eastAsia" w:ascii="宋体" w:hAnsi="宋体"/>
                <w:highlight w:val="none"/>
              </w:rPr>
              <w:t>监理服务期限</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7EBCD1E7">
            <w:pPr>
              <w:spacing w:line="360" w:lineRule="auto"/>
              <w:jc w:val="center"/>
              <w:rPr>
                <w:rFonts w:ascii="宋体" w:hAnsi="宋体"/>
                <w:highlight w:val="none"/>
              </w:rPr>
            </w:pPr>
            <w:r>
              <w:rPr>
                <w:rFonts w:hint="eastAsia" w:ascii="宋体" w:hAnsi="宋体"/>
                <w:highlight w:val="none"/>
              </w:rPr>
              <w:t>投标文件递交情况</w:t>
            </w: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65DCE09F">
            <w:pPr>
              <w:spacing w:line="360" w:lineRule="auto"/>
              <w:jc w:val="center"/>
              <w:rPr>
                <w:rFonts w:ascii="宋体" w:hAnsi="宋体"/>
                <w:highlight w:val="none"/>
              </w:rPr>
            </w:pPr>
            <w:r>
              <w:rPr>
                <w:rFonts w:hint="eastAsia" w:ascii="宋体" w:hAnsi="宋体"/>
                <w:highlight w:val="none"/>
              </w:rPr>
              <w:t>投标文件解密情况</w:t>
            </w: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11369991">
            <w:pPr>
              <w:spacing w:line="360" w:lineRule="auto"/>
              <w:jc w:val="center"/>
              <w:rPr>
                <w:rFonts w:ascii="宋体" w:hAnsi="宋体"/>
                <w:highlight w:val="none"/>
              </w:rPr>
            </w:pPr>
            <w:r>
              <w:rPr>
                <w:rFonts w:hint="eastAsia" w:ascii="宋体" w:hAnsi="宋体"/>
                <w:highlight w:val="none"/>
              </w:rPr>
              <w:t>备注</w:t>
            </w: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1E7071BD">
            <w:pPr>
              <w:spacing w:line="360" w:lineRule="auto"/>
              <w:jc w:val="center"/>
              <w:rPr>
                <w:rFonts w:ascii="宋体" w:hAnsi="宋体"/>
                <w:highlight w:val="none"/>
              </w:rPr>
            </w:pPr>
            <w:r>
              <w:rPr>
                <w:rFonts w:hint="eastAsia" w:ascii="宋体" w:hAnsi="宋体"/>
                <w:highlight w:val="none"/>
              </w:rPr>
              <w:t>投标人</w:t>
            </w:r>
          </w:p>
          <w:p w14:paraId="08C33002">
            <w:pPr>
              <w:spacing w:line="360" w:lineRule="auto"/>
              <w:jc w:val="center"/>
              <w:rPr>
                <w:rFonts w:ascii="宋体" w:hAnsi="宋体"/>
                <w:highlight w:val="none"/>
              </w:rPr>
            </w:pPr>
            <w:r>
              <w:rPr>
                <w:rFonts w:hint="eastAsia" w:ascii="宋体" w:hAnsi="宋体"/>
                <w:highlight w:val="none"/>
              </w:rPr>
              <w:t>代表签名</w:t>
            </w:r>
          </w:p>
        </w:tc>
      </w:tr>
      <w:tr w14:paraId="2A34BB2B">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4706AE72">
            <w:pPr>
              <w:spacing w:line="500" w:lineRule="exact"/>
              <w:jc w:val="center"/>
              <w:rPr>
                <w:rFonts w:ascii="宋体" w:hAnsi="宋体"/>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184C2A7E">
            <w:pPr>
              <w:spacing w:line="500" w:lineRule="exact"/>
              <w:jc w:val="center"/>
              <w:rPr>
                <w:rFonts w:ascii="宋体" w:hAnsi="宋体"/>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26BD7FBD">
            <w:pPr>
              <w:spacing w:line="500" w:lineRule="exact"/>
              <w:jc w:val="center"/>
              <w:rPr>
                <w:rFonts w:ascii="宋体" w:hAnsi="宋体"/>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3DB27238">
            <w:pPr>
              <w:spacing w:line="500" w:lineRule="exact"/>
              <w:jc w:val="center"/>
              <w:rPr>
                <w:rFonts w:ascii="宋体" w:hAnsi="宋体"/>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4EF835B8">
            <w:pPr>
              <w:spacing w:line="500" w:lineRule="exact"/>
              <w:jc w:val="center"/>
              <w:rPr>
                <w:rFonts w:ascii="宋体" w:hAnsi="宋体"/>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4C8A4A45">
            <w:pPr>
              <w:spacing w:line="500" w:lineRule="exact"/>
              <w:jc w:val="center"/>
              <w:rPr>
                <w:rFonts w:ascii="宋体" w:hAnsi="宋体"/>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432C61DC">
            <w:pPr>
              <w:spacing w:line="500" w:lineRule="exact"/>
              <w:jc w:val="center"/>
              <w:rPr>
                <w:rFonts w:ascii="宋体" w:hAnsi="宋体"/>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10DF2A0F">
            <w:pPr>
              <w:spacing w:line="500" w:lineRule="exact"/>
              <w:jc w:val="center"/>
              <w:rPr>
                <w:rFonts w:ascii="宋体" w:hAnsi="宋体"/>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7DC556EC">
            <w:pPr>
              <w:spacing w:line="500" w:lineRule="exact"/>
              <w:jc w:val="center"/>
              <w:rPr>
                <w:rFonts w:ascii="宋体" w:hAnsi="宋体"/>
                <w:highlight w:val="none"/>
              </w:rPr>
            </w:pPr>
          </w:p>
        </w:tc>
      </w:tr>
      <w:tr w14:paraId="5BF7739C">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393D3D57">
            <w:pPr>
              <w:spacing w:line="500" w:lineRule="exact"/>
              <w:jc w:val="center"/>
              <w:rPr>
                <w:rFonts w:ascii="宋体" w:hAnsi="宋体"/>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040C15D4">
            <w:pPr>
              <w:spacing w:line="500" w:lineRule="exact"/>
              <w:jc w:val="center"/>
              <w:rPr>
                <w:rFonts w:ascii="宋体" w:hAnsi="宋体"/>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18AC58E3">
            <w:pPr>
              <w:spacing w:line="500" w:lineRule="exact"/>
              <w:jc w:val="center"/>
              <w:rPr>
                <w:rFonts w:ascii="宋体" w:hAnsi="宋体"/>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3A865979">
            <w:pPr>
              <w:spacing w:line="500" w:lineRule="exact"/>
              <w:jc w:val="center"/>
              <w:rPr>
                <w:rFonts w:ascii="宋体" w:hAnsi="宋体"/>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4DD8B485">
            <w:pPr>
              <w:spacing w:line="500" w:lineRule="exact"/>
              <w:jc w:val="center"/>
              <w:rPr>
                <w:rFonts w:ascii="宋体" w:hAnsi="宋体"/>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04E50D4F">
            <w:pPr>
              <w:spacing w:line="500" w:lineRule="exact"/>
              <w:jc w:val="center"/>
              <w:rPr>
                <w:rFonts w:ascii="宋体" w:hAnsi="宋体"/>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674BA542">
            <w:pPr>
              <w:spacing w:line="500" w:lineRule="exact"/>
              <w:jc w:val="center"/>
              <w:rPr>
                <w:rFonts w:ascii="宋体" w:hAnsi="宋体"/>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6E41C881">
            <w:pPr>
              <w:spacing w:line="500" w:lineRule="exact"/>
              <w:jc w:val="center"/>
              <w:rPr>
                <w:rFonts w:ascii="宋体" w:hAnsi="宋体"/>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1FCDAAF7">
            <w:pPr>
              <w:spacing w:line="500" w:lineRule="exact"/>
              <w:jc w:val="center"/>
              <w:rPr>
                <w:rFonts w:ascii="宋体" w:hAnsi="宋体"/>
                <w:highlight w:val="none"/>
              </w:rPr>
            </w:pPr>
          </w:p>
        </w:tc>
      </w:tr>
      <w:tr w14:paraId="2317B727">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385F23D5">
            <w:pPr>
              <w:spacing w:line="500" w:lineRule="exact"/>
              <w:jc w:val="center"/>
              <w:rPr>
                <w:rFonts w:ascii="宋体" w:hAnsi="宋体"/>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03ADEBAE">
            <w:pPr>
              <w:spacing w:line="500" w:lineRule="exact"/>
              <w:jc w:val="center"/>
              <w:rPr>
                <w:rFonts w:ascii="宋体" w:hAnsi="宋体"/>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6CDBD88C">
            <w:pPr>
              <w:spacing w:line="500" w:lineRule="exact"/>
              <w:jc w:val="center"/>
              <w:rPr>
                <w:rFonts w:ascii="宋体" w:hAnsi="宋体"/>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0F46C451">
            <w:pPr>
              <w:spacing w:line="500" w:lineRule="exact"/>
              <w:jc w:val="center"/>
              <w:rPr>
                <w:rFonts w:ascii="宋体" w:hAnsi="宋体"/>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460BBB39">
            <w:pPr>
              <w:spacing w:line="500" w:lineRule="exact"/>
              <w:jc w:val="center"/>
              <w:rPr>
                <w:rFonts w:ascii="宋体" w:hAnsi="宋体"/>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7A526A8B">
            <w:pPr>
              <w:spacing w:line="500" w:lineRule="exact"/>
              <w:jc w:val="center"/>
              <w:rPr>
                <w:rFonts w:ascii="宋体" w:hAnsi="宋体"/>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12B1F72B">
            <w:pPr>
              <w:spacing w:line="500" w:lineRule="exact"/>
              <w:jc w:val="center"/>
              <w:rPr>
                <w:rFonts w:ascii="宋体" w:hAnsi="宋体"/>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1BF23364">
            <w:pPr>
              <w:spacing w:line="500" w:lineRule="exact"/>
              <w:jc w:val="center"/>
              <w:rPr>
                <w:rFonts w:ascii="宋体" w:hAnsi="宋体"/>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7CC52830">
            <w:pPr>
              <w:spacing w:line="500" w:lineRule="exact"/>
              <w:jc w:val="center"/>
              <w:rPr>
                <w:rFonts w:ascii="宋体" w:hAnsi="宋体"/>
                <w:highlight w:val="none"/>
              </w:rPr>
            </w:pPr>
          </w:p>
        </w:tc>
      </w:tr>
      <w:tr w14:paraId="7C1D571A">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67CB8FC8">
            <w:pPr>
              <w:spacing w:line="500" w:lineRule="exact"/>
              <w:jc w:val="center"/>
              <w:rPr>
                <w:rFonts w:ascii="宋体" w:hAnsi="宋体"/>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113E8373">
            <w:pPr>
              <w:spacing w:line="500" w:lineRule="exact"/>
              <w:jc w:val="center"/>
              <w:rPr>
                <w:rFonts w:ascii="宋体" w:hAnsi="宋体"/>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64884DED">
            <w:pPr>
              <w:spacing w:line="500" w:lineRule="exact"/>
              <w:jc w:val="center"/>
              <w:rPr>
                <w:rFonts w:ascii="宋体" w:hAnsi="宋体"/>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272C91E8">
            <w:pPr>
              <w:spacing w:line="500" w:lineRule="exact"/>
              <w:jc w:val="center"/>
              <w:rPr>
                <w:rFonts w:ascii="宋体" w:hAnsi="宋体"/>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34DB5898">
            <w:pPr>
              <w:spacing w:line="500" w:lineRule="exact"/>
              <w:jc w:val="center"/>
              <w:rPr>
                <w:rFonts w:ascii="宋体" w:hAnsi="宋体"/>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2F71E3B1">
            <w:pPr>
              <w:spacing w:line="500" w:lineRule="exact"/>
              <w:jc w:val="center"/>
              <w:rPr>
                <w:rFonts w:ascii="宋体" w:hAnsi="宋体"/>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4809C484">
            <w:pPr>
              <w:spacing w:line="500" w:lineRule="exact"/>
              <w:jc w:val="center"/>
              <w:rPr>
                <w:rFonts w:ascii="宋体" w:hAnsi="宋体"/>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3F181423">
            <w:pPr>
              <w:spacing w:line="500" w:lineRule="exact"/>
              <w:jc w:val="center"/>
              <w:rPr>
                <w:rFonts w:ascii="宋体" w:hAnsi="宋体"/>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43DF89D0">
            <w:pPr>
              <w:spacing w:line="500" w:lineRule="exact"/>
              <w:jc w:val="center"/>
              <w:rPr>
                <w:rFonts w:ascii="宋体" w:hAnsi="宋体"/>
                <w:highlight w:val="none"/>
              </w:rPr>
            </w:pPr>
          </w:p>
        </w:tc>
      </w:tr>
      <w:tr w14:paraId="31F68E4A">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0D83B9EB">
            <w:pPr>
              <w:spacing w:line="500" w:lineRule="exact"/>
              <w:jc w:val="center"/>
              <w:rPr>
                <w:rFonts w:ascii="宋体" w:hAnsi="宋体"/>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5E863E40">
            <w:pPr>
              <w:spacing w:line="500" w:lineRule="exact"/>
              <w:jc w:val="center"/>
              <w:rPr>
                <w:rFonts w:ascii="宋体" w:hAnsi="宋体"/>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6AD30AF2">
            <w:pPr>
              <w:spacing w:line="500" w:lineRule="exact"/>
              <w:jc w:val="center"/>
              <w:rPr>
                <w:rFonts w:ascii="宋体" w:hAnsi="宋体"/>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414F8240">
            <w:pPr>
              <w:spacing w:line="500" w:lineRule="exact"/>
              <w:jc w:val="center"/>
              <w:rPr>
                <w:rFonts w:ascii="宋体" w:hAnsi="宋体"/>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1533FDF8">
            <w:pPr>
              <w:spacing w:line="500" w:lineRule="exact"/>
              <w:jc w:val="center"/>
              <w:rPr>
                <w:rFonts w:ascii="宋体" w:hAnsi="宋体"/>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74199238">
            <w:pPr>
              <w:spacing w:line="500" w:lineRule="exact"/>
              <w:jc w:val="center"/>
              <w:rPr>
                <w:rFonts w:ascii="宋体" w:hAnsi="宋体"/>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62F42F31">
            <w:pPr>
              <w:spacing w:line="500" w:lineRule="exact"/>
              <w:jc w:val="center"/>
              <w:rPr>
                <w:rFonts w:ascii="宋体" w:hAnsi="宋体"/>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5F56A1C0">
            <w:pPr>
              <w:spacing w:line="500" w:lineRule="exact"/>
              <w:jc w:val="center"/>
              <w:rPr>
                <w:rFonts w:ascii="宋体" w:hAnsi="宋体"/>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006FDA2D">
            <w:pPr>
              <w:spacing w:line="500" w:lineRule="exact"/>
              <w:jc w:val="center"/>
              <w:rPr>
                <w:rFonts w:ascii="宋体" w:hAnsi="宋体"/>
                <w:highlight w:val="none"/>
              </w:rPr>
            </w:pPr>
          </w:p>
        </w:tc>
      </w:tr>
      <w:tr w14:paraId="48035A3B">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793940E6">
            <w:pPr>
              <w:spacing w:line="500" w:lineRule="exact"/>
              <w:jc w:val="center"/>
              <w:rPr>
                <w:rFonts w:ascii="宋体" w:hAnsi="宋体"/>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61F55779">
            <w:pPr>
              <w:spacing w:line="500" w:lineRule="exact"/>
              <w:jc w:val="center"/>
              <w:rPr>
                <w:rFonts w:ascii="宋体" w:hAnsi="宋体"/>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27D055F1">
            <w:pPr>
              <w:spacing w:line="500" w:lineRule="exact"/>
              <w:jc w:val="center"/>
              <w:rPr>
                <w:rFonts w:ascii="宋体" w:hAnsi="宋体"/>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60811A9F">
            <w:pPr>
              <w:spacing w:line="500" w:lineRule="exact"/>
              <w:jc w:val="center"/>
              <w:rPr>
                <w:rFonts w:ascii="宋体" w:hAnsi="宋体"/>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00762FCB">
            <w:pPr>
              <w:spacing w:line="500" w:lineRule="exact"/>
              <w:jc w:val="center"/>
              <w:rPr>
                <w:rFonts w:ascii="宋体" w:hAnsi="宋体"/>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3BB3136D">
            <w:pPr>
              <w:spacing w:line="500" w:lineRule="exact"/>
              <w:jc w:val="center"/>
              <w:rPr>
                <w:rFonts w:ascii="宋体" w:hAnsi="宋体"/>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6EEA01A2">
            <w:pPr>
              <w:spacing w:line="500" w:lineRule="exact"/>
              <w:jc w:val="center"/>
              <w:rPr>
                <w:rFonts w:ascii="宋体" w:hAnsi="宋体"/>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1577152C">
            <w:pPr>
              <w:spacing w:line="500" w:lineRule="exact"/>
              <w:jc w:val="center"/>
              <w:rPr>
                <w:rFonts w:ascii="宋体" w:hAnsi="宋体"/>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213CAC4A">
            <w:pPr>
              <w:spacing w:line="500" w:lineRule="exact"/>
              <w:jc w:val="center"/>
              <w:rPr>
                <w:rFonts w:ascii="宋体" w:hAnsi="宋体"/>
                <w:highlight w:val="none"/>
              </w:rPr>
            </w:pPr>
          </w:p>
        </w:tc>
      </w:tr>
      <w:tr w14:paraId="7659A9FB">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57162ECC">
            <w:pPr>
              <w:spacing w:line="500" w:lineRule="exact"/>
              <w:jc w:val="center"/>
              <w:rPr>
                <w:rFonts w:ascii="宋体" w:hAnsi="宋体"/>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50B8FB89">
            <w:pPr>
              <w:spacing w:line="500" w:lineRule="exact"/>
              <w:jc w:val="center"/>
              <w:rPr>
                <w:rFonts w:ascii="宋体" w:hAnsi="宋体"/>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6C350047">
            <w:pPr>
              <w:spacing w:line="500" w:lineRule="exact"/>
              <w:jc w:val="center"/>
              <w:rPr>
                <w:rFonts w:ascii="宋体" w:hAnsi="宋体"/>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3721A5D1">
            <w:pPr>
              <w:spacing w:line="500" w:lineRule="exact"/>
              <w:jc w:val="center"/>
              <w:rPr>
                <w:rFonts w:ascii="宋体" w:hAnsi="宋体"/>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0E2CFB3F">
            <w:pPr>
              <w:spacing w:line="500" w:lineRule="exact"/>
              <w:jc w:val="center"/>
              <w:rPr>
                <w:rFonts w:ascii="宋体" w:hAnsi="宋体"/>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41EB46D7">
            <w:pPr>
              <w:spacing w:line="500" w:lineRule="exact"/>
              <w:jc w:val="center"/>
              <w:rPr>
                <w:rFonts w:ascii="宋体" w:hAnsi="宋体"/>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273BDACD">
            <w:pPr>
              <w:spacing w:line="500" w:lineRule="exact"/>
              <w:jc w:val="center"/>
              <w:rPr>
                <w:rFonts w:ascii="宋体" w:hAnsi="宋体"/>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2FE528D7">
            <w:pPr>
              <w:spacing w:line="500" w:lineRule="exact"/>
              <w:jc w:val="center"/>
              <w:rPr>
                <w:rFonts w:ascii="宋体" w:hAnsi="宋体"/>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19FAFCC8">
            <w:pPr>
              <w:spacing w:line="500" w:lineRule="exact"/>
              <w:jc w:val="center"/>
              <w:rPr>
                <w:rFonts w:ascii="宋体" w:hAnsi="宋体"/>
                <w:highlight w:val="none"/>
              </w:rPr>
            </w:pPr>
          </w:p>
        </w:tc>
      </w:tr>
      <w:tr w14:paraId="11050447">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3E54BFEF">
            <w:pPr>
              <w:spacing w:line="500" w:lineRule="exact"/>
              <w:jc w:val="center"/>
              <w:rPr>
                <w:rFonts w:ascii="宋体" w:hAnsi="宋体"/>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411D8096">
            <w:pPr>
              <w:spacing w:line="500" w:lineRule="exact"/>
              <w:jc w:val="center"/>
              <w:rPr>
                <w:rFonts w:ascii="宋体" w:hAnsi="宋体"/>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7DF3436E">
            <w:pPr>
              <w:spacing w:line="500" w:lineRule="exact"/>
              <w:jc w:val="center"/>
              <w:rPr>
                <w:rFonts w:ascii="宋体" w:hAnsi="宋体"/>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59116A01">
            <w:pPr>
              <w:spacing w:line="500" w:lineRule="exact"/>
              <w:jc w:val="center"/>
              <w:rPr>
                <w:rFonts w:ascii="宋体" w:hAnsi="宋体"/>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1159F99E">
            <w:pPr>
              <w:spacing w:line="500" w:lineRule="exact"/>
              <w:jc w:val="center"/>
              <w:rPr>
                <w:rFonts w:ascii="宋体" w:hAnsi="宋体"/>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0FFFE914">
            <w:pPr>
              <w:spacing w:line="500" w:lineRule="exact"/>
              <w:jc w:val="center"/>
              <w:rPr>
                <w:rFonts w:ascii="宋体" w:hAnsi="宋体"/>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4E022465">
            <w:pPr>
              <w:spacing w:line="500" w:lineRule="exact"/>
              <w:jc w:val="center"/>
              <w:rPr>
                <w:rFonts w:ascii="宋体" w:hAnsi="宋体"/>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021E9ED2">
            <w:pPr>
              <w:spacing w:line="500" w:lineRule="exact"/>
              <w:jc w:val="center"/>
              <w:rPr>
                <w:rFonts w:ascii="宋体" w:hAnsi="宋体"/>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5957CCFE">
            <w:pPr>
              <w:spacing w:line="500" w:lineRule="exact"/>
              <w:jc w:val="center"/>
              <w:rPr>
                <w:rFonts w:ascii="宋体" w:hAnsi="宋体"/>
                <w:highlight w:val="none"/>
              </w:rPr>
            </w:pPr>
          </w:p>
        </w:tc>
      </w:tr>
      <w:tr w14:paraId="05AC128C">
        <w:tblPrEx>
          <w:tblCellMar>
            <w:top w:w="0" w:type="dxa"/>
            <w:left w:w="108" w:type="dxa"/>
            <w:bottom w:w="0" w:type="dxa"/>
            <w:right w:w="108" w:type="dxa"/>
          </w:tblCellMar>
        </w:tblPrEx>
        <w:trPr>
          <w:trHeight w:val="502" w:hRule="atLeast"/>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005BB295">
            <w:pPr>
              <w:spacing w:line="500" w:lineRule="exact"/>
              <w:jc w:val="center"/>
              <w:rPr>
                <w:rFonts w:ascii="宋体" w:hAnsi="宋体"/>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6D902443">
            <w:pPr>
              <w:spacing w:line="500" w:lineRule="exact"/>
              <w:jc w:val="center"/>
              <w:rPr>
                <w:rFonts w:ascii="宋体" w:hAnsi="宋体"/>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407BBFFC">
            <w:pPr>
              <w:spacing w:line="500" w:lineRule="exact"/>
              <w:jc w:val="center"/>
              <w:rPr>
                <w:rFonts w:ascii="宋体" w:hAnsi="宋体"/>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275FA50F">
            <w:pPr>
              <w:spacing w:line="500" w:lineRule="exact"/>
              <w:jc w:val="center"/>
              <w:rPr>
                <w:rFonts w:ascii="宋体" w:hAnsi="宋体"/>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7E92987A">
            <w:pPr>
              <w:spacing w:line="500" w:lineRule="exact"/>
              <w:jc w:val="center"/>
              <w:rPr>
                <w:rFonts w:ascii="宋体" w:hAnsi="宋体"/>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2B6B0557">
            <w:pPr>
              <w:spacing w:line="500" w:lineRule="exact"/>
              <w:jc w:val="center"/>
              <w:rPr>
                <w:rFonts w:ascii="宋体" w:hAnsi="宋体"/>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668935A1">
            <w:pPr>
              <w:spacing w:line="500" w:lineRule="exact"/>
              <w:jc w:val="center"/>
              <w:rPr>
                <w:rFonts w:ascii="宋体" w:hAnsi="宋体"/>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45E2049F">
            <w:pPr>
              <w:spacing w:line="500" w:lineRule="exact"/>
              <w:jc w:val="center"/>
              <w:rPr>
                <w:rFonts w:ascii="宋体" w:hAnsi="宋体"/>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7D6663F1">
            <w:pPr>
              <w:spacing w:line="500" w:lineRule="exact"/>
              <w:jc w:val="center"/>
              <w:rPr>
                <w:rFonts w:ascii="宋体" w:hAnsi="宋体"/>
                <w:highlight w:val="none"/>
              </w:rPr>
            </w:pPr>
          </w:p>
        </w:tc>
      </w:tr>
      <w:tr w14:paraId="3E76E426">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14:paraId="51E4A43A">
            <w:pPr>
              <w:spacing w:line="500" w:lineRule="exact"/>
              <w:jc w:val="center"/>
              <w:rPr>
                <w:rFonts w:ascii="宋体" w:hAnsi="宋体"/>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79455368">
            <w:pPr>
              <w:spacing w:line="500" w:lineRule="exact"/>
              <w:jc w:val="center"/>
              <w:rPr>
                <w:rFonts w:ascii="宋体" w:hAnsi="宋体"/>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35113148">
            <w:pPr>
              <w:spacing w:line="500" w:lineRule="exact"/>
              <w:jc w:val="center"/>
              <w:rPr>
                <w:rFonts w:ascii="宋体" w:hAnsi="宋体"/>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69BE8295">
            <w:pPr>
              <w:spacing w:line="500" w:lineRule="exact"/>
              <w:jc w:val="center"/>
              <w:rPr>
                <w:rFonts w:ascii="宋体" w:hAnsi="宋体"/>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768967E4">
            <w:pPr>
              <w:spacing w:line="500" w:lineRule="exact"/>
              <w:jc w:val="center"/>
              <w:rPr>
                <w:rFonts w:ascii="宋体" w:hAnsi="宋体"/>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3F586410">
            <w:pPr>
              <w:spacing w:line="500" w:lineRule="exact"/>
              <w:jc w:val="center"/>
              <w:rPr>
                <w:rFonts w:ascii="宋体" w:hAnsi="宋体"/>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143AA273">
            <w:pPr>
              <w:spacing w:line="500" w:lineRule="exact"/>
              <w:jc w:val="center"/>
              <w:rPr>
                <w:rFonts w:ascii="宋体" w:hAnsi="宋体"/>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02200DAA">
            <w:pPr>
              <w:spacing w:line="500" w:lineRule="exact"/>
              <w:jc w:val="center"/>
              <w:rPr>
                <w:rFonts w:ascii="宋体" w:hAnsi="宋体"/>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2F3C3BCB">
            <w:pPr>
              <w:spacing w:line="500" w:lineRule="exact"/>
              <w:jc w:val="center"/>
              <w:rPr>
                <w:rFonts w:ascii="宋体" w:hAnsi="宋体"/>
                <w:highlight w:val="none"/>
              </w:rPr>
            </w:pPr>
          </w:p>
        </w:tc>
      </w:tr>
      <w:tr w14:paraId="5DD8149D">
        <w:tblPrEx>
          <w:tblCellMar>
            <w:top w:w="0" w:type="dxa"/>
            <w:left w:w="108" w:type="dxa"/>
            <w:bottom w:w="0" w:type="dxa"/>
            <w:right w:w="108" w:type="dxa"/>
          </w:tblCellMar>
        </w:tblPrEx>
        <w:trPr>
          <w:gridAfter w:val="1"/>
          <w:wAfter w:w="10" w:type="dxa"/>
          <w:jc w:val="center"/>
        </w:trPr>
        <w:tc>
          <w:tcPr>
            <w:tcW w:w="2455" w:type="dxa"/>
            <w:gridSpan w:val="2"/>
            <w:tcBorders>
              <w:top w:val="single" w:color="auto" w:sz="4" w:space="0"/>
              <w:left w:val="single" w:color="auto" w:sz="4" w:space="0"/>
              <w:bottom w:val="single" w:color="auto" w:sz="4" w:space="0"/>
              <w:right w:val="single" w:color="auto" w:sz="4" w:space="0"/>
            </w:tcBorders>
            <w:noWrap/>
            <w:vAlign w:val="center"/>
          </w:tcPr>
          <w:p w14:paraId="345DFDD5">
            <w:pPr>
              <w:spacing w:line="500" w:lineRule="exact"/>
              <w:rPr>
                <w:rFonts w:ascii="宋体" w:hAnsi="宋体"/>
                <w:highlight w:val="none"/>
              </w:rPr>
            </w:pPr>
            <w:r>
              <w:rPr>
                <w:rFonts w:hint="eastAsia" w:ascii="宋体" w:hAnsi="宋体"/>
                <w:highlight w:val="none"/>
              </w:rPr>
              <w:t>最高投标限价：</w:t>
            </w:r>
          </w:p>
        </w:tc>
        <w:tc>
          <w:tcPr>
            <w:tcW w:w="973" w:type="dxa"/>
            <w:tcBorders>
              <w:top w:val="single" w:color="auto" w:sz="4" w:space="0"/>
              <w:left w:val="single" w:color="auto" w:sz="4" w:space="0"/>
              <w:bottom w:val="single" w:color="auto" w:sz="4" w:space="0"/>
              <w:right w:val="single" w:color="auto" w:sz="4" w:space="0"/>
            </w:tcBorders>
            <w:noWrap/>
            <w:vAlign w:val="center"/>
          </w:tcPr>
          <w:p w14:paraId="2C83E5CF">
            <w:pPr>
              <w:spacing w:line="500" w:lineRule="exact"/>
              <w:jc w:val="center"/>
              <w:rPr>
                <w:rFonts w:ascii="宋体" w:hAnsi="宋体"/>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14:paraId="47AE6B10">
            <w:pPr>
              <w:spacing w:line="500" w:lineRule="exact"/>
              <w:jc w:val="center"/>
              <w:rPr>
                <w:rFonts w:ascii="宋体" w:hAnsi="宋体"/>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14:paraId="3E74B599">
            <w:pPr>
              <w:spacing w:line="500" w:lineRule="exact"/>
              <w:jc w:val="center"/>
              <w:rPr>
                <w:rFonts w:ascii="宋体" w:hAnsi="宋体"/>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05E26BE7">
            <w:pPr>
              <w:spacing w:line="500" w:lineRule="exact"/>
              <w:jc w:val="center"/>
              <w:rPr>
                <w:rFonts w:ascii="宋体" w:hAnsi="宋体"/>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14:paraId="1E0227F7">
            <w:pPr>
              <w:spacing w:line="500" w:lineRule="exact"/>
              <w:jc w:val="center"/>
              <w:rPr>
                <w:rFonts w:ascii="宋体" w:hAnsi="宋体"/>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14:paraId="6EABC668">
            <w:pPr>
              <w:spacing w:line="500" w:lineRule="exact"/>
              <w:jc w:val="center"/>
              <w:rPr>
                <w:rFonts w:ascii="宋体" w:hAnsi="宋体"/>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14:paraId="158DE0EB">
            <w:pPr>
              <w:spacing w:line="500" w:lineRule="exact"/>
              <w:jc w:val="center"/>
              <w:rPr>
                <w:rFonts w:ascii="宋体" w:hAnsi="宋体"/>
                <w:highlight w:val="none"/>
              </w:rPr>
            </w:pPr>
          </w:p>
        </w:tc>
      </w:tr>
    </w:tbl>
    <w:p w14:paraId="771F501C">
      <w:pPr>
        <w:pStyle w:val="14"/>
        <w:ind w:firstLine="0"/>
        <w:rPr>
          <w:highlight w:val="none"/>
        </w:rPr>
      </w:pPr>
    </w:p>
    <w:p w14:paraId="0EC1B5AA">
      <w:pPr>
        <w:spacing w:line="620" w:lineRule="exact"/>
        <w:rPr>
          <w:rFonts w:ascii="宋体" w:hAnsi="宋体"/>
          <w:szCs w:val="21"/>
          <w:highlight w:val="none"/>
        </w:rPr>
      </w:pPr>
      <w:r>
        <w:rPr>
          <w:rFonts w:hint="eastAsia" w:ascii="宋体" w:hAnsi="宋体"/>
          <w:szCs w:val="21"/>
          <w:highlight w:val="none"/>
        </w:rPr>
        <w:t>招标人代表：</w:t>
      </w:r>
      <w:r>
        <w:rPr>
          <w:rFonts w:hint="eastAsia" w:ascii="宋体" w:hAnsi="宋体"/>
          <w:szCs w:val="21"/>
          <w:highlight w:val="none"/>
          <w:u w:val="single"/>
        </w:rPr>
        <w:t xml:space="preserve">                </w:t>
      </w:r>
      <w:r>
        <w:rPr>
          <w:rFonts w:hint="eastAsia" w:ascii="宋体" w:hAnsi="宋体"/>
          <w:szCs w:val="21"/>
          <w:highlight w:val="none"/>
        </w:rPr>
        <w:t>记录人：</w:t>
      </w:r>
      <w:r>
        <w:rPr>
          <w:rFonts w:hint="eastAsia" w:ascii="宋体" w:hAnsi="宋体"/>
          <w:szCs w:val="21"/>
          <w:highlight w:val="none"/>
          <w:u w:val="single"/>
        </w:rPr>
        <w:t xml:space="preserve">                     </w:t>
      </w:r>
      <w:r>
        <w:rPr>
          <w:rFonts w:hint="eastAsia" w:ascii="宋体" w:hAnsi="宋体"/>
          <w:szCs w:val="21"/>
          <w:highlight w:val="none"/>
        </w:rPr>
        <w:tab/>
      </w:r>
      <w:r>
        <w:rPr>
          <w:rFonts w:hint="eastAsia" w:ascii="宋体" w:hAnsi="宋体"/>
          <w:szCs w:val="21"/>
          <w:highlight w:val="none"/>
        </w:rPr>
        <w:t xml:space="preserve"> 监标人：</w:t>
      </w:r>
      <w:r>
        <w:rPr>
          <w:rFonts w:hint="eastAsia" w:ascii="宋体" w:hAnsi="宋体"/>
          <w:szCs w:val="21"/>
          <w:highlight w:val="none"/>
          <w:u w:val="single"/>
        </w:rPr>
        <w:t xml:space="preserve">               </w:t>
      </w:r>
    </w:p>
    <w:p w14:paraId="4FD67B9D">
      <w:pPr>
        <w:wordWrap w:val="0"/>
        <w:spacing w:line="620" w:lineRule="exact"/>
        <w:jc w:val="righ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6F33520">
      <w:pPr>
        <w:spacing w:line="373" w:lineRule="exact"/>
        <w:ind w:left="14" w:right="40" w:hanging="14" w:hangingChars="5"/>
        <w:rPr>
          <w:rFonts w:ascii="宋体" w:hAnsi="宋体"/>
          <w:sz w:val="28"/>
          <w:highlight w:val="none"/>
        </w:rPr>
      </w:pPr>
    </w:p>
    <w:p w14:paraId="48F14319">
      <w:pPr>
        <w:spacing w:line="373" w:lineRule="exact"/>
        <w:ind w:left="14" w:right="40" w:hanging="14" w:hangingChars="5"/>
        <w:rPr>
          <w:rFonts w:ascii="宋体" w:hAnsi="宋体"/>
          <w:sz w:val="28"/>
          <w:highlight w:val="none"/>
        </w:rPr>
      </w:pPr>
    </w:p>
    <w:p w14:paraId="793F5117">
      <w:pPr>
        <w:spacing w:line="383" w:lineRule="exact"/>
        <w:ind w:right="-20"/>
        <w:jc w:val="left"/>
        <w:rPr>
          <w:rFonts w:ascii="宋体" w:hAnsi="宋体"/>
          <w:sz w:val="28"/>
          <w:highlight w:val="none"/>
        </w:rPr>
      </w:pPr>
      <w:r>
        <w:rPr>
          <w:rFonts w:hint="eastAsia" w:ascii="宋体" w:hAnsi="宋体" w:cs="宋体"/>
          <w:highlight w:val="none"/>
        </w:rPr>
        <w:br w:type="page"/>
      </w:r>
      <w:r>
        <w:rPr>
          <w:rFonts w:ascii="宋体" w:hAnsi="宋体"/>
          <w:position w:val="-4"/>
          <w:sz w:val="28"/>
          <w:highlight w:val="none"/>
        </w:rPr>
        <w:t>附件二</w:t>
      </w:r>
      <w:r>
        <w:rPr>
          <w:rFonts w:ascii="宋体" w:hAnsi="宋体"/>
          <w:spacing w:val="-3"/>
          <w:position w:val="-4"/>
          <w:sz w:val="28"/>
          <w:highlight w:val="none"/>
        </w:rPr>
        <w:t>：</w:t>
      </w:r>
      <w:r>
        <w:rPr>
          <w:rFonts w:ascii="宋体" w:hAnsi="宋体"/>
          <w:position w:val="-4"/>
          <w:sz w:val="28"/>
          <w:highlight w:val="none"/>
        </w:rPr>
        <w:t>问题</w:t>
      </w:r>
      <w:r>
        <w:rPr>
          <w:rFonts w:ascii="宋体" w:hAnsi="宋体"/>
          <w:spacing w:val="-3"/>
          <w:position w:val="-4"/>
          <w:sz w:val="28"/>
          <w:highlight w:val="none"/>
        </w:rPr>
        <w:t>澄清</w:t>
      </w:r>
      <w:r>
        <w:rPr>
          <w:rFonts w:ascii="宋体" w:hAnsi="宋体"/>
          <w:position w:val="-4"/>
          <w:sz w:val="28"/>
          <w:highlight w:val="none"/>
        </w:rPr>
        <w:t>通知</w:t>
      </w:r>
    </w:p>
    <w:p w14:paraId="49265131">
      <w:pPr>
        <w:spacing w:line="200" w:lineRule="exact"/>
        <w:jc w:val="left"/>
        <w:rPr>
          <w:rFonts w:ascii="宋体" w:hAnsi="宋体"/>
          <w:sz w:val="20"/>
          <w:highlight w:val="none"/>
        </w:rPr>
      </w:pPr>
    </w:p>
    <w:p w14:paraId="5F356D14">
      <w:pPr>
        <w:spacing w:line="373" w:lineRule="exact"/>
        <w:ind w:left="14" w:right="40" w:hanging="14" w:hangingChars="5"/>
        <w:rPr>
          <w:rFonts w:ascii="宋体" w:hAnsi="宋体"/>
          <w:sz w:val="28"/>
          <w:highlight w:val="none"/>
        </w:rPr>
      </w:pPr>
      <w:r>
        <w:rPr>
          <w:rFonts w:hint="eastAsia" w:ascii="宋体" w:hAnsi="宋体"/>
          <w:sz w:val="28"/>
          <w:highlight w:val="none"/>
        </w:rPr>
        <w:t>注：以广州交易集团有限公司（广州公共资源交易中心）格式为准。</w:t>
      </w:r>
    </w:p>
    <w:p w14:paraId="37570A0E">
      <w:pPr>
        <w:spacing w:line="383" w:lineRule="exact"/>
        <w:ind w:left="237" w:right="-20"/>
        <w:jc w:val="left"/>
        <w:rPr>
          <w:rFonts w:ascii="宋体" w:hAnsi="宋体"/>
          <w:position w:val="-4"/>
          <w:sz w:val="28"/>
          <w:highlight w:val="none"/>
        </w:rPr>
      </w:pPr>
    </w:p>
    <w:p w14:paraId="7D8FECA6">
      <w:pPr>
        <w:spacing w:line="383" w:lineRule="exact"/>
        <w:ind w:left="237" w:right="-20"/>
        <w:jc w:val="left"/>
        <w:rPr>
          <w:rFonts w:ascii="宋体" w:hAnsi="宋体"/>
          <w:position w:val="-4"/>
          <w:sz w:val="28"/>
          <w:highlight w:val="none"/>
        </w:rPr>
      </w:pPr>
    </w:p>
    <w:p w14:paraId="69CDFFCA">
      <w:pPr>
        <w:spacing w:line="383" w:lineRule="exact"/>
        <w:ind w:right="-20"/>
        <w:jc w:val="left"/>
        <w:rPr>
          <w:rFonts w:ascii="宋体" w:hAnsi="宋体"/>
          <w:sz w:val="17"/>
          <w:highlight w:val="none"/>
        </w:rPr>
      </w:pPr>
      <w:r>
        <w:rPr>
          <w:rFonts w:ascii="宋体" w:hAnsi="宋体"/>
          <w:position w:val="-4"/>
          <w:sz w:val="28"/>
          <w:highlight w:val="none"/>
        </w:rPr>
        <w:t>附件三</w:t>
      </w:r>
      <w:r>
        <w:rPr>
          <w:rFonts w:ascii="宋体" w:hAnsi="宋体"/>
          <w:spacing w:val="-3"/>
          <w:position w:val="-4"/>
          <w:sz w:val="28"/>
          <w:highlight w:val="none"/>
        </w:rPr>
        <w:t>：</w:t>
      </w:r>
      <w:r>
        <w:rPr>
          <w:rFonts w:ascii="宋体" w:hAnsi="宋体"/>
          <w:position w:val="-4"/>
          <w:sz w:val="28"/>
          <w:highlight w:val="none"/>
        </w:rPr>
        <w:t>问题</w:t>
      </w:r>
      <w:r>
        <w:rPr>
          <w:rFonts w:ascii="宋体" w:hAnsi="宋体"/>
          <w:spacing w:val="-3"/>
          <w:position w:val="-4"/>
          <w:sz w:val="28"/>
          <w:highlight w:val="none"/>
        </w:rPr>
        <w:t>的澄</w:t>
      </w:r>
      <w:r>
        <w:rPr>
          <w:rFonts w:ascii="宋体" w:hAnsi="宋体"/>
          <w:position w:val="-4"/>
          <w:sz w:val="28"/>
          <w:highlight w:val="none"/>
        </w:rPr>
        <w:t>清</w:t>
      </w:r>
    </w:p>
    <w:p w14:paraId="6A0AD58F">
      <w:pPr>
        <w:spacing w:line="200" w:lineRule="exact"/>
        <w:jc w:val="left"/>
        <w:rPr>
          <w:rFonts w:ascii="宋体" w:hAnsi="宋体"/>
          <w:sz w:val="20"/>
          <w:highlight w:val="none"/>
        </w:rPr>
      </w:pPr>
    </w:p>
    <w:p w14:paraId="77589796">
      <w:pPr>
        <w:spacing w:line="373" w:lineRule="exact"/>
        <w:ind w:right="40"/>
        <w:rPr>
          <w:rFonts w:ascii="宋体" w:hAnsi="宋体"/>
          <w:sz w:val="28"/>
          <w:highlight w:val="none"/>
        </w:rPr>
      </w:pPr>
      <w:r>
        <w:rPr>
          <w:rFonts w:hint="eastAsia" w:ascii="宋体" w:hAnsi="宋体"/>
          <w:sz w:val="28"/>
          <w:highlight w:val="none"/>
        </w:rPr>
        <w:t>注：以广州交易集团有限公司（广州公共资源交易中心）格式为准。</w:t>
      </w:r>
    </w:p>
    <w:p w14:paraId="21AC69E0">
      <w:pPr>
        <w:spacing w:line="383" w:lineRule="exact"/>
        <w:ind w:left="237" w:right="-20"/>
        <w:jc w:val="left"/>
        <w:rPr>
          <w:rFonts w:ascii="宋体" w:hAnsi="宋体"/>
          <w:position w:val="-4"/>
          <w:sz w:val="28"/>
          <w:highlight w:val="none"/>
        </w:rPr>
      </w:pPr>
      <w:bookmarkStart w:id="389" w:name="_Toc536455247"/>
      <w:bookmarkStart w:id="390" w:name="_Toc525218682"/>
      <w:bookmarkStart w:id="391" w:name="_Toc51179204"/>
      <w:bookmarkStart w:id="392" w:name="_Toc51593457"/>
      <w:bookmarkStart w:id="393" w:name="_Toc27507"/>
      <w:bookmarkStart w:id="394" w:name="_Toc529459327"/>
    </w:p>
    <w:p w14:paraId="6FD8D990">
      <w:pPr>
        <w:spacing w:line="383" w:lineRule="exact"/>
        <w:ind w:left="237" w:right="-20"/>
        <w:jc w:val="left"/>
        <w:rPr>
          <w:rFonts w:ascii="宋体" w:hAnsi="宋体"/>
          <w:position w:val="-4"/>
          <w:sz w:val="28"/>
          <w:highlight w:val="none"/>
        </w:rPr>
      </w:pPr>
    </w:p>
    <w:p w14:paraId="674C8503">
      <w:pPr>
        <w:spacing w:line="383" w:lineRule="exact"/>
        <w:ind w:right="-20"/>
        <w:jc w:val="left"/>
        <w:rPr>
          <w:rFonts w:ascii="宋体" w:hAnsi="宋体"/>
          <w:position w:val="-4"/>
          <w:sz w:val="28"/>
          <w:highlight w:val="none"/>
        </w:rPr>
      </w:pPr>
      <w:r>
        <w:rPr>
          <w:rFonts w:ascii="宋体" w:hAnsi="宋体"/>
          <w:position w:val="-4"/>
          <w:sz w:val="28"/>
          <w:highlight w:val="none"/>
        </w:rPr>
        <w:t>附件四：中标通知书</w:t>
      </w:r>
      <w:bookmarkEnd w:id="389"/>
      <w:bookmarkEnd w:id="390"/>
      <w:bookmarkEnd w:id="391"/>
      <w:bookmarkEnd w:id="392"/>
      <w:bookmarkEnd w:id="393"/>
      <w:bookmarkEnd w:id="394"/>
    </w:p>
    <w:p w14:paraId="4F2B0DA6">
      <w:pPr>
        <w:spacing w:line="200" w:lineRule="exact"/>
        <w:jc w:val="left"/>
        <w:rPr>
          <w:rFonts w:ascii="宋体" w:hAnsi="宋体"/>
          <w:sz w:val="20"/>
          <w:highlight w:val="none"/>
        </w:rPr>
      </w:pPr>
    </w:p>
    <w:p w14:paraId="07074FF8">
      <w:pPr>
        <w:spacing w:line="373" w:lineRule="exact"/>
        <w:ind w:left="14" w:right="40" w:hanging="14" w:hangingChars="5"/>
        <w:rPr>
          <w:rFonts w:ascii="宋体" w:hAnsi="宋体"/>
          <w:sz w:val="28"/>
          <w:highlight w:val="none"/>
        </w:rPr>
      </w:pPr>
      <w:r>
        <w:rPr>
          <w:rFonts w:hint="eastAsia" w:ascii="宋体" w:hAnsi="宋体"/>
          <w:sz w:val="28"/>
          <w:highlight w:val="none"/>
        </w:rPr>
        <w:t>注：以广州交易集团有限公司（广州公共资源交易中心）格式为准。</w:t>
      </w:r>
    </w:p>
    <w:p w14:paraId="07C7716C">
      <w:pPr>
        <w:spacing w:line="373" w:lineRule="exact"/>
        <w:ind w:left="3578" w:right="40" w:hanging="3578" w:hangingChars="1278"/>
        <w:jc w:val="center"/>
        <w:rPr>
          <w:rFonts w:ascii="宋体" w:hAnsi="宋体"/>
          <w:sz w:val="28"/>
          <w:highlight w:val="none"/>
        </w:rPr>
      </w:pPr>
    </w:p>
    <w:p w14:paraId="50704AF9">
      <w:pPr>
        <w:spacing w:line="383" w:lineRule="exact"/>
        <w:ind w:left="237" w:right="-20"/>
        <w:jc w:val="left"/>
        <w:rPr>
          <w:rFonts w:ascii="宋体" w:hAnsi="宋体"/>
          <w:position w:val="-4"/>
          <w:sz w:val="28"/>
          <w:highlight w:val="none"/>
        </w:rPr>
      </w:pPr>
      <w:bookmarkStart w:id="395" w:name="_Toc492300625"/>
      <w:bookmarkStart w:id="396" w:name="_Toc492300624"/>
      <w:bookmarkStart w:id="397" w:name="_Toc530470628"/>
      <w:bookmarkStart w:id="398" w:name="_Toc535938719"/>
      <w:bookmarkStart w:id="399" w:name="_Toc529196580"/>
      <w:bookmarkStart w:id="400" w:name="_Toc49510020"/>
      <w:bookmarkStart w:id="401" w:name="_Toc6395"/>
    </w:p>
    <w:p w14:paraId="0E0D3E32">
      <w:pPr>
        <w:spacing w:after="240"/>
        <w:rPr>
          <w:rFonts w:ascii="宋体" w:hAnsi="宋体"/>
          <w:position w:val="-4"/>
          <w:sz w:val="28"/>
          <w:highlight w:val="none"/>
        </w:rPr>
      </w:pPr>
      <w:r>
        <w:rPr>
          <w:rFonts w:ascii="宋体" w:hAnsi="宋体"/>
          <w:position w:val="-4"/>
          <w:sz w:val="28"/>
          <w:highlight w:val="none"/>
        </w:rPr>
        <w:t>附件五：</w:t>
      </w:r>
      <w:bookmarkEnd w:id="395"/>
      <w:r>
        <w:rPr>
          <w:rFonts w:ascii="宋体" w:hAnsi="宋体"/>
          <w:position w:val="-4"/>
          <w:sz w:val="28"/>
          <w:highlight w:val="none"/>
        </w:rPr>
        <w:t>中标结果通知书</w:t>
      </w:r>
      <w:bookmarkEnd w:id="396"/>
    </w:p>
    <w:p w14:paraId="31CC3692">
      <w:pPr>
        <w:spacing w:line="373" w:lineRule="exact"/>
        <w:ind w:left="14" w:right="40" w:hanging="14" w:hangingChars="5"/>
        <w:rPr>
          <w:rFonts w:ascii="宋体" w:hAnsi="宋体"/>
          <w:sz w:val="28"/>
          <w:highlight w:val="none"/>
        </w:rPr>
      </w:pPr>
      <w:r>
        <w:rPr>
          <w:rFonts w:hint="eastAsia" w:ascii="宋体" w:hAnsi="宋体"/>
          <w:sz w:val="28"/>
          <w:highlight w:val="none"/>
        </w:rPr>
        <w:t>注：以广州交易集团有限公司（广州公共资源交易中心）格式为准。</w:t>
      </w:r>
    </w:p>
    <w:bookmarkEnd w:id="397"/>
    <w:bookmarkEnd w:id="398"/>
    <w:bookmarkEnd w:id="399"/>
    <w:p w14:paraId="2D16F2EC">
      <w:pPr>
        <w:spacing w:line="383" w:lineRule="exact"/>
        <w:ind w:left="237" w:right="-20"/>
        <w:jc w:val="left"/>
        <w:rPr>
          <w:rFonts w:ascii="宋体" w:hAnsi="宋体"/>
          <w:position w:val="-4"/>
          <w:sz w:val="28"/>
          <w:highlight w:val="none"/>
        </w:rPr>
      </w:pPr>
    </w:p>
    <w:p w14:paraId="42F7241A">
      <w:pPr>
        <w:spacing w:line="383" w:lineRule="exact"/>
        <w:ind w:left="237" w:right="-20"/>
        <w:jc w:val="left"/>
        <w:rPr>
          <w:rFonts w:ascii="宋体" w:hAnsi="宋体"/>
          <w:position w:val="-4"/>
          <w:sz w:val="28"/>
          <w:highlight w:val="none"/>
        </w:rPr>
      </w:pPr>
    </w:p>
    <w:p w14:paraId="187A21AF">
      <w:pPr>
        <w:rPr>
          <w:rFonts w:ascii="宋体" w:hAnsi="宋体"/>
          <w:position w:val="-4"/>
          <w:sz w:val="28"/>
          <w:highlight w:val="none"/>
        </w:rPr>
      </w:pPr>
      <w:r>
        <w:rPr>
          <w:rFonts w:ascii="宋体" w:hAnsi="宋体"/>
          <w:position w:val="-4"/>
          <w:sz w:val="28"/>
          <w:highlight w:val="none"/>
        </w:rPr>
        <w:t>附件六：确认通知</w:t>
      </w:r>
    </w:p>
    <w:p w14:paraId="7C94CE90">
      <w:pPr>
        <w:spacing w:line="200" w:lineRule="exact"/>
        <w:jc w:val="left"/>
        <w:rPr>
          <w:rFonts w:ascii="宋体" w:hAnsi="宋体"/>
          <w:sz w:val="20"/>
          <w:highlight w:val="none"/>
        </w:rPr>
      </w:pPr>
    </w:p>
    <w:p w14:paraId="7538E93B">
      <w:pPr>
        <w:spacing w:line="373" w:lineRule="exact"/>
        <w:ind w:left="14" w:right="40" w:hanging="14" w:hangingChars="5"/>
        <w:rPr>
          <w:rFonts w:ascii="宋体" w:hAnsi="宋体"/>
          <w:sz w:val="28"/>
          <w:highlight w:val="none"/>
        </w:rPr>
      </w:pPr>
      <w:r>
        <w:rPr>
          <w:rFonts w:hint="eastAsia" w:ascii="宋体" w:hAnsi="宋体"/>
          <w:sz w:val="28"/>
          <w:highlight w:val="none"/>
        </w:rPr>
        <w:t>注：以广州交易集团有限公司（广州公共资源交易中心）格式为准。</w:t>
      </w:r>
    </w:p>
    <w:p w14:paraId="472A39B6">
      <w:pPr>
        <w:spacing w:line="373" w:lineRule="exact"/>
        <w:ind w:left="14" w:right="40" w:hanging="14" w:hangingChars="5"/>
        <w:rPr>
          <w:rFonts w:ascii="宋体" w:hAnsi="宋体"/>
          <w:sz w:val="28"/>
          <w:highlight w:val="none"/>
        </w:rPr>
      </w:pPr>
    </w:p>
    <w:p w14:paraId="6A6C5933">
      <w:pPr>
        <w:spacing w:after="240"/>
        <w:rPr>
          <w:b/>
          <w:sz w:val="28"/>
          <w:szCs w:val="20"/>
          <w:highlight w:val="none"/>
        </w:rPr>
      </w:pPr>
    </w:p>
    <w:p w14:paraId="2A7CC0F4">
      <w:pPr>
        <w:spacing w:after="240"/>
        <w:rPr>
          <w:b/>
          <w:sz w:val="28"/>
          <w:szCs w:val="20"/>
          <w:highlight w:val="none"/>
        </w:rPr>
      </w:pPr>
    </w:p>
    <w:p w14:paraId="6FF9C9B6">
      <w:pPr>
        <w:spacing w:after="240"/>
        <w:rPr>
          <w:b/>
          <w:sz w:val="28"/>
          <w:szCs w:val="20"/>
          <w:highlight w:val="none"/>
        </w:rPr>
      </w:pPr>
    </w:p>
    <w:p w14:paraId="2B6E111B">
      <w:pPr>
        <w:spacing w:after="240"/>
        <w:rPr>
          <w:b/>
          <w:sz w:val="28"/>
          <w:szCs w:val="20"/>
          <w:highlight w:val="none"/>
        </w:rPr>
      </w:pPr>
    </w:p>
    <w:p w14:paraId="63831633">
      <w:pPr>
        <w:spacing w:after="240"/>
        <w:rPr>
          <w:b/>
          <w:sz w:val="28"/>
          <w:szCs w:val="20"/>
          <w:highlight w:val="none"/>
        </w:rPr>
      </w:pPr>
    </w:p>
    <w:p w14:paraId="6787DBE5">
      <w:pPr>
        <w:spacing w:after="240"/>
        <w:rPr>
          <w:b/>
          <w:sz w:val="28"/>
          <w:szCs w:val="20"/>
          <w:highlight w:val="none"/>
        </w:rPr>
      </w:pPr>
    </w:p>
    <w:p w14:paraId="7A8E5075">
      <w:pPr>
        <w:spacing w:after="240"/>
        <w:rPr>
          <w:b/>
          <w:sz w:val="28"/>
          <w:szCs w:val="20"/>
          <w:highlight w:val="none"/>
        </w:rPr>
      </w:pPr>
    </w:p>
    <w:p w14:paraId="49A78528">
      <w:pPr>
        <w:spacing w:after="240"/>
        <w:rPr>
          <w:b/>
          <w:sz w:val="28"/>
          <w:szCs w:val="20"/>
          <w:highlight w:val="none"/>
        </w:rPr>
      </w:pPr>
    </w:p>
    <w:p w14:paraId="0C198BD8">
      <w:pPr>
        <w:spacing w:after="240"/>
        <w:rPr>
          <w:b/>
          <w:sz w:val="28"/>
          <w:szCs w:val="20"/>
          <w:highlight w:val="none"/>
        </w:rPr>
      </w:pPr>
    </w:p>
    <w:p w14:paraId="0F742FF7">
      <w:pPr>
        <w:spacing w:after="240"/>
        <w:rPr>
          <w:b/>
          <w:sz w:val="28"/>
          <w:szCs w:val="20"/>
          <w:highlight w:val="none"/>
        </w:rPr>
      </w:pPr>
      <w:r>
        <w:rPr>
          <w:rFonts w:hint="eastAsia"/>
          <w:b/>
          <w:sz w:val="28"/>
          <w:szCs w:val="20"/>
          <w:highlight w:val="none"/>
        </w:rPr>
        <w:t>附件七</w:t>
      </w:r>
      <w:r>
        <w:rPr>
          <w:b/>
          <w:sz w:val="28"/>
          <w:szCs w:val="20"/>
          <w:highlight w:val="none"/>
        </w:rPr>
        <w:t>：</w:t>
      </w:r>
    </w:p>
    <w:p w14:paraId="636D4018">
      <w:pPr>
        <w:spacing w:line="360" w:lineRule="auto"/>
        <w:jc w:val="center"/>
        <w:rPr>
          <w:rFonts w:ascii="宋体" w:hAnsi="宋体" w:cs="宋体"/>
          <w:b/>
          <w:sz w:val="32"/>
          <w:szCs w:val="32"/>
          <w:highlight w:val="none"/>
        </w:rPr>
      </w:pPr>
      <w:r>
        <w:rPr>
          <w:rFonts w:hint="eastAsia" w:ascii="宋体" w:hAnsi="宋体" w:cs="宋体"/>
          <w:b/>
          <w:sz w:val="32"/>
          <w:szCs w:val="32"/>
          <w:highlight w:val="none"/>
          <w:lang w:bidi="ar"/>
        </w:rPr>
        <w:t>评标委员会成员声明</w:t>
      </w:r>
    </w:p>
    <w:p w14:paraId="33CD3F98">
      <w:pPr>
        <w:spacing w:line="360" w:lineRule="auto"/>
        <w:rPr>
          <w:rFonts w:ascii="宋体" w:hAnsi="宋体" w:cs="宋体"/>
          <w:sz w:val="24"/>
          <w:szCs w:val="24"/>
          <w:highlight w:val="none"/>
        </w:rPr>
      </w:pPr>
      <w:r>
        <w:rPr>
          <w:rFonts w:hint="eastAsia" w:ascii="宋体" w:hAnsi="宋体" w:cs="宋体"/>
          <w:sz w:val="24"/>
          <w:szCs w:val="24"/>
          <w:highlight w:val="none"/>
          <w:u w:val="single"/>
          <w:lang w:bidi="ar"/>
        </w:rPr>
        <w:t xml:space="preserve">   本项目招标人  </w:t>
      </w:r>
      <w:r>
        <w:rPr>
          <w:rFonts w:hint="eastAsia" w:ascii="宋体" w:hAnsi="宋体" w:cs="宋体"/>
          <w:sz w:val="24"/>
          <w:szCs w:val="24"/>
          <w:highlight w:val="none"/>
          <w:lang w:bidi="ar"/>
        </w:rPr>
        <w:t>：</w:t>
      </w:r>
    </w:p>
    <w:p w14:paraId="4D87062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bidi="ar"/>
        </w:rPr>
        <w:t>本人就参与</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项目的评标工作，作出郑重声明：</w:t>
      </w:r>
    </w:p>
    <w:p w14:paraId="6DE3EDA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bidi="ar"/>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69078B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bidi="ar"/>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3AB706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bidi="ar"/>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44E367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bidi="ar"/>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2F97C0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bidi="ar"/>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2901B69">
      <w:pPr>
        <w:spacing w:line="360" w:lineRule="auto"/>
        <w:rPr>
          <w:rFonts w:ascii="宋体" w:hAnsi="宋体" w:cs="宋体"/>
          <w:sz w:val="24"/>
          <w:szCs w:val="24"/>
          <w:highlight w:val="none"/>
        </w:rPr>
      </w:pPr>
      <w:r>
        <w:rPr>
          <w:rFonts w:hint="eastAsia" w:ascii="宋体" w:hAnsi="宋体" w:cs="宋体"/>
          <w:sz w:val="24"/>
          <w:szCs w:val="24"/>
          <w:highlight w:val="none"/>
          <w:lang w:bidi="ar"/>
        </w:rPr>
        <w:t>如果本人违反上述声明内容，造成的后果由本人自行承担。</w:t>
      </w:r>
    </w:p>
    <w:p w14:paraId="6236612A">
      <w:pPr>
        <w:rPr>
          <w:rFonts w:ascii="宋体" w:hAnsi="宋体"/>
          <w:highlight w:val="none"/>
        </w:rPr>
      </w:pPr>
      <w:r>
        <w:rPr>
          <w:rFonts w:hint="eastAsia" w:ascii="宋体" w:hAnsi="宋体" w:cs="宋体"/>
          <w:sz w:val="24"/>
          <w:szCs w:val="24"/>
          <w:highlight w:val="none"/>
          <w:lang w:bidi="ar"/>
        </w:rPr>
        <w:t xml:space="preserve">                             声明人：（签名）</w:t>
      </w:r>
    </w:p>
    <w:p w14:paraId="211BE8CB">
      <w:pPr>
        <w:pStyle w:val="3"/>
        <w:spacing w:line="240" w:lineRule="auto"/>
        <w:jc w:val="center"/>
        <w:rPr>
          <w:rFonts w:ascii="宋体" w:hAnsi="宋体"/>
          <w:highlight w:val="none"/>
        </w:rPr>
      </w:pPr>
      <w:r>
        <w:rPr>
          <w:rFonts w:hint="eastAsia" w:ascii="宋体" w:hAnsi="宋体"/>
          <w:highlight w:val="none"/>
        </w:rPr>
        <w:br w:type="page"/>
      </w:r>
      <w:bookmarkStart w:id="402" w:name="_Toc14361"/>
      <w:bookmarkStart w:id="403" w:name="_Toc26643"/>
      <w:r>
        <w:rPr>
          <w:rFonts w:hint="eastAsia" w:ascii="宋体" w:hAnsi="宋体"/>
          <w:highlight w:val="none"/>
        </w:rPr>
        <w:t>第三章 评标办法（“评定分离”定标办法）</w:t>
      </w:r>
      <w:bookmarkEnd w:id="400"/>
      <w:bookmarkEnd w:id="401"/>
      <w:bookmarkEnd w:id="402"/>
      <w:bookmarkEnd w:id="403"/>
    </w:p>
    <w:p w14:paraId="179EE8B5">
      <w:pPr>
        <w:pStyle w:val="4"/>
        <w:spacing w:line="240" w:lineRule="auto"/>
        <w:jc w:val="center"/>
        <w:rPr>
          <w:rFonts w:ascii="宋体" w:hAnsi="宋体" w:eastAsia="宋体"/>
          <w:highlight w:val="none"/>
        </w:rPr>
      </w:pPr>
      <w:bookmarkStart w:id="404" w:name="_Toc8319"/>
      <w:bookmarkStart w:id="405" w:name="_Toc49510021"/>
      <w:bookmarkStart w:id="406" w:name="_Toc12529"/>
      <w:r>
        <w:rPr>
          <w:rFonts w:hint="eastAsia" w:ascii="宋体" w:hAnsi="宋体" w:eastAsia="宋体"/>
          <w:highlight w:val="none"/>
        </w:rPr>
        <w:t>评标办法前附表</w:t>
      </w:r>
      <w:bookmarkEnd w:id="404"/>
      <w:bookmarkEnd w:id="405"/>
      <w:bookmarkEnd w:id="406"/>
    </w:p>
    <w:tbl>
      <w:tblPr>
        <w:tblStyle w:val="46"/>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1158"/>
        <w:gridCol w:w="1772"/>
        <w:gridCol w:w="5511"/>
      </w:tblGrid>
      <w:tr w14:paraId="58E1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95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7CD7157">
            <w:pPr>
              <w:widowControl/>
              <w:spacing w:beforeAutospacing="1" w:afterAutospacing="1"/>
              <w:jc w:val="center"/>
              <w:rPr>
                <w:rFonts w:ascii="宋体" w:hAnsi="宋体" w:cs="楷体"/>
                <w:kern w:val="0"/>
                <w:sz w:val="24"/>
                <w:szCs w:val="24"/>
                <w:highlight w:val="none"/>
              </w:rPr>
            </w:pPr>
            <w:r>
              <w:rPr>
                <w:rFonts w:hint="eastAsia" w:ascii="宋体" w:hAnsi="宋体" w:cs="宋体"/>
                <w:b/>
                <w:kern w:val="0"/>
                <w:sz w:val="24"/>
                <w:szCs w:val="24"/>
                <w:highlight w:val="none"/>
              </w:rPr>
              <w:t>条款号</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EF9FAB3">
            <w:pPr>
              <w:widowControl/>
              <w:spacing w:beforeAutospacing="1" w:afterAutospacing="1"/>
              <w:jc w:val="center"/>
              <w:rPr>
                <w:rFonts w:ascii="宋体" w:hAnsi="宋体" w:cs="楷体"/>
                <w:kern w:val="0"/>
                <w:sz w:val="24"/>
                <w:szCs w:val="24"/>
                <w:highlight w:val="none"/>
              </w:rPr>
            </w:pPr>
            <w:r>
              <w:rPr>
                <w:rFonts w:hint="eastAsia" w:ascii="宋体" w:hAnsi="宋体" w:cs="宋体"/>
                <w:b/>
                <w:kern w:val="0"/>
                <w:sz w:val="24"/>
                <w:szCs w:val="24"/>
                <w:highlight w:val="none"/>
              </w:rPr>
              <w:t>评审因素</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CA4896F">
            <w:pPr>
              <w:widowControl/>
              <w:spacing w:beforeAutospacing="1" w:afterAutospacing="1"/>
              <w:jc w:val="center"/>
              <w:rPr>
                <w:rFonts w:ascii="宋体" w:hAnsi="宋体" w:cs="楷体"/>
                <w:kern w:val="0"/>
                <w:sz w:val="24"/>
                <w:szCs w:val="24"/>
                <w:highlight w:val="none"/>
              </w:rPr>
            </w:pPr>
            <w:r>
              <w:rPr>
                <w:rFonts w:hint="eastAsia" w:ascii="宋体" w:hAnsi="宋体" w:cs="宋体"/>
                <w:b/>
                <w:kern w:val="0"/>
                <w:sz w:val="24"/>
                <w:szCs w:val="24"/>
                <w:highlight w:val="none"/>
              </w:rPr>
              <w:t>评审标准</w:t>
            </w:r>
          </w:p>
        </w:tc>
      </w:tr>
      <w:tr w14:paraId="153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4CB99FA">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1</w:t>
            </w:r>
          </w:p>
        </w:tc>
        <w:tc>
          <w:tcPr>
            <w:tcW w:w="115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414D708">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评标方法</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818D6CF">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中标候选人排序方法</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73779FB">
            <w:pPr>
              <w:rPr>
                <w:szCs w:val="21"/>
                <w:highlight w:val="none"/>
              </w:rPr>
            </w:pPr>
            <w:r>
              <w:rPr>
                <w:rFonts w:hint="eastAsia" w:ascii="宋体" w:hAnsi="宋体" w:cs="宋体"/>
                <w:highlight w:val="none"/>
                <w:u w:val="single"/>
              </w:rPr>
              <w:t>本项目采用评定分离定标办法，其中：评标采用“通过制”评标办法，</w:t>
            </w:r>
            <w:r>
              <w:rPr>
                <w:rFonts w:hint="eastAsia"/>
                <w:szCs w:val="21"/>
                <w:highlight w:val="none"/>
                <w:u w:val="single"/>
              </w:rPr>
              <w:t>所有通过初步评审</w:t>
            </w:r>
            <w:r>
              <w:rPr>
                <w:rFonts w:hint="eastAsia" w:ascii="宋体" w:hAnsi="宋体" w:cs="宋体"/>
                <w:highlight w:val="none"/>
                <w:u w:val="single"/>
              </w:rPr>
              <w:t>（形式评审、资格评审、响应性评审）的</w:t>
            </w:r>
            <w:r>
              <w:rPr>
                <w:rFonts w:hint="eastAsia"/>
                <w:szCs w:val="21"/>
                <w:highlight w:val="none"/>
                <w:u w:val="single"/>
              </w:rPr>
              <w:t>投标人全部被推荐为合格的中标候选人，进入定标阶段</w:t>
            </w:r>
            <w:r>
              <w:rPr>
                <w:rFonts w:hint="eastAsia" w:ascii="宋体" w:hAnsi="宋体"/>
                <w:highlight w:val="none"/>
                <w:u w:val="single"/>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szCs w:val="21"/>
                <w:highlight w:val="none"/>
                <w:u w:val="single"/>
              </w:rPr>
              <w:t>。</w:t>
            </w:r>
          </w:p>
        </w:tc>
      </w:tr>
      <w:tr w14:paraId="14CC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4274F27">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2.1.1</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BF9C561">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形式评审标准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74C164E">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投标人名称</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0452E35">
            <w:pPr>
              <w:widowControl/>
              <w:spacing w:beforeAutospacing="1" w:afterAutospacing="1"/>
              <w:rPr>
                <w:rFonts w:ascii="宋体" w:hAnsi="宋体" w:cs="楷体"/>
                <w:kern w:val="0"/>
                <w:szCs w:val="21"/>
                <w:highlight w:val="none"/>
              </w:rPr>
            </w:pPr>
            <w:r>
              <w:rPr>
                <w:rFonts w:hint="eastAsia" w:ascii="宋体" w:hAnsi="宋体" w:cs="宋体"/>
                <w:kern w:val="0"/>
                <w:szCs w:val="21"/>
                <w:highlight w:val="none"/>
              </w:rPr>
              <w:t>与营业执照、资质证书一致；</w:t>
            </w:r>
            <w:r>
              <w:rPr>
                <w:rFonts w:hint="eastAsia" w:ascii="宋体" w:hAnsi="宋体" w:cs="宋体"/>
                <w:szCs w:val="21"/>
                <w:highlight w:val="none"/>
                <w:u w:val="single"/>
              </w:rPr>
              <w:t>香港企业参加投标的，须与在广东省住房和城乡建设主管部门备案的证明一致。</w:t>
            </w:r>
          </w:p>
        </w:tc>
      </w:tr>
      <w:tr w14:paraId="2175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84DD099">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A040527">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F5A28A5">
            <w:pPr>
              <w:widowControl/>
              <w:jc w:val="center"/>
              <w:rPr>
                <w:rFonts w:ascii="宋体" w:hAnsi="宋体" w:cs="楷体"/>
                <w:kern w:val="0"/>
                <w:szCs w:val="21"/>
                <w:highlight w:val="none"/>
              </w:rPr>
            </w:pPr>
            <w:r>
              <w:rPr>
                <w:rFonts w:hint="eastAsia" w:ascii="宋体" w:hAnsi="宋体" w:cs="宋体"/>
                <w:kern w:val="0"/>
                <w:szCs w:val="21"/>
                <w:highlight w:val="none"/>
              </w:rPr>
              <w:t>投标函及投标函</w:t>
            </w:r>
          </w:p>
          <w:p w14:paraId="604C19B8">
            <w:pPr>
              <w:widowControl/>
              <w:jc w:val="center"/>
              <w:rPr>
                <w:rFonts w:ascii="宋体" w:hAnsi="宋体" w:cs="楷体"/>
                <w:kern w:val="0"/>
                <w:szCs w:val="21"/>
                <w:highlight w:val="none"/>
              </w:rPr>
            </w:pPr>
            <w:r>
              <w:rPr>
                <w:rFonts w:hint="eastAsia" w:ascii="宋体" w:hAnsi="宋体" w:cs="宋体"/>
                <w:kern w:val="0"/>
                <w:szCs w:val="21"/>
                <w:highlight w:val="none"/>
              </w:rPr>
              <w:t>附录签字盖章</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A5261CF">
            <w:pPr>
              <w:widowControl/>
              <w:spacing w:beforeAutospacing="1" w:afterAutospacing="1"/>
              <w:jc w:val="left"/>
              <w:rPr>
                <w:rFonts w:ascii="宋体" w:hAnsi="宋体" w:cs="楷体"/>
                <w:kern w:val="0"/>
                <w:szCs w:val="21"/>
                <w:highlight w:val="none"/>
              </w:rPr>
            </w:pPr>
            <w:r>
              <w:rPr>
                <w:rFonts w:hint="eastAsia" w:ascii="宋体" w:hAnsi="宋体" w:cs="宋体"/>
                <w:kern w:val="0"/>
                <w:szCs w:val="21"/>
                <w:highlight w:val="none"/>
              </w:rPr>
              <w:t>有法定代表人或被授权人签字（或盖章）并加盖单位章。由法定代表人签字（或盖章）的，应附法定代表人身份证明；由被授权人签字（或盖章）的，应附授权委托书、法定代表人身份证明。</w:t>
            </w:r>
          </w:p>
        </w:tc>
      </w:tr>
      <w:tr w14:paraId="6147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5BE7844">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8A31011">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1D45E1B">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投标文件格式</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676DEA3">
            <w:pPr>
              <w:widowControl/>
              <w:spacing w:beforeAutospacing="1" w:afterAutospacing="1"/>
              <w:jc w:val="left"/>
              <w:rPr>
                <w:rFonts w:ascii="宋体" w:hAnsi="宋体" w:cs="楷体"/>
                <w:kern w:val="0"/>
                <w:szCs w:val="21"/>
                <w:highlight w:val="none"/>
                <w:u w:val="single"/>
              </w:rPr>
            </w:pPr>
            <w:r>
              <w:rPr>
                <w:rFonts w:hint="eastAsia" w:ascii="宋体" w:hAnsi="宋体" w:cs="宋体"/>
                <w:kern w:val="0"/>
                <w:szCs w:val="21"/>
                <w:highlight w:val="none"/>
                <w:u w:val="single"/>
              </w:rPr>
              <w:t>“</w:t>
            </w:r>
            <w:r>
              <w:rPr>
                <w:rFonts w:ascii="宋体" w:hAnsi="宋体"/>
                <w:highlight w:val="none"/>
                <w:u w:val="single"/>
              </w:rPr>
              <w:t>投标函及投标函附录</w:t>
            </w:r>
            <w:r>
              <w:rPr>
                <w:rFonts w:hint="eastAsia" w:ascii="宋体" w:hAnsi="宋体"/>
                <w:highlight w:val="none"/>
                <w:u w:val="single"/>
              </w:rPr>
              <w:t>”</w:t>
            </w:r>
            <w:r>
              <w:rPr>
                <w:rFonts w:hint="eastAsia" w:ascii="宋体" w:hAnsi="宋体" w:cs="宋体"/>
                <w:kern w:val="0"/>
                <w:szCs w:val="21"/>
                <w:highlight w:val="none"/>
                <w:u w:val="single"/>
              </w:rPr>
              <w:t>符合第六章“投标文件格式”的规定。</w:t>
            </w:r>
          </w:p>
        </w:tc>
      </w:tr>
      <w:tr w14:paraId="2601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ADBA4C9">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21A94E2">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508A242">
            <w:pPr>
              <w:widowControl/>
              <w:spacing w:beforeAutospacing="1" w:afterAutospacing="1"/>
              <w:jc w:val="center"/>
              <w:rPr>
                <w:rFonts w:ascii="宋体" w:hAnsi="宋体" w:cs="楷体"/>
                <w:kern w:val="0"/>
                <w:szCs w:val="21"/>
                <w:highlight w:val="none"/>
              </w:rPr>
            </w:pPr>
            <w:r>
              <w:rPr>
                <w:rFonts w:hint="eastAsia" w:ascii="宋体" w:hAnsi="宋体" w:cs="宋体"/>
                <w:spacing w:val="-7"/>
                <w:szCs w:val="21"/>
                <w:highlight w:val="none"/>
              </w:rPr>
              <w:t>备选投标方案</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9338586">
            <w:pPr>
              <w:widowControl/>
              <w:spacing w:beforeAutospacing="1" w:afterAutospacing="1"/>
              <w:jc w:val="left"/>
              <w:rPr>
                <w:rFonts w:ascii="宋体" w:hAnsi="宋体" w:cs="楷体"/>
                <w:kern w:val="0"/>
                <w:szCs w:val="21"/>
                <w:highlight w:val="none"/>
              </w:rPr>
            </w:pPr>
            <w:r>
              <w:rPr>
                <w:rFonts w:ascii="宋体" w:hAnsi="宋体" w:cs="宋体"/>
                <w:szCs w:val="21"/>
                <w:highlight w:val="none"/>
                <w:u w:val="single"/>
              </w:rPr>
              <w:t>不允许。</w:t>
            </w:r>
          </w:p>
        </w:tc>
      </w:tr>
      <w:tr w14:paraId="7661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DFA9C19">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35B9181">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02BFDDE">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联合体投标人</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75AE480">
            <w:pPr>
              <w:widowControl/>
              <w:spacing w:beforeAutospacing="1" w:afterAutospacing="1"/>
              <w:jc w:val="left"/>
              <w:rPr>
                <w:rFonts w:ascii="宋体" w:hAnsi="宋体" w:cs="楷体"/>
                <w:kern w:val="0"/>
                <w:szCs w:val="21"/>
                <w:highlight w:val="none"/>
              </w:rPr>
            </w:pPr>
            <w:r>
              <w:rPr>
                <w:rFonts w:hint="eastAsia" w:ascii="宋体" w:hAnsi="宋体" w:cs="宋体"/>
                <w:szCs w:val="21"/>
                <w:highlight w:val="none"/>
                <w:u w:val="single"/>
              </w:rPr>
              <w:t>本次招标不接受联合体投标。</w:t>
            </w:r>
          </w:p>
        </w:tc>
      </w:tr>
      <w:tr w14:paraId="2A5F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35A07A6">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D10D923">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1E5EBD7">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投标人机器码</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C3D4F84">
            <w:pPr>
              <w:widowControl/>
              <w:jc w:val="left"/>
              <w:rPr>
                <w:rFonts w:ascii="宋体" w:hAnsi="宋体" w:cs="楷体"/>
                <w:kern w:val="0"/>
                <w:szCs w:val="21"/>
                <w:highlight w:val="none"/>
              </w:rPr>
            </w:pPr>
            <w:r>
              <w:rPr>
                <w:rFonts w:ascii="宋体" w:hAnsi="Times New Roman"/>
                <w:szCs w:val="24"/>
                <w:highlight w:val="none"/>
                <w:u w:val="single"/>
              </w:rPr>
              <w:t>投标人与本项目其他投标人加密打包投标文件电脑机器特征码不一致的(以</w:t>
            </w:r>
            <w:r>
              <w:rPr>
                <w:rFonts w:hint="eastAsia" w:ascii="宋体"/>
                <w:szCs w:val="24"/>
                <w:highlight w:val="none"/>
                <w:u w:val="single"/>
              </w:rPr>
              <w:t>广州交易集团有限公司（广州公共资源交易中心）</w:t>
            </w:r>
            <w:r>
              <w:rPr>
                <w:rFonts w:ascii="宋体" w:hAnsi="Times New Roman"/>
                <w:szCs w:val="24"/>
                <w:highlight w:val="none"/>
                <w:u w:val="single"/>
              </w:rPr>
              <w:t>交易平台</w:t>
            </w:r>
            <w:r>
              <w:rPr>
                <w:rFonts w:hint="eastAsia" w:ascii="宋体"/>
                <w:szCs w:val="24"/>
                <w:highlight w:val="none"/>
                <w:u w:val="single"/>
              </w:rPr>
              <w:t>开标</w:t>
            </w:r>
            <w:r>
              <w:rPr>
                <w:rFonts w:ascii="宋体" w:hAnsi="Times New Roman"/>
                <w:szCs w:val="24"/>
                <w:highlight w:val="none"/>
                <w:u w:val="single"/>
              </w:rPr>
              <w:t>系统的检索信息为准)</w:t>
            </w:r>
            <w:r>
              <w:rPr>
                <w:rFonts w:hint="eastAsia" w:ascii="宋体" w:hAnsi="宋体" w:cs="宋体"/>
                <w:kern w:val="0"/>
                <w:szCs w:val="21"/>
                <w:highlight w:val="none"/>
                <w:u w:val="single"/>
              </w:rPr>
              <w:t>。</w:t>
            </w:r>
          </w:p>
        </w:tc>
      </w:tr>
      <w:tr w14:paraId="3D74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E8C287B">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2.1.2</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E4E81C6">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资格评审标准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3272D57">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u w:val="single"/>
              </w:rPr>
              <w:t>营业执照</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7498751">
            <w:pPr>
              <w:widowControl/>
              <w:spacing w:beforeAutospacing="1" w:afterAutospacing="1"/>
              <w:jc w:val="left"/>
              <w:rPr>
                <w:rFonts w:ascii="宋体" w:hAnsi="宋体" w:cs="楷体"/>
                <w:kern w:val="0"/>
                <w:szCs w:val="21"/>
                <w:highlight w:val="none"/>
              </w:rPr>
            </w:pPr>
            <w:r>
              <w:rPr>
                <w:rFonts w:hint="eastAsia" w:ascii="宋体" w:hAnsi="宋体" w:cs="宋体"/>
                <w:kern w:val="0"/>
                <w:szCs w:val="21"/>
                <w:highlight w:val="none"/>
              </w:rPr>
              <w:t>符合第二章“投标人须知”第3.5.1项规定，具备有效的营业执照；</w:t>
            </w:r>
            <w:r>
              <w:rPr>
                <w:rFonts w:ascii="宋体" w:hAnsi="宋体" w:cs="宋体"/>
                <w:szCs w:val="21"/>
                <w:highlight w:val="none"/>
                <w:u w:val="single"/>
              </w:rPr>
              <w:t>香港企业提供在香港进行商业登记的证明文书。</w:t>
            </w:r>
          </w:p>
        </w:tc>
      </w:tr>
      <w:tr w14:paraId="546B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1A1481D">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60CA4AB">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0F42364">
            <w:pPr>
              <w:widowControl/>
              <w:spacing w:beforeAutospacing="1" w:afterAutospacing="1"/>
              <w:jc w:val="center"/>
              <w:rPr>
                <w:rFonts w:ascii="宋体" w:hAnsi="宋体" w:cs="楷体"/>
                <w:kern w:val="0"/>
                <w:szCs w:val="21"/>
                <w:highlight w:val="none"/>
              </w:rPr>
            </w:pPr>
            <w:r>
              <w:rPr>
                <w:rFonts w:hint="eastAsia" w:ascii="宋体" w:hAnsi="宋体" w:cs="宋体"/>
                <w:szCs w:val="21"/>
                <w:highlight w:val="none"/>
              </w:rPr>
              <w:t>资质要求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E467BB0">
            <w:pPr>
              <w:widowControl/>
              <w:spacing w:beforeAutospacing="1" w:afterAutospacing="1"/>
              <w:jc w:val="left"/>
              <w:rPr>
                <w:rFonts w:ascii="宋体" w:hAnsi="宋体" w:cs="楷体"/>
                <w:kern w:val="0"/>
                <w:szCs w:val="21"/>
                <w:highlight w:val="none"/>
              </w:rPr>
            </w:pPr>
            <w:r>
              <w:rPr>
                <w:rFonts w:hint="eastAsia" w:ascii="宋体" w:hAnsi="宋体" w:cs="宋体"/>
                <w:szCs w:val="21"/>
                <w:highlight w:val="none"/>
              </w:rPr>
              <w:t>符合第二章“投标人须知”第1.4.1项规定。</w:t>
            </w:r>
          </w:p>
        </w:tc>
      </w:tr>
      <w:tr w14:paraId="1955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215667B">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5BB6BFE">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84E8380">
            <w:pPr>
              <w:widowControl/>
              <w:spacing w:beforeAutospacing="1" w:afterAutospacing="1"/>
              <w:jc w:val="center"/>
              <w:rPr>
                <w:rFonts w:ascii="宋体" w:hAnsi="宋体" w:cs="楷体"/>
                <w:szCs w:val="21"/>
                <w:highlight w:val="none"/>
              </w:rPr>
            </w:pPr>
            <w:r>
              <w:rPr>
                <w:rFonts w:hint="eastAsia" w:ascii="宋体" w:hAnsi="宋体" w:cs="宋体"/>
                <w:szCs w:val="21"/>
                <w:highlight w:val="none"/>
              </w:rPr>
              <w:t>财务要求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BBD0A63">
            <w:pPr>
              <w:widowControl/>
              <w:spacing w:beforeAutospacing="1" w:afterAutospacing="1"/>
              <w:jc w:val="left"/>
              <w:rPr>
                <w:rFonts w:ascii="宋体" w:hAnsi="宋体" w:cs="楷体"/>
                <w:szCs w:val="21"/>
                <w:highlight w:val="none"/>
              </w:rPr>
            </w:pPr>
            <w:r>
              <w:rPr>
                <w:rFonts w:hint="eastAsia" w:ascii="宋体" w:hAnsi="宋体" w:cs="宋体"/>
                <w:szCs w:val="21"/>
                <w:highlight w:val="none"/>
              </w:rPr>
              <w:t>/</w:t>
            </w:r>
          </w:p>
        </w:tc>
      </w:tr>
      <w:tr w14:paraId="2E3F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3BF395B">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6258435">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AA80BA2">
            <w:pPr>
              <w:widowControl/>
              <w:spacing w:beforeAutospacing="1" w:afterAutospacing="1"/>
              <w:jc w:val="center"/>
              <w:rPr>
                <w:rFonts w:ascii="宋体" w:hAnsi="宋体" w:cs="楷体"/>
                <w:kern w:val="0"/>
                <w:szCs w:val="21"/>
                <w:highlight w:val="none"/>
              </w:rPr>
            </w:pPr>
            <w:r>
              <w:rPr>
                <w:rFonts w:hint="eastAsia" w:ascii="宋体" w:hAnsi="宋体" w:cs="宋体"/>
                <w:szCs w:val="21"/>
                <w:highlight w:val="none"/>
              </w:rPr>
              <w:t>业绩要求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C99C1CF">
            <w:pPr>
              <w:rPr>
                <w:rFonts w:ascii="宋体" w:hAnsi="宋体" w:cs="楷体"/>
                <w:kern w:val="0"/>
                <w:szCs w:val="21"/>
                <w:highlight w:val="none"/>
              </w:rPr>
            </w:pPr>
            <w:r>
              <w:rPr>
                <w:rFonts w:hint="eastAsia" w:ascii="宋体" w:hAnsi="宋体" w:cs="宋体"/>
                <w:szCs w:val="21"/>
                <w:highlight w:val="none"/>
              </w:rPr>
              <w:t>/</w:t>
            </w:r>
          </w:p>
        </w:tc>
      </w:tr>
      <w:tr w14:paraId="347D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8BAD017">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3512B30">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95FF563">
            <w:pPr>
              <w:widowControl/>
              <w:spacing w:beforeAutospacing="1" w:afterAutospacing="1"/>
              <w:jc w:val="center"/>
              <w:rPr>
                <w:rFonts w:ascii="宋体" w:hAnsi="宋体" w:cs="楷体"/>
                <w:szCs w:val="21"/>
                <w:highlight w:val="none"/>
              </w:rPr>
            </w:pPr>
            <w:r>
              <w:rPr>
                <w:rFonts w:hint="eastAsia" w:ascii="宋体" w:hAnsi="宋体" w:cs="宋体"/>
                <w:szCs w:val="21"/>
                <w:highlight w:val="none"/>
              </w:rPr>
              <w:t>信誉要求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AC5C98E">
            <w:pPr>
              <w:widowControl/>
              <w:spacing w:beforeAutospacing="1" w:afterAutospacing="1"/>
              <w:jc w:val="left"/>
              <w:rPr>
                <w:rFonts w:ascii="宋体" w:hAnsi="宋体" w:cs="楷体"/>
                <w:szCs w:val="21"/>
                <w:highlight w:val="none"/>
              </w:rPr>
            </w:pPr>
            <w:r>
              <w:rPr>
                <w:rFonts w:hint="eastAsia" w:ascii="宋体" w:hAnsi="宋体" w:cs="宋体"/>
                <w:szCs w:val="21"/>
                <w:highlight w:val="none"/>
              </w:rPr>
              <w:t>/</w:t>
            </w:r>
          </w:p>
        </w:tc>
      </w:tr>
      <w:tr w14:paraId="0212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77602E0">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9B325BC">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A6AF9D9">
            <w:pPr>
              <w:widowControl/>
              <w:spacing w:beforeAutospacing="1" w:afterAutospacing="1"/>
              <w:jc w:val="center"/>
              <w:rPr>
                <w:rFonts w:ascii="宋体" w:hAnsi="宋体" w:cs="楷体"/>
                <w:kern w:val="0"/>
                <w:szCs w:val="21"/>
                <w:highlight w:val="none"/>
              </w:rPr>
            </w:pPr>
            <w:r>
              <w:rPr>
                <w:rFonts w:hint="eastAsia" w:ascii="宋体" w:hAnsi="宋体" w:cs="宋体"/>
                <w:szCs w:val="21"/>
                <w:highlight w:val="none"/>
              </w:rPr>
              <w:t>总监理工程师</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492D3D9">
            <w:pPr>
              <w:widowControl/>
              <w:spacing w:beforeAutospacing="1" w:afterAutospacing="1"/>
              <w:jc w:val="left"/>
              <w:rPr>
                <w:rFonts w:ascii="宋体" w:hAnsi="宋体" w:cs="楷体"/>
                <w:kern w:val="0"/>
                <w:szCs w:val="21"/>
                <w:highlight w:val="none"/>
              </w:rPr>
            </w:pPr>
            <w:r>
              <w:rPr>
                <w:rFonts w:hint="eastAsia" w:ascii="宋体" w:hAnsi="宋体" w:cs="宋体"/>
                <w:szCs w:val="21"/>
                <w:highlight w:val="none"/>
              </w:rPr>
              <w:t>符合第二章“投标人须知”第1.4.1项规定。</w:t>
            </w:r>
          </w:p>
        </w:tc>
      </w:tr>
      <w:tr w14:paraId="48C0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AD22307">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8FDFE97">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77FACEF">
            <w:pPr>
              <w:widowControl/>
              <w:spacing w:beforeAutospacing="1" w:afterAutospacing="1"/>
              <w:jc w:val="center"/>
              <w:rPr>
                <w:rFonts w:ascii="宋体" w:hAnsi="宋体" w:cs="楷体"/>
                <w:kern w:val="0"/>
                <w:szCs w:val="21"/>
                <w:highlight w:val="none"/>
              </w:rPr>
            </w:pPr>
            <w:r>
              <w:rPr>
                <w:rFonts w:hint="eastAsia" w:ascii="宋体" w:hAnsi="宋体" w:cs="宋体"/>
                <w:szCs w:val="21"/>
                <w:highlight w:val="none"/>
              </w:rPr>
              <w:t>其他主要人员</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320E0F2">
            <w:pPr>
              <w:widowControl/>
              <w:spacing w:beforeAutospacing="1" w:afterAutospacing="1"/>
              <w:jc w:val="left"/>
              <w:rPr>
                <w:rFonts w:ascii="宋体" w:hAnsi="宋体" w:cs="楷体"/>
                <w:kern w:val="0"/>
                <w:szCs w:val="21"/>
                <w:highlight w:val="none"/>
              </w:rPr>
            </w:pPr>
            <w:r>
              <w:rPr>
                <w:rFonts w:hint="eastAsia" w:ascii="宋体" w:hAnsi="宋体" w:cs="宋体"/>
                <w:szCs w:val="21"/>
                <w:highlight w:val="none"/>
              </w:rPr>
              <w:t>/</w:t>
            </w:r>
          </w:p>
        </w:tc>
      </w:tr>
      <w:tr w14:paraId="178F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98D29B5">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D736A99">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344262A">
            <w:pPr>
              <w:widowControl/>
              <w:spacing w:beforeAutospacing="1" w:afterAutospacing="1"/>
              <w:jc w:val="center"/>
              <w:rPr>
                <w:rFonts w:ascii="宋体" w:hAnsi="宋体" w:cs="楷体"/>
                <w:kern w:val="0"/>
                <w:szCs w:val="21"/>
                <w:highlight w:val="none"/>
              </w:rPr>
            </w:pPr>
            <w:r>
              <w:rPr>
                <w:rFonts w:hint="eastAsia" w:ascii="宋体" w:hAnsi="宋体" w:cs="宋体"/>
                <w:szCs w:val="21"/>
                <w:highlight w:val="none"/>
              </w:rPr>
              <w:t>试验检测仪器设备</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4711E4D">
            <w:pPr>
              <w:widowControl/>
              <w:spacing w:beforeAutospacing="1" w:afterAutospacing="1"/>
              <w:jc w:val="left"/>
              <w:rPr>
                <w:rFonts w:ascii="宋体" w:hAnsi="宋体" w:cs="楷体"/>
                <w:kern w:val="0"/>
                <w:szCs w:val="21"/>
                <w:highlight w:val="none"/>
              </w:rPr>
            </w:pPr>
            <w:r>
              <w:rPr>
                <w:rFonts w:hint="eastAsia" w:ascii="宋体" w:hAnsi="宋体" w:cs="宋体"/>
                <w:szCs w:val="21"/>
                <w:highlight w:val="none"/>
              </w:rPr>
              <w:t>/</w:t>
            </w:r>
          </w:p>
        </w:tc>
      </w:tr>
      <w:tr w14:paraId="384E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A13A851">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A2E1A2E">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5E6BE6D">
            <w:pPr>
              <w:widowControl/>
              <w:spacing w:beforeAutospacing="1" w:afterAutospacing="1"/>
              <w:jc w:val="center"/>
              <w:rPr>
                <w:rFonts w:ascii="宋体" w:hAnsi="宋体" w:cs="楷体"/>
                <w:kern w:val="0"/>
                <w:szCs w:val="21"/>
                <w:highlight w:val="none"/>
              </w:rPr>
            </w:pPr>
            <w:r>
              <w:rPr>
                <w:rFonts w:hint="eastAsia" w:ascii="宋体" w:hAnsi="宋体" w:cs="宋体"/>
                <w:szCs w:val="21"/>
                <w:highlight w:val="none"/>
              </w:rPr>
              <w:t>其他要求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DC2BD75">
            <w:pPr>
              <w:widowControl/>
              <w:spacing w:beforeAutospacing="1" w:afterAutospacing="1"/>
              <w:jc w:val="left"/>
              <w:rPr>
                <w:rFonts w:ascii="宋体" w:hAnsi="宋体" w:cs="楷体"/>
                <w:kern w:val="0"/>
                <w:szCs w:val="21"/>
                <w:highlight w:val="none"/>
              </w:rPr>
            </w:pPr>
            <w:r>
              <w:rPr>
                <w:rFonts w:hint="eastAsia" w:ascii="宋体" w:hAnsi="宋体" w:cs="宋体"/>
                <w:szCs w:val="21"/>
                <w:highlight w:val="none"/>
              </w:rPr>
              <w:t>符合第二章“投标人须知”第1.4.1项规定。</w:t>
            </w:r>
          </w:p>
        </w:tc>
      </w:tr>
      <w:tr w14:paraId="15EF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C216AAE">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0A16FE8">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FA80B34">
            <w:pPr>
              <w:widowControl/>
              <w:spacing w:beforeAutospacing="1" w:afterAutospacing="1"/>
              <w:jc w:val="center"/>
              <w:rPr>
                <w:rFonts w:ascii="宋体" w:hAnsi="宋体" w:cs="楷体"/>
                <w:szCs w:val="21"/>
                <w:highlight w:val="none"/>
              </w:rPr>
            </w:pPr>
            <w:r>
              <w:rPr>
                <w:rFonts w:hint="eastAsia" w:ascii="宋体" w:hAnsi="宋体" w:cs="宋体"/>
                <w:szCs w:val="21"/>
                <w:highlight w:val="none"/>
              </w:rPr>
              <w:t>联合体投标人</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8E1F555">
            <w:pPr>
              <w:widowControl/>
              <w:spacing w:beforeAutospacing="1" w:afterAutospacing="1"/>
              <w:jc w:val="left"/>
              <w:rPr>
                <w:rFonts w:ascii="宋体" w:hAnsi="宋体" w:cs="楷体"/>
                <w:szCs w:val="21"/>
                <w:highlight w:val="none"/>
              </w:rPr>
            </w:pPr>
            <w:r>
              <w:rPr>
                <w:rFonts w:hint="eastAsia" w:ascii="宋体" w:hAnsi="宋体" w:cs="宋体"/>
                <w:szCs w:val="21"/>
                <w:highlight w:val="none"/>
                <w:u w:val="single"/>
              </w:rPr>
              <w:t>本次招标不接受联合体投标。</w:t>
            </w:r>
          </w:p>
        </w:tc>
      </w:tr>
      <w:tr w14:paraId="3B60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DCE7E7C">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398FB3C">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D1E6001">
            <w:pPr>
              <w:widowControl/>
              <w:jc w:val="center"/>
              <w:rPr>
                <w:rFonts w:ascii="宋体" w:hAnsi="宋体" w:cs="楷体"/>
                <w:kern w:val="0"/>
                <w:szCs w:val="21"/>
                <w:highlight w:val="none"/>
              </w:rPr>
            </w:pPr>
            <w:r>
              <w:rPr>
                <w:rFonts w:hint="eastAsia" w:ascii="宋体" w:hAnsi="宋体" w:cs="宋体"/>
                <w:szCs w:val="21"/>
                <w:highlight w:val="none"/>
              </w:rPr>
              <w:t>不存在禁止投标的情形</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F311B0E">
            <w:pPr>
              <w:widowControl/>
              <w:spacing w:beforeAutospacing="1" w:afterAutospacing="1"/>
              <w:jc w:val="left"/>
              <w:rPr>
                <w:rFonts w:ascii="宋体" w:hAnsi="宋体" w:cs="楷体"/>
                <w:kern w:val="0"/>
                <w:szCs w:val="21"/>
                <w:highlight w:val="none"/>
              </w:rPr>
            </w:pPr>
            <w:r>
              <w:rPr>
                <w:rFonts w:hint="eastAsia" w:ascii="宋体" w:hAnsi="宋体" w:cs="宋体"/>
                <w:kern w:val="0"/>
                <w:szCs w:val="21"/>
                <w:highlight w:val="none"/>
              </w:rPr>
              <w:t>不存在第二章“投标人须知”第1.4.3项规定的任何一种情形。</w:t>
            </w:r>
          </w:p>
        </w:tc>
      </w:tr>
      <w:tr w14:paraId="6964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99B8C2B">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F2834A8">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F6AD5B">
            <w:pPr>
              <w:spacing w:before="40" w:after="40"/>
              <w:jc w:val="center"/>
              <w:rPr>
                <w:rFonts w:ascii="宋体" w:hAnsi="宋体"/>
                <w:highlight w:val="none"/>
              </w:rPr>
            </w:pPr>
            <w:r>
              <w:rPr>
                <w:rFonts w:hint="eastAsia" w:ascii="宋体" w:hAnsi="宋体" w:cs="宋体"/>
                <w:szCs w:val="21"/>
                <w:highlight w:val="none"/>
                <w:u w:val="single"/>
              </w:rPr>
              <w:t>投标人声明签字盖章</w:t>
            </w:r>
          </w:p>
        </w:tc>
        <w:tc>
          <w:tcPr>
            <w:tcW w:w="551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BB5AB18">
            <w:pPr>
              <w:wordWrap w:val="0"/>
              <w:autoSpaceDE w:val="0"/>
              <w:autoSpaceDN w:val="0"/>
              <w:rPr>
                <w:rFonts w:ascii="宋体" w:hAnsi="宋体"/>
                <w:highlight w:val="none"/>
              </w:rPr>
            </w:pPr>
            <w:r>
              <w:rPr>
                <w:rFonts w:hint="eastAsia" w:ascii="宋体" w:hAnsi="宋体" w:cs="宋体"/>
                <w:szCs w:val="21"/>
                <w:highlight w:val="none"/>
                <w:u w:val="single"/>
              </w:rPr>
              <w:t>法定代表人、总监理工程师按《投标人声明》格式要求签字并加盖单位公章。</w:t>
            </w:r>
          </w:p>
        </w:tc>
      </w:tr>
      <w:tr w14:paraId="056E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EEDFF95">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B8FBAC7">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A9A741">
            <w:pPr>
              <w:jc w:val="center"/>
              <w:rPr>
                <w:rFonts w:ascii="宋体" w:hAnsi="宋体"/>
                <w:highlight w:val="none"/>
                <w:u w:val="single"/>
              </w:rPr>
            </w:pPr>
            <w:r>
              <w:rPr>
                <w:rFonts w:hint="eastAsia"/>
                <w:szCs w:val="21"/>
                <w:highlight w:val="none"/>
                <w:u w:val="single"/>
              </w:rPr>
              <w:t>未被列入拖欠农民工工资失信联合惩戒对象名单</w:t>
            </w:r>
          </w:p>
        </w:tc>
        <w:tc>
          <w:tcPr>
            <w:tcW w:w="551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029028F">
            <w:pPr>
              <w:rPr>
                <w:rFonts w:ascii="宋体" w:hAnsi="宋体"/>
                <w:highlight w:val="none"/>
                <w:u w:val="single"/>
              </w:rPr>
            </w:pPr>
            <w:r>
              <w:rPr>
                <w:rFonts w:hint="eastAsia" w:ascii="宋体" w:hAnsi="宋体" w:cs="宋体"/>
                <w:szCs w:val="21"/>
                <w:highlight w:val="none"/>
                <w:u w:val="single"/>
              </w:rPr>
              <w:t>投标人无需提供资料，按投标截止时间交易系统比对的结果进行评审。</w:t>
            </w:r>
          </w:p>
        </w:tc>
      </w:tr>
      <w:tr w14:paraId="20DD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4475989">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2.1.3</w:t>
            </w:r>
          </w:p>
        </w:tc>
        <w:tc>
          <w:tcPr>
            <w:tcW w:w="115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B837414">
            <w:pPr>
              <w:widowControl/>
              <w:spacing w:beforeAutospacing="1" w:afterAutospacing="1"/>
              <w:jc w:val="center"/>
              <w:rPr>
                <w:rFonts w:ascii="宋体" w:hAnsi="宋体" w:cs="楷体"/>
                <w:strike/>
                <w:kern w:val="0"/>
                <w:szCs w:val="21"/>
                <w:highlight w:val="none"/>
              </w:rPr>
            </w:pPr>
            <w:r>
              <w:rPr>
                <w:rFonts w:hint="eastAsia" w:ascii="宋体" w:hAnsi="宋体" w:cs="宋体"/>
                <w:kern w:val="0"/>
                <w:szCs w:val="21"/>
                <w:highlight w:val="none"/>
              </w:rPr>
              <w:t>响应性评审标准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ABC2CC4">
            <w:pPr>
              <w:widowControl/>
              <w:spacing w:beforeAutospacing="1" w:afterAutospacing="1"/>
              <w:jc w:val="center"/>
              <w:rPr>
                <w:szCs w:val="21"/>
                <w:highlight w:val="none"/>
              </w:rPr>
            </w:pPr>
            <w:r>
              <w:rPr>
                <w:rFonts w:hint="eastAsia" w:ascii="宋体" w:hAnsi="宋体" w:cs="宋体"/>
                <w:kern w:val="0"/>
                <w:szCs w:val="21"/>
                <w:highlight w:val="none"/>
              </w:rPr>
              <w:t>投标报价</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35CBDDF">
            <w:pPr>
              <w:widowControl/>
              <w:spacing w:beforeAutospacing="1" w:afterAutospacing="1"/>
              <w:jc w:val="left"/>
              <w:rPr>
                <w:rFonts w:ascii="宋体" w:hAnsi="宋体" w:cs="楷体"/>
                <w:kern w:val="0"/>
                <w:szCs w:val="21"/>
                <w:highlight w:val="none"/>
              </w:rPr>
            </w:pPr>
            <w:r>
              <w:rPr>
                <w:rFonts w:hint="eastAsia" w:ascii="宋体" w:hAnsi="宋体" w:cs="宋体"/>
                <w:kern w:val="0"/>
                <w:szCs w:val="21"/>
                <w:highlight w:val="none"/>
              </w:rPr>
              <w:t>符合第二章“投标人须知”第3.2款规定，对同一招标项目没有出现：两个或以上的投标报价且修正无依据。</w:t>
            </w:r>
          </w:p>
        </w:tc>
      </w:tr>
      <w:tr w14:paraId="1808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4771772">
            <w:pPr>
              <w:rPr>
                <w:rFonts w:ascii="Times New Roman" w:hAnsi="Times New Roman"/>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73F2311">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D317AFF">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投标内容</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D3054AD">
            <w:pPr>
              <w:widowControl/>
              <w:spacing w:beforeAutospacing="1" w:afterAutospacing="1"/>
              <w:jc w:val="left"/>
              <w:rPr>
                <w:rFonts w:ascii="宋体" w:hAnsi="宋体" w:cs="楷体"/>
                <w:kern w:val="0"/>
                <w:szCs w:val="21"/>
                <w:highlight w:val="none"/>
              </w:rPr>
            </w:pPr>
            <w:r>
              <w:rPr>
                <w:rFonts w:hint="eastAsia" w:ascii="宋体" w:hAnsi="宋体" w:cs="宋体"/>
                <w:kern w:val="0"/>
                <w:szCs w:val="21"/>
                <w:highlight w:val="none"/>
              </w:rPr>
              <w:t>符合第二章“投标人须知”第1.3.1项规定，投标文件按规定的格式填写，内容齐全或关键字迹清晰、容易辩认。</w:t>
            </w:r>
          </w:p>
        </w:tc>
      </w:tr>
      <w:tr w14:paraId="23BD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0FD8302">
            <w:pPr>
              <w:rPr>
                <w:rFonts w:ascii="Times New Roman" w:hAnsi="Times New Roman"/>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FA79FBD">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EC48088">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监理服务期限</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3D39553">
            <w:pPr>
              <w:widowControl/>
              <w:spacing w:beforeAutospacing="1" w:afterAutospacing="1"/>
              <w:jc w:val="left"/>
              <w:rPr>
                <w:rFonts w:ascii="宋体" w:hAnsi="宋体" w:cs="楷体"/>
                <w:kern w:val="0"/>
                <w:szCs w:val="21"/>
                <w:highlight w:val="none"/>
              </w:rPr>
            </w:pPr>
            <w:r>
              <w:rPr>
                <w:rFonts w:hint="eastAsia" w:ascii="宋体" w:hAnsi="宋体" w:cs="宋体"/>
                <w:kern w:val="0"/>
                <w:szCs w:val="21"/>
                <w:highlight w:val="none"/>
              </w:rPr>
              <w:t>符合第二章“投标人须知”第1.3.2项规定。</w:t>
            </w:r>
          </w:p>
        </w:tc>
      </w:tr>
      <w:tr w14:paraId="0D64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E3C87E3">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12BD9BF">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F1ADC0A">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质量标准</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29A8E76">
            <w:pPr>
              <w:widowControl/>
              <w:spacing w:beforeAutospacing="1" w:afterAutospacing="1"/>
              <w:jc w:val="left"/>
              <w:rPr>
                <w:rFonts w:ascii="宋体" w:hAnsi="宋体" w:cs="楷体"/>
                <w:kern w:val="0"/>
                <w:szCs w:val="21"/>
                <w:highlight w:val="none"/>
              </w:rPr>
            </w:pPr>
            <w:r>
              <w:rPr>
                <w:rFonts w:hint="eastAsia" w:ascii="宋体" w:hAnsi="宋体" w:cs="宋体"/>
                <w:kern w:val="0"/>
                <w:szCs w:val="21"/>
                <w:highlight w:val="none"/>
              </w:rPr>
              <w:t>符合第二章“投标人须知”第1.3.3项规定。</w:t>
            </w:r>
          </w:p>
        </w:tc>
      </w:tr>
      <w:tr w14:paraId="287E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FB5400B">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CD365C4">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7C6A817E">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投标有效期</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3B4FC79C">
            <w:pPr>
              <w:widowControl/>
              <w:spacing w:beforeAutospacing="1" w:afterAutospacing="1"/>
              <w:jc w:val="left"/>
              <w:rPr>
                <w:rFonts w:ascii="宋体" w:hAnsi="宋体" w:cs="楷体"/>
                <w:kern w:val="0"/>
                <w:szCs w:val="21"/>
                <w:highlight w:val="none"/>
              </w:rPr>
            </w:pPr>
            <w:r>
              <w:rPr>
                <w:rFonts w:hint="eastAsia" w:ascii="宋体" w:hAnsi="宋体" w:cs="宋体"/>
                <w:kern w:val="0"/>
                <w:szCs w:val="21"/>
                <w:highlight w:val="none"/>
              </w:rPr>
              <w:t>符合第二章“投标人须知”第3.3.1项规定。</w:t>
            </w:r>
          </w:p>
        </w:tc>
      </w:tr>
      <w:tr w14:paraId="12AA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14A07A0">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A7D4551">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238C957">
            <w:pPr>
              <w:widowControl/>
              <w:spacing w:beforeAutospacing="1" w:afterAutospacing="1"/>
              <w:jc w:val="center"/>
              <w:rPr>
                <w:rFonts w:hint="eastAsia" w:ascii="宋体" w:hAnsi="宋体" w:cs="宋体"/>
                <w:kern w:val="0"/>
                <w:szCs w:val="21"/>
                <w:highlight w:val="none"/>
              </w:rPr>
            </w:pPr>
            <w:r>
              <w:rPr>
                <w:rFonts w:hint="eastAsia" w:ascii="宋体" w:hAnsi="宋体" w:cs="宋体"/>
                <w:kern w:val="0"/>
                <w:szCs w:val="21"/>
              </w:rPr>
              <w:t>投标保证金</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D7E1674">
            <w:pPr>
              <w:widowControl/>
              <w:spacing w:beforeAutospacing="1" w:afterAutospacing="1"/>
              <w:jc w:val="left"/>
              <w:rPr>
                <w:rFonts w:hint="eastAsia" w:ascii="宋体" w:hAnsi="宋体" w:cs="宋体"/>
                <w:kern w:val="0"/>
                <w:szCs w:val="21"/>
                <w:highlight w:val="none"/>
              </w:rPr>
            </w:pPr>
            <w:r>
              <w:rPr>
                <w:rFonts w:hint="eastAsia" w:ascii="宋体" w:hAnsi="宋体" w:cs="宋体"/>
                <w:szCs w:val="21"/>
              </w:rPr>
              <w:t>符合第二章“投标人须知”第 3.4.1 项规定。</w:t>
            </w:r>
          </w:p>
        </w:tc>
      </w:tr>
      <w:tr w14:paraId="75AD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7619773">
            <w:pPr>
              <w:rPr>
                <w:rFonts w:ascii="Times New Roman" w:hAnsi="Times New Roman"/>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374DC1C">
            <w:pPr>
              <w:rPr>
                <w:rFonts w:ascii="Times New Roman" w:hAnsi="Times New Roman"/>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25984845">
            <w:pPr>
              <w:widowControl/>
              <w:spacing w:beforeAutospacing="1" w:afterAutospacing="1"/>
              <w:jc w:val="center"/>
              <w:rPr>
                <w:rFonts w:ascii="宋体" w:hAnsi="宋体" w:cs="楷体"/>
                <w:kern w:val="0"/>
                <w:szCs w:val="21"/>
                <w:highlight w:val="none"/>
              </w:rPr>
            </w:pPr>
            <w:r>
              <w:rPr>
                <w:rFonts w:hint="eastAsia" w:ascii="宋体" w:hAnsi="宋体" w:cs="宋体"/>
                <w:kern w:val="0"/>
                <w:szCs w:val="21"/>
                <w:highlight w:val="none"/>
              </w:rPr>
              <w:t>串通投标情形</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7BBA77AF">
            <w:pPr>
              <w:widowControl/>
              <w:spacing w:beforeAutospacing="1" w:afterAutospacing="1"/>
              <w:jc w:val="left"/>
              <w:rPr>
                <w:rFonts w:ascii="宋体" w:hAnsi="宋体" w:cs="楷体"/>
                <w:kern w:val="0"/>
                <w:szCs w:val="21"/>
                <w:highlight w:val="none"/>
              </w:rPr>
            </w:pPr>
            <w:r>
              <w:rPr>
                <w:rFonts w:hint="eastAsia" w:ascii="宋体" w:hAnsi="宋体" w:cs="宋体"/>
                <w:kern w:val="0"/>
                <w:szCs w:val="21"/>
                <w:highlight w:val="none"/>
              </w:rPr>
              <w:t>不存在串通投标情形（串通投标情形以《广东省实施&lt;中华人民共和国招标投标法&gt;》第十六条的规定为准）。</w:t>
            </w:r>
          </w:p>
        </w:tc>
      </w:tr>
      <w:tr w14:paraId="6600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9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7F02E0A">
            <w:pPr>
              <w:widowControl/>
              <w:jc w:val="center"/>
              <w:rPr>
                <w:rFonts w:ascii="宋体" w:hAnsi="宋体" w:cs="楷体"/>
                <w:kern w:val="0"/>
                <w:szCs w:val="21"/>
                <w:highlight w:val="none"/>
              </w:rPr>
            </w:pPr>
            <w:r>
              <w:rPr>
                <w:rFonts w:hint="eastAsia" w:ascii="宋体" w:hAnsi="宋体" w:cs="宋体"/>
                <w:szCs w:val="21"/>
                <w:highlight w:val="none"/>
                <w:lang w:bidi="ar"/>
              </w:rPr>
              <w:t>3.4</w:t>
            </w:r>
          </w:p>
        </w:tc>
        <w:tc>
          <w:tcPr>
            <w:tcW w:w="7283"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E79A6BB">
            <w:pPr>
              <w:rPr>
                <w:rFonts w:ascii="宋体" w:hAnsi="宋体" w:cs="宋体"/>
                <w:bCs/>
                <w:kern w:val="0"/>
                <w:szCs w:val="21"/>
                <w:highlight w:val="none"/>
                <w:lang w:bidi="ar"/>
              </w:rPr>
            </w:pPr>
            <w:r>
              <w:rPr>
                <w:rFonts w:hint="eastAsia" w:ascii="宋体" w:hAnsi="宋体" w:cs="宋体"/>
                <w:bCs/>
                <w:kern w:val="0"/>
                <w:szCs w:val="21"/>
                <w:highlight w:val="none"/>
                <w:lang w:bidi="ar"/>
              </w:rPr>
              <w:t>3.4.1 评标委员会按照招标文件规定完成初步评审（形式评审、资格评审、响应性评审），向招标人推荐合格的中标候选人，进入定标阶段【合格的中标候选人按其统一社会信用代码后4位（除校验码外）从大到小进行排位，不排序（如统一社会信用代码后4位出现字母情况的，字母以“0”进行代替大小排位；如出现后4位（除校验码外）大小一致的，则随机排位）】。合格的中标候选人少于3家的，应当重新招标。</w:t>
            </w:r>
          </w:p>
          <w:p w14:paraId="0B8FBB94">
            <w:pPr>
              <w:rPr>
                <w:rFonts w:ascii="宋体" w:hAnsi="宋体" w:cs="楷体"/>
                <w:b/>
                <w:kern w:val="0"/>
                <w:szCs w:val="21"/>
                <w:highlight w:val="none"/>
              </w:rPr>
            </w:pPr>
            <w:r>
              <w:rPr>
                <w:rFonts w:hint="eastAsia" w:ascii="宋体" w:hAnsi="宋体" w:cs="宋体"/>
                <w:bCs/>
                <w:kern w:val="0"/>
                <w:szCs w:val="21"/>
                <w:highlight w:val="none"/>
                <w:lang w:bidi="ar"/>
              </w:rPr>
              <w:t>3.4.2 评标委员会完成评标后，应当向招标人提交书面评标报告和合格的中标候选人名单。</w:t>
            </w:r>
          </w:p>
        </w:tc>
      </w:tr>
      <w:tr w14:paraId="07CC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02939895">
            <w:pPr>
              <w:widowControl/>
              <w:jc w:val="center"/>
              <w:rPr>
                <w:rFonts w:cs="Calibri"/>
                <w:szCs w:val="21"/>
                <w:highlight w:val="none"/>
                <w:u w:val="single"/>
              </w:rPr>
            </w:pPr>
            <w:r>
              <w:rPr>
                <w:rFonts w:cs="Calibri"/>
                <w:szCs w:val="21"/>
                <w:highlight w:val="none"/>
                <w:u w:val="single"/>
              </w:rPr>
              <w:t>4</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7920D679">
            <w:pPr>
              <w:widowControl/>
              <w:jc w:val="center"/>
              <w:rPr>
                <w:rFonts w:ascii="宋体" w:hAnsi="宋体" w:cs="宋体"/>
                <w:szCs w:val="21"/>
                <w:highlight w:val="none"/>
              </w:rPr>
            </w:pPr>
            <w:r>
              <w:rPr>
                <w:rFonts w:hint="eastAsia" w:ascii="宋体" w:hAnsi="宋体" w:cs="宋体"/>
                <w:szCs w:val="21"/>
                <w:highlight w:val="none"/>
              </w:rPr>
              <w:t>定标</w:t>
            </w:r>
          </w:p>
        </w:tc>
        <w:tc>
          <w:tcPr>
            <w:tcW w:w="7283"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0DBFBEF">
            <w:pPr>
              <w:rPr>
                <w:rFonts w:ascii="宋体" w:hAnsi="宋体"/>
                <w:b/>
                <w:szCs w:val="21"/>
                <w:highlight w:val="none"/>
              </w:rPr>
            </w:pPr>
            <w:r>
              <w:rPr>
                <w:rFonts w:hint="eastAsia" w:ascii="宋体" w:hAnsi="宋体" w:cs="宋体"/>
                <w:b/>
                <w:szCs w:val="21"/>
                <w:highlight w:val="none"/>
              </w:rPr>
              <w:t>1.定标委员会的组成</w:t>
            </w:r>
          </w:p>
          <w:p w14:paraId="128DA5F8">
            <w:pPr>
              <w:rPr>
                <w:rFonts w:ascii="宋体" w:hAnsi="宋体" w:cs="楷体"/>
                <w:bCs/>
                <w:kern w:val="0"/>
                <w:szCs w:val="21"/>
                <w:highlight w:val="none"/>
              </w:rPr>
            </w:pPr>
            <w:r>
              <w:rPr>
                <w:rFonts w:hint="eastAsia" w:ascii="宋体" w:hAnsi="宋体" w:cs="宋体"/>
                <w:bCs/>
                <w:kern w:val="0"/>
                <w:szCs w:val="21"/>
                <w:highlight w:val="none"/>
              </w:rPr>
              <w:t>（1）定标委员会</w:t>
            </w:r>
          </w:p>
          <w:p w14:paraId="4682DD75">
            <w:pPr>
              <w:rPr>
                <w:rFonts w:ascii="宋体" w:hAnsi="宋体" w:cs="楷体"/>
                <w:bCs/>
                <w:kern w:val="0"/>
                <w:szCs w:val="21"/>
                <w:highlight w:val="none"/>
              </w:rPr>
            </w:pPr>
            <w:r>
              <w:rPr>
                <w:rFonts w:hint="eastAsia" w:ascii="宋体" w:hAnsi="宋体" w:cs="宋体"/>
                <w:bCs/>
                <w:kern w:val="0"/>
                <w:szCs w:val="21"/>
                <w:highlight w:val="none"/>
              </w:rPr>
              <w:t>定标委员会由招标人依法组建。</w:t>
            </w:r>
          </w:p>
          <w:p w14:paraId="5D4E0A03">
            <w:pPr>
              <w:rPr>
                <w:rFonts w:ascii="宋体" w:hAnsi="宋体" w:cs="楷体"/>
                <w:bCs/>
                <w:kern w:val="0"/>
                <w:szCs w:val="21"/>
                <w:highlight w:val="none"/>
              </w:rPr>
            </w:pPr>
            <w:r>
              <w:rPr>
                <w:rFonts w:hint="eastAsia" w:ascii="宋体" w:hAnsi="宋体" w:cs="宋体"/>
                <w:bCs/>
                <w:kern w:val="0"/>
                <w:szCs w:val="21"/>
                <w:highlight w:val="none"/>
              </w:rPr>
              <w:t>（2）定标会召开的时间地点：</w:t>
            </w:r>
          </w:p>
          <w:p w14:paraId="6FE1FD0A">
            <w:pPr>
              <w:rPr>
                <w:rFonts w:ascii="宋体" w:hAnsi="宋体" w:cs="楷体"/>
                <w:bCs/>
                <w:kern w:val="0"/>
                <w:szCs w:val="21"/>
                <w:highlight w:val="none"/>
              </w:rPr>
            </w:pPr>
            <w:r>
              <w:rPr>
                <w:rFonts w:hint="eastAsia" w:ascii="宋体" w:hAnsi="宋体" w:cs="宋体"/>
                <w:bCs/>
                <w:kern w:val="0"/>
                <w:szCs w:val="21"/>
                <w:highlight w:val="none"/>
              </w:rPr>
              <w:t>定标会召开时间在合格的中标候选人公示完成后在</w:t>
            </w:r>
            <w:r>
              <w:rPr>
                <w:rFonts w:hint="eastAsia" w:ascii="宋体" w:hAnsi="宋体" w:cs="楷体"/>
                <w:bCs/>
                <w:kern w:val="0"/>
                <w:szCs w:val="21"/>
                <w:highlight w:val="none"/>
              </w:rPr>
              <w:t>规定时间内在广州交易集团有限公司（广州公共资源交易中心）举行，定标会全程在广州交易集团有限公司（广州公共资源交易中心）见证人员见证下进行。</w:t>
            </w:r>
          </w:p>
          <w:p w14:paraId="0D513060">
            <w:pPr>
              <w:rPr>
                <w:rFonts w:ascii="宋体" w:hAnsi="宋体" w:cs="楷体"/>
                <w:b/>
                <w:kern w:val="0"/>
                <w:szCs w:val="21"/>
                <w:highlight w:val="none"/>
              </w:rPr>
            </w:pPr>
            <w:r>
              <w:rPr>
                <w:rFonts w:hint="eastAsia" w:ascii="宋体" w:hAnsi="宋体" w:cs="宋体"/>
                <w:b/>
                <w:kern w:val="0"/>
                <w:szCs w:val="21"/>
                <w:highlight w:val="none"/>
              </w:rPr>
              <w:t>2.定标原则</w:t>
            </w:r>
          </w:p>
          <w:p w14:paraId="630F7C04">
            <w:pPr>
              <w:rPr>
                <w:rFonts w:ascii="宋体" w:hAnsi="宋体"/>
                <w:highlight w:val="none"/>
                <w:u w:val="single"/>
              </w:rPr>
            </w:pPr>
            <w:r>
              <w:rPr>
                <w:rFonts w:hint="eastAsia" w:ascii="宋体" w:hAnsi="宋体"/>
                <w:highlight w:val="none"/>
                <w:u w:val="single"/>
              </w:rPr>
              <w:t>详见</w:t>
            </w:r>
            <w:r>
              <w:rPr>
                <w:rFonts w:hint="eastAsia" w:ascii="宋体" w:hAnsi="宋体" w:cs="宋体"/>
                <w:bCs/>
                <w:szCs w:val="21"/>
                <w:highlight w:val="none"/>
                <w:u w:val="single"/>
              </w:rPr>
              <w:t>本章第4款。</w:t>
            </w:r>
          </w:p>
        </w:tc>
      </w:tr>
      <w:tr w14:paraId="0164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1A6EB642">
            <w:pPr>
              <w:widowControl/>
              <w:jc w:val="center"/>
              <w:rPr>
                <w:szCs w:val="21"/>
                <w:highlight w:val="none"/>
                <w:u w:val="single"/>
              </w:rPr>
            </w:pPr>
            <w:r>
              <w:rPr>
                <w:rFonts w:cs="Calibri"/>
                <w:szCs w:val="21"/>
                <w:highlight w:val="none"/>
                <w:u w:val="single"/>
              </w:rPr>
              <w:t>5</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3948698A">
            <w:pPr>
              <w:widowControl/>
              <w:jc w:val="center"/>
              <w:rPr>
                <w:szCs w:val="21"/>
                <w:highlight w:val="none"/>
              </w:rPr>
            </w:pPr>
            <w:r>
              <w:rPr>
                <w:rFonts w:hint="eastAsia" w:ascii="宋体" w:hAnsi="宋体" w:cs="宋体"/>
                <w:szCs w:val="21"/>
                <w:highlight w:val="none"/>
              </w:rPr>
              <w:t>定标表格</w:t>
            </w:r>
          </w:p>
        </w:tc>
        <w:tc>
          <w:tcPr>
            <w:tcW w:w="7283"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14D8B4B">
            <w:pPr>
              <w:widowControl/>
              <w:jc w:val="left"/>
              <w:rPr>
                <w:rFonts w:ascii="宋体" w:hAnsi="宋体" w:cs="宋体"/>
                <w:szCs w:val="21"/>
                <w:highlight w:val="none"/>
              </w:rPr>
            </w:pPr>
            <w:r>
              <w:rPr>
                <w:rFonts w:hint="eastAsia" w:ascii="宋体" w:hAnsi="宋体"/>
                <w:highlight w:val="none"/>
                <w:u w:val="single"/>
              </w:rPr>
              <w:t>详见本章第6款附表</w:t>
            </w:r>
            <w:r>
              <w:rPr>
                <w:rFonts w:hint="eastAsia" w:ascii="宋体" w:hAnsi="宋体" w:cs="宋体"/>
                <w:szCs w:val="21"/>
                <w:highlight w:val="none"/>
              </w:rPr>
              <w:t>。</w:t>
            </w:r>
          </w:p>
        </w:tc>
      </w:tr>
    </w:tbl>
    <w:p w14:paraId="5D8ABC39">
      <w:pPr>
        <w:spacing w:before="120" w:beforeLines="50" w:after="120" w:afterLines="50" w:line="360" w:lineRule="exact"/>
        <w:outlineLvl w:val="2"/>
        <w:rPr>
          <w:rFonts w:ascii="宋体" w:hAnsi="宋体"/>
          <w:b/>
          <w:sz w:val="32"/>
          <w:highlight w:val="none"/>
        </w:rPr>
      </w:pPr>
      <w:bookmarkStart w:id="407" w:name="_Toc529196583"/>
      <w:bookmarkStart w:id="408" w:name="_Toc515205256"/>
      <w:r>
        <w:rPr>
          <w:rFonts w:hint="eastAsia" w:ascii="宋体" w:hAnsi="宋体"/>
          <w:b/>
          <w:sz w:val="32"/>
          <w:highlight w:val="none"/>
        </w:rPr>
        <w:br w:type="page"/>
      </w:r>
      <w:bookmarkStart w:id="409" w:name="_Toc12211"/>
      <w:bookmarkStart w:id="410" w:name="_Toc7983"/>
      <w:r>
        <w:rPr>
          <w:rFonts w:hint="eastAsia" w:ascii="宋体" w:hAnsi="宋体"/>
          <w:b/>
          <w:sz w:val="32"/>
          <w:highlight w:val="none"/>
        </w:rPr>
        <w:t>1. 评标方法</w:t>
      </w:r>
      <w:bookmarkEnd w:id="407"/>
      <w:bookmarkEnd w:id="408"/>
      <w:bookmarkEnd w:id="409"/>
      <w:bookmarkEnd w:id="410"/>
    </w:p>
    <w:p w14:paraId="39F7983E">
      <w:pPr>
        <w:spacing w:line="440" w:lineRule="exact"/>
        <w:ind w:firstLine="420" w:firstLineChars="200"/>
        <w:rPr>
          <w:strike/>
          <w:highlight w:val="none"/>
        </w:rPr>
      </w:pPr>
      <w:r>
        <w:rPr>
          <w:rFonts w:hint="eastAsia" w:ascii="宋体" w:hAnsi="宋体" w:cs="宋体"/>
          <w:highlight w:val="none"/>
          <w:u w:val="single"/>
        </w:rPr>
        <w:t>本项目采用评定分离定标办法，其中：评标采用“通过制”评标办法，</w:t>
      </w:r>
      <w:r>
        <w:rPr>
          <w:rFonts w:hint="eastAsia"/>
          <w:szCs w:val="21"/>
          <w:highlight w:val="none"/>
          <w:u w:val="single"/>
        </w:rPr>
        <w:t>所有通过初步评审</w:t>
      </w:r>
      <w:r>
        <w:rPr>
          <w:rFonts w:hint="eastAsia" w:ascii="宋体" w:hAnsi="宋体" w:cs="宋体"/>
          <w:highlight w:val="none"/>
          <w:u w:val="single"/>
        </w:rPr>
        <w:t>（形式评审、资格评审、响应性评审）的</w:t>
      </w:r>
      <w:r>
        <w:rPr>
          <w:rFonts w:hint="eastAsia"/>
          <w:szCs w:val="21"/>
          <w:highlight w:val="none"/>
          <w:u w:val="single"/>
        </w:rPr>
        <w:t>投标人全部被推荐为合格的中标候选人，进入定标阶段</w:t>
      </w:r>
      <w:r>
        <w:rPr>
          <w:rFonts w:hint="eastAsia" w:ascii="宋体" w:hAnsi="宋体"/>
          <w:highlight w:val="none"/>
          <w:u w:val="single"/>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szCs w:val="21"/>
          <w:highlight w:val="none"/>
          <w:u w:val="single"/>
        </w:rPr>
        <w:t>。</w:t>
      </w:r>
    </w:p>
    <w:p w14:paraId="2AD179D3">
      <w:pPr>
        <w:ind w:firstLine="420" w:firstLineChars="200"/>
        <w:rPr>
          <w:rFonts w:ascii="Times New Roman" w:hAnsi="Times New Roman"/>
          <w:strike/>
          <w:highlight w:val="none"/>
        </w:rPr>
      </w:pPr>
    </w:p>
    <w:p w14:paraId="585FB23C">
      <w:pPr>
        <w:spacing w:before="120" w:beforeLines="50" w:line="360" w:lineRule="exact"/>
        <w:outlineLvl w:val="2"/>
        <w:rPr>
          <w:rFonts w:ascii="宋体" w:hAnsi="宋体"/>
          <w:b/>
          <w:sz w:val="32"/>
          <w:highlight w:val="none"/>
        </w:rPr>
      </w:pPr>
      <w:bookmarkStart w:id="411" w:name="_Toc4507"/>
      <w:bookmarkStart w:id="412" w:name="_Toc31126"/>
      <w:bookmarkStart w:id="413" w:name="_Toc515205257"/>
      <w:bookmarkStart w:id="414" w:name="_Toc529196584"/>
      <w:r>
        <w:rPr>
          <w:rFonts w:hint="eastAsia" w:ascii="宋体" w:hAnsi="宋体"/>
          <w:b/>
          <w:sz w:val="32"/>
          <w:highlight w:val="none"/>
        </w:rPr>
        <w:t>2. 评审标准</w:t>
      </w:r>
      <w:bookmarkEnd w:id="411"/>
      <w:bookmarkEnd w:id="412"/>
      <w:bookmarkEnd w:id="413"/>
      <w:bookmarkEnd w:id="414"/>
    </w:p>
    <w:p w14:paraId="6F418D9A">
      <w:pPr>
        <w:spacing w:before="240" w:beforeLines="100" w:after="240" w:afterLines="100" w:line="360" w:lineRule="exact"/>
        <w:rPr>
          <w:rFonts w:ascii="宋体" w:hAnsi="宋体"/>
          <w:b/>
          <w:sz w:val="28"/>
          <w:highlight w:val="none"/>
        </w:rPr>
      </w:pPr>
      <w:bookmarkStart w:id="415" w:name="_Toc529196585"/>
      <w:bookmarkStart w:id="416" w:name="_Toc515205258"/>
      <w:r>
        <w:rPr>
          <w:rFonts w:hint="eastAsia" w:ascii="宋体" w:hAnsi="宋体"/>
          <w:b/>
          <w:sz w:val="28"/>
          <w:highlight w:val="none"/>
        </w:rPr>
        <w:t>2.1 初步评审标准</w:t>
      </w:r>
      <w:bookmarkEnd w:id="415"/>
      <w:bookmarkEnd w:id="416"/>
    </w:p>
    <w:p w14:paraId="646197A9">
      <w:pPr>
        <w:spacing w:line="360" w:lineRule="exact"/>
        <w:ind w:firstLine="420" w:firstLineChars="200"/>
        <w:rPr>
          <w:rFonts w:ascii="宋体" w:hAnsi="宋体"/>
          <w:highlight w:val="none"/>
        </w:rPr>
      </w:pPr>
      <w:r>
        <w:rPr>
          <w:rFonts w:hint="eastAsia" w:ascii="宋体" w:hAnsi="宋体"/>
          <w:highlight w:val="none"/>
        </w:rPr>
        <w:t>2.1.1 形式评审标准：见评标办法前附表。</w:t>
      </w:r>
    </w:p>
    <w:p w14:paraId="46112024">
      <w:pPr>
        <w:spacing w:line="360" w:lineRule="exact"/>
        <w:ind w:firstLine="420" w:firstLineChars="200"/>
        <w:rPr>
          <w:rFonts w:ascii="宋体" w:hAnsi="宋体"/>
          <w:highlight w:val="none"/>
        </w:rPr>
      </w:pPr>
      <w:r>
        <w:rPr>
          <w:rFonts w:hint="eastAsia" w:ascii="宋体" w:hAnsi="宋体"/>
          <w:highlight w:val="none"/>
        </w:rPr>
        <w:t>2.1.2 资格评审标准：见评标办法前附表。</w:t>
      </w:r>
    </w:p>
    <w:p w14:paraId="515C3DFD">
      <w:pPr>
        <w:spacing w:line="360" w:lineRule="exact"/>
        <w:ind w:firstLine="420" w:firstLineChars="200"/>
        <w:rPr>
          <w:rFonts w:ascii="宋体" w:hAnsi="宋体"/>
          <w:highlight w:val="none"/>
        </w:rPr>
      </w:pPr>
      <w:r>
        <w:rPr>
          <w:rFonts w:hint="eastAsia" w:ascii="宋体" w:hAnsi="宋体"/>
          <w:highlight w:val="none"/>
        </w:rPr>
        <w:t>2.1.3 响应性评审标准：见评标办法前附表。</w:t>
      </w:r>
    </w:p>
    <w:p w14:paraId="3E867C6F">
      <w:pPr>
        <w:spacing w:before="240" w:beforeLines="100" w:after="240" w:afterLines="100" w:line="360" w:lineRule="exact"/>
        <w:rPr>
          <w:rFonts w:ascii="宋体" w:hAnsi="宋体"/>
          <w:b/>
          <w:strike/>
          <w:sz w:val="28"/>
          <w:highlight w:val="none"/>
        </w:rPr>
      </w:pPr>
      <w:bookmarkStart w:id="417" w:name="_Toc515205259"/>
      <w:bookmarkStart w:id="418" w:name="_Toc529196586"/>
      <w:r>
        <w:rPr>
          <w:rFonts w:hint="eastAsia" w:ascii="宋体" w:hAnsi="宋体"/>
          <w:b/>
          <w:strike/>
          <w:sz w:val="28"/>
          <w:highlight w:val="none"/>
        </w:rPr>
        <w:t>2.2 分值构成与评分标准</w:t>
      </w:r>
      <w:bookmarkEnd w:id="417"/>
      <w:bookmarkEnd w:id="418"/>
    </w:p>
    <w:p w14:paraId="05F73E47">
      <w:pPr>
        <w:spacing w:line="360" w:lineRule="exact"/>
        <w:ind w:firstLine="420" w:firstLineChars="200"/>
        <w:rPr>
          <w:rFonts w:ascii="宋体" w:hAnsi="宋体"/>
          <w:strike/>
          <w:highlight w:val="none"/>
        </w:rPr>
      </w:pPr>
      <w:r>
        <w:rPr>
          <w:rFonts w:hint="eastAsia" w:ascii="宋体" w:hAnsi="宋体"/>
          <w:strike/>
          <w:highlight w:val="none"/>
        </w:rPr>
        <w:t>2.2.1 分值构成：</w:t>
      </w:r>
    </w:p>
    <w:p w14:paraId="6593BE87">
      <w:pPr>
        <w:spacing w:line="360" w:lineRule="exact"/>
        <w:ind w:firstLine="420" w:firstLineChars="200"/>
        <w:rPr>
          <w:rFonts w:ascii="宋体" w:hAnsi="宋体"/>
          <w:strike/>
          <w:highlight w:val="none"/>
        </w:rPr>
      </w:pPr>
      <w:r>
        <w:rPr>
          <w:rFonts w:hint="eastAsia" w:ascii="宋体" w:hAnsi="宋体"/>
          <w:strike/>
          <w:highlight w:val="none"/>
        </w:rPr>
        <w:t>（1）资信业绩部分：见评标办法前附表；</w:t>
      </w:r>
    </w:p>
    <w:p w14:paraId="3DED4E42">
      <w:pPr>
        <w:spacing w:line="360" w:lineRule="exact"/>
        <w:ind w:firstLine="420" w:firstLineChars="200"/>
        <w:rPr>
          <w:rFonts w:ascii="宋体" w:hAnsi="宋体"/>
          <w:strike/>
          <w:highlight w:val="none"/>
        </w:rPr>
      </w:pPr>
      <w:r>
        <w:rPr>
          <w:rFonts w:hint="eastAsia" w:ascii="宋体" w:hAnsi="宋体"/>
          <w:strike/>
          <w:highlight w:val="none"/>
        </w:rPr>
        <w:t>（2）监理大纲部分：见评标办法前附表；</w:t>
      </w:r>
    </w:p>
    <w:p w14:paraId="2331E854">
      <w:pPr>
        <w:spacing w:line="360" w:lineRule="exact"/>
        <w:ind w:firstLine="420" w:firstLineChars="200"/>
        <w:rPr>
          <w:rFonts w:ascii="宋体" w:hAnsi="宋体"/>
          <w:strike/>
          <w:highlight w:val="none"/>
        </w:rPr>
      </w:pPr>
      <w:r>
        <w:rPr>
          <w:rFonts w:hint="eastAsia" w:ascii="宋体" w:hAnsi="宋体"/>
          <w:strike/>
          <w:highlight w:val="none"/>
        </w:rPr>
        <w:t>（3）投标报价：见评标办法前附表；</w:t>
      </w:r>
    </w:p>
    <w:p w14:paraId="733E8A02">
      <w:pPr>
        <w:spacing w:line="360" w:lineRule="exact"/>
        <w:ind w:firstLine="420" w:firstLineChars="200"/>
        <w:rPr>
          <w:rFonts w:ascii="宋体" w:hAnsi="宋体"/>
          <w:strike/>
          <w:highlight w:val="none"/>
        </w:rPr>
      </w:pPr>
      <w:r>
        <w:rPr>
          <w:rFonts w:hint="eastAsia" w:ascii="宋体" w:hAnsi="宋体"/>
          <w:strike/>
          <w:highlight w:val="none"/>
        </w:rPr>
        <w:t>（4）其他评分因素：见评标办法前附表。</w:t>
      </w:r>
    </w:p>
    <w:p w14:paraId="67DED429">
      <w:pPr>
        <w:spacing w:line="360" w:lineRule="exact"/>
        <w:ind w:firstLine="420" w:firstLineChars="200"/>
        <w:rPr>
          <w:rFonts w:ascii="宋体" w:hAnsi="宋体"/>
          <w:strike/>
          <w:highlight w:val="none"/>
        </w:rPr>
      </w:pPr>
      <w:r>
        <w:rPr>
          <w:rFonts w:hint="eastAsia" w:ascii="宋体" w:hAnsi="宋体"/>
          <w:strike/>
          <w:highlight w:val="none"/>
        </w:rPr>
        <w:t>2.2.2 评标基准价计算</w:t>
      </w:r>
    </w:p>
    <w:p w14:paraId="0FD5998A">
      <w:pPr>
        <w:spacing w:line="360" w:lineRule="exact"/>
        <w:ind w:firstLine="420" w:firstLineChars="200"/>
        <w:rPr>
          <w:rFonts w:ascii="宋体" w:hAnsi="宋体"/>
          <w:strike/>
          <w:highlight w:val="none"/>
        </w:rPr>
      </w:pPr>
      <w:r>
        <w:rPr>
          <w:rFonts w:hint="eastAsia" w:ascii="宋体" w:hAnsi="宋体"/>
          <w:strike/>
          <w:highlight w:val="none"/>
        </w:rPr>
        <w:t>评标基准价计算方法：见评标办法前附表。</w:t>
      </w:r>
    </w:p>
    <w:p w14:paraId="043EDE9C">
      <w:pPr>
        <w:spacing w:line="360" w:lineRule="exact"/>
        <w:ind w:firstLine="420" w:firstLineChars="200"/>
        <w:rPr>
          <w:rFonts w:ascii="宋体" w:hAnsi="宋体"/>
          <w:strike/>
          <w:highlight w:val="none"/>
        </w:rPr>
      </w:pPr>
      <w:r>
        <w:rPr>
          <w:rFonts w:hint="eastAsia" w:ascii="宋体" w:hAnsi="宋体"/>
          <w:strike/>
          <w:highlight w:val="none"/>
        </w:rPr>
        <w:t>2.2.3 投标报价的偏差率计算</w:t>
      </w:r>
    </w:p>
    <w:p w14:paraId="007EBB83">
      <w:pPr>
        <w:spacing w:line="360" w:lineRule="exact"/>
        <w:ind w:firstLine="420" w:firstLineChars="200"/>
        <w:rPr>
          <w:rFonts w:ascii="宋体" w:hAnsi="宋体"/>
          <w:strike/>
          <w:highlight w:val="none"/>
        </w:rPr>
      </w:pPr>
      <w:r>
        <w:rPr>
          <w:rFonts w:hint="eastAsia" w:ascii="宋体" w:hAnsi="宋体"/>
          <w:strike/>
          <w:highlight w:val="none"/>
        </w:rPr>
        <w:t>投标报价的偏差率计算公式：见评标办法前附表。</w:t>
      </w:r>
    </w:p>
    <w:p w14:paraId="12E3F59F">
      <w:pPr>
        <w:spacing w:line="360" w:lineRule="exact"/>
        <w:ind w:firstLine="420" w:firstLineChars="200"/>
        <w:rPr>
          <w:rFonts w:ascii="宋体" w:hAnsi="宋体"/>
          <w:strike/>
          <w:highlight w:val="none"/>
        </w:rPr>
      </w:pPr>
      <w:r>
        <w:rPr>
          <w:rFonts w:hint="eastAsia" w:ascii="宋体" w:hAnsi="宋体"/>
          <w:strike/>
          <w:highlight w:val="none"/>
        </w:rPr>
        <w:t>2.2.4 评分标准</w:t>
      </w:r>
    </w:p>
    <w:p w14:paraId="538B4879">
      <w:pPr>
        <w:spacing w:line="360" w:lineRule="exact"/>
        <w:ind w:firstLine="420" w:firstLineChars="200"/>
        <w:rPr>
          <w:rFonts w:ascii="宋体" w:hAnsi="宋体"/>
          <w:strike/>
          <w:highlight w:val="none"/>
        </w:rPr>
      </w:pPr>
      <w:r>
        <w:rPr>
          <w:rFonts w:hint="eastAsia" w:ascii="宋体" w:hAnsi="宋体"/>
          <w:strike/>
          <w:highlight w:val="none"/>
        </w:rPr>
        <w:t>（1）资信业绩评分标准：见评标办法前附表；</w:t>
      </w:r>
    </w:p>
    <w:p w14:paraId="62F233E2">
      <w:pPr>
        <w:spacing w:line="360" w:lineRule="exact"/>
        <w:ind w:firstLine="420" w:firstLineChars="200"/>
        <w:rPr>
          <w:rFonts w:ascii="宋体" w:hAnsi="宋体"/>
          <w:strike/>
          <w:highlight w:val="none"/>
        </w:rPr>
      </w:pPr>
      <w:r>
        <w:rPr>
          <w:rFonts w:hint="eastAsia" w:ascii="宋体" w:hAnsi="宋体"/>
          <w:strike/>
          <w:highlight w:val="none"/>
        </w:rPr>
        <w:t>（2）监理大纲评分标准：见评标办法前附表；</w:t>
      </w:r>
    </w:p>
    <w:p w14:paraId="4D90A321">
      <w:pPr>
        <w:spacing w:line="360" w:lineRule="exact"/>
        <w:ind w:firstLine="420" w:firstLineChars="200"/>
        <w:rPr>
          <w:rFonts w:ascii="宋体" w:hAnsi="宋体"/>
          <w:strike/>
          <w:highlight w:val="none"/>
        </w:rPr>
      </w:pPr>
      <w:r>
        <w:rPr>
          <w:rFonts w:hint="eastAsia" w:ascii="宋体" w:hAnsi="宋体"/>
          <w:strike/>
          <w:highlight w:val="none"/>
        </w:rPr>
        <w:t>（3）投标报价评分标准：见评标办法前附表；</w:t>
      </w:r>
    </w:p>
    <w:p w14:paraId="7E7BE7CC">
      <w:pPr>
        <w:spacing w:line="360" w:lineRule="exact"/>
        <w:ind w:firstLine="420" w:firstLineChars="200"/>
        <w:rPr>
          <w:rFonts w:ascii="宋体" w:hAnsi="宋体"/>
          <w:strike/>
          <w:highlight w:val="none"/>
        </w:rPr>
      </w:pPr>
      <w:r>
        <w:rPr>
          <w:rFonts w:hint="eastAsia" w:ascii="宋体" w:hAnsi="宋体"/>
          <w:strike/>
          <w:highlight w:val="none"/>
        </w:rPr>
        <w:t>（4）其他因素评分标准：见评标办法前附表。</w:t>
      </w:r>
    </w:p>
    <w:p w14:paraId="7BE7A64C">
      <w:pPr>
        <w:ind w:firstLine="420" w:firstLineChars="200"/>
        <w:rPr>
          <w:rFonts w:ascii="Times New Roman" w:hAnsi="Times New Roman"/>
          <w:highlight w:val="none"/>
        </w:rPr>
      </w:pPr>
    </w:p>
    <w:p w14:paraId="1F89795B">
      <w:pPr>
        <w:spacing w:before="120" w:beforeLines="50" w:line="360" w:lineRule="exact"/>
        <w:outlineLvl w:val="2"/>
        <w:rPr>
          <w:rFonts w:ascii="宋体" w:hAnsi="宋体"/>
          <w:b/>
          <w:sz w:val="32"/>
          <w:highlight w:val="none"/>
        </w:rPr>
      </w:pPr>
      <w:bookmarkStart w:id="419" w:name="_Toc529196587"/>
      <w:bookmarkStart w:id="420" w:name="_Toc21130"/>
      <w:bookmarkStart w:id="421" w:name="_Toc515205260"/>
      <w:bookmarkStart w:id="422" w:name="_Toc11437"/>
      <w:r>
        <w:rPr>
          <w:rFonts w:hint="eastAsia" w:ascii="宋体" w:hAnsi="宋体"/>
          <w:b/>
          <w:sz w:val="32"/>
          <w:highlight w:val="none"/>
        </w:rPr>
        <w:t>3. 评标程序</w:t>
      </w:r>
      <w:bookmarkEnd w:id="419"/>
      <w:bookmarkEnd w:id="420"/>
      <w:bookmarkEnd w:id="421"/>
      <w:bookmarkEnd w:id="422"/>
    </w:p>
    <w:p w14:paraId="0FFE793D">
      <w:pPr>
        <w:spacing w:before="240" w:beforeLines="100" w:after="240" w:afterLines="100" w:line="360" w:lineRule="exact"/>
        <w:rPr>
          <w:rFonts w:ascii="宋体" w:hAnsi="宋体"/>
          <w:b/>
          <w:sz w:val="28"/>
          <w:highlight w:val="none"/>
        </w:rPr>
      </w:pPr>
      <w:bookmarkStart w:id="423" w:name="_Toc529196588"/>
      <w:bookmarkStart w:id="424" w:name="_Toc515205261"/>
      <w:r>
        <w:rPr>
          <w:rFonts w:hint="eastAsia" w:ascii="宋体" w:hAnsi="宋体"/>
          <w:b/>
          <w:sz w:val="28"/>
          <w:highlight w:val="none"/>
        </w:rPr>
        <w:t>3.1 初步评审</w:t>
      </w:r>
      <w:bookmarkEnd w:id="423"/>
      <w:bookmarkEnd w:id="424"/>
    </w:p>
    <w:p w14:paraId="3CCE92FD">
      <w:pPr>
        <w:spacing w:line="360" w:lineRule="exact"/>
        <w:ind w:firstLine="420" w:firstLineChars="200"/>
        <w:rPr>
          <w:rFonts w:ascii="宋体" w:hAnsi="宋体"/>
          <w:highlight w:val="none"/>
        </w:rPr>
      </w:pPr>
      <w:r>
        <w:rPr>
          <w:rFonts w:hint="eastAsia" w:ascii="宋体" w:hAnsi="宋体"/>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4C2A77C">
      <w:pPr>
        <w:spacing w:line="360" w:lineRule="exact"/>
        <w:ind w:firstLine="420" w:firstLineChars="200"/>
        <w:rPr>
          <w:rFonts w:ascii="宋体" w:hAnsi="宋体"/>
          <w:highlight w:val="none"/>
        </w:rPr>
      </w:pPr>
      <w:r>
        <w:rPr>
          <w:rFonts w:hint="eastAsia" w:ascii="宋体" w:hAnsi="宋体"/>
          <w:highlight w:val="none"/>
        </w:rPr>
        <w:t>3.1.2 投标人有以下情形之一的，评标委员会应当否决其投标：</w:t>
      </w:r>
    </w:p>
    <w:p w14:paraId="5784254D">
      <w:pPr>
        <w:spacing w:line="360" w:lineRule="exact"/>
        <w:ind w:firstLine="420" w:firstLineChars="200"/>
        <w:rPr>
          <w:rFonts w:ascii="宋体" w:hAnsi="宋体"/>
          <w:highlight w:val="none"/>
        </w:rPr>
      </w:pPr>
      <w:r>
        <w:rPr>
          <w:rFonts w:hint="eastAsia" w:ascii="宋体" w:hAnsi="宋体"/>
          <w:highlight w:val="none"/>
        </w:rPr>
        <w:t>（1）投标文件没有对招标文件的实质性要求和条件作出响应，或者对招标文件的偏差超出招标文件规定的偏差范围或最高项数；</w:t>
      </w:r>
    </w:p>
    <w:p w14:paraId="1B2DF17D">
      <w:pPr>
        <w:spacing w:line="360" w:lineRule="exact"/>
        <w:ind w:firstLine="420" w:firstLineChars="200"/>
        <w:rPr>
          <w:rFonts w:ascii="宋体" w:hAnsi="宋体"/>
          <w:highlight w:val="none"/>
        </w:rPr>
      </w:pPr>
      <w:r>
        <w:rPr>
          <w:rFonts w:hint="eastAsia" w:ascii="宋体" w:hAnsi="宋体"/>
          <w:highlight w:val="none"/>
        </w:rPr>
        <w:t>（2）有串通投标、弄虚作假、行贿等违法行为。</w:t>
      </w:r>
    </w:p>
    <w:p w14:paraId="6E816170">
      <w:pPr>
        <w:spacing w:line="360" w:lineRule="exact"/>
        <w:ind w:firstLine="420" w:firstLineChars="200"/>
        <w:rPr>
          <w:rFonts w:ascii="宋体" w:hAnsi="宋体"/>
          <w:highlight w:val="none"/>
        </w:rPr>
      </w:pPr>
      <w:r>
        <w:rPr>
          <w:rFonts w:hint="eastAsia" w:ascii="宋体" w:hAnsi="宋体"/>
          <w:highlight w:val="none"/>
        </w:rPr>
        <w:t>3.1.3 投标报价有算术错误及其他错误的，评标委员会按以下原则要求投标人对投标报价进行修正，并要求投标人书面澄清确认。投标人拒不澄清确认的，评标委员会应当否决其投标：</w:t>
      </w:r>
    </w:p>
    <w:p w14:paraId="03C91BFC">
      <w:pPr>
        <w:spacing w:line="360" w:lineRule="exact"/>
        <w:ind w:firstLine="420" w:firstLineChars="200"/>
        <w:rPr>
          <w:rFonts w:ascii="宋体" w:hAnsi="宋体"/>
          <w:highlight w:val="none"/>
        </w:rPr>
      </w:pPr>
      <w:r>
        <w:rPr>
          <w:rFonts w:hint="eastAsia" w:ascii="宋体" w:hAnsi="宋体"/>
          <w:highlight w:val="none"/>
        </w:rPr>
        <w:t>（1）投标文件中的大写金额与小写金额不一致的，以大写金额为准；</w:t>
      </w:r>
    </w:p>
    <w:p w14:paraId="0633A3F7">
      <w:pPr>
        <w:spacing w:line="360" w:lineRule="exact"/>
        <w:ind w:firstLine="420" w:firstLineChars="200"/>
        <w:rPr>
          <w:rFonts w:ascii="宋体" w:hAnsi="宋体"/>
          <w:highlight w:val="none"/>
        </w:rPr>
      </w:pPr>
      <w:r>
        <w:rPr>
          <w:rFonts w:hint="eastAsia" w:ascii="宋体" w:hAnsi="宋体"/>
          <w:highlight w:val="none"/>
        </w:rPr>
        <w:t>（2）总价金额与单价金额不一致的，以单价金额为准，但单价金额小数点有明显错误的除外。</w:t>
      </w:r>
    </w:p>
    <w:p w14:paraId="30B923AB">
      <w:pPr>
        <w:spacing w:before="168" w:beforeLines="70" w:after="168" w:afterLines="70" w:line="360" w:lineRule="exact"/>
        <w:rPr>
          <w:rFonts w:ascii="宋体" w:hAnsi="宋体"/>
          <w:b/>
          <w:strike/>
          <w:sz w:val="28"/>
          <w:highlight w:val="none"/>
        </w:rPr>
      </w:pPr>
      <w:bookmarkStart w:id="425" w:name="_Toc515205262"/>
      <w:bookmarkStart w:id="426" w:name="_Toc529196589"/>
      <w:r>
        <w:rPr>
          <w:rFonts w:hint="eastAsia" w:ascii="宋体" w:hAnsi="宋体"/>
          <w:b/>
          <w:strike/>
          <w:sz w:val="28"/>
          <w:highlight w:val="none"/>
        </w:rPr>
        <w:t>3.2 详细评审</w:t>
      </w:r>
      <w:bookmarkEnd w:id="425"/>
      <w:bookmarkEnd w:id="426"/>
    </w:p>
    <w:p w14:paraId="73606514">
      <w:pPr>
        <w:spacing w:line="360" w:lineRule="exact"/>
        <w:ind w:firstLine="420" w:firstLineChars="200"/>
        <w:rPr>
          <w:rFonts w:ascii="宋体" w:hAnsi="宋体"/>
          <w:strike/>
          <w:highlight w:val="none"/>
        </w:rPr>
      </w:pPr>
      <w:r>
        <w:rPr>
          <w:rFonts w:hint="eastAsia" w:ascii="宋体" w:hAnsi="宋体"/>
          <w:strike/>
          <w:highlight w:val="none"/>
        </w:rPr>
        <w:t>3.2.1 评标委员会按本章第2.2款规定的量化因素和分值进行打分，并计算出综合评估得分。</w:t>
      </w:r>
    </w:p>
    <w:p w14:paraId="6C9AB70E">
      <w:pPr>
        <w:spacing w:line="360" w:lineRule="exact"/>
        <w:ind w:firstLine="420" w:firstLineChars="200"/>
        <w:rPr>
          <w:rFonts w:ascii="宋体" w:hAnsi="宋体"/>
          <w:strike/>
          <w:highlight w:val="none"/>
        </w:rPr>
      </w:pPr>
      <w:r>
        <w:rPr>
          <w:rFonts w:hint="eastAsia" w:ascii="宋体" w:hAnsi="宋体"/>
          <w:strike/>
          <w:highlight w:val="none"/>
        </w:rPr>
        <w:t>（1）按本章第 2.2.4（1）目规定的评审因素和分值对资信业绩部分计算出得分 A；</w:t>
      </w:r>
    </w:p>
    <w:p w14:paraId="47C8BAB0">
      <w:pPr>
        <w:spacing w:line="360" w:lineRule="exact"/>
        <w:ind w:firstLine="420" w:firstLineChars="200"/>
        <w:rPr>
          <w:rFonts w:ascii="宋体" w:hAnsi="宋体"/>
          <w:strike/>
          <w:highlight w:val="none"/>
        </w:rPr>
      </w:pPr>
      <w:r>
        <w:rPr>
          <w:rFonts w:hint="eastAsia" w:ascii="宋体" w:hAnsi="宋体"/>
          <w:strike/>
          <w:highlight w:val="none"/>
        </w:rPr>
        <w:t>（2）按本章第 2.2.4（2）目规定的评审因素和分值对监理大纲部分计算出得分 B；</w:t>
      </w:r>
    </w:p>
    <w:p w14:paraId="42F49AB6">
      <w:pPr>
        <w:spacing w:line="360" w:lineRule="exact"/>
        <w:ind w:firstLine="420" w:firstLineChars="200"/>
        <w:rPr>
          <w:rFonts w:ascii="宋体" w:hAnsi="宋体"/>
          <w:strike/>
          <w:highlight w:val="none"/>
        </w:rPr>
      </w:pPr>
      <w:r>
        <w:rPr>
          <w:rFonts w:hint="eastAsia" w:ascii="宋体" w:hAnsi="宋体"/>
          <w:strike/>
          <w:highlight w:val="none"/>
        </w:rPr>
        <w:t>（3）按本章第 2.2.4（3）目规定的评审因素和分值对投标报价计算出得分 C；</w:t>
      </w:r>
    </w:p>
    <w:p w14:paraId="47C4174E">
      <w:pPr>
        <w:spacing w:line="360" w:lineRule="exact"/>
        <w:ind w:firstLine="420" w:firstLineChars="200"/>
        <w:rPr>
          <w:rFonts w:ascii="宋体" w:hAnsi="宋体"/>
          <w:strike/>
          <w:highlight w:val="none"/>
        </w:rPr>
      </w:pPr>
      <w:r>
        <w:rPr>
          <w:rFonts w:hint="eastAsia" w:ascii="宋体" w:hAnsi="宋体"/>
          <w:strike/>
          <w:highlight w:val="none"/>
        </w:rPr>
        <w:t>（4）按本章第 2.2.4（4）目规定的评审因素和分值对其他部分计算出得分 D。</w:t>
      </w:r>
    </w:p>
    <w:p w14:paraId="15345B62">
      <w:pPr>
        <w:spacing w:line="360" w:lineRule="exact"/>
        <w:ind w:firstLine="420" w:firstLineChars="200"/>
        <w:rPr>
          <w:rFonts w:ascii="宋体" w:hAnsi="宋体"/>
          <w:strike/>
          <w:highlight w:val="none"/>
        </w:rPr>
      </w:pPr>
      <w:r>
        <w:rPr>
          <w:rFonts w:hint="eastAsia" w:ascii="宋体" w:hAnsi="宋体"/>
          <w:strike/>
          <w:highlight w:val="none"/>
        </w:rPr>
        <w:t>3.2.2 评分分值计算保留小数点后两位，小数点后第三位“四舍五入”。</w:t>
      </w:r>
    </w:p>
    <w:p w14:paraId="58015FFC">
      <w:pPr>
        <w:spacing w:line="360" w:lineRule="exact"/>
        <w:ind w:firstLine="420" w:firstLineChars="200"/>
        <w:rPr>
          <w:rFonts w:ascii="宋体" w:hAnsi="宋体"/>
          <w:strike/>
          <w:highlight w:val="none"/>
        </w:rPr>
      </w:pPr>
      <w:r>
        <w:rPr>
          <w:rFonts w:hint="eastAsia" w:ascii="宋体" w:hAnsi="宋体"/>
          <w:strike/>
          <w:highlight w:val="none"/>
        </w:rPr>
        <w:t>3.2.3 投标人得分=A+B+C+D</w:t>
      </w:r>
    </w:p>
    <w:p w14:paraId="1AF6749E">
      <w:pPr>
        <w:spacing w:line="360" w:lineRule="exact"/>
        <w:ind w:firstLine="420" w:firstLineChars="200"/>
        <w:rPr>
          <w:rFonts w:ascii="宋体" w:hAnsi="宋体"/>
          <w:highlight w:val="none"/>
        </w:rPr>
      </w:pPr>
      <w:r>
        <w:rPr>
          <w:rFonts w:hint="eastAsia" w:ascii="宋体" w:hAnsi="宋体"/>
          <w:strike/>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244A1B9">
      <w:pPr>
        <w:spacing w:before="168" w:beforeLines="70" w:after="168" w:afterLines="70" w:line="360" w:lineRule="exact"/>
        <w:rPr>
          <w:rFonts w:ascii="宋体" w:hAnsi="宋体"/>
          <w:b/>
          <w:sz w:val="28"/>
          <w:highlight w:val="none"/>
        </w:rPr>
      </w:pPr>
      <w:bookmarkStart w:id="427" w:name="_Toc515205263"/>
      <w:bookmarkStart w:id="428" w:name="_Toc529196590"/>
      <w:r>
        <w:rPr>
          <w:rFonts w:hint="eastAsia" w:ascii="宋体" w:hAnsi="宋体"/>
          <w:b/>
          <w:sz w:val="28"/>
          <w:highlight w:val="none"/>
        </w:rPr>
        <w:t>3.3 投标文件的澄清</w:t>
      </w:r>
      <w:bookmarkEnd w:id="427"/>
      <w:bookmarkEnd w:id="428"/>
    </w:p>
    <w:p w14:paraId="18793C56">
      <w:pPr>
        <w:spacing w:line="360" w:lineRule="exact"/>
        <w:ind w:firstLine="420" w:firstLineChars="200"/>
        <w:rPr>
          <w:rFonts w:ascii="宋体" w:hAnsi="宋体"/>
          <w:highlight w:val="none"/>
        </w:rPr>
      </w:pPr>
      <w:r>
        <w:rPr>
          <w:rFonts w:hint="eastAsia" w:ascii="宋体" w:hAnsi="宋体"/>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D932808">
      <w:pPr>
        <w:spacing w:line="360" w:lineRule="exact"/>
        <w:ind w:firstLine="420" w:firstLineChars="200"/>
        <w:rPr>
          <w:rFonts w:ascii="宋体" w:hAnsi="宋体"/>
          <w:highlight w:val="none"/>
        </w:rPr>
      </w:pPr>
      <w:r>
        <w:rPr>
          <w:rFonts w:hint="eastAsia" w:ascii="宋体" w:hAnsi="宋体"/>
          <w:highlight w:val="none"/>
        </w:rPr>
        <w:t>3.3.2 澄清、说明或补正不得超出投标文件的范围且不得改变投标文件的实质性内容，并构成投标文件的组成部分。</w:t>
      </w:r>
    </w:p>
    <w:p w14:paraId="48FDCD05">
      <w:pPr>
        <w:spacing w:line="360" w:lineRule="exact"/>
        <w:ind w:firstLine="420" w:firstLineChars="200"/>
        <w:rPr>
          <w:rFonts w:ascii="宋体" w:hAnsi="宋体"/>
          <w:highlight w:val="none"/>
        </w:rPr>
      </w:pPr>
      <w:r>
        <w:rPr>
          <w:rFonts w:hint="eastAsia" w:ascii="宋体" w:hAnsi="宋体"/>
          <w:highlight w:val="none"/>
        </w:rPr>
        <w:t>3.3.3 评标委员会对投标人提交的澄清、说明或补正有疑问的，可以要求投标人进一步澄清、说明或补正，直至满足评标委员会的要求。</w:t>
      </w:r>
    </w:p>
    <w:p w14:paraId="0FBA1991">
      <w:pPr>
        <w:spacing w:before="168" w:beforeLines="70" w:after="168" w:afterLines="70" w:line="360" w:lineRule="exact"/>
        <w:rPr>
          <w:rFonts w:ascii="宋体" w:hAnsi="宋体"/>
          <w:b/>
          <w:sz w:val="28"/>
          <w:highlight w:val="none"/>
        </w:rPr>
      </w:pPr>
      <w:bookmarkStart w:id="429" w:name="_Toc515205264"/>
      <w:bookmarkStart w:id="430" w:name="_Toc529196591"/>
      <w:r>
        <w:rPr>
          <w:rFonts w:hint="eastAsia" w:ascii="宋体" w:hAnsi="宋体"/>
          <w:b/>
          <w:sz w:val="28"/>
          <w:highlight w:val="none"/>
        </w:rPr>
        <w:t>3.4 评标结果</w:t>
      </w:r>
      <w:bookmarkEnd w:id="429"/>
      <w:bookmarkEnd w:id="430"/>
    </w:p>
    <w:p w14:paraId="2560A310">
      <w:pPr>
        <w:spacing w:line="360" w:lineRule="exact"/>
        <w:ind w:firstLine="420" w:firstLineChars="200"/>
        <w:rPr>
          <w:rFonts w:ascii="宋体" w:hAnsi="宋体"/>
          <w:b/>
          <w:strike/>
          <w:highlight w:val="none"/>
        </w:rPr>
      </w:pPr>
      <w:r>
        <w:rPr>
          <w:rFonts w:hint="eastAsia" w:ascii="宋体" w:hAnsi="宋体"/>
          <w:highlight w:val="none"/>
        </w:rPr>
        <w:t>3.4.1 评标委员会按照招标文件规定完成初步评审（形式评审、资格评审、响应性评审），向招标人推荐合格的中标候选人，进入定标阶段【合格的中标候选人按其统一社会信用代码后4位（除校验码外）从大到小进行排位，不排序（如统一社会信用代码后4位出现字母情况的，字母以“0”进行代替大小排位；如出现后4位（除校验码外）大小一致的，则随机排位）】。合格的中标候选人少于3家的，应当重新招标。</w:t>
      </w:r>
    </w:p>
    <w:p w14:paraId="1F64ACA0">
      <w:pPr>
        <w:spacing w:line="360" w:lineRule="exact"/>
        <w:ind w:firstLine="482"/>
        <w:rPr>
          <w:rFonts w:ascii="宋体" w:hAnsi="宋体"/>
          <w:b/>
          <w:sz w:val="30"/>
          <w:szCs w:val="30"/>
          <w:highlight w:val="none"/>
        </w:rPr>
      </w:pPr>
      <w:r>
        <w:rPr>
          <w:rFonts w:hint="eastAsia" w:ascii="宋体" w:hAnsi="宋体"/>
          <w:highlight w:val="none"/>
        </w:rPr>
        <w:t xml:space="preserve">3.4.2 </w:t>
      </w:r>
      <w:r>
        <w:rPr>
          <w:rFonts w:ascii="宋体" w:hAnsi="宋体"/>
          <w:szCs w:val="21"/>
          <w:highlight w:val="none"/>
          <w:u w:val="single"/>
        </w:rPr>
        <w:t>评标委员会完成评标后，应当向招标人提交书面评标报告和</w:t>
      </w:r>
      <w:r>
        <w:rPr>
          <w:rFonts w:hint="eastAsia" w:ascii="宋体" w:hAnsi="宋体"/>
          <w:szCs w:val="21"/>
          <w:highlight w:val="none"/>
          <w:u w:val="single"/>
        </w:rPr>
        <w:t>合格的</w:t>
      </w:r>
      <w:r>
        <w:rPr>
          <w:rFonts w:ascii="宋体" w:hAnsi="宋体"/>
          <w:szCs w:val="21"/>
          <w:highlight w:val="none"/>
          <w:u w:val="single"/>
        </w:rPr>
        <w:t>中标候选人名单</w:t>
      </w:r>
      <w:r>
        <w:rPr>
          <w:rFonts w:hint="eastAsia" w:ascii="宋体" w:hAnsi="宋体"/>
          <w:highlight w:val="none"/>
        </w:rPr>
        <w:t>。</w:t>
      </w:r>
    </w:p>
    <w:p w14:paraId="4EB19008">
      <w:pPr>
        <w:spacing w:before="120" w:beforeLines="50" w:line="360" w:lineRule="exact"/>
        <w:outlineLvl w:val="2"/>
        <w:rPr>
          <w:rFonts w:ascii="宋体" w:hAnsi="宋体"/>
          <w:b/>
          <w:sz w:val="32"/>
          <w:highlight w:val="none"/>
          <w:u w:val="single"/>
        </w:rPr>
      </w:pPr>
    </w:p>
    <w:p w14:paraId="073F6471">
      <w:pPr>
        <w:spacing w:before="120" w:beforeLines="50" w:line="360" w:lineRule="exact"/>
        <w:outlineLvl w:val="2"/>
        <w:rPr>
          <w:rFonts w:ascii="宋体" w:hAnsi="宋体"/>
          <w:b/>
          <w:sz w:val="32"/>
          <w:highlight w:val="none"/>
        </w:rPr>
      </w:pPr>
      <w:bookmarkStart w:id="431" w:name="_Toc23612"/>
      <w:bookmarkStart w:id="432" w:name="_Toc30576"/>
      <w:r>
        <w:rPr>
          <w:rFonts w:hint="eastAsia" w:ascii="宋体" w:hAnsi="宋体"/>
          <w:b/>
          <w:sz w:val="32"/>
          <w:highlight w:val="none"/>
          <w:u w:val="single"/>
        </w:rPr>
        <w:t>4.定标</w:t>
      </w:r>
      <w:r>
        <w:rPr>
          <w:rFonts w:ascii="宋体" w:hAnsi="宋体"/>
          <w:b/>
          <w:sz w:val="32"/>
          <w:highlight w:val="none"/>
          <w:u w:val="single"/>
        </w:rPr>
        <w:t>原则</w:t>
      </w:r>
      <w:bookmarkEnd w:id="431"/>
      <w:bookmarkEnd w:id="432"/>
    </w:p>
    <w:p w14:paraId="64D31E3E">
      <w:pPr>
        <w:spacing w:line="360" w:lineRule="exact"/>
        <w:ind w:firstLine="420" w:firstLineChars="200"/>
        <w:rPr>
          <w:rFonts w:hint="eastAsia" w:asciiTheme="minorEastAsia" w:hAnsiTheme="minorEastAsia" w:eastAsiaTheme="minorEastAsia" w:cstheme="minorEastAsia"/>
          <w:szCs w:val="22"/>
          <w:u w:val="none"/>
        </w:rPr>
      </w:pPr>
      <w:r>
        <w:rPr>
          <w:rFonts w:hint="eastAsia" w:ascii="宋体" w:hAnsi="宋体"/>
          <w:szCs w:val="21"/>
          <w:highlight w:val="none"/>
          <w:u w:val="single"/>
        </w:rPr>
        <w:t>4.1</w:t>
      </w:r>
      <w:r>
        <w:rPr>
          <w:rFonts w:hint="eastAsia" w:asciiTheme="minorEastAsia" w:hAnsiTheme="minorEastAsia" w:eastAsiaTheme="minorEastAsia" w:cstheme="minorEastAsia"/>
          <w:szCs w:val="22"/>
          <w:u w:val="none"/>
        </w:rPr>
        <w:t>本次定标采用“价格因素”</w:t>
      </w:r>
      <w:r>
        <w:rPr>
          <w:rFonts w:hint="eastAsia" w:asciiTheme="minorEastAsia" w:hAnsiTheme="minorEastAsia" w:eastAsiaTheme="minorEastAsia" w:cstheme="minorEastAsia"/>
          <w:szCs w:val="22"/>
          <w:u w:val="none"/>
          <w:lang w:val="en-US" w:eastAsia="zh-CN"/>
        </w:rPr>
        <w:t>+</w:t>
      </w:r>
      <w:r>
        <w:rPr>
          <w:rFonts w:hint="eastAsia" w:asciiTheme="minorEastAsia" w:hAnsiTheme="minorEastAsia" w:eastAsiaTheme="minorEastAsia" w:cstheme="minorEastAsia"/>
          <w:szCs w:val="22"/>
          <w:u w:val="none"/>
        </w:rPr>
        <w:t>“</w:t>
      </w:r>
      <w:r>
        <w:rPr>
          <w:rFonts w:hint="eastAsia" w:asciiTheme="minorEastAsia" w:hAnsiTheme="minorEastAsia" w:eastAsiaTheme="minorEastAsia" w:cstheme="minorEastAsia"/>
          <w:szCs w:val="22"/>
          <w:u w:val="none"/>
          <w:lang w:val="en-US" w:eastAsia="zh-CN"/>
        </w:rPr>
        <w:t>方案</w:t>
      </w:r>
      <w:r>
        <w:rPr>
          <w:rFonts w:hint="eastAsia" w:asciiTheme="minorEastAsia" w:hAnsiTheme="minorEastAsia" w:eastAsiaTheme="minorEastAsia" w:cstheme="minorEastAsia"/>
          <w:szCs w:val="22"/>
          <w:u w:val="none"/>
        </w:rPr>
        <w:t>因素”＋“</w:t>
      </w:r>
      <w:r>
        <w:rPr>
          <w:rFonts w:hint="eastAsia" w:asciiTheme="minorEastAsia" w:hAnsiTheme="minorEastAsia" w:eastAsiaTheme="minorEastAsia" w:cstheme="minorEastAsia"/>
          <w:szCs w:val="22"/>
          <w:u w:val="none"/>
          <w:lang w:val="en-US" w:eastAsia="zh-CN"/>
        </w:rPr>
        <w:t>答辩</w:t>
      </w:r>
      <w:r>
        <w:rPr>
          <w:rFonts w:hint="eastAsia" w:asciiTheme="minorEastAsia" w:hAnsiTheme="minorEastAsia" w:eastAsiaTheme="minorEastAsia" w:cstheme="minorEastAsia"/>
          <w:szCs w:val="22"/>
          <w:u w:val="none"/>
        </w:rPr>
        <w:t>因素”，其中总得分（100分）=价格因素得分（</w:t>
      </w:r>
      <w:r>
        <w:rPr>
          <w:rFonts w:hint="eastAsia" w:asciiTheme="minorEastAsia" w:hAnsiTheme="minorEastAsia" w:eastAsiaTheme="minorEastAsia" w:cstheme="minorEastAsia"/>
          <w:szCs w:val="22"/>
          <w:u w:val="none"/>
          <w:lang w:val="en-US" w:eastAsia="zh-CN"/>
        </w:rPr>
        <w:t>50</w:t>
      </w:r>
      <w:r>
        <w:rPr>
          <w:rFonts w:hint="eastAsia" w:asciiTheme="minorEastAsia" w:hAnsiTheme="minorEastAsia" w:eastAsiaTheme="minorEastAsia" w:cstheme="minorEastAsia"/>
          <w:szCs w:val="22"/>
          <w:u w:val="none"/>
        </w:rPr>
        <w:t>分）+</w:t>
      </w:r>
      <w:r>
        <w:rPr>
          <w:rFonts w:hint="eastAsia" w:asciiTheme="minorEastAsia" w:hAnsiTheme="minorEastAsia" w:eastAsiaTheme="minorEastAsia" w:cstheme="minorEastAsia"/>
          <w:szCs w:val="22"/>
          <w:u w:val="none"/>
          <w:lang w:val="en-US" w:eastAsia="zh-CN"/>
        </w:rPr>
        <w:t>方案</w:t>
      </w:r>
      <w:r>
        <w:rPr>
          <w:rFonts w:hint="eastAsia" w:asciiTheme="minorEastAsia" w:hAnsiTheme="minorEastAsia" w:eastAsiaTheme="minorEastAsia" w:cstheme="minorEastAsia"/>
          <w:szCs w:val="22"/>
          <w:u w:val="none"/>
        </w:rPr>
        <w:t>因素得分（</w:t>
      </w:r>
      <w:r>
        <w:rPr>
          <w:rFonts w:hint="eastAsia" w:asciiTheme="minorEastAsia" w:hAnsiTheme="minorEastAsia" w:eastAsiaTheme="minorEastAsia" w:cstheme="minorEastAsia"/>
          <w:szCs w:val="22"/>
          <w:u w:val="none"/>
          <w:lang w:val="en-US" w:eastAsia="zh-CN"/>
        </w:rPr>
        <w:t>30</w:t>
      </w:r>
      <w:r>
        <w:rPr>
          <w:rFonts w:hint="eastAsia" w:asciiTheme="minorEastAsia" w:hAnsiTheme="minorEastAsia" w:eastAsiaTheme="minorEastAsia" w:cstheme="minorEastAsia"/>
          <w:szCs w:val="22"/>
          <w:u w:val="none"/>
        </w:rPr>
        <w:t>分）</w:t>
      </w:r>
      <w:r>
        <w:rPr>
          <w:rFonts w:hint="eastAsia" w:asciiTheme="minorEastAsia" w:hAnsiTheme="minorEastAsia" w:eastAsiaTheme="minorEastAsia" w:cstheme="minorEastAsia"/>
          <w:szCs w:val="22"/>
          <w:u w:val="none"/>
          <w:lang w:val="en-US" w:eastAsia="zh-CN"/>
        </w:rPr>
        <w:t>+答辩</w:t>
      </w:r>
      <w:r>
        <w:rPr>
          <w:rFonts w:hint="eastAsia" w:asciiTheme="minorEastAsia" w:hAnsiTheme="minorEastAsia" w:eastAsiaTheme="minorEastAsia" w:cstheme="minorEastAsia"/>
          <w:szCs w:val="22"/>
          <w:u w:val="none"/>
        </w:rPr>
        <w:t>因素</w:t>
      </w:r>
      <w:r>
        <w:rPr>
          <w:rFonts w:hint="eastAsia" w:asciiTheme="minorEastAsia" w:hAnsiTheme="minorEastAsia" w:eastAsiaTheme="minorEastAsia" w:cstheme="minorEastAsia"/>
          <w:szCs w:val="22"/>
          <w:u w:val="none"/>
          <w:lang w:eastAsia="zh-CN"/>
        </w:rPr>
        <w:t>得分</w:t>
      </w:r>
      <w:r>
        <w:rPr>
          <w:rFonts w:hint="eastAsia" w:asciiTheme="minorEastAsia" w:hAnsiTheme="minorEastAsia" w:eastAsiaTheme="minorEastAsia" w:cstheme="minorEastAsia"/>
          <w:szCs w:val="22"/>
          <w:u w:val="single"/>
          <w:lang w:val="en-US" w:eastAsia="zh-CN"/>
        </w:rPr>
        <w:t>30</w:t>
      </w:r>
      <w:r>
        <w:rPr>
          <w:rFonts w:hint="eastAsia" w:asciiTheme="minorEastAsia" w:hAnsiTheme="minorEastAsia" w:eastAsiaTheme="minorEastAsia" w:cstheme="minorEastAsia"/>
          <w:szCs w:val="22"/>
          <w:u w:val="none"/>
          <w:lang w:val="en-US" w:eastAsia="zh-CN"/>
        </w:rPr>
        <w:t>分。据定标因素（详见《定标因素表》）对各合格中标候选人进行综合评审，</w:t>
      </w:r>
      <w:r>
        <w:rPr>
          <w:rFonts w:hint="eastAsia" w:asciiTheme="minorEastAsia" w:hAnsiTheme="minorEastAsia" w:eastAsiaTheme="minorEastAsia" w:cstheme="minorEastAsia"/>
          <w:color w:val="auto"/>
          <w:kern w:val="44"/>
          <w:szCs w:val="21"/>
          <w:highlight w:val="none"/>
        </w:rPr>
        <w:t>总分由高至低排序，</w:t>
      </w:r>
      <w:r>
        <w:rPr>
          <w:rFonts w:hint="eastAsia" w:asciiTheme="minorEastAsia" w:hAnsiTheme="minorEastAsia" w:eastAsiaTheme="minorEastAsia" w:cstheme="minorEastAsia"/>
          <w:szCs w:val="22"/>
          <w:u w:val="none"/>
          <w:lang w:val="en-US" w:eastAsia="zh-CN"/>
        </w:rPr>
        <w:t>综合得分最高的确定为中标人。</w:t>
      </w:r>
    </w:p>
    <w:p w14:paraId="40685A88">
      <w:pPr>
        <w:spacing w:line="360" w:lineRule="exact"/>
        <w:ind w:firstLine="420" w:firstLineChars="200"/>
        <w:rPr>
          <w:rFonts w:ascii="宋体" w:hAnsi="宋体"/>
          <w:szCs w:val="21"/>
          <w:highlight w:val="none"/>
          <w:u w:val="single"/>
        </w:rPr>
      </w:pPr>
      <w:r>
        <w:rPr>
          <w:rFonts w:hint="eastAsia" w:ascii="宋体" w:hAnsi="宋体"/>
          <w:szCs w:val="21"/>
          <w:highlight w:val="none"/>
          <w:u w:val="single"/>
        </w:rPr>
        <w:t>4.2定标细则</w:t>
      </w:r>
    </w:p>
    <w:p w14:paraId="773B658E">
      <w:pPr>
        <w:spacing w:line="360" w:lineRule="exact"/>
        <w:ind w:firstLine="420" w:firstLineChars="200"/>
        <w:rPr>
          <w:rFonts w:ascii="宋体" w:hAnsi="宋体" w:cs="宋体"/>
          <w:highlight w:val="none"/>
          <w:u w:val="single"/>
        </w:rPr>
      </w:pPr>
      <w:r>
        <w:rPr>
          <w:rFonts w:hint="eastAsia" w:ascii="宋体" w:hAnsi="宋体"/>
          <w:szCs w:val="21"/>
          <w:highlight w:val="none"/>
          <w:u w:val="single"/>
        </w:rPr>
        <w:t>（1）</w:t>
      </w:r>
      <w:r>
        <w:rPr>
          <w:rFonts w:hint="eastAsia" w:ascii="宋体" w:hAnsi="宋体" w:cs="宋体"/>
          <w:szCs w:val="21"/>
          <w:highlight w:val="none"/>
          <w:u w:val="single"/>
        </w:rPr>
        <w:t>定标委员会根据评标委员会递交的评标报告和定标因素（详见《定标因素表》），</w:t>
      </w:r>
      <w:r>
        <w:rPr>
          <w:rFonts w:hint="eastAsia" w:ascii="宋体" w:hAnsi="宋体" w:cs="宋体"/>
          <w:szCs w:val="21"/>
          <w:highlight w:val="none"/>
          <w:u w:val="single"/>
          <w:lang w:val="en-US" w:eastAsia="zh-CN"/>
        </w:rPr>
        <w:t>对各合格中标候选人进行综合评审</w:t>
      </w:r>
      <w:r>
        <w:rPr>
          <w:rFonts w:hint="eastAsia" w:ascii="宋体" w:hAnsi="宋体" w:cs="宋体"/>
          <w:highlight w:val="none"/>
          <w:u w:val="single"/>
        </w:rPr>
        <w:t>，汇总确认</w:t>
      </w:r>
      <w:r>
        <w:rPr>
          <w:rFonts w:hint="eastAsia" w:ascii="宋体" w:hAnsi="宋体" w:cs="宋体"/>
          <w:highlight w:val="none"/>
          <w:u w:val="single"/>
          <w:lang w:eastAsia="zh-CN"/>
        </w:rPr>
        <w:t>评审</w:t>
      </w:r>
      <w:r>
        <w:rPr>
          <w:rFonts w:hint="eastAsia" w:ascii="宋体" w:hAnsi="宋体" w:cs="宋体"/>
          <w:highlight w:val="none"/>
          <w:u w:val="single"/>
        </w:rPr>
        <w:t>情况，编写并提交定标报告。</w:t>
      </w:r>
      <w:r>
        <w:rPr>
          <w:rFonts w:hint="eastAsia" w:ascii="宋体" w:hAnsi="宋体"/>
          <w:szCs w:val="21"/>
          <w:highlight w:val="none"/>
          <w:u w:val="single"/>
        </w:rPr>
        <w:t>定标报告由定标委员会全体成员签字，对定标</w:t>
      </w:r>
      <w:r>
        <w:rPr>
          <w:rFonts w:hint="eastAsia" w:ascii="宋体" w:hAnsi="宋体"/>
          <w:szCs w:val="21"/>
          <w:highlight w:val="none"/>
          <w:u w:val="single"/>
          <w:lang w:eastAsia="zh-CN"/>
        </w:rPr>
        <w:t>结果</w:t>
      </w:r>
      <w:r>
        <w:rPr>
          <w:rFonts w:hint="eastAsia" w:ascii="宋体" w:hAnsi="宋体"/>
          <w:szCs w:val="21"/>
          <w:highlight w:val="none"/>
          <w:u w:val="single"/>
        </w:rPr>
        <w:t>持有异议的成员应以书面方式阐述其不同意见和理由。</w:t>
      </w:r>
    </w:p>
    <w:p w14:paraId="4CC115E7">
      <w:pPr>
        <w:spacing w:line="360" w:lineRule="exact"/>
        <w:ind w:firstLine="420" w:firstLineChars="200"/>
        <w:rPr>
          <w:rFonts w:ascii="宋体" w:hAnsi="宋体" w:cs="宋体"/>
          <w:szCs w:val="21"/>
          <w:highlight w:val="none"/>
          <w:u w:val="single"/>
        </w:rPr>
      </w:pPr>
      <w:r>
        <w:rPr>
          <w:rFonts w:hint="eastAsia" w:ascii="宋体" w:hAnsi="宋体" w:cs="宋体"/>
          <w:szCs w:val="21"/>
          <w:highlight w:val="none"/>
          <w:u w:val="single"/>
        </w:rPr>
        <w:t>投票规则：由定标委员会</w:t>
      </w:r>
      <w:r>
        <w:rPr>
          <w:rFonts w:hint="eastAsia" w:ascii="宋体" w:hAnsi="宋体" w:cs="宋体"/>
          <w:highlight w:val="none"/>
          <w:u w:val="single"/>
        </w:rPr>
        <w:t>进行</w:t>
      </w:r>
      <w:r>
        <w:rPr>
          <w:rFonts w:hint="eastAsia" w:ascii="宋体" w:hAnsi="宋体" w:cs="宋体"/>
          <w:highlight w:val="none"/>
          <w:u w:val="single"/>
          <w:lang w:eastAsia="zh-CN"/>
        </w:rPr>
        <w:t>综合</w:t>
      </w:r>
      <w:r>
        <w:rPr>
          <w:rFonts w:hint="eastAsia" w:ascii="宋体" w:hAnsi="宋体" w:cs="宋体"/>
          <w:highlight w:val="none"/>
          <w:u w:val="single"/>
        </w:rPr>
        <w:t>评审</w:t>
      </w:r>
      <w:r>
        <w:rPr>
          <w:rFonts w:hint="eastAsia" w:ascii="宋体" w:hAnsi="宋体" w:cs="宋体"/>
          <w:highlight w:val="none"/>
          <w:u w:val="single"/>
          <w:lang w:eastAsia="zh-CN"/>
        </w:rPr>
        <w:t>，</w:t>
      </w:r>
      <w:r>
        <w:rPr>
          <w:rFonts w:hint="eastAsia" w:ascii="宋体" w:hAnsi="宋体" w:cs="宋体"/>
          <w:szCs w:val="21"/>
          <w:highlight w:val="none"/>
          <w:u w:val="single"/>
        </w:rPr>
        <w:t>经</w:t>
      </w:r>
      <w:r>
        <w:rPr>
          <w:rFonts w:hint="eastAsia" w:ascii="宋体" w:hAnsi="宋体" w:cs="宋体"/>
          <w:szCs w:val="21"/>
          <w:highlight w:val="none"/>
          <w:u w:val="single"/>
          <w:lang w:eastAsia="zh-CN"/>
        </w:rPr>
        <w:t>评审</w:t>
      </w:r>
      <w:r>
        <w:rPr>
          <w:rFonts w:hint="eastAsia" w:ascii="宋体" w:hAnsi="宋体" w:cs="宋体"/>
          <w:szCs w:val="21"/>
          <w:highlight w:val="none"/>
          <w:u w:val="single"/>
        </w:rPr>
        <w:t>，</w:t>
      </w:r>
      <w:r>
        <w:rPr>
          <w:rFonts w:hint="eastAsia" w:ascii="宋体" w:hAnsi="宋体" w:cs="宋体"/>
          <w:highlight w:val="none"/>
          <w:u w:val="single"/>
        </w:rPr>
        <w:t>定标委员会向招标人推荐</w:t>
      </w:r>
      <w:r>
        <w:rPr>
          <w:rFonts w:hint="eastAsia" w:ascii="宋体" w:hAnsi="宋体" w:cs="宋体"/>
          <w:szCs w:val="21"/>
          <w:highlight w:val="none"/>
          <w:u w:val="single"/>
          <w:lang w:eastAsia="zh-CN"/>
        </w:rPr>
        <w:t>得分高</w:t>
      </w:r>
      <w:r>
        <w:rPr>
          <w:rFonts w:hint="eastAsia" w:ascii="宋体" w:hAnsi="宋体" w:cs="宋体"/>
          <w:szCs w:val="21"/>
          <w:highlight w:val="none"/>
          <w:u w:val="single"/>
        </w:rPr>
        <w:t>的合格中标候选人为中标人，</w:t>
      </w:r>
      <w:r>
        <w:rPr>
          <w:rFonts w:hint="eastAsia" w:ascii="宋体" w:hAnsi="宋体" w:eastAsia="宋体" w:cs="宋体"/>
          <w:kern w:val="0"/>
          <w:szCs w:val="21"/>
          <w:highlight w:val="none"/>
        </w:rPr>
        <w:t>若合格中标候选人总得分相同且影响定标排序的，以价格因素得分高的排前；若价格因素得分仍相同的，以</w:t>
      </w:r>
      <w:r>
        <w:rPr>
          <w:rFonts w:hint="eastAsia" w:ascii="宋体" w:hAnsi="宋体" w:eastAsia="宋体" w:cs="宋体"/>
          <w:kern w:val="0"/>
          <w:szCs w:val="21"/>
          <w:highlight w:val="none"/>
          <w:lang w:eastAsia="zh-CN"/>
        </w:rPr>
        <w:t>方案</w:t>
      </w:r>
      <w:r>
        <w:rPr>
          <w:rFonts w:hint="eastAsia" w:ascii="宋体" w:hAnsi="宋体" w:eastAsia="宋体" w:cs="宋体"/>
          <w:kern w:val="0"/>
          <w:szCs w:val="21"/>
          <w:highlight w:val="none"/>
        </w:rPr>
        <w:t>因素得分高的排前，若</w:t>
      </w:r>
      <w:r>
        <w:rPr>
          <w:rFonts w:hint="eastAsia" w:ascii="宋体" w:hAnsi="宋体" w:eastAsia="宋体" w:cs="宋体"/>
          <w:kern w:val="0"/>
          <w:szCs w:val="21"/>
          <w:highlight w:val="none"/>
          <w:lang w:eastAsia="zh-CN"/>
        </w:rPr>
        <w:t>方案</w:t>
      </w:r>
      <w:r>
        <w:rPr>
          <w:rFonts w:hint="eastAsia" w:ascii="宋体" w:hAnsi="宋体" w:eastAsia="宋体" w:cs="宋体"/>
          <w:kern w:val="0"/>
          <w:szCs w:val="21"/>
          <w:highlight w:val="none"/>
        </w:rPr>
        <w:t>因素得分仍相同的，以</w:t>
      </w:r>
      <w:r>
        <w:rPr>
          <w:rFonts w:hint="eastAsia" w:ascii="宋体" w:hAnsi="宋体" w:eastAsia="宋体" w:cs="宋体"/>
          <w:kern w:val="0"/>
          <w:szCs w:val="21"/>
          <w:highlight w:val="none"/>
          <w:lang w:eastAsia="zh-CN"/>
        </w:rPr>
        <w:t>答辩</w:t>
      </w:r>
      <w:r>
        <w:rPr>
          <w:rFonts w:hint="eastAsia" w:ascii="宋体" w:hAnsi="宋体" w:eastAsia="宋体" w:cs="宋体"/>
          <w:kern w:val="0"/>
          <w:szCs w:val="21"/>
          <w:highlight w:val="none"/>
        </w:rPr>
        <w:t>因素得分高的排前；若</w:t>
      </w:r>
      <w:r>
        <w:rPr>
          <w:rFonts w:hint="eastAsia" w:ascii="宋体" w:hAnsi="宋体" w:eastAsia="宋体" w:cs="宋体"/>
          <w:kern w:val="0"/>
          <w:szCs w:val="21"/>
          <w:highlight w:val="none"/>
          <w:lang w:eastAsia="zh-CN"/>
        </w:rPr>
        <w:t>答辩</w:t>
      </w:r>
      <w:r>
        <w:rPr>
          <w:rFonts w:hint="eastAsia" w:ascii="宋体" w:hAnsi="宋体" w:eastAsia="宋体" w:cs="宋体"/>
          <w:kern w:val="0"/>
          <w:szCs w:val="21"/>
          <w:highlight w:val="none"/>
        </w:rPr>
        <w:t>因素得分仍相同的，由定标委员会采用记名投票方式确定排序</w:t>
      </w:r>
      <w:r>
        <w:rPr>
          <w:rFonts w:hint="eastAsia" w:ascii="宋体" w:hAnsi="宋体" w:eastAsia="宋体" w:cs="宋体"/>
          <w:kern w:val="0"/>
          <w:szCs w:val="21"/>
          <w:highlight w:val="none"/>
          <w:lang w:eastAsia="zh-CN"/>
        </w:rPr>
        <w:t>。</w:t>
      </w:r>
    </w:p>
    <w:p w14:paraId="4241C503">
      <w:pPr>
        <w:spacing w:line="360" w:lineRule="exact"/>
        <w:ind w:firstLine="420" w:firstLineChars="200"/>
        <w:rPr>
          <w:rFonts w:ascii="宋体" w:hAnsi="宋体" w:cs="宋体"/>
          <w:szCs w:val="21"/>
          <w:highlight w:val="none"/>
          <w:u w:val="single"/>
        </w:rPr>
      </w:pPr>
      <w:r>
        <w:rPr>
          <w:rFonts w:hint="eastAsia" w:ascii="宋体" w:hAnsi="宋体"/>
          <w:szCs w:val="21"/>
          <w:highlight w:val="none"/>
          <w:u w:val="single"/>
        </w:rPr>
        <w:t>定标委员会向招标人提交书面定标报告后即解散，定标过程中使用的文件、表格以及其他资料不得私自带离。</w:t>
      </w:r>
    </w:p>
    <w:p w14:paraId="0B05CA46">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定标因素表（定标阶段用表）</w:t>
      </w:r>
    </w:p>
    <w:p w14:paraId="0ACAB157">
      <w:pPr>
        <w:pStyle w:val="45"/>
        <w:ind w:left="0" w:leftChars="0" w:firstLine="0" w:firstLineChars="0"/>
        <w:rPr>
          <w:rFonts w:hint="eastAsia" w:eastAsia="宋体"/>
          <w:highlight w:val="none"/>
          <w:lang w:eastAsia="zh-CN"/>
        </w:rPr>
      </w:pPr>
      <w:r>
        <w:rPr>
          <w:rFonts w:hint="eastAsia" w:ascii="宋体" w:hAnsi="宋体" w:eastAsia="宋体" w:cs="宋体"/>
          <w:b w:val="0"/>
          <w:bCs/>
          <w:sz w:val="24"/>
          <w:szCs w:val="24"/>
          <w:highlight w:val="none"/>
          <w:lang w:eastAsia="zh-CN"/>
        </w:rPr>
        <w:t>项目名称：</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11"/>
        <w:gridCol w:w="6932"/>
      </w:tblGrid>
      <w:tr w14:paraId="17D5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center"/>
          </w:tcPr>
          <w:p w14:paraId="13DA8122">
            <w:pPr>
              <w:spacing w:line="360" w:lineRule="auto"/>
              <w:jc w:val="center"/>
              <w:rPr>
                <w:rFonts w:hint="eastAsia" w:asciiTheme="minorEastAsia" w:hAnsiTheme="minorEastAsia" w:eastAsiaTheme="minorEastAsia" w:cstheme="minorEastAsia"/>
                <w:color w:val="auto"/>
                <w:sz w:val="32"/>
                <w:szCs w:val="32"/>
                <w:highlight w:val="none"/>
                <w:vertAlign w:val="baseline"/>
              </w:rPr>
            </w:pPr>
            <w:r>
              <w:rPr>
                <w:rFonts w:hint="eastAsia" w:asciiTheme="minorEastAsia" w:hAnsiTheme="minorEastAsia" w:eastAsiaTheme="minorEastAsia" w:cstheme="minorEastAsia"/>
                <w:szCs w:val="21"/>
                <w:highlight w:val="none"/>
              </w:rPr>
              <w:t>序号</w:t>
            </w:r>
          </w:p>
        </w:tc>
        <w:tc>
          <w:tcPr>
            <w:tcW w:w="1330" w:type="dxa"/>
            <w:noWrap w:val="0"/>
            <w:vAlign w:val="center"/>
          </w:tcPr>
          <w:p w14:paraId="66147CE7">
            <w:pPr>
              <w:spacing w:line="360" w:lineRule="auto"/>
              <w:jc w:val="center"/>
              <w:rPr>
                <w:rFonts w:hint="eastAsia" w:asciiTheme="minorEastAsia" w:hAnsiTheme="minorEastAsia" w:eastAsiaTheme="minorEastAsia" w:cstheme="minorEastAsia"/>
                <w:color w:val="auto"/>
                <w:sz w:val="32"/>
                <w:szCs w:val="32"/>
                <w:highlight w:val="none"/>
                <w:vertAlign w:val="baseline"/>
              </w:rPr>
            </w:pPr>
            <w:r>
              <w:rPr>
                <w:rFonts w:hint="eastAsia" w:asciiTheme="minorEastAsia" w:hAnsiTheme="minorEastAsia" w:eastAsiaTheme="minorEastAsia" w:cstheme="minorEastAsia"/>
                <w:szCs w:val="21"/>
                <w:highlight w:val="none"/>
              </w:rPr>
              <w:t>评价项目</w:t>
            </w:r>
          </w:p>
        </w:tc>
        <w:tc>
          <w:tcPr>
            <w:tcW w:w="7089" w:type="dxa"/>
            <w:noWrap w:val="0"/>
            <w:vAlign w:val="center"/>
          </w:tcPr>
          <w:p w14:paraId="74D6F72E">
            <w:pPr>
              <w:spacing w:line="360" w:lineRule="auto"/>
              <w:jc w:val="center"/>
              <w:rPr>
                <w:rFonts w:hint="eastAsia" w:asciiTheme="minorEastAsia" w:hAnsiTheme="minorEastAsia" w:eastAsiaTheme="minorEastAsia" w:cstheme="minorEastAsia"/>
                <w:color w:val="auto"/>
                <w:sz w:val="32"/>
                <w:szCs w:val="32"/>
                <w:highlight w:val="none"/>
                <w:vertAlign w:val="baseline"/>
              </w:rPr>
            </w:pPr>
            <w:r>
              <w:rPr>
                <w:rFonts w:hint="eastAsia" w:asciiTheme="minorEastAsia" w:hAnsiTheme="minorEastAsia" w:eastAsiaTheme="minorEastAsia" w:cstheme="minorEastAsia"/>
                <w:szCs w:val="21"/>
                <w:highlight w:val="none"/>
              </w:rPr>
              <w:t>定标评价的内容</w:t>
            </w:r>
          </w:p>
        </w:tc>
      </w:tr>
      <w:tr w14:paraId="67CB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center"/>
          </w:tcPr>
          <w:p w14:paraId="40507DF2">
            <w:pPr>
              <w:spacing w:line="360" w:lineRule="auto"/>
              <w:jc w:val="center"/>
              <w:rPr>
                <w:rFonts w:hint="eastAsia" w:asciiTheme="minorEastAsia" w:hAnsiTheme="minorEastAsia" w:eastAsiaTheme="minorEastAsia" w:cstheme="minorEastAsia"/>
                <w:color w:val="auto"/>
                <w:sz w:val="32"/>
                <w:szCs w:val="32"/>
                <w:highlight w:val="none"/>
                <w:vertAlign w:val="baseline"/>
              </w:rPr>
            </w:pPr>
            <w:r>
              <w:rPr>
                <w:rFonts w:hint="eastAsia" w:asciiTheme="minorEastAsia" w:hAnsiTheme="minorEastAsia" w:eastAsiaTheme="minorEastAsia" w:cstheme="minorEastAsia"/>
                <w:szCs w:val="21"/>
                <w:highlight w:val="none"/>
              </w:rPr>
              <w:t>1</w:t>
            </w:r>
          </w:p>
        </w:tc>
        <w:tc>
          <w:tcPr>
            <w:tcW w:w="1330" w:type="dxa"/>
            <w:noWrap w:val="0"/>
            <w:vAlign w:val="center"/>
          </w:tcPr>
          <w:p w14:paraId="66572122">
            <w:pPr>
              <w:spacing w:line="360" w:lineRule="auto"/>
              <w:jc w:val="center"/>
              <w:rPr>
                <w:rFonts w:hint="eastAsia" w:asciiTheme="minorEastAsia" w:hAnsiTheme="minorEastAsia" w:eastAsiaTheme="minorEastAsia" w:cstheme="minorEastAsia"/>
                <w:color w:val="auto"/>
                <w:sz w:val="32"/>
                <w:szCs w:val="32"/>
                <w:highlight w:val="none"/>
                <w:vertAlign w:val="baseline"/>
                <w:lang w:eastAsia="zh-CN"/>
              </w:rPr>
            </w:pPr>
            <w:r>
              <w:rPr>
                <w:rFonts w:hint="eastAsia" w:asciiTheme="minorEastAsia" w:hAnsiTheme="minorEastAsia" w:eastAsiaTheme="minorEastAsia" w:cstheme="minorEastAsia"/>
                <w:szCs w:val="21"/>
                <w:highlight w:val="none"/>
              </w:rPr>
              <w:t>价格因素</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40分</w:t>
            </w:r>
            <w:r>
              <w:rPr>
                <w:rFonts w:hint="eastAsia" w:asciiTheme="minorEastAsia" w:hAnsiTheme="minorEastAsia" w:eastAsiaTheme="minorEastAsia" w:cstheme="minorEastAsia"/>
                <w:szCs w:val="21"/>
                <w:highlight w:val="none"/>
                <w:lang w:eastAsia="zh-CN"/>
              </w:rPr>
              <w:t>）</w:t>
            </w:r>
          </w:p>
        </w:tc>
        <w:tc>
          <w:tcPr>
            <w:tcW w:w="7089" w:type="dxa"/>
            <w:noWrap w:val="0"/>
            <w:vAlign w:val="center"/>
          </w:tcPr>
          <w:p w14:paraId="3115C81F">
            <w:pPr>
              <w:tabs>
                <w:tab w:val="left" w:pos="1800"/>
                <w:tab w:val="left" w:pos="3780"/>
              </w:tabs>
              <w:rPr>
                <w:rFonts w:hint="eastAsia" w:ascii="宋体" w:hAnsi="宋体" w:eastAsia="宋体" w:cs="宋体"/>
                <w:color w:val="000000"/>
                <w:szCs w:val="21"/>
              </w:rPr>
            </w:pPr>
            <w:r>
              <w:rPr>
                <w:rFonts w:hint="eastAsia" w:ascii="宋体" w:hAnsi="宋体" w:eastAsia="宋体" w:cs="宋体"/>
                <w:color w:val="000000"/>
                <w:szCs w:val="21"/>
              </w:rPr>
              <w:t>价格分按以下方案计算：</w:t>
            </w:r>
          </w:p>
          <w:p w14:paraId="39E2D164">
            <w:pPr>
              <w:tabs>
                <w:tab w:val="left" w:pos="1800"/>
                <w:tab w:val="left" w:pos="3780"/>
              </w:tabs>
              <w:rPr>
                <w:rFonts w:hint="default" w:ascii="宋体" w:hAnsi="宋体" w:eastAsia="宋体" w:cs="宋体"/>
                <w:color w:val="000000"/>
                <w:szCs w:val="21"/>
                <w:lang w:val="en-US" w:eastAsia="zh-CN"/>
              </w:rPr>
            </w:pPr>
            <w:r>
              <w:rPr>
                <w:rFonts w:hint="eastAsia" w:ascii="宋体" w:hAnsi="宋体" w:eastAsia="宋体" w:cs="宋体"/>
                <w:color w:val="000000"/>
                <w:szCs w:val="21"/>
              </w:rPr>
              <w:t>价格分=[1-A×|1-投标报价/Z|]×</w:t>
            </w:r>
            <w:r>
              <w:rPr>
                <w:rFonts w:hint="eastAsia" w:ascii="宋体" w:hAnsi="宋体" w:cs="宋体"/>
                <w:color w:val="000000"/>
                <w:szCs w:val="21"/>
                <w:lang w:val="en-US" w:eastAsia="zh-CN"/>
              </w:rPr>
              <w:t>40</w:t>
            </w:r>
          </w:p>
          <w:p w14:paraId="35E3D7E1">
            <w:pPr>
              <w:tabs>
                <w:tab w:val="left" w:pos="1800"/>
                <w:tab w:val="left" w:pos="3780"/>
              </w:tabs>
              <w:rPr>
                <w:rFonts w:hint="eastAsia" w:ascii="宋体" w:hAnsi="宋体" w:eastAsia="宋体" w:cs="宋体"/>
                <w:color w:val="000000"/>
                <w:szCs w:val="21"/>
              </w:rPr>
            </w:pPr>
            <w:r>
              <w:rPr>
                <w:rFonts w:hint="eastAsia" w:ascii="宋体" w:hAnsi="宋体" w:eastAsia="宋体" w:cs="宋体"/>
                <w:color w:val="000000"/>
                <w:szCs w:val="21"/>
              </w:rPr>
              <w:t>Z——即本次招标的最佳报价，即对所有通过初步评审的投标人的投标报价取算术平均值，并对算术平均值下浮5%作为本次招标的最佳报价。</w:t>
            </w:r>
          </w:p>
          <w:p w14:paraId="29DCAB12">
            <w:pPr>
              <w:tabs>
                <w:tab w:val="left" w:pos="1800"/>
                <w:tab w:val="left" w:pos="3780"/>
              </w:tabs>
              <w:rPr>
                <w:rFonts w:hint="eastAsia" w:asciiTheme="minorEastAsia" w:hAnsiTheme="minorEastAsia" w:eastAsiaTheme="minorEastAsia" w:cstheme="minorEastAsia"/>
                <w:color w:val="auto"/>
                <w:sz w:val="32"/>
                <w:szCs w:val="32"/>
                <w:highlight w:val="none"/>
                <w:vertAlign w:val="baseline"/>
              </w:rPr>
            </w:pPr>
            <w:r>
              <w:rPr>
                <w:rFonts w:hint="eastAsia" w:ascii="宋体" w:hAnsi="宋体" w:eastAsia="宋体" w:cs="宋体"/>
                <w:color w:val="000000"/>
                <w:szCs w:val="21"/>
              </w:rPr>
              <w:t>A——价格调整系数，当投标报价低于本次招标最佳报价时，A=0.5；当投标报价高于本次招标最佳报价时，A=1。注：当价格分&lt;0时，取0。</w:t>
            </w:r>
          </w:p>
        </w:tc>
      </w:tr>
      <w:tr w14:paraId="1D3A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Merge w:val="restart"/>
            <w:noWrap w:val="0"/>
            <w:vAlign w:val="center"/>
          </w:tcPr>
          <w:p w14:paraId="19C267BD">
            <w:pPr>
              <w:spacing w:line="360" w:lineRule="auto"/>
              <w:jc w:val="center"/>
              <w:rPr>
                <w:rFonts w:hint="eastAsia" w:asciiTheme="minorEastAsia" w:hAnsiTheme="minorEastAsia" w:eastAsiaTheme="minorEastAsia" w:cstheme="minorEastAsia"/>
                <w:color w:val="auto"/>
                <w:sz w:val="32"/>
                <w:szCs w:val="32"/>
                <w:highlight w:val="none"/>
                <w:vertAlign w:val="baseline"/>
                <w:lang w:val="en-US" w:eastAsia="zh-CN"/>
              </w:rPr>
            </w:pPr>
            <w:r>
              <w:rPr>
                <w:rFonts w:hint="eastAsia" w:asciiTheme="minorEastAsia" w:hAnsiTheme="minorEastAsia" w:eastAsiaTheme="minorEastAsia" w:cstheme="minorEastAsia"/>
                <w:szCs w:val="21"/>
                <w:highlight w:val="none"/>
                <w:lang w:val="en-US" w:eastAsia="zh-CN"/>
              </w:rPr>
              <w:t>2</w:t>
            </w:r>
          </w:p>
        </w:tc>
        <w:tc>
          <w:tcPr>
            <w:tcW w:w="1330" w:type="dxa"/>
            <w:vMerge w:val="restart"/>
            <w:noWrap w:val="0"/>
            <w:vAlign w:val="center"/>
          </w:tcPr>
          <w:p w14:paraId="6012F147">
            <w:pPr>
              <w:spacing w:line="360" w:lineRule="auto"/>
              <w:jc w:val="center"/>
              <w:rPr>
                <w:rFonts w:hint="eastAsia" w:asciiTheme="minorEastAsia" w:hAnsiTheme="minorEastAsia" w:eastAsiaTheme="minorEastAsia" w:cstheme="minorEastAsia"/>
                <w:color w:val="auto"/>
                <w:sz w:val="32"/>
                <w:szCs w:val="32"/>
                <w:highlight w:val="none"/>
                <w:vertAlign w:val="baseline"/>
              </w:rPr>
            </w:pPr>
            <w:r>
              <w:rPr>
                <w:rFonts w:hint="eastAsia" w:asciiTheme="minorEastAsia" w:hAnsiTheme="minorEastAsia" w:eastAsiaTheme="minorEastAsia" w:cstheme="minorEastAsia"/>
                <w:szCs w:val="21"/>
                <w:highlight w:val="none"/>
                <w:lang w:eastAsia="zh-CN"/>
              </w:rPr>
              <w:t>方案因素（</w:t>
            </w:r>
            <w:r>
              <w:rPr>
                <w:rFonts w:hint="eastAsia" w:asciiTheme="minorEastAsia" w:hAnsiTheme="minorEastAsia" w:eastAsiaTheme="minorEastAsia" w:cstheme="minorEastAsia"/>
                <w:szCs w:val="21"/>
                <w:highlight w:val="none"/>
                <w:lang w:val="en-US" w:eastAsia="zh-CN"/>
              </w:rPr>
              <w:t>30分</w:t>
            </w:r>
            <w:r>
              <w:rPr>
                <w:rFonts w:hint="eastAsia" w:asciiTheme="minorEastAsia" w:hAnsiTheme="minorEastAsia" w:eastAsiaTheme="minorEastAsia" w:cstheme="minorEastAsia"/>
                <w:szCs w:val="21"/>
                <w:highlight w:val="none"/>
                <w:lang w:eastAsia="zh-CN"/>
              </w:rPr>
              <w:t>）</w:t>
            </w:r>
          </w:p>
        </w:tc>
        <w:tc>
          <w:tcPr>
            <w:tcW w:w="7089" w:type="dxa"/>
            <w:noWrap w:val="0"/>
            <w:vAlign w:val="center"/>
          </w:tcPr>
          <w:p w14:paraId="0F73E718">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（1）对各阶段监理工作方案、对本项目重点及难点分析及解决措施等内容的合理性、可行性进行评审：</w:t>
            </w:r>
          </w:p>
          <w:p w14:paraId="324FFD05">
            <w:pPr>
              <w:spacing w:line="360" w:lineRule="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bidi="ar"/>
              </w:rPr>
              <w:t>【优】监理工作目标明确，监理工作依据、制度、流程完善；监理工作内容及管理手段合理可行、措施具体；针对本项目建设特点进行监理的重点难点分析、提出相关解决技术措施方案、措施，内容全面具体、针对性强</w:t>
            </w:r>
            <w:r>
              <w:rPr>
                <w:rFonts w:hint="eastAsia" w:asciiTheme="minorEastAsia" w:hAnsiTheme="minorEastAsia" w:eastAsiaTheme="minorEastAsia" w:cstheme="minorEastAsia"/>
                <w:szCs w:val="21"/>
                <w:highlight w:val="none"/>
                <w:lang w:eastAsia="zh-CN" w:bidi="ar"/>
              </w:rPr>
              <w:t>，得</w:t>
            </w:r>
            <w:r>
              <w:rPr>
                <w:rFonts w:hint="eastAsia" w:asciiTheme="minorEastAsia" w:hAnsiTheme="minorEastAsia" w:eastAsiaTheme="minorEastAsia" w:cstheme="minorEastAsia"/>
                <w:szCs w:val="21"/>
                <w:highlight w:val="none"/>
                <w:lang w:val="en-US" w:eastAsia="zh-CN" w:bidi="ar"/>
              </w:rPr>
              <w:t>8-10分。</w:t>
            </w:r>
          </w:p>
          <w:p w14:paraId="47CD0E4D">
            <w:pPr>
              <w:spacing w:line="360" w:lineRule="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bidi="ar"/>
              </w:rPr>
              <w:t>【中】监理工作目标较明确，监理工作依据、制度、流程基本完善；监理工作内容及管理手段基本合理可行；能针对本项目建设特点进行监理的重点难点分析、提出相关解决技术措施方案，内容基本合理</w:t>
            </w:r>
            <w:r>
              <w:rPr>
                <w:rFonts w:hint="eastAsia" w:asciiTheme="minorEastAsia" w:hAnsiTheme="minorEastAsia" w:eastAsiaTheme="minorEastAsia" w:cstheme="minorEastAsia"/>
                <w:szCs w:val="21"/>
                <w:highlight w:val="none"/>
                <w:lang w:eastAsia="zh-CN" w:bidi="ar"/>
              </w:rPr>
              <w:t>，得</w:t>
            </w:r>
            <w:r>
              <w:rPr>
                <w:rFonts w:hint="eastAsia" w:asciiTheme="minorEastAsia" w:hAnsiTheme="minorEastAsia" w:eastAsiaTheme="minorEastAsia" w:cstheme="minorEastAsia"/>
                <w:szCs w:val="21"/>
                <w:highlight w:val="none"/>
                <w:lang w:val="en-US" w:eastAsia="zh-CN" w:bidi="ar"/>
              </w:rPr>
              <w:t>5-7分。</w:t>
            </w:r>
          </w:p>
          <w:p w14:paraId="330F7621">
            <w:pPr>
              <w:pStyle w:val="139"/>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szCs w:val="21"/>
                <w:highlight w:val="none"/>
                <w:lang w:bidi="ar"/>
              </w:rPr>
            </w:pPr>
            <w:r>
              <w:rPr>
                <w:rFonts w:hint="eastAsia" w:asciiTheme="minorEastAsia" w:hAnsiTheme="minorEastAsia" w:eastAsiaTheme="minorEastAsia" w:cstheme="minorEastAsia"/>
                <w:szCs w:val="21"/>
                <w:highlight w:val="none"/>
                <w:lang w:bidi="ar"/>
              </w:rPr>
              <w:t>【差】</w:t>
            </w:r>
            <w:r>
              <w:rPr>
                <w:rFonts w:hint="eastAsia" w:asciiTheme="minorEastAsia" w:hAnsiTheme="minorEastAsia" w:eastAsiaTheme="minorEastAsia" w:cstheme="minorEastAsia"/>
                <w:b w:val="0"/>
                <w:bCs/>
                <w:szCs w:val="21"/>
                <w:highlight w:val="none"/>
                <w:lang w:bidi="ar"/>
              </w:rPr>
              <w:t>监理工作目标不明确，监理工作依据、制度、流程不完善；监理工作内容及管理手段不合理；监理的重点难点分析、提出相关解决技术措施方案、措施内容不全面、或缺乏针对性</w:t>
            </w:r>
            <w:r>
              <w:rPr>
                <w:rFonts w:hint="eastAsia" w:asciiTheme="minorEastAsia" w:hAnsiTheme="minorEastAsia" w:eastAsiaTheme="minorEastAsia" w:cstheme="minorEastAsia"/>
                <w:b w:val="0"/>
                <w:bCs/>
                <w:szCs w:val="21"/>
                <w:highlight w:val="none"/>
                <w:lang w:eastAsia="zh-CN" w:bidi="ar"/>
              </w:rPr>
              <w:t>，得</w:t>
            </w:r>
            <w:r>
              <w:rPr>
                <w:rFonts w:hint="eastAsia" w:asciiTheme="minorEastAsia" w:hAnsiTheme="minorEastAsia" w:eastAsiaTheme="minorEastAsia" w:cstheme="minorEastAsia"/>
                <w:b w:val="0"/>
                <w:bCs/>
                <w:szCs w:val="21"/>
                <w:highlight w:val="none"/>
                <w:lang w:val="en-US" w:eastAsia="zh-CN" w:bidi="ar"/>
              </w:rPr>
              <w:t>1-4分。</w:t>
            </w:r>
          </w:p>
          <w:p w14:paraId="57ABE7DA">
            <w:pPr>
              <w:pStyle w:val="139"/>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szCs w:val="21"/>
                <w:highlight w:val="none"/>
                <w:lang w:eastAsia="zh-CN" w:bidi="ar"/>
              </w:rPr>
            </w:pPr>
            <w:r>
              <w:rPr>
                <w:rFonts w:hint="eastAsia" w:asciiTheme="minorEastAsia" w:hAnsiTheme="minorEastAsia" w:eastAsiaTheme="minorEastAsia" w:cstheme="minorEastAsia"/>
                <w:b w:val="0"/>
                <w:bCs/>
                <w:szCs w:val="21"/>
                <w:highlight w:val="none"/>
                <w:lang w:eastAsia="zh-CN" w:bidi="ar"/>
              </w:rPr>
              <w:t>不提供不得分。</w:t>
            </w:r>
          </w:p>
        </w:tc>
      </w:tr>
      <w:tr w14:paraId="5E1B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Merge w:val="continue"/>
            <w:noWrap w:val="0"/>
            <w:vAlign w:val="center"/>
          </w:tcPr>
          <w:p w14:paraId="0753FF45">
            <w:pPr>
              <w:spacing w:line="360" w:lineRule="auto"/>
              <w:jc w:val="center"/>
              <w:rPr>
                <w:rFonts w:hint="eastAsia" w:asciiTheme="minorEastAsia" w:hAnsiTheme="minorEastAsia" w:eastAsiaTheme="minorEastAsia" w:cstheme="minorEastAsia"/>
                <w:szCs w:val="21"/>
                <w:highlight w:val="none"/>
                <w:lang w:val="en-US" w:eastAsia="zh-CN"/>
              </w:rPr>
            </w:pPr>
          </w:p>
        </w:tc>
        <w:tc>
          <w:tcPr>
            <w:tcW w:w="1330" w:type="dxa"/>
            <w:vMerge w:val="continue"/>
            <w:noWrap w:val="0"/>
            <w:vAlign w:val="center"/>
          </w:tcPr>
          <w:p w14:paraId="1864189E">
            <w:pPr>
              <w:spacing w:line="360" w:lineRule="auto"/>
              <w:jc w:val="center"/>
              <w:rPr>
                <w:rFonts w:hint="eastAsia" w:asciiTheme="minorEastAsia" w:hAnsiTheme="minorEastAsia" w:eastAsiaTheme="minorEastAsia" w:cstheme="minorEastAsia"/>
                <w:szCs w:val="21"/>
                <w:highlight w:val="none"/>
                <w:lang w:eastAsia="zh-CN"/>
              </w:rPr>
            </w:pPr>
          </w:p>
        </w:tc>
        <w:tc>
          <w:tcPr>
            <w:tcW w:w="7089" w:type="dxa"/>
            <w:noWrap w:val="0"/>
            <w:vAlign w:val="center"/>
          </w:tcPr>
          <w:p w14:paraId="507633AA">
            <w:pPr>
              <w:numPr>
                <w:ilvl w:val="0"/>
                <w:numId w:val="0"/>
              </w:numPr>
              <w:spacing w:line="360" w:lineRule="auto"/>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val="en-US" w:eastAsia="zh-CN" w:bidi="ar"/>
              </w:rPr>
              <w:t>2</w:t>
            </w: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bidi="ar"/>
              </w:rPr>
              <w:t>对工程进度控制措施、质量控制措施、</w:t>
            </w:r>
            <w:r>
              <w:rPr>
                <w:rFonts w:hint="eastAsia" w:asciiTheme="minorEastAsia" w:hAnsiTheme="minorEastAsia" w:eastAsiaTheme="minorEastAsia" w:cstheme="minorEastAsia"/>
                <w:szCs w:val="21"/>
                <w:highlight w:val="none"/>
              </w:rPr>
              <w:t>造价控制措施</w:t>
            </w:r>
            <w:r>
              <w:rPr>
                <w:rFonts w:hint="eastAsia" w:asciiTheme="minorEastAsia" w:hAnsiTheme="minorEastAsia" w:eastAsiaTheme="minorEastAsia" w:cstheme="minorEastAsia"/>
                <w:szCs w:val="21"/>
                <w:highlight w:val="none"/>
                <w:lang w:bidi="ar"/>
              </w:rPr>
              <w:t>、</w:t>
            </w:r>
            <w:r>
              <w:rPr>
                <w:rFonts w:hint="eastAsia" w:asciiTheme="minorEastAsia" w:hAnsiTheme="minorEastAsia" w:eastAsiaTheme="minorEastAsia" w:cstheme="minorEastAsia"/>
                <w:szCs w:val="21"/>
                <w:highlight w:val="none"/>
              </w:rPr>
              <w:t>安全、环保控制措施</w:t>
            </w:r>
            <w:r>
              <w:rPr>
                <w:rFonts w:hint="eastAsia" w:asciiTheme="minorEastAsia" w:hAnsiTheme="minorEastAsia" w:eastAsiaTheme="minorEastAsia" w:cstheme="minorEastAsia"/>
                <w:szCs w:val="21"/>
                <w:highlight w:val="none"/>
                <w:lang w:bidi="ar"/>
              </w:rPr>
              <w:t>进行评审：</w:t>
            </w:r>
          </w:p>
          <w:p w14:paraId="765088BE">
            <w:pPr>
              <w:spacing w:line="360" w:lineRule="auto"/>
              <w:rPr>
                <w:rFonts w:hint="eastAsia" w:asciiTheme="minorEastAsia" w:hAnsiTheme="minorEastAsia" w:eastAsiaTheme="minorEastAsia" w:cstheme="minorEastAsia"/>
                <w:szCs w:val="21"/>
                <w:highlight w:val="none"/>
                <w:lang w:val="en-US" w:eastAsia="zh-CN" w:bidi="ar"/>
              </w:rPr>
            </w:pPr>
            <w:r>
              <w:rPr>
                <w:rFonts w:hint="eastAsia" w:asciiTheme="minorEastAsia" w:hAnsiTheme="minorEastAsia" w:eastAsiaTheme="minorEastAsia" w:cstheme="minorEastAsia"/>
                <w:szCs w:val="21"/>
                <w:highlight w:val="none"/>
                <w:lang w:bidi="ar"/>
              </w:rPr>
              <w:t>【优】监理工作</w:t>
            </w:r>
            <w:r>
              <w:rPr>
                <w:rFonts w:hint="eastAsia" w:asciiTheme="minorEastAsia" w:hAnsiTheme="minorEastAsia" w:eastAsiaTheme="minorEastAsia" w:cstheme="minorEastAsia"/>
                <w:szCs w:val="21"/>
                <w:highlight w:val="none"/>
              </w:rPr>
              <w:t>要求目标明确、方法合理可行、措施全面具体、针对性强</w:t>
            </w:r>
            <w:r>
              <w:rPr>
                <w:rFonts w:hint="eastAsia" w:asciiTheme="minorEastAsia" w:hAnsiTheme="minorEastAsia" w:eastAsiaTheme="minorEastAsia" w:cstheme="minorEastAsia"/>
                <w:szCs w:val="21"/>
                <w:highlight w:val="none"/>
                <w:lang w:eastAsia="zh-CN" w:bidi="ar"/>
              </w:rPr>
              <w:t>，得</w:t>
            </w:r>
            <w:r>
              <w:rPr>
                <w:rFonts w:hint="eastAsia" w:asciiTheme="minorEastAsia" w:hAnsiTheme="minorEastAsia" w:eastAsiaTheme="minorEastAsia" w:cstheme="minorEastAsia"/>
                <w:szCs w:val="21"/>
                <w:highlight w:val="none"/>
                <w:lang w:val="en-US" w:eastAsia="zh-CN" w:bidi="ar"/>
              </w:rPr>
              <w:t>8-10分。</w:t>
            </w:r>
          </w:p>
          <w:p w14:paraId="02CE1313">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【中】监理工作</w:t>
            </w:r>
            <w:r>
              <w:rPr>
                <w:rFonts w:hint="eastAsia" w:asciiTheme="minorEastAsia" w:hAnsiTheme="minorEastAsia" w:eastAsiaTheme="minorEastAsia" w:cstheme="minorEastAsia"/>
                <w:szCs w:val="21"/>
                <w:highlight w:val="none"/>
              </w:rPr>
              <w:t>要求目标明确、基本方法合理可行、措施具体、针对性一般</w:t>
            </w:r>
            <w:r>
              <w:rPr>
                <w:rFonts w:hint="eastAsia" w:asciiTheme="minorEastAsia" w:hAnsiTheme="minorEastAsia" w:eastAsiaTheme="minorEastAsia" w:cstheme="minorEastAsia"/>
                <w:szCs w:val="21"/>
                <w:highlight w:val="none"/>
                <w:lang w:eastAsia="zh-CN" w:bidi="ar"/>
              </w:rPr>
              <w:t>，得</w:t>
            </w:r>
            <w:r>
              <w:rPr>
                <w:rFonts w:hint="eastAsia" w:asciiTheme="minorEastAsia" w:hAnsiTheme="minorEastAsia" w:eastAsiaTheme="minorEastAsia" w:cstheme="minorEastAsia"/>
                <w:szCs w:val="21"/>
                <w:highlight w:val="none"/>
                <w:lang w:val="en-US" w:eastAsia="zh-CN" w:bidi="ar"/>
              </w:rPr>
              <w:t>5-7分。</w:t>
            </w:r>
          </w:p>
          <w:p w14:paraId="4A79CFD9">
            <w:pPr>
              <w:numPr>
                <w:ilvl w:val="0"/>
                <w:numId w:val="0"/>
              </w:numPr>
              <w:spacing w:line="360" w:lineRule="auto"/>
              <w:rPr>
                <w:rFonts w:hint="eastAsia" w:asciiTheme="minorEastAsia" w:hAnsiTheme="minorEastAsia" w:eastAsiaTheme="minorEastAsia" w:cstheme="minorEastAsia"/>
                <w:b w:val="0"/>
                <w:bCs/>
                <w:szCs w:val="21"/>
                <w:highlight w:val="none"/>
                <w:lang w:val="en-US" w:eastAsia="zh-CN" w:bidi="ar"/>
              </w:rPr>
            </w:pPr>
            <w:r>
              <w:rPr>
                <w:rFonts w:hint="eastAsia" w:asciiTheme="minorEastAsia" w:hAnsiTheme="minorEastAsia" w:eastAsiaTheme="minorEastAsia" w:cstheme="minorEastAsia"/>
                <w:szCs w:val="21"/>
                <w:highlight w:val="none"/>
                <w:lang w:bidi="ar"/>
              </w:rPr>
              <w:t>【差】监理工作要求目标不明确，</w:t>
            </w:r>
            <w:r>
              <w:rPr>
                <w:rFonts w:hint="eastAsia" w:asciiTheme="minorEastAsia" w:hAnsiTheme="minorEastAsia" w:eastAsiaTheme="minorEastAsia" w:cstheme="minorEastAsia"/>
                <w:szCs w:val="21"/>
                <w:highlight w:val="none"/>
              </w:rPr>
              <w:t>方法不合理不具备可行性</w:t>
            </w:r>
            <w:r>
              <w:rPr>
                <w:rFonts w:hint="eastAsia" w:asciiTheme="minorEastAsia" w:hAnsiTheme="minorEastAsia" w:eastAsiaTheme="minorEastAsia" w:cstheme="minorEastAsia"/>
                <w:szCs w:val="21"/>
                <w:highlight w:val="none"/>
                <w:lang w:bidi="ar"/>
              </w:rPr>
              <w:t>；措施内容不全面、或缺乏针对性</w:t>
            </w:r>
            <w:r>
              <w:rPr>
                <w:rFonts w:hint="eastAsia" w:asciiTheme="minorEastAsia" w:hAnsiTheme="minorEastAsia" w:eastAsiaTheme="minorEastAsia" w:cstheme="minorEastAsia"/>
                <w:b w:val="0"/>
                <w:bCs/>
                <w:szCs w:val="21"/>
                <w:highlight w:val="none"/>
                <w:lang w:eastAsia="zh-CN" w:bidi="ar"/>
              </w:rPr>
              <w:t>，得</w:t>
            </w:r>
            <w:r>
              <w:rPr>
                <w:rFonts w:hint="eastAsia" w:asciiTheme="minorEastAsia" w:hAnsiTheme="minorEastAsia" w:eastAsiaTheme="minorEastAsia" w:cstheme="minorEastAsia"/>
                <w:b w:val="0"/>
                <w:bCs/>
                <w:szCs w:val="21"/>
                <w:highlight w:val="none"/>
                <w:lang w:val="en-US" w:eastAsia="zh-CN" w:bidi="ar"/>
              </w:rPr>
              <w:t>1-4分。</w:t>
            </w:r>
          </w:p>
          <w:p w14:paraId="3576CC4B">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szCs w:val="21"/>
                <w:highlight w:val="none"/>
                <w:lang w:eastAsia="zh-CN" w:bidi="ar"/>
              </w:rPr>
              <w:t>不提供不得分。</w:t>
            </w:r>
          </w:p>
        </w:tc>
      </w:tr>
      <w:tr w14:paraId="36D0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Merge w:val="continue"/>
            <w:noWrap w:val="0"/>
            <w:vAlign w:val="center"/>
          </w:tcPr>
          <w:p w14:paraId="28BAAF1F">
            <w:pPr>
              <w:spacing w:line="360" w:lineRule="auto"/>
              <w:jc w:val="center"/>
              <w:rPr>
                <w:rFonts w:hint="eastAsia" w:asciiTheme="minorEastAsia" w:hAnsiTheme="minorEastAsia" w:eastAsiaTheme="minorEastAsia" w:cstheme="minorEastAsia"/>
                <w:szCs w:val="21"/>
                <w:highlight w:val="none"/>
                <w:lang w:val="en-US" w:eastAsia="zh-CN"/>
              </w:rPr>
            </w:pPr>
          </w:p>
        </w:tc>
        <w:tc>
          <w:tcPr>
            <w:tcW w:w="1330" w:type="dxa"/>
            <w:vMerge w:val="continue"/>
            <w:noWrap w:val="0"/>
            <w:vAlign w:val="center"/>
          </w:tcPr>
          <w:p w14:paraId="0A9D14F5">
            <w:pPr>
              <w:spacing w:line="360" w:lineRule="auto"/>
              <w:jc w:val="center"/>
              <w:rPr>
                <w:rFonts w:hint="eastAsia" w:asciiTheme="minorEastAsia" w:hAnsiTheme="minorEastAsia" w:eastAsiaTheme="minorEastAsia" w:cstheme="minorEastAsia"/>
                <w:szCs w:val="21"/>
                <w:highlight w:val="none"/>
                <w:lang w:eastAsia="zh-CN"/>
              </w:rPr>
            </w:pPr>
          </w:p>
        </w:tc>
        <w:tc>
          <w:tcPr>
            <w:tcW w:w="7089" w:type="dxa"/>
            <w:noWrap w:val="0"/>
            <w:vAlign w:val="center"/>
          </w:tcPr>
          <w:p w14:paraId="1D6C2476">
            <w:pPr>
              <w:numPr>
                <w:ilvl w:val="-1"/>
                <w:numId w:val="0"/>
              </w:numPr>
              <w:spacing w:line="360" w:lineRule="auto"/>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val="en-US" w:eastAsia="zh-CN" w:bidi="ar"/>
              </w:rPr>
              <w:t>3</w:t>
            </w: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bidi="ar"/>
              </w:rPr>
              <w:t>对工程合同管理与组织协调措施进行评审：</w:t>
            </w:r>
          </w:p>
          <w:p w14:paraId="31D64A04">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【优】</w:t>
            </w:r>
            <w:r>
              <w:rPr>
                <w:rFonts w:hint="eastAsia" w:asciiTheme="minorEastAsia" w:hAnsiTheme="minorEastAsia" w:eastAsiaTheme="minorEastAsia" w:cstheme="minorEastAsia"/>
                <w:szCs w:val="21"/>
                <w:highlight w:val="none"/>
              </w:rPr>
              <w:t>管理方法合理有效，针对性强、措施全面具体</w:t>
            </w:r>
            <w:r>
              <w:rPr>
                <w:rFonts w:hint="eastAsia" w:asciiTheme="minorEastAsia" w:hAnsiTheme="minorEastAsia" w:eastAsiaTheme="minorEastAsia" w:cstheme="minorEastAsia"/>
                <w:szCs w:val="21"/>
                <w:highlight w:val="none"/>
                <w:lang w:eastAsia="zh-CN"/>
              </w:rPr>
              <w:t>，得</w:t>
            </w:r>
            <w:r>
              <w:rPr>
                <w:rFonts w:hint="eastAsia" w:asciiTheme="minorEastAsia" w:hAnsiTheme="minorEastAsia" w:eastAsiaTheme="minorEastAsia" w:cstheme="minorEastAsia"/>
                <w:szCs w:val="21"/>
                <w:highlight w:val="none"/>
                <w:lang w:val="en-US" w:eastAsia="zh-CN"/>
              </w:rPr>
              <w:t>8-10分；</w:t>
            </w:r>
          </w:p>
          <w:p w14:paraId="03AE525F">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【中】</w:t>
            </w:r>
            <w:r>
              <w:rPr>
                <w:rFonts w:hint="eastAsia" w:asciiTheme="minorEastAsia" w:hAnsiTheme="minorEastAsia" w:eastAsiaTheme="minorEastAsia" w:cstheme="minorEastAsia"/>
                <w:szCs w:val="21"/>
                <w:highlight w:val="none"/>
              </w:rPr>
              <w:t>管理方法较合理有效，针对性一般、措施具体</w:t>
            </w:r>
            <w:r>
              <w:rPr>
                <w:rFonts w:hint="eastAsia" w:asciiTheme="minorEastAsia" w:hAnsiTheme="minorEastAsia" w:eastAsiaTheme="minorEastAsia" w:cstheme="minorEastAsia"/>
                <w:szCs w:val="21"/>
                <w:highlight w:val="none"/>
                <w:lang w:eastAsia="zh-CN"/>
              </w:rPr>
              <w:t>，得</w:t>
            </w:r>
            <w:r>
              <w:rPr>
                <w:rFonts w:hint="eastAsia" w:asciiTheme="minorEastAsia" w:hAnsiTheme="minorEastAsia" w:eastAsiaTheme="minorEastAsia" w:cstheme="minorEastAsia"/>
                <w:szCs w:val="21"/>
                <w:highlight w:val="none"/>
                <w:lang w:val="en-US" w:eastAsia="zh-CN"/>
              </w:rPr>
              <w:t>5-7分；</w:t>
            </w:r>
          </w:p>
          <w:p w14:paraId="6DFAA1AE">
            <w:pPr>
              <w:pStyle w:val="139"/>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szCs w:val="21"/>
                <w:highlight w:val="none"/>
                <w:lang w:val="en-US" w:eastAsia="zh-CN" w:bidi="ar"/>
              </w:rPr>
            </w:pPr>
            <w:r>
              <w:rPr>
                <w:rFonts w:hint="eastAsia" w:asciiTheme="minorEastAsia" w:hAnsiTheme="minorEastAsia" w:eastAsiaTheme="minorEastAsia" w:cstheme="minorEastAsia"/>
                <w:szCs w:val="21"/>
                <w:highlight w:val="none"/>
                <w:lang w:bidi="ar"/>
              </w:rPr>
              <w:t>【差】</w:t>
            </w:r>
            <w:r>
              <w:rPr>
                <w:rFonts w:hint="eastAsia" w:asciiTheme="minorEastAsia" w:hAnsiTheme="minorEastAsia" w:eastAsiaTheme="minorEastAsia" w:cstheme="minorEastAsia"/>
                <w:b w:val="0"/>
                <w:bCs/>
                <w:szCs w:val="21"/>
                <w:highlight w:val="none"/>
              </w:rPr>
              <w:t>管理方法不合理，缺乏针对性、无措施</w:t>
            </w:r>
            <w:r>
              <w:rPr>
                <w:rFonts w:hint="eastAsia" w:asciiTheme="minorEastAsia" w:hAnsiTheme="minorEastAsia" w:eastAsiaTheme="minorEastAsia" w:cstheme="minorEastAsia"/>
                <w:b w:val="0"/>
                <w:bCs/>
                <w:szCs w:val="21"/>
                <w:highlight w:val="none"/>
                <w:lang w:eastAsia="zh-CN" w:bidi="ar"/>
              </w:rPr>
              <w:t>，得</w:t>
            </w:r>
            <w:r>
              <w:rPr>
                <w:rFonts w:hint="eastAsia" w:asciiTheme="minorEastAsia" w:hAnsiTheme="minorEastAsia" w:eastAsiaTheme="minorEastAsia" w:cstheme="minorEastAsia"/>
                <w:b w:val="0"/>
                <w:bCs/>
                <w:szCs w:val="21"/>
                <w:highlight w:val="none"/>
                <w:lang w:val="en-US" w:eastAsia="zh-CN" w:bidi="ar"/>
              </w:rPr>
              <w:t>1-4分。</w:t>
            </w:r>
          </w:p>
          <w:p w14:paraId="6A62C4D4">
            <w:pPr>
              <w:pStyle w:val="139"/>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szCs w:val="21"/>
                <w:highlight w:val="none"/>
                <w:lang w:val="en-US" w:eastAsia="zh-CN" w:bidi="ar"/>
              </w:rPr>
            </w:pPr>
            <w:r>
              <w:rPr>
                <w:rFonts w:hint="eastAsia" w:asciiTheme="minorEastAsia" w:hAnsiTheme="minorEastAsia" w:eastAsiaTheme="minorEastAsia" w:cstheme="minorEastAsia"/>
                <w:b w:val="0"/>
                <w:bCs/>
                <w:szCs w:val="21"/>
                <w:highlight w:val="none"/>
                <w:lang w:eastAsia="zh-CN" w:bidi="ar"/>
              </w:rPr>
              <w:t>不提供不得分。</w:t>
            </w:r>
          </w:p>
        </w:tc>
      </w:tr>
      <w:tr w14:paraId="684B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center"/>
          </w:tcPr>
          <w:p w14:paraId="6EC7ABB4">
            <w:pPr>
              <w:spacing w:line="36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p>
        </w:tc>
        <w:tc>
          <w:tcPr>
            <w:tcW w:w="1330" w:type="dxa"/>
            <w:noWrap w:val="0"/>
            <w:vAlign w:val="center"/>
          </w:tcPr>
          <w:p w14:paraId="2083EC15">
            <w:pPr>
              <w:spacing w:line="360"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答辩</w:t>
            </w:r>
            <w:r>
              <w:rPr>
                <w:rFonts w:hint="eastAsia" w:asciiTheme="minorEastAsia" w:hAnsiTheme="minorEastAsia" w:eastAsiaTheme="minorEastAsia" w:cstheme="minorEastAsia"/>
                <w:szCs w:val="21"/>
                <w:highlight w:val="none"/>
              </w:rPr>
              <w:t>因素</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30分</w:t>
            </w:r>
            <w:r>
              <w:rPr>
                <w:rFonts w:hint="eastAsia" w:asciiTheme="minorEastAsia" w:hAnsiTheme="minorEastAsia" w:eastAsiaTheme="minorEastAsia" w:cstheme="minorEastAsia"/>
                <w:szCs w:val="21"/>
                <w:highlight w:val="none"/>
                <w:lang w:eastAsia="zh-CN"/>
              </w:rPr>
              <w:t>）</w:t>
            </w:r>
          </w:p>
        </w:tc>
        <w:tc>
          <w:tcPr>
            <w:tcW w:w="7089" w:type="dxa"/>
            <w:noWrap w:val="0"/>
            <w:vAlign w:val="center"/>
          </w:tcPr>
          <w:p w14:paraId="05BAF4DA">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答辩因素内容包括但不限于：</w:t>
            </w:r>
          </w:p>
          <w:p w14:paraId="681B6BD9">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1.述标（时间控制在10分钟内），并满足以下要求：</w:t>
            </w:r>
          </w:p>
          <w:p w14:paraId="753A27FB">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①合格的中标候选人对企业自身情况介绍【包括但不限于：企业规模、企业组织架构等】；</w:t>
            </w:r>
          </w:p>
          <w:p w14:paraId="4023FB04">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②对本项目实施设想的陈述、实施本项目的资源优势及相应的保障措施；</w:t>
            </w:r>
          </w:p>
          <w:p w14:paraId="1C9DE999">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③阐述对本项目的施工质量管理、进度管理、安全管理的控制措施；</w:t>
            </w:r>
          </w:p>
          <w:p w14:paraId="3746BE5F">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④对项目的整体部署和重难点分析及应对措施，重点描述对项目施工效果及的保证及其措施；</w:t>
            </w:r>
          </w:p>
          <w:p w14:paraId="77818A71">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⑤对本次项目管理班子团队人员情况的介绍；</w:t>
            </w:r>
          </w:p>
          <w:p w14:paraId="2FABC4E0">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 6 \* GB3 \* MERGEFORMAT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⑥</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t>合格的投标人认为需要提供的其他证明材料</w:t>
            </w:r>
          </w:p>
          <w:p w14:paraId="6713B8C0">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2.评委针对答辩团队陈述的内容及投标文件提问，答辩人员针对所提问题进行解答。</w:t>
            </w:r>
          </w:p>
          <w:p w14:paraId="232DE730">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优】答辩团队熟悉项目情况，对所监理项目的重点、难点认识深刻，应对措施合理可行；施工质量进度安全管理控制措施合理可行；人员投入计划对推进工程进度有保障；实施时间安排合理可行；回答评委提问思路清晰、内容准确</w:t>
            </w:r>
            <w:r>
              <w:rPr>
                <w:rFonts w:hint="eastAsia" w:asciiTheme="minorEastAsia" w:hAnsiTheme="minorEastAsia" w:eastAsiaTheme="minorEastAsia" w:cstheme="minorEastAsia"/>
                <w:szCs w:val="21"/>
                <w:highlight w:val="none"/>
                <w:lang w:eastAsia="zh-CN"/>
              </w:rPr>
              <w:t>，得</w:t>
            </w:r>
            <w:r>
              <w:rPr>
                <w:rFonts w:hint="eastAsia" w:asciiTheme="minorEastAsia" w:hAnsiTheme="minorEastAsia" w:eastAsiaTheme="minorEastAsia" w:cstheme="minorEastAsia"/>
                <w:szCs w:val="21"/>
                <w:highlight w:val="none"/>
                <w:lang w:val="en-US" w:eastAsia="zh-CN"/>
              </w:rPr>
              <w:t>20-30分；</w:t>
            </w:r>
          </w:p>
          <w:p w14:paraId="5A447BF2">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【中】答辩团队对项目情况基本了解，对所监理项目的重点、难点把握不够；施工质量进度安全管理控制措施一般；人员投入计划对推进工程进度保障一般；实施时间安排合理性一般；回答评委提问不够清晰准确</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10-19分；</w:t>
            </w:r>
          </w:p>
          <w:p w14:paraId="60566D78">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差】答辩团队对项目情况不了解，对所监理项目的重点、难点不清晰；施工质量进度安全管理控制措施较差；没有人员投入计划或对推进工程进度保障差；实施时间安排严重不合理；回答评委提问答非所问的或未能按要求出席参加答辩的</w:t>
            </w:r>
            <w:r>
              <w:rPr>
                <w:rFonts w:hint="eastAsia" w:asciiTheme="minorEastAsia" w:hAnsiTheme="minorEastAsia" w:eastAsiaTheme="minorEastAsia" w:cstheme="minorEastAsia"/>
                <w:szCs w:val="21"/>
                <w:highlight w:val="none"/>
                <w:lang w:eastAsia="zh-CN"/>
              </w:rPr>
              <w:t>；得</w:t>
            </w:r>
            <w:r>
              <w:rPr>
                <w:rFonts w:hint="eastAsia" w:asciiTheme="minorEastAsia" w:hAnsiTheme="minorEastAsia" w:eastAsiaTheme="minorEastAsia" w:cstheme="minorEastAsia"/>
                <w:szCs w:val="21"/>
                <w:highlight w:val="none"/>
                <w:lang w:val="en-US" w:eastAsia="zh-CN"/>
              </w:rPr>
              <w:t>1-9分。</w:t>
            </w:r>
          </w:p>
          <w:p w14:paraId="5E7B0388">
            <w:pPr>
              <w:pStyle w:val="14"/>
              <w:numPr>
                <w:ilvl w:val="0"/>
                <w:numId w:val="2"/>
              </w:numPr>
              <w:spacing w:line="360" w:lineRule="auto"/>
              <w:ind w:left="0" w:leftChars="0" w:firstLine="0" w:firstLine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答辩人员可结合辅助材料（PPT演示文稿形式、word文件形式、excel文件形式、pdf文件形式）进行答辩（仅可选取其中一种形式）。辅助材料请使用U盘存储，答辩时由答辩人员自行携带进行答辩，答辩结束时现场交招标代理进行存档。</w:t>
            </w:r>
          </w:p>
          <w:p w14:paraId="1C61CA5F">
            <w:pPr>
              <w:pStyle w:val="14"/>
              <w:numPr>
                <w:ilvl w:val="-1"/>
                <w:numId w:val="0"/>
              </w:numPr>
              <w:spacing w:line="360" w:lineRule="auto"/>
              <w:ind w:left="0" w:leftChars="0" w:firstLine="0" w:firstLineChars="0"/>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不答辩不得分。</w:t>
            </w:r>
          </w:p>
        </w:tc>
      </w:tr>
    </w:tbl>
    <w:p w14:paraId="75A294E6">
      <w:pPr>
        <w:widowControl/>
        <w:spacing w:before="120" w:beforeLines="50" w:line="360" w:lineRule="exact"/>
        <w:jc w:val="left"/>
        <w:outlineLvl w:val="2"/>
        <w:rPr>
          <w:rFonts w:hint="eastAsia" w:asciiTheme="minorEastAsia" w:hAnsiTheme="minorEastAsia" w:eastAsiaTheme="minorEastAsia" w:cstheme="minorEastAsia"/>
          <w:b/>
          <w:sz w:val="32"/>
          <w:highlight w:val="none"/>
          <w:u w:val="single"/>
        </w:rPr>
      </w:pPr>
      <w:bookmarkStart w:id="433" w:name="_Toc10821"/>
      <w:bookmarkStart w:id="434" w:name="_Toc6231"/>
      <w:r>
        <w:rPr>
          <w:rFonts w:hint="eastAsia" w:asciiTheme="minorEastAsia" w:hAnsiTheme="minorEastAsia" w:eastAsiaTheme="minorEastAsia" w:cstheme="minorEastAsia"/>
          <w:b/>
          <w:sz w:val="32"/>
          <w:highlight w:val="none"/>
          <w:lang w:bidi="ar"/>
        </w:rPr>
        <w:t>5、答辩要求：</w:t>
      </w:r>
      <w:bookmarkEnd w:id="433"/>
      <w:bookmarkEnd w:id="434"/>
    </w:p>
    <w:p w14:paraId="12A68B5B">
      <w:pPr>
        <w:spacing w:line="360" w:lineRule="auto"/>
        <w:ind w:firstLine="480" w:firstLineChars="200"/>
        <w:rPr>
          <w:rFonts w:ascii="宋体" w:hAnsi="宋体" w:cs="宋体"/>
          <w:kern w:val="0"/>
          <w:sz w:val="24"/>
          <w:szCs w:val="24"/>
          <w:highlight w:val="none"/>
          <w:shd w:val="clear" w:color="auto" w:fill="FFFFFF"/>
        </w:rPr>
      </w:pPr>
      <w:r>
        <w:rPr>
          <w:rFonts w:hint="eastAsia" w:asciiTheme="minorEastAsia" w:hAnsiTheme="minorEastAsia" w:eastAsiaTheme="minorEastAsia" w:cstheme="minorEastAsia"/>
          <w:kern w:val="0"/>
          <w:sz w:val="24"/>
          <w:szCs w:val="24"/>
          <w:highlight w:val="none"/>
          <w:shd w:val="clear" w:color="auto" w:fill="FFFFFF"/>
          <w:lang w:bidi="ar"/>
        </w:rPr>
        <w:t>（1）答辩人员组成：由总监理工程师、</w:t>
      </w:r>
      <w:r>
        <w:rPr>
          <w:rFonts w:hint="eastAsia" w:ascii="宋体" w:hAnsi="宋体" w:cs="宋体"/>
          <w:kern w:val="0"/>
          <w:sz w:val="24"/>
          <w:szCs w:val="24"/>
          <w:highlight w:val="none"/>
          <w:shd w:val="clear" w:color="auto" w:fill="FFFFFF"/>
          <w:lang w:eastAsia="zh-CN" w:bidi="ar"/>
        </w:rPr>
        <w:t>房建工程</w:t>
      </w:r>
      <w:r>
        <w:rPr>
          <w:rFonts w:hint="eastAsia" w:ascii="宋体" w:hAnsi="宋体" w:cs="宋体"/>
          <w:sz w:val="24"/>
          <w:highlight w:val="none"/>
        </w:rPr>
        <w:t>专业监理工程师</w:t>
      </w:r>
      <w:r>
        <w:rPr>
          <w:rFonts w:hint="eastAsia" w:ascii="宋体" w:hAnsi="宋体" w:cs="宋体"/>
          <w:kern w:val="0"/>
          <w:sz w:val="24"/>
          <w:szCs w:val="24"/>
          <w:highlight w:val="none"/>
          <w:shd w:val="clear" w:color="auto" w:fill="FFFFFF"/>
          <w:lang w:bidi="ar"/>
        </w:rPr>
        <w:t>其中1人或2人组成</w:t>
      </w:r>
      <w:r>
        <w:rPr>
          <w:rFonts w:ascii="宋体" w:hAnsi="宋体" w:cs="宋体"/>
          <w:kern w:val="0"/>
          <w:sz w:val="24"/>
          <w:szCs w:val="24"/>
          <w:highlight w:val="none"/>
          <w:shd w:val="clear" w:color="auto" w:fill="FFFFFF"/>
          <w:lang w:bidi="ar"/>
        </w:rPr>
        <w:t>（</w:t>
      </w:r>
      <w:r>
        <w:rPr>
          <w:rFonts w:hint="eastAsia" w:ascii="宋体" w:hAnsi="宋体" w:cs="宋体"/>
          <w:kern w:val="0"/>
          <w:sz w:val="24"/>
          <w:szCs w:val="24"/>
          <w:highlight w:val="none"/>
          <w:shd w:val="clear" w:color="auto" w:fill="FFFFFF"/>
          <w:lang w:bidi="ar"/>
        </w:rPr>
        <w:t>参与人员须是本单位的在职人员）；</w:t>
      </w:r>
    </w:p>
    <w:p w14:paraId="56FEE0BD">
      <w:pPr>
        <w:spacing w:line="360" w:lineRule="auto"/>
        <w:ind w:firstLine="480" w:firstLineChars="200"/>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bidi="ar"/>
        </w:rPr>
        <w:t>（2）答辩人员的到场要求：合格的中标候选人在参加答辩时，应向招标人（招标代理）出示一份加盖公章的法定代表人证明书及授权委托书，并提供答辩人员的社保证明（2025年</w:t>
      </w:r>
      <w:r>
        <w:rPr>
          <w:rFonts w:hint="eastAsia" w:ascii="宋体" w:hAnsi="宋体" w:cs="宋体"/>
          <w:kern w:val="0"/>
          <w:sz w:val="24"/>
          <w:szCs w:val="24"/>
          <w:highlight w:val="none"/>
          <w:shd w:val="clear" w:color="auto" w:fill="FFFFFF"/>
          <w:lang w:val="en-US" w:eastAsia="zh-CN" w:bidi="ar"/>
        </w:rPr>
        <w:t>10</w:t>
      </w:r>
      <w:r>
        <w:rPr>
          <w:rFonts w:hint="eastAsia" w:ascii="宋体" w:hAnsi="宋体" w:cs="宋体"/>
          <w:kern w:val="0"/>
          <w:sz w:val="24"/>
          <w:szCs w:val="24"/>
          <w:highlight w:val="none"/>
          <w:shd w:val="clear" w:color="auto" w:fill="FFFFFF"/>
          <w:lang w:bidi="ar"/>
        </w:rPr>
        <w:t>月）复印件并加盖单位公章。由参与答辩的人员出示身份证原件，核对确认身份后签到。未能出示前述证明文件的单位不予参加答辩环节；</w:t>
      </w:r>
    </w:p>
    <w:p w14:paraId="1D6A2A44">
      <w:pPr>
        <w:spacing w:line="360" w:lineRule="auto"/>
        <w:ind w:firstLine="480" w:firstLineChars="200"/>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bidi="ar"/>
        </w:rPr>
        <w:t>（3）答辩形式与要求：答辩人员先陈述，定标委员会针对答辩内容提问，由答辩人员进行解答；</w:t>
      </w:r>
    </w:p>
    <w:p w14:paraId="6DD1707E">
      <w:pPr>
        <w:spacing w:line="360" w:lineRule="auto"/>
        <w:ind w:firstLine="480" w:firstLineChars="200"/>
        <w:rPr>
          <w:rFonts w:ascii="宋体" w:hAnsi="宋体" w:cs="宋体"/>
          <w:kern w:val="0"/>
          <w:sz w:val="24"/>
          <w:szCs w:val="24"/>
          <w:highlight w:val="none"/>
          <w:shd w:val="clear" w:color="auto" w:fill="FFFFFF"/>
          <w:lang w:bidi="ar"/>
        </w:rPr>
      </w:pPr>
      <w:r>
        <w:rPr>
          <w:rFonts w:hint="eastAsia" w:ascii="宋体" w:hAnsi="宋体" w:cs="宋体"/>
          <w:kern w:val="0"/>
          <w:sz w:val="24"/>
          <w:szCs w:val="24"/>
          <w:highlight w:val="none"/>
          <w:shd w:val="clear" w:color="auto" w:fill="FFFFFF"/>
          <w:lang w:bidi="ar"/>
        </w:rPr>
        <w:t>（4）答辩时长控制：控制在20分钟内，其中答辩团队的陈述时间不得多于10分钟。</w:t>
      </w:r>
    </w:p>
    <w:p w14:paraId="4AA69F95">
      <w:pPr>
        <w:spacing w:line="360" w:lineRule="auto"/>
        <w:ind w:firstLine="480" w:firstLineChars="200"/>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bidi="ar"/>
        </w:rPr>
        <w:t>4、（1）定标后出现中标人</w:t>
      </w:r>
      <w:r>
        <w:rPr>
          <w:rFonts w:ascii="宋体" w:hAnsi="宋体" w:cs="宋体"/>
          <w:kern w:val="0"/>
          <w:sz w:val="24"/>
          <w:szCs w:val="24"/>
          <w:highlight w:val="none"/>
          <w:shd w:val="clear" w:color="auto" w:fill="FFFFFF"/>
          <w:lang w:bidi="ar"/>
        </w:rPr>
        <w:t>放弃中标、因不可抗力不能履行合同或</w:t>
      </w:r>
      <w:r>
        <w:rPr>
          <w:rFonts w:hint="eastAsia" w:ascii="宋体" w:hAnsi="宋体" w:cs="宋体"/>
          <w:kern w:val="0"/>
          <w:sz w:val="24"/>
          <w:szCs w:val="24"/>
          <w:highlight w:val="none"/>
          <w:shd w:val="clear" w:color="auto" w:fill="FFFFFF"/>
          <w:lang w:bidi="ar"/>
        </w:rPr>
        <w:t>不符合法定情形的，招标人可从其他合格的中标候选人中采用原定标办法，由原定标委员会</w:t>
      </w:r>
      <w:r>
        <w:rPr>
          <w:rFonts w:ascii="宋体" w:hAnsi="宋体" w:cs="宋体"/>
          <w:kern w:val="0"/>
          <w:sz w:val="24"/>
          <w:szCs w:val="24"/>
          <w:highlight w:val="none"/>
          <w:shd w:val="clear" w:color="auto" w:fill="FFFFFF"/>
          <w:lang w:bidi="ar"/>
        </w:rPr>
        <w:t>重新</w:t>
      </w:r>
      <w:r>
        <w:rPr>
          <w:rFonts w:hint="eastAsia" w:ascii="宋体" w:hAnsi="宋体" w:cs="宋体"/>
          <w:kern w:val="0"/>
          <w:sz w:val="24"/>
          <w:szCs w:val="24"/>
          <w:highlight w:val="none"/>
          <w:shd w:val="clear" w:color="auto" w:fill="FFFFFF"/>
          <w:lang w:bidi="ar"/>
        </w:rPr>
        <w:t>确定中标人，也可以重新招标。</w:t>
      </w:r>
    </w:p>
    <w:p w14:paraId="0969CC1D">
      <w:pPr>
        <w:spacing w:line="360" w:lineRule="auto"/>
        <w:ind w:firstLine="480" w:firstLineChars="200"/>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bidi="ar"/>
        </w:rPr>
        <w:t>（2）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4B36E99F">
      <w:pPr>
        <w:spacing w:line="360" w:lineRule="exact"/>
        <w:ind w:firstLine="480" w:firstLineChars="200"/>
        <w:rPr>
          <w:highlight w:val="none"/>
          <w:u w:val="single"/>
        </w:rPr>
      </w:pPr>
      <w:r>
        <w:rPr>
          <w:rFonts w:hint="eastAsia" w:ascii="宋体" w:hAnsi="宋体" w:cs="宋体"/>
          <w:kern w:val="0"/>
          <w:sz w:val="24"/>
          <w:szCs w:val="24"/>
          <w:highlight w:val="none"/>
          <w:shd w:val="clear" w:color="auto" w:fill="FFFFFF"/>
          <w:lang w:bidi="ar"/>
        </w:rPr>
        <w:t>（3）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6C19E13C">
      <w:pPr>
        <w:spacing w:before="120" w:beforeLines="50" w:line="360" w:lineRule="exact"/>
        <w:outlineLvl w:val="2"/>
        <w:rPr>
          <w:rFonts w:ascii="宋体" w:hAnsi="宋体"/>
          <w:b/>
          <w:szCs w:val="21"/>
          <w:highlight w:val="none"/>
          <w:u w:val="single"/>
        </w:rPr>
      </w:pPr>
    </w:p>
    <w:p w14:paraId="7379258C">
      <w:pPr>
        <w:spacing w:before="120" w:beforeLines="50" w:line="360" w:lineRule="exact"/>
        <w:outlineLvl w:val="2"/>
        <w:rPr>
          <w:rFonts w:ascii="宋体" w:hAnsi="宋体"/>
          <w:b/>
          <w:sz w:val="32"/>
          <w:highlight w:val="none"/>
          <w:u w:val="single"/>
        </w:rPr>
      </w:pPr>
      <w:bookmarkStart w:id="435" w:name="_Toc23653"/>
      <w:bookmarkStart w:id="436" w:name="_Toc23261"/>
      <w:r>
        <w:rPr>
          <w:rFonts w:hint="eastAsia" w:ascii="宋体" w:hAnsi="宋体"/>
          <w:b/>
          <w:sz w:val="32"/>
          <w:highlight w:val="none"/>
          <w:u w:val="single"/>
        </w:rPr>
        <w:t>6.定标表格</w:t>
      </w:r>
      <w:bookmarkEnd w:id="435"/>
      <w:bookmarkEnd w:id="436"/>
    </w:p>
    <w:p w14:paraId="3D99EB17">
      <w:pPr>
        <w:spacing w:line="360" w:lineRule="exact"/>
        <w:ind w:firstLine="420" w:firstLineChars="200"/>
        <w:rPr>
          <w:rFonts w:ascii="宋体" w:hAnsi="宋体"/>
          <w:szCs w:val="21"/>
          <w:highlight w:val="none"/>
          <w:u w:val="single"/>
        </w:rPr>
      </w:pPr>
      <w:r>
        <w:rPr>
          <w:rFonts w:hint="eastAsia" w:ascii="宋体" w:hAnsi="宋体"/>
          <w:szCs w:val="21"/>
          <w:highlight w:val="none"/>
          <w:u w:val="single"/>
        </w:rPr>
        <w:t>见后附表。</w:t>
      </w:r>
    </w:p>
    <w:p w14:paraId="00068F4B">
      <w:pPr>
        <w:snapToGrid w:val="0"/>
        <w:spacing w:line="360" w:lineRule="auto"/>
        <w:ind w:firstLine="0"/>
        <w:jc w:val="center"/>
        <w:rPr>
          <w:rFonts w:hint="eastAsia" w:asciiTheme="minorEastAsia" w:hAnsiTheme="minorEastAsia" w:eastAsiaTheme="minorEastAsia" w:cstheme="minorEastAsia"/>
          <w:b/>
          <w:bCs w:val="0"/>
          <w:smallCaps/>
          <w:sz w:val="30"/>
          <w:szCs w:val="30"/>
          <w:highlight w:val="none"/>
        </w:rPr>
      </w:pPr>
      <w:r>
        <w:rPr>
          <w:rFonts w:hint="eastAsia" w:ascii="宋体" w:hAnsi="宋体" w:cs="宋体"/>
          <w:b/>
          <w:sz w:val="36"/>
          <w:szCs w:val="36"/>
          <w:highlight w:val="none"/>
        </w:rPr>
        <w:br w:type="page"/>
      </w:r>
      <w:r>
        <w:rPr>
          <w:rFonts w:hint="eastAsia" w:asciiTheme="minorEastAsia" w:hAnsiTheme="minorEastAsia" w:eastAsiaTheme="minorEastAsia" w:cstheme="minorEastAsia"/>
          <w:b/>
          <w:bCs w:val="0"/>
          <w:smallCaps/>
          <w:spacing w:val="0"/>
          <w:sz w:val="30"/>
          <w:szCs w:val="30"/>
          <w:highlight w:val="none"/>
        </w:rPr>
        <w:t>定标阶段评审得分表—定标委员</w:t>
      </w:r>
      <w:r>
        <w:rPr>
          <w:rFonts w:hint="eastAsia" w:asciiTheme="minorEastAsia" w:hAnsiTheme="minorEastAsia" w:eastAsiaTheme="minorEastAsia" w:cstheme="minorEastAsia"/>
          <w:b/>
          <w:bCs w:val="0"/>
          <w:smallCaps/>
          <w:spacing w:val="0"/>
          <w:sz w:val="30"/>
          <w:szCs w:val="30"/>
          <w:highlight w:val="none"/>
          <w:lang w:eastAsia="zh-CN"/>
        </w:rPr>
        <w:t>会</w:t>
      </w:r>
      <w:r>
        <w:rPr>
          <w:rFonts w:hint="eastAsia" w:asciiTheme="minorEastAsia" w:hAnsiTheme="minorEastAsia" w:eastAsiaTheme="minorEastAsia" w:cstheme="minorEastAsia"/>
          <w:b/>
          <w:bCs w:val="0"/>
          <w:smallCaps/>
          <w:spacing w:val="0"/>
          <w:sz w:val="30"/>
          <w:szCs w:val="30"/>
          <w:highlight w:val="none"/>
        </w:rPr>
        <w:t>个人用表</w:t>
      </w:r>
    </w:p>
    <w:p w14:paraId="743BBD73">
      <w:pPr>
        <w:ind w:firstLine="480"/>
        <w:rPr>
          <w:rFonts w:cs="宋体"/>
          <w:color w:val="auto"/>
          <w:szCs w:val="24"/>
          <w:highlight w:val="none"/>
        </w:rPr>
      </w:pPr>
      <w:r>
        <w:rPr>
          <w:rFonts w:hint="eastAsia" w:cs="宋体"/>
          <w:color w:val="auto"/>
          <w:szCs w:val="24"/>
          <w:highlight w:val="none"/>
        </w:rPr>
        <w:t>项目名称：</w:t>
      </w:r>
    </w:p>
    <w:tbl>
      <w:tblPr>
        <w:tblStyle w:val="46"/>
        <w:tblW w:w="0" w:type="auto"/>
        <w:jc w:val="center"/>
        <w:tblLayout w:type="autofit"/>
        <w:tblCellMar>
          <w:top w:w="0" w:type="dxa"/>
          <w:left w:w="108" w:type="dxa"/>
          <w:bottom w:w="0" w:type="dxa"/>
          <w:right w:w="108" w:type="dxa"/>
        </w:tblCellMar>
      </w:tblPr>
      <w:tblGrid>
        <w:gridCol w:w="906"/>
        <w:gridCol w:w="936"/>
        <w:gridCol w:w="3711"/>
        <w:gridCol w:w="1215"/>
        <w:gridCol w:w="1215"/>
        <w:gridCol w:w="535"/>
      </w:tblGrid>
      <w:tr w14:paraId="2D135C25">
        <w:tblPrEx>
          <w:tblCellMar>
            <w:top w:w="0" w:type="dxa"/>
            <w:left w:w="108" w:type="dxa"/>
            <w:bottom w:w="0" w:type="dxa"/>
            <w:right w:w="108" w:type="dxa"/>
          </w:tblCellMar>
        </w:tblPrEx>
        <w:trPr>
          <w:trHeight w:val="69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8EEF794">
            <w:pPr>
              <w:ind w:firstLine="0" w:firstLineChars="0"/>
              <w:textAlignment w:val="center"/>
              <w:rPr>
                <w:rFonts w:cs="宋体"/>
                <w:color w:val="auto"/>
                <w:sz w:val="21"/>
                <w:szCs w:val="21"/>
                <w:highlight w:val="none"/>
              </w:rPr>
            </w:pPr>
            <w:r>
              <w:rPr>
                <w:rFonts w:hint="eastAsia" w:cs="宋体"/>
                <w:color w:val="auto"/>
                <w:sz w:val="21"/>
                <w:szCs w:val="21"/>
                <w:highlight w:val="none"/>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4282831">
            <w:pPr>
              <w:ind w:firstLine="0" w:firstLineChars="0"/>
              <w:textAlignment w:val="center"/>
              <w:rPr>
                <w:rFonts w:cs="宋体"/>
                <w:color w:val="auto"/>
                <w:sz w:val="21"/>
                <w:szCs w:val="21"/>
                <w:highlight w:val="none"/>
              </w:rPr>
            </w:pPr>
            <w:r>
              <w:rPr>
                <w:rFonts w:hint="eastAsia" w:cs="宋体"/>
                <w:color w:val="auto"/>
                <w:sz w:val="21"/>
                <w:szCs w:val="21"/>
                <w:highlight w:val="none"/>
              </w:rPr>
              <w:t>评价项目</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81F08F4">
            <w:pPr>
              <w:ind w:firstLine="0" w:firstLineChars="0"/>
              <w:textAlignment w:val="center"/>
              <w:rPr>
                <w:rFonts w:cs="宋体"/>
                <w:color w:val="auto"/>
                <w:sz w:val="21"/>
                <w:szCs w:val="21"/>
                <w:highlight w:val="none"/>
              </w:rPr>
            </w:pPr>
            <w:r>
              <w:rPr>
                <w:rFonts w:hint="eastAsia" w:cs="宋体"/>
                <w:color w:val="auto"/>
                <w:sz w:val="21"/>
                <w:szCs w:val="21"/>
                <w:highlight w:val="none"/>
              </w:rPr>
              <w:t>定标评价的内容</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5E166A5">
            <w:pPr>
              <w:ind w:firstLine="420"/>
              <w:jc w:val="center"/>
              <w:textAlignment w:val="center"/>
              <w:rPr>
                <w:rFonts w:cs="宋体"/>
                <w:color w:val="auto"/>
                <w:sz w:val="21"/>
                <w:szCs w:val="21"/>
                <w:highlight w:val="none"/>
              </w:rPr>
            </w:pPr>
            <w:r>
              <w:rPr>
                <w:rFonts w:hint="eastAsia" w:cs="宋体"/>
                <w:color w:val="auto"/>
                <w:sz w:val="21"/>
                <w:szCs w:val="21"/>
                <w:highlight w:val="none"/>
              </w:rPr>
              <w:t>合格的中标候选人</w:t>
            </w:r>
          </w:p>
        </w:tc>
      </w:tr>
      <w:tr w14:paraId="4A58780C">
        <w:tblPrEx>
          <w:tblCellMar>
            <w:top w:w="0" w:type="dxa"/>
            <w:left w:w="108" w:type="dxa"/>
            <w:bottom w:w="0" w:type="dxa"/>
            <w:right w:w="108" w:type="dxa"/>
          </w:tblCellMar>
        </w:tblPrEx>
        <w:trPr>
          <w:trHeight w:val="712" w:hRule="atLeast"/>
          <w:jc w:val="center"/>
        </w:trPr>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14:paraId="377CB0C0">
            <w:pPr>
              <w:ind w:firstLine="480"/>
              <w:rPr>
                <w:color w:val="auto"/>
                <w:highlight w:val="none"/>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14:paraId="12F27F3A">
            <w:pPr>
              <w:ind w:firstLine="480"/>
              <w:rPr>
                <w:color w:val="auto"/>
                <w:highlight w:val="none"/>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14:paraId="1631F913">
            <w:pPr>
              <w:ind w:firstLine="480"/>
              <w:rPr>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173083">
            <w:pPr>
              <w:ind w:firstLine="0" w:firstLineChars="0"/>
              <w:textAlignment w:val="center"/>
              <w:rPr>
                <w:rFonts w:cs="宋体"/>
                <w:color w:val="auto"/>
                <w:sz w:val="21"/>
                <w:szCs w:val="21"/>
                <w:highlight w:val="none"/>
              </w:rPr>
            </w:pPr>
            <w:r>
              <w:rPr>
                <w:rFonts w:hint="eastAsia" w:cs="宋体"/>
                <w:color w:val="auto"/>
                <w:sz w:val="21"/>
                <w:szCs w:val="21"/>
                <w:highlight w:val="none"/>
              </w:rPr>
              <w:t>单位名称1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C5F10">
            <w:pPr>
              <w:ind w:firstLine="0" w:firstLineChars="0"/>
              <w:textAlignment w:val="center"/>
              <w:rPr>
                <w:rFonts w:cs="宋体"/>
                <w:color w:val="auto"/>
                <w:sz w:val="21"/>
                <w:szCs w:val="21"/>
                <w:highlight w:val="none"/>
              </w:rPr>
            </w:pPr>
            <w:r>
              <w:rPr>
                <w:rFonts w:hint="eastAsia" w:cs="宋体"/>
                <w:color w:val="auto"/>
                <w:sz w:val="21"/>
                <w:szCs w:val="21"/>
                <w:highlight w:val="none"/>
              </w:rPr>
              <w:t>单位名称2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D998AA">
            <w:pPr>
              <w:ind w:firstLine="0" w:firstLineChars="0"/>
              <w:textAlignment w:val="center"/>
              <w:rPr>
                <w:rFonts w:cs="宋体"/>
                <w:color w:val="auto"/>
                <w:sz w:val="21"/>
                <w:szCs w:val="21"/>
                <w:highlight w:val="none"/>
              </w:rPr>
            </w:pPr>
            <w:r>
              <w:rPr>
                <w:rFonts w:hint="eastAsia" w:cs="宋体"/>
                <w:color w:val="auto"/>
                <w:sz w:val="21"/>
                <w:szCs w:val="21"/>
                <w:highlight w:val="none"/>
              </w:rPr>
              <w:t>......</w:t>
            </w:r>
          </w:p>
        </w:tc>
      </w:tr>
      <w:tr w14:paraId="1A625C5C">
        <w:tblPrEx>
          <w:tblCellMar>
            <w:top w:w="0" w:type="dxa"/>
            <w:left w:w="108" w:type="dxa"/>
            <w:bottom w:w="0" w:type="dxa"/>
            <w:right w:w="108" w:type="dxa"/>
          </w:tblCellMar>
        </w:tblPrEx>
        <w:trPr>
          <w:trHeight w:val="712"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09E3D8D5">
            <w:pPr>
              <w:ind w:firstLine="420"/>
              <w:jc w:val="center"/>
              <w:rPr>
                <w:rFonts w:cs="宋体"/>
                <w:color w:val="auto"/>
                <w:sz w:val="21"/>
                <w:szCs w:val="21"/>
                <w:highlight w:val="none"/>
              </w:rPr>
            </w:pPr>
            <w:r>
              <w:rPr>
                <w:rFonts w:hint="eastAsia" w:cs="宋体"/>
                <w:color w:val="auto"/>
                <w:sz w:val="21"/>
                <w:szCs w:val="21"/>
                <w:highlight w:val="none"/>
              </w:rPr>
              <w:t>1</w:t>
            </w:r>
          </w:p>
        </w:tc>
        <w:tc>
          <w:tcPr>
            <w:tcW w:w="4647" w:type="dxa"/>
            <w:gridSpan w:val="2"/>
            <w:tcBorders>
              <w:top w:val="single" w:color="auto" w:sz="4" w:space="0"/>
              <w:left w:val="single" w:color="auto" w:sz="4" w:space="0"/>
              <w:bottom w:val="single" w:color="auto" w:sz="4" w:space="0"/>
              <w:right w:val="single" w:color="auto" w:sz="4" w:space="0"/>
            </w:tcBorders>
            <w:noWrap w:val="0"/>
            <w:vAlign w:val="center"/>
          </w:tcPr>
          <w:p w14:paraId="5B17EAEE">
            <w:pPr>
              <w:spacing w:line="315" w:lineRule="atLeast"/>
              <w:ind w:firstLine="0"/>
              <w:jc w:val="left"/>
              <w:rPr>
                <w:rFonts w:cs="宋体"/>
                <w:color w:val="auto"/>
                <w:sz w:val="21"/>
                <w:szCs w:val="21"/>
                <w:highlight w:val="none"/>
              </w:rPr>
            </w:pPr>
            <w:r>
              <w:rPr>
                <w:rFonts w:hint="eastAsia" w:asciiTheme="minorEastAsia" w:hAnsiTheme="minorEastAsia" w:eastAsiaTheme="minorEastAsia" w:cstheme="minorEastAsia"/>
                <w:szCs w:val="21"/>
                <w:highlight w:val="none"/>
              </w:rPr>
              <w:t>价格因素</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6140779A">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CE0CBA">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73DADE">
            <w:pPr>
              <w:ind w:firstLine="420"/>
              <w:jc w:val="center"/>
              <w:textAlignment w:val="center"/>
              <w:rPr>
                <w:rFonts w:cs="宋体"/>
                <w:color w:val="auto"/>
                <w:sz w:val="21"/>
                <w:szCs w:val="21"/>
                <w:highlight w:val="none"/>
              </w:rPr>
            </w:pPr>
          </w:p>
        </w:tc>
      </w:tr>
      <w:tr w14:paraId="3D350CCE">
        <w:tblPrEx>
          <w:tblCellMar>
            <w:top w:w="0" w:type="dxa"/>
            <w:left w:w="108" w:type="dxa"/>
            <w:bottom w:w="0" w:type="dxa"/>
            <w:right w:w="108" w:type="dxa"/>
          </w:tblCellMar>
        </w:tblPrEx>
        <w:trPr>
          <w:trHeight w:val="712"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64F2B674">
            <w:pPr>
              <w:ind w:firstLine="420"/>
              <w:jc w:val="center"/>
              <w:rPr>
                <w:rFonts w:cs="宋体"/>
                <w:color w:val="auto"/>
                <w:sz w:val="21"/>
                <w:szCs w:val="21"/>
                <w:highlight w:val="none"/>
              </w:rPr>
            </w:pPr>
            <w:r>
              <w:rPr>
                <w:rFonts w:hint="eastAsia" w:cs="宋体"/>
                <w:color w:val="auto"/>
                <w:sz w:val="21"/>
                <w:szCs w:val="21"/>
                <w:highlight w:val="none"/>
              </w:rPr>
              <w:t>2</w:t>
            </w:r>
          </w:p>
        </w:tc>
        <w:tc>
          <w:tcPr>
            <w:tcW w:w="936" w:type="dxa"/>
            <w:vMerge w:val="restart"/>
            <w:tcBorders>
              <w:top w:val="single" w:color="auto" w:sz="4" w:space="0"/>
              <w:left w:val="single" w:color="auto" w:sz="4" w:space="0"/>
              <w:right w:val="single" w:color="auto" w:sz="4" w:space="0"/>
            </w:tcBorders>
            <w:noWrap w:val="0"/>
            <w:vAlign w:val="center"/>
          </w:tcPr>
          <w:p w14:paraId="54804A88">
            <w:pPr>
              <w:ind w:firstLine="0"/>
              <w:rPr>
                <w:color w:val="auto"/>
                <w:highlight w:val="none"/>
              </w:rPr>
            </w:pPr>
            <w:r>
              <w:rPr>
                <w:rFonts w:hint="eastAsia" w:asciiTheme="minorEastAsia" w:hAnsiTheme="minorEastAsia" w:eastAsiaTheme="minorEastAsia" w:cstheme="minorEastAsia"/>
                <w:szCs w:val="21"/>
                <w:highlight w:val="none"/>
                <w:lang w:eastAsia="zh-CN"/>
              </w:rPr>
              <w:t>方案因素</w:t>
            </w:r>
          </w:p>
        </w:tc>
        <w:tc>
          <w:tcPr>
            <w:tcW w:w="3711" w:type="dxa"/>
            <w:tcBorders>
              <w:top w:val="single" w:color="auto" w:sz="4" w:space="0"/>
              <w:left w:val="single" w:color="auto" w:sz="4" w:space="0"/>
              <w:bottom w:val="single" w:color="auto" w:sz="4" w:space="0"/>
              <w:right w:val="single" w:color="auto" w:sz="4" w:space="0"/>
            </w:tcBorders>
            <w:noWrap w:val="0"/>
            <w:vAlign w:val="center"/>
          </w:tcPr>
          <w:p w14:paraId="709AB505">
            <w:pPr>
              <w:ind w:firstLine="0"/>
              <w:jc w:val="left"/>
              <w:outlineLvl w:val="0"/>
              <w:rPr>
                <w:rFonts w:cs="宋体"/>
                <w:color w:val="auto"/>
                <w:highlight w:val="none"/>
              </w:rPr>
            </w:pPr>
            <w:bookmarkStart w:id="437" w:name="_Toc23373"/>
            <w:bookmarkStart w:id="438" w:name="_Toc9856"/>
            <w:r>
              <w:rPr>
                <w:rFonts w:hint="eastAsia" w:asciiTheme="minorEastAsia" w:hAnsiTheme="minorEastAsia" w:eastAsiaTheme="minorEastAsia" w:cstheme="minorEastAsia"/>
                <w:szCs w:val="21"/>
                <w:highlight w:val="none"/>
                <w:lang w:bidi="ar"/>
              </w:rPr>
              <w:t>（1）对各阶段监理工作方案、对本项目重点及难点分析及解决措施等内容的合理性、可行性进行评审：</w:t>
            </w:r>
            <w:bookmarkEnd w:id="437"/>
            <w:bookmarkEnd w:id="438"/>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64863EF8">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160AE6">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2AD03">
            <w:pPr>
              <w:ind w:firstLine="420"/>
              <w:jc w:val="center"/>
              <w:textAlignment w:val="center"/>
              <w:rPr>
                <w:rFonts w:cs="宋体"/>
                <w:color w:val="auto"/>
                <w:sz w:val="21"/>
                <w:szCs w:val="21"/>
                <w:highlight w:val="none"/>
              </w:rPr>
            </w:pPr>
          </w:p>
        </w:tc>
      </w:tr>
      <w:tr w14:paraId="721A152E">
        <w:tblPrEx>
          <w:tblCellMar>
            <w:top w:w="0" w:type="dxa"/>
            <w:left w:w="108" w:type="dxa"/>
            <w:bottom w:w="0" w:type="dxa"/>
            <w:right w:w="108" w:type="dxa"/>
          </w:tblCellMar>
        </w:tblPrEx>
        <w:trPr>
          <w:trHeight w:val="712"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796DA733">
            <w:pPr>
              <w:ind w:firstLine="420"/>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3</w:t>
            </w:r>
          </w:p>
        </w:tc>
        <w:tc>
          <w:tcPr>
            <w:tcW w:w="936" w:type="dxa"/>
            <w:vMerge w:val="continue"/>
            <w:tcBorders>
              <w:left w:val="single" w:color="auto" w:sz="4" w:space="0"/>
              <w:right w:val="single" w:color="auto" w:sz="4" w:space="0"/>
            </w:tcBorders>
            <w:noWrap w:val="0"/>
            <w:vAlign w:val="center"/>
          </w:tcPr>
          <w:p w14:paraId="54880E1F">
            <w:pPr>
              <w:ind w:firstLine="0"/>
              <w:rPr>
                <w:color w:val="auto"/>
                <w:highlight w:val="none"/>
              </w:rPr>
            </w:pPr>
          </w:p>
        </w:tc>
        <w:tc>
          <w:tcPr>
            <w:tcW w:w="3711" w:type="dxa"/>
            <w:tcBorders>
              <w:top w:val="single" w:color="auto" w:sz="4" w:space="0"/>
              <w:left w:val="single" w:color="auto" w:sz="4" w:space="0"/>
              <w:bottom w:val="single" w:color="auto" w:sz="4" w:space="0"/>
              <w:right w:val="single" w:color="auto" w:sz="4" w:space="0"/>
            </w:tcBorders>
            <w:noWrap w:val="0"/>
            <w:vAlign w:val="center"/>
          </w:tcPr>
          <w:p w14:paraId="53695B8C">
            <w:pPr>
              <w:ind w:firstLine="0"/>
              <w:jc w:val="left"/>
              <w:outlineLvl w:val="0"/>
              <w:rPr>
                <w:rFonts w:cs="宋体"/>
                <w:color w:val="auto"/>
                <w:highlight w:val="none"/>
              </w:rPr>
            </w:pPr>
            <w:bookmarkStart w:id="439" w:name="_Toc16705"/>
            <w:bookmarkStart w:id="440" w:name="_Toc8398"/>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val="en-US" w:eastAsia="zh-CN" w:bidi="ar"/>
              </w:rPr>
              <w:t>2</w:t>
            </w: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bidi="ar"/>
              </w:rPr>
              <w:t>对工程进度控制措施、质量控制措施、</w:t>
            </w:r>
            <w:r>
              <w:rPr>
                <w:rFonts w:hint="eastAsia" w:asciiTheme="minorEastAsia" w:hAnsiTheme="minorEastAsia" w:eastAsiaTheme="minorEastAsia" w:cstheme="minorEastAsia"/>
                <w:szCs w:val="21"/>
                <w:highlight w:val="none"/>
              </w:rPr>
              <w:t>造价控制措施</w:t>
            </w:r>
            <w:r>
              <w:rPr>
                <w:rFonts w:hint="eastAsia" w:asciiTheme="minorEastAsia" w:hAnsiTheme="minorEastAsia" w:eastAsiaTheme="minorEastAsia" w:cstheme="minorEastAsia"/>
                <w:szCs w:val="21"/>
                <w:highlight w:val="none"/>
                <w:lang w:bidi="ar"/>
              </w:rPr>
              <w:t>、</w:t>
            </w:r>
            <w:r>
              <w:rPr>
                <w:rFonts w:hint="eastAsia" w:asciiTheme="minorEastAsia" w:hAnsiTheme="minorEastAsia" w:eastAsiaTheme="minorEastAsia" w:cstheme="minorEastAsia"/>
                <w:szCs w:val="21"/>
                <w:highlight w:val="none"/>
              </w:rPr>
              <w:t>安全、环保控制措施</w:t>
            </w:r>
            <w:r>
              <w:rPr>
                <w:rFonts w:hint="eastAsia" w:asciiTheme="minorEastAsia" w:hAnsiTheme="minorEastAsia" w:eastAsiaTheme="minorEastAsia" w:cstheme="minorEastAsia"/>
                <w:szCs w:val="21"/>
                <w:highlight w:val="none"/>
                <w:lang w:bidi="ar"/>
              </w:rPr>
              <w:t>进行评审：</w:t>
            </w:r>
            <w:bookmarkEnd w:id="439"/>
            <w:bookmarkEnd w:id="440"/>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7C5DF419">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37BB97">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EEB30A">
            <w:pPr>
              <w:ind w:firstLine="420"/>
              <w:jc w:val="center"/>
              <w:textAlignment w:val="center"/>
              <w:rPr>
                <w:rFonts w:cs="宋体"/>
                <w:color w:val="auto"/>
                <w:sz w:val="21"/>
                <w:szCs w:val="21"/>
                <w:highlight w:val="none"/>
              </w:rPr>
            </w:pPr>
          </w:p>
        </w:tc>
      </w:tr>
      <w:tr w14:paraId="608CDA26">
        <w:tblPrEx>
          <w:tblCellMar>
            <w:top w:w="0" w:type="dxa"/>
            <w:left w:w="108" w:type="dxa"/>
            <w:bottom w:w="0" w:type="dxa"/>
            <w:right w:w="108" w:type="dxa"/>
          </w:tblCellMar>
        </w:tblPrEx>
        <w:trPr>
          <w:trHeight w:val="712"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2B9EF6E2">
            <w:pPr>
              <w:ind w:firstLine="420"/>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4</w:t>
            </w:r>
          </w:p>
        </w:tc>
        <w:tc>
          <w:tcPr>
            <w:tcW w:w="936" w:type="dxa"/>
            <w:vMerge w:val="continue"/>
            <w:tcBorders>
              <w:left w:val="single" w:color="auto" w:sz="4" w:space="0"/>
              <w:bottom w:val="single" w:color="auto" w:sz="4" w:space="0"/>
              <w:right w:val="single" w:color="auto" w:sz="4" w:space="0"/>
            </w:tcBorders>
            <w:noWrap w:val="0"/>
            <w:vAlign w:val="center"/>
          </w:tcPr>
          <w:p w14:paraId="68347B3B">
            <w:pPr>
              <w:ind w:firstLine="0"/>
              <w:rPr>
                <w:color w:val="auto"/>
                <w:highlight w:val="none"/>
              </w:rPr>
            </w:pPr>
          </w:p>
        </w:tc>
        <w:tc>
          <w:tcPr>
            <w:tcW w:w="3711" w:type="dxa"/>
            <w:tcBorders>
              <w:top w:val="single" w:color="auto" w:sz="4" w:space="0"/>
              <w:left w:val="single" w:color="auto" w:sz="4" w:space="0"/>
              <w:bottom w:val="single" w:color="auto" w:sz="4" w:space="0"/>
              <w:right w:val="single" w:color="auto" w:sz="4" w:space="0"/>
            </w:tcBorders>
            <w:noWrap w:val="0"/>
            <w:vAlign w:val="center"/>
          </w:tcPr>
          <w:p w14:paraId="62094344">
            <w:pPr>
              <w:ind w:firstLine="0"/>
              <w:jc w:val="left"/>
              <w:outlineLvl w:val="0"/>
              <w:rPr>
                <w:rFonts w:cs="宋体"/>
                <w:color w:val="auto"/>
                <w:highlight w:val="none"/>
              </w:rPr>
            </w:pPr>
            <w:bookmarkStart w:id="441" w:name="_Toc30256"/>
            <w:bookmarkStart w:id="442" w:name="_Toc24397"/>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val="en-US" w:eastAsia="zh-CN" w:bidi="ar"/>
              </w:rPr>
              <w:t>3</w:t>
            </w: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bidi="ar"/>
              </w:rPr>
              <w:t>对工程合同管理与组织协调措施进行评审：</w:t>
            </w:r>
            <w:bookmarkEnd w:id="441"/>
            <w:bookmarkEnd w:id="442"/>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2CD81645">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1A5BB9">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4DAD4C">
            <w:pPr>
              <w:ind w:firstLine="420"/>
              <w:jc w:val="center"/>
              <w:textAlignment w:val="center"/>
              <w:rPr>
                <w:rFonts w:cs="宋体"/>
                <w:color w:val="auto"/>
                <w:sz w:val="21"/>
                <w:szCs w:val="21"/>
                <w:highlight w:val="none"/>
              </w:rPr>
            </w:pPr>
          </w:p>
        </w:tc>
      </w:tr>
      <w:tr w14:paraId="02C10739">
        <w:tblPrEx>
          <w:tblCellMar>
            <w:top w:w="0" w:type="dxa"/>
            <w:left w:w="108" w:type="dxa"/>
            <w:bottom w:w="0" w:type="dxa"/>
            <w:right w:w="108" w:type="dxa"/>
          </w:tblCellMar>
        </w:tblPrEx>
        <w:trPr>
          <w:trHeight w:val="712"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07A21D83">
            <w:pPr>
              <w:ind w:firstLine="420"/>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5</w:t>
            </w:r>
          </w:p>
        </w:tc>
        <w:tc>
          <w:tcPr>
            <w:tcW w:w="4647" w:type="dxa"/>
            <w:gridSpan w:val="2"/>
            <w:tcBorders>
              <w:top w:val="single" w:color="auto" w:sz="4" w:space="0"/>
              <w:left w:val="single" w:color="auto" w:sz="4" w:space="0"/>
              <w:bottom w:val="single" w:color="auto" w:sz="4" w:space="0"/>
              <w:right w:val="single" w:color="auto" w:sz="4" w:space="0"/>
            </w:tcBorders>
            <w:noWrap w:val="0"/>
            <w:vAlign w:val="center"/>
          </w:tcPr>
          <w:p w14:paraId="6F92849B">
            <w:pPr>
              <w:ind w:firstLine="0"/>
              <w:jc w:val="left"/>
              <w:outlineLvl w:val="0"/>
              <w:rPr>
                <w:rFonts w:cs="宋体"/>
                <w:color w:val="auto"/>
                <w:highlight w:val="none"/>
              </w:rPr>
            </w:pPr>
            <w:bookmarkStart w:id="443" w:name="_Toc3387"/>
            <w:bookmarkStart w:id="444" w:name="_Toc13753"/>
            <w:r>
              <w:rPr>
                <w:rFonts w:hint="eastAsia" w:asciiTheme="minorEastAsia" w:hAnsiTheme="minorEastAsia" w:eastAsiaTheme="minorEastAsia" w:cstheme="minorEastAsia"/>
                <w:szCs w:val="21"/>
                <w:highlight w:val="none"/>
                <w:lang w:val="en-US" w:eastAsia="zh-CN"/>
              </w:rPr>
              <w:t>答辩</w:t>
            </w:r>
            <w:r>
              <w:rPr>
                <w:rFonts w:hint="eastAsia" w:asciiTheme="minorEastAsia" w:hAnsiTheme="minorEastAsia" w:eastAsiaTheme="minorEastAsia" w:cstheme="minorEastAsia"/>
                <w:szCs w:val="21"/>
                <w:highlight w:val="none"/>
              </w:rPr>
              <w:t>因素</w:t>
            </w:r>
            <w:bookmarkEnd w:id="443"/>
            <w:bookmarkEnd w:id="444"/>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4E847D7D">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BC5EF8">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7A44BC">
            <w:pPr>
              <w:ind w:firstLine="420"/>
              <w:jc w:val="center"/>
              <w:textAlignment w:val="center"/>
              <w:rPr>
                <w:rFonts w:cs="宋体"/>
                <w:color w:val="auto"/>
                <w:sz w:val="21"/>
                <w:szCs w:val="21"/>
                <w:highlight w:val="none"/>
              </w:rPr>
            </w:pPr>
          </w:p>
        </w:tc>
      </w:tr>
      <w:tr w14:paraId="4B5AC685">
        <w:tblPrEx>
          <w:tblCellMar>
            <w:top w:w="0" w:type="dxa"/>
            <w:left w:w="108" w:type="dxa"/>
            <w:bottom w:w="0" w:type="dxa"/>
            <w:right w:w="108" w:type="dxa"/>
          </w:tblCellMar>
        </w:tblPrEx>
        <w:trPr>
          <w:trHeight w:val="712" w:hRule="atLeast"/>
          <w:jc w:val="center"/>
        </w:trPr>
        <w:tc>
          <w:tcPr>
            <w:tcW w:w="5553" w:type="dxa"/>
            <w:gridSpan w:val="3"/>
            <w:tcBorders>
              <w:top w:val="single" w:color="auto" w:sz="4" w:space="0"/>
              <w:left w:val="single" w:color="auto" w:sz="4" w:space="0"/>
              <w:bottom w:val="single" w:color="auto" w:sz="4" w:space="0"/>
              <w:right w:val="single" w:color="auto" w:sz="4" w:space="0"/>
            </w:tcBorders>
            <w:noWrap w:val="0"/>
            <w:vAlign w:val="center"/>
          </w:tcPr>
          <w:p w14:paraId="6D950B2E">
            <w:pPr>
              <w:ind w:firstLine="480"/>
              <w:jc w:val="left"/>
              <w:outlineLvl w:val="0"/>
              <w:rPr>
                <w:rFonts w:hint="eastAsia" w:eastAsia="宋体" w:cs="宋体"/>
                <w:color w:val="auto"/>
                <w:highlight w:val="none"/>
                <w:lang w:eastAsia="zh-CN"/>
              </w:rPr>
            </w:pPr>
            <w:bookmarkStart w:id="445" w:name="_Toc32752"/>
            <w:bookmarkStart w:id="446" w:name="_Toc5700"/>
            <w:r>
              <w:rPr>
                <w:rFonts w:hint="eastAsia" w:cs="宋体"/>
                <w:color w:val="auto"/>
                <w:highlight w:val="none"/>
                <w:lang w:eastAsia="zh-CN"/>
              </w:rPr>
              <w:t>合计</w:t>
            </w:r>
            <w:bookmarkEnd w:id="445"/>
            <w:bookmarkEnd w:id="446"/>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0293F235">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4419E">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1B429">
            <w:pPr>
              <w:ind w:firstLine="420"/>
              <w:jc w:val="center"/>
              <w:textAlignment w:val="center"/>
              <w:rPr>
                <w:rFonts w:cs="宋体"/>
                <w:color w:val="auto"/>
                <w:sz w:val="21"/>
                <w:szCs w:val="21"/>
                <w:highlight w:val="none"/>
              </w:rPr>
            </w:pPr>
          </w:p>
        </w:tc>
      </w:tr>
    </w:tbl>
    <w:p w14:paraId="2D5E8F35">
      <w:pPr>
        <w:ind w:right="420" w:firstLine="480"/>
        <w:rPr>
          <w:rFonts w:cs="宋体"/>
          <w:color w:val="auto"/>
          <w:szCs w:val="21"/>
          <w:highlight w:val="none"/>
        </w:rPr>
      </w:pPr>
      <w:r>
        <w:rPr>
          <w:rFonts w:hint="eastAsia" w:cs="宋体"/>
          <w:color w:val="auto"/>
          <w:szCs w:val="21"/>
          <w:highlight w:val="none"/>
        </w:rPr>
        <w:t>备注：</w:t>
      </w:r>
    </w:p>
    <w:p w14:paraId="3632B302">
      <w:pPr>
        <w:ind w:right="-733" w:rightChars="-349" w:firstLine="480"/>
        <w:rPr>
          <w:rFonts w:cs="宋体"/>
          <w:color w:val="auto"/>
          <w:szCs w:val="21"/>
          <w:highlight w:val="none"/>
        </w:rPr>
      </w:pPr>
      <w:r>
        <w:rPr>
          <w:rFonts w:hint="eastAsia" w:cs="宋体"/>
          <w:color w:val="auto"/>
          <w:szCs w:val="21"/>
          <w:highlight w:val="none"/>
        </w:rPr>
        <w:t>（1）本表格用于定标阶段定标因素评审打分，定标委员会成员应当独立打分；</w:t>
      </w:r>
    </w:p>
    <w:p w14:paraId="6AF46A80">
      <w:pPr>
        <w:ind w:firstLine="480"/>
        <w:rPr>
          <w:rFonts w:cs="宋体"/>
          <w:color w:val="auto"/>
          <w:szCs w:val="21"/>
          <w:highlight w:val="none"/>
        </w:rPr>
      </w:pPr>
    </w:p>
    <w:p w14:paraId="7377C09A">
      <w:pPr>
        <w:ind w:firstLine="482"/>
        <w:rPr>
          <w:rFonts w:hint="eastAsia" w:cs="宋体"/>
          <w:b/>
          <w:bCs/>
          <w:color w:val="auto"/>
          <w:szCs w:val="21"/>
          <w:highlight w:val="none"/>
        </w:rPr>
      </w:pPr>
      <w:r>
        <w:rPr>
          <w:rFonts w:hint="eastAsia" w:cs="宋体"/>
          <w:b/>
          <w:bCs/>
          <w:color w:val="auto"/>
          <w:szCs w:val="21"/>
          <w:highlight w:val="none"/>
        </w:rPr>
        <w:t>定标委员会成员签名：                              日期：  年  月  日</w:t>
      </w:r>
    </w:p>
    <w:p w14:paraId="01532AD2">
      <w:pPr>
        <w:adjustRightInd w:val="0"/>
        <w:snapToGrid w:val="0"/>
        <w:spacing w:line="360" w:lineRule="auto"/>
        <w:rPr>
          <w:rFonts w:ascii="宋体" w:hAnsi="宋体" w:cs="宋体"/>
          <w:kern w:val="0"/>
          <w:szCs w:val="21"/>
          <w:highlight w:val="none"/>
        </w:rPr>
      </w:pPr>
    </w:p>
    <w:p w14:paraId="78036984">
      <w:pPr>
        <w:snapToGrid w:val="0"/>
        <w:spacing w:line="360" w:lineRule="auto"/>
        <w:ind w:left="0"/>
        <w:jc w:val="center"/>
        <w:rPr>
          <w:rFonts w:hint="eastAsia" w:asciiTheme="minorEastAsia" w:hAnsiTheme="minorEastAsia" w:eastAsiaTheme="minorEastAsia" w:cstheme="minorEastAsia"/>
          <w:b/>
          <w:smallCaps/>
          <w:sz w:val="30"/>
          <w:szCs w:val="30"/>
          <w:highlight w:val="none"/>
        </w:rPr>
      </w:pPr>
      <w:r>
        <w:rPr>
          <w:rFonts w:hint="eastAsia" w:ascii="宋体" w:hAnsi="宋体" w:cs="宋体"/>
          <w:b/>
          <w:bCs/>
          <w:kern w:val="0"/>
          <w:sz w:val="28"/>
          <w:szCs w:val="28"/>
          <w:highlight w:val="none"/>
        </w:rPr>
        <w:br w:type="page"/>
      </w:r>
      <w:r>
        <w:rPr>
          <w:rFonts w:hint="eastAsia" w:cs="宋体"/>
          <w:b/>
          <w:bCs/>
          <w:color w:val="auto"/>
          <w:spacing w:val="4"/>
          <w:sz w:val="32"/>
          <w:szCs w:val="32"/>
          <w:highlight w:val="none"/>
        </w:rPr>
        <w:t>定标阶段评审得分表—</w:t>
      </w:r>
      <w:r>
        <w:rPr>
          <w:rFonts w:hint="eastAsia" w:asciiTheme="minorEastAsia" w:hAnsiTheme="minorEastAsia" w:eastAsiaTheme="minorEastAsia" w:cstheme="minorEastAsia"/>
          <w:b/>
          <w:smallCaps/>
          <w:sz w:val="30"/>
          <w:szCs w:val="30"/>
          <w:highlight w:val="none"/>
        </w:rPr>
        <w:t>定标委员会汇总用表</w:t>
      </w:r>
    </w:p>
    <w:p w14:paraId="5233888D">
      <w:pPr>
        <w:spacing w:line="240" w:lineRule="auto"/>
        <w:rPr>
          <w:rFonts w:hint="eastAsia" w:asciiTheme="minorEastAsia" w:hAnsiTheme="minorEastAsia" w:eastAsiaTheme="minorEastAsia" w:cstheme="minorEastAsia"/>
          <w:highlight w:val="none"/>
          <w:lang w:eastAsia="zh-CN"/>
        </w:rPr>
      </w:pPr>
    </w:p>
    <w:p w14:paraId="2B187671">
      <w:pPr>
        <w:spacing w:line="24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bl>
      <w:tblPr>
        <w:tblStyle w:val="4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3102"/>
        <w:gridCol w:w="860"/>
        <w:gridCol w:w="860"/>
        <w:gridCol w:w="860"/>
        <w:gridCol w:w="860"/>
        <w:gridCol w:w="860"/>
        <w:gridCol w:w="1026"/>
      </w:tblGrid>
      <w:tr w14:paraId="2A88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2C90E7C7">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序号</w:t>
            </w:r>
          </w:p>
        </w:tc>
        <w:tc>
          <w:tcPr>
            <w:tcW w:w="1713" w:type="pct"/>
            <w:tcBorders>
              <w:top w:val="single" w:color="auto" w:sz="4" w:space="0"/>
              <w:left w:val="single" w:color="auto" w:sz="4" w:space="0"/>
              <w:bottom w:val="single" w:color="auto" w:sz="4" w:space="0"/>
              <w:right w:val="single" w:color="auto" w:sz="4" w:space="0"/>
            </w:tcBorders>
            <w:noWrap w:val="0"/>
            <w:vAlign w:val="center"/>
          </w:tcPr>
          <w:p w14:paraId="2087748B">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合格中标候选人名称</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05590181">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评分人1</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7D8F990A">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评分人2</w:t>
            </w:r>
          </w:p>
        </w:tc>
        <w:tc>
          <w:tcPr>
            <w:tcW w:w="475" w:type="pct"/>
            <w:tcBorders>
              <w:top w:val="single" w:color="auto" w:sz="4" w:space="0"/>
              <w:left w:val="single" w:color="auto" w:sz="4" w:space="0"/>
              <w:bottom w:val="single" w:color="auto" w:sz="4" w:space="0"/>
              <w:right w:val="single" w:color="auto" w:sz="4" w:space="0"/>
            </w:tcBorders>
            <w:noWrap w:val="0"/>
            <w:vAlign w:val="top"/>
          </w:tcPr>
          <w:p w14:paraId="65500838">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评分人3</w:t>
            </w:r>
          </w:p>
        </w:tc>
        <w:tc>
          <w:tcPr>
            <w:tcW w:w="475" w:type="pct"/>
            <w:tcBorders>
              <w:top w:val="single" w:color="auto" w:sz="4" w:space="0"/>
              <w:left w:val="single" w:color="auto" w:sz="4" w:space="0"/>
              <w:bottom w:val="single" w:color="auto" w:sz="4" w:space="0"/>
              <w:right w:val="single" w:color="auto" w:sz="4" w:space="0"/>
            </w:tcBorders>
            <w:noWrap w:val="0"/>
            <w:vAlign w:val="top"/>
          </w:tcPr>
          <w:p w14:paraId="22F26E6E">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评分人4</w:t>
            </w:r>
          </w:p>
        </w:tc>
        <w:tc>
          <w:tcPr>
            <w:tcW w:w="475" w:type="pct"/>
            <w:tcBorders>
              <w:top w:val="single" w:color="auto" w:sz="4" w:space="0"/>
              <w:left w:val="single" w:color="auto" w:sz="4" w:space="0"/>
              <w:bottom w:val="single" w:color="auto" w:sz="4" w:space="0"/>
              <w:right w:val="single" w:color="auto" w:sz="4" w:space="0"/>
            </w:tcBorders>
            <w:noWrap w:val="0"/>
            <w:vAlign w:val="top"/>
          </w:tcPr>
          <w:p w14:paraId="3A54551B">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评分人5</w:t>
            </w:r>
          </w:p>
        </w:tc>
        <w:tc>
          <w:tcPr>
            <w:tcW w:w="566" w:type="pct"/>
            <w:tcBorders>
              <w:top w:val="single" w:color="auto" w:sz="4" w:space="0"/>
              <w:left w:val="single" w:color="auto" w:sz="4" w:space="0"/>
              <w:bottom w:val="single" w:color="auto" w:sz="4" w:space="0"/>
              <w:right w:val="single" w:color="auto" w:sz="4" w:space="0"/>
            </w:tcBorders>
            <w:noWrap w:val="0"/>
            <w:vAlign w:val="center"/>
          </w:tcPr>
          <w:p w14:paraId="3C519B84">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算术平均得分</w:t>
            </w:r>
          </w:p>
        </w:tc>
      </w:tr>
      <w:tr w14:paraId="7A02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463BACA2">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713" w:type="pct"/>
            <w:tcBorders>
              <w:top w:val="single" w:color="auto" w:sz="4" w:space="0"/>
              <w:left w:val="single" w:color="auto" w:sz="4" w:space="0"/>
              <w:bottom w:val="single" w:color="auto" w:sz="4" w:space="0"/>
              <w:right w:val="single" w:color="auto" w:sz="4" w:space="0"/>
            </w:tcBorders>
            <w:noWrap w:val="0"/>
            <w:vAlign w:val="center"/>
          </w:tcPr>
          <w:p w14:paraId="14A20B77">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2852D8B2">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0188F404">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4774CE5D">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79D3204A">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02B33489">
            <w:pPr>
              <w:jc w:val="center"/>
              <w:rPr>
                <w:rFonts w:hint="eastAsia" w:asciiTheme="minorEastAsia" w:hAnsiTheme="minorEastAsia" w:eastAsiaTheme="minorEastAsia" w:cstheme="minorEastAsia"/>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0F01FC75">
            <w:pPr>
              <w:jc w:val="center"/>
              <w:rPr>
                <w:rFonts w:hint="eastAsia" w:asciiTheme="minorEastAsia" w:hAnsiTheme="minorEastAsia" w:eastAsiaTheme="minorEastAsia" w:cstheme="minorEastAsia"/>
                <w:szCs w:val="21"/>
                <w:highlight w:val="none"/>
              </w:rPr>
            </w:pPr>
          </w:p>
        </w:tc>
      </w:tr>
      <w:tr w14:paraId="1B77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7BC89139">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713" w:type="pct"/>
            <w:tcBorders>
              <w:top w:val="single" w:color="auto" w:sz="4" w:space="0"/>
              <w:left w:val="single" w:color="auto" w:sz="4" w:space="0"/>
              <w:bottom w:val="single" w:color="auto" w:sz="4" w:space="0"/>
              <w:right w:val="single" w:color="auto" w:sz="4" w:space="0"/>
            </w:tcBorders>
            <w:noWrap w:val="0"/>
            <w:vAlign w:val="center"/>
          </w:tcPr>
          <w:p w14:paraId="14C3D861">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0F9EBE82">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50F8386B">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7B2808AB">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2069990A">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22FC776F">
            <w:pPr>
              <w:jc w:val="center"/>
              <w:rPr>
                <w:rFonts w:hint="eastAsia" w:asciiTheme="minorEastAsia" w:hAnsiTheme="minorEastAsia" w:eastAsiaTheme="minorEastAsia" w:cstheme="minorEastAsia"/>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3F5B74A1">
            <w:pPr>
              <w:jc w:val="center"/>
              <w:rPr>
                <w:rFonts w:hint="eastAsia" w:asciiTheme="minorEastAsia" w:hAnsiTheme="minorEastAsia" w:eastAsiaTheme="minorEastAsia" w:cstheme="minorEastAsia"/>
                <w:szCs w:val="21"/>
                <w:highlight w:val="none"/>
              </w:rPr>
            </w:pPr>
          </w:p>
        </w:tc>
      </w:tr>
      <w:tr w14:paraId="625E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383B5601">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713" w:type="pct"/>
            <w:tcBorders>
              <w:top w:val="single" w:color="auto" w:sz="4" w:space="0"/>
              <w:left w:val="single" w:color="auto" w:sz="4" w:space="0"/>
              <w:bottom w:val="single" w:color="auto" w:sz="4" w:space="0"/>
              <w:right w:val="single" w:color="auto" w:sz="4" w:space="0"/>
            </w:tcBorders>
            <w:noWrap w:val="0"/>
            <w:vAlign w:val="center"/>
          </w:tcPr>
          <w:p w14:paraId="203775FF">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7FCF4A53">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28865CD4">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50F1689A">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7FF4EB84">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4980BC6D">
            <w:pPr>
              <w:jc w:val="center"/>
              <w:rPr>
                <w:rFonts w:hint="eastAsia" w:asciiTheme="minorEastAsia" w:hAnsiTheme="minorEastAsia" w:eastAsiaTheme="minorEastAsia" w:cstheme="minorEastAsia"/>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65FFE3D7">
            <w:pPr>
              <w:jc w:val="center"/>
              <w:rPr>
                <w:rFonts w:hint="eastAsia" w:asciiTheme="minorEastAsia" w:hAnsiTheme="minorEastAsia" w:eastAsiaTheme="minorEastAsia" w:cstheme="minorEastAsia"/>
                <w:szCs w:val="21"/>
                <w:highlight w:val="none"/>
              </w:rPr>
            </w:pPr>
          </w:p>
        </w:tc>
      </w:tr>
    </w:tbl>
    <w:p w14:paraId="7829AEA3">
      <w:pPr>
        <w:spacing w:line="360" w:lineRule="exact"/>
        <w:ind w:right="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w:t>
      </w:r>
    </w:p>
    <w:p w14:paraId="3BF4B2B6">
      <w:pPr>
        <w:spacing w:line="360" w:lineRule="exact"/>
        <w:ind w:right="0" w:firstLine="210" w:firstLineChars="1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1、定标委员会成员个人评分满分为100分。</w:t>
      </w:r>
    </w:p>
    <w:p w14:paraId="6F9642A1">
      <w:pPr>
        <w:tabs>
          <w:tab w:val="left" w:pos="9070"/>
        </w:tabs>
        <w:spacing w:line="360" w:lineRule="exact"/>
        <w:ind w:right="0" w:firstLine="210" w:firstLineChars="1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2、合格中标候选人得分：定标委员会全部成员评审得分的算术平均值（若分数出现小数点时，保留小数点后二位，第三位小数四舍五入）。</w:t>
      </w:r>
    </w:p>
    <w:p w14:paraId="2835BE44">
      <w:pPr>
        <w:spacing w:line="360" w:lineRule="auto"/>
        <w:ind w:firstLine="480"/>
        <w:rPr>
          <w:rFonts w:hint="eastAsia" w:asciiTheme="minorEastAsia" w:hAnsiTheme="minorEastAsia" w:eastAsiaTheme="minorEastAsia" w:cstheme="minorEastAsia"/>
          <w:color w:val="auto"/>
          <w:szCs w:val="21"/>
          <w:highlight w:val="none"/>
        </w:rPr>
      </w:pPr>
    </w:p>
    <w:p w14:paraId="02C31276">
      <w:pPr>
        <w:pStyle w:val="20"/>
        <w:rPr>
          <w:rFonts w:hint="eastAsia" w:asciiTheme="minorEastAsia" w:hAnsiTheme="minorEastAsia" w:eastAsiaTheme="minorEastAsia" w:cstheme="minorEastAsia"/>
          <w:highlight w:val="none"/>
        </w:rPr>
      </w:pPr>
    </w:p>
    <w:p w14:paraId="707FF908">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定标委员</w:t>
      </w:r>
      <w:r>
        <w:rPr>
          <w:rFonts w:hint="eastAsia" w:asciiTheme="minorEastAsia" w:hAnsiTheme="minorEastAsia" w:eastAsiaTheme="minorEastAsia" w:cstheme="minorEastAsia"/>
          <w:szCs w:val="21"/>
          <w:highlight w:val="none"/>
          <w:lang w:eastAsia="zh-CN"/>
        </w:rPr>
        <w:t>会</w:t>
      </w:r>
      <w:r>
        <w:rPr>
          <w:rFonts w:hint="eastAsia" w:asciiTheme="minorEastAsia" w:hAnsiTheme="minorEastAsia" w:eastAsiaTheme="minorEastAsia" w:cstheme="minorEastAsia"/>
          <w:szCs w:val="21"/>
          <w:highlight w:val="none"/>
        </w:rPr>
        <w:t>签名：</w:t>
      </w:r>
    </w:p>
    <w:p w14:paraId="76D8CCBB">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left"/>
        <w:textAlignment w:val="auto"/>
        <w:outlineLvl w:val="9"/>
        <w:rPr>
          <w:rFonts w:hint="eastAsia" w:ascii="宋体" w:hAnsi="宋体" w:eastAsia="宋体" w:cs="宋体"/>
          <w:szCs w:val="21"/>
          <w:highlight w:val="none"/>
        </w:rPr>
      </w:pPr>
    </w:p>
    <w:p w14:paraId="6DF50ACA">
      <w:pPr>
        <w:adjustRightInd w:val="0"/>
        <w:snapToGrid w:val="0"/>
        <w:spacing w:line="360" w:lineRule="auto"/>
        <w:jc w:val="left"/>
        <w:rPr>
          <w:rFonts w:ascii="宋体" w:hAnsi="宋体" w:cs="宋体"/>
          <w:b/>
          <w:kern w:val="0"/>
          <w:highlight w:val="none"/>
        </w:rPr>
      </w:pPr>
      <w:r>
        <w:rPr>
          <w:rFonts w:hint="eastAsia" w:ascii="宋体" w:hAnsi="宋体" w:eastAsia="宋体" w:cs="宋体"/>
          <w:szCs w:val="21"/>
          <w:highlight w:val="none"/>
        </w:rPr>
        <w:t>日期：     年   月   日</w:t>
      </w:r>
    </w:p>
    <w:p w14:paraId="0B6AE95E">
      <w:pPr>
        <w:adjustRightInd w:val="0"/>
        <w:snapToGrid w:val="0"/>
        <w:spacing w:line="360" w:lineRule="auto"/>
        <w:rPr>
          <w:rFonts w:ascii="宋体" w:hAnsi="宋体" w:cs="宋体"/>
          <w:kern w:val="0"/>
          <w:highlight w:val="none"/>
        </w:rPr>
      </w:pPr>
      <w:r>
        <w:rPr>
          <w:rFonts w:hint="eastAsia" w:ascii="宋体" w:hAnsi="宋体" w:cs="宋体"/>
          <w:kern w:val="0"/>
          <w:highlight w:val="none"/>
        </w:rPr>
        <w:t xml:space="preserve"> </w:t>
      </w:r>
    </w:p>
    <w:p w14:paraId="73E53630">
      <w:pPr>
        <w:ind w:firstLine="658"/>
        <w:jc w:val="center"/>
        <w:rPr>
          <w:rFonts w:hint="eastAsia" w:hAnsi="宋体" w:cs="宋体"/>
          <w:b/>
          <w:bCs/>
          <w:color w:val="auto"/>
          <w:spacing w:val="4"/>
          <w:sz w:val="32"/>
          <w:szCs w:val="32"/>
          <w:highlight w:val="none"/>
        </w:rPr>
      </w:pPr>
      <w:r>
        <w:rPr>
          <w:rFonts w:hint="eastAsia" w:ascii="宋体" w:hAnsi="宋体" w:eastAsia="宋体" w:cs="宋体"/>
          <w:highlight w:val="none"/>
        </w:rPr>
        <w:br w:type="page"/>
      </w:r>
      <w:r>
        <w:rPr>
          <w:rFonts w:hint="eastAsia" w:hAnsi="宋体" w:cs="宋体"/>
          <w:b/>
          <w:bCs/>
          <w:color w:val="auto"/>
          <w:spacing w:val="4"/>
          <w:sz w:val="32"/>
          <w:szCs w:val="32"/>
          <w:highlight w:val="none"/>
          <w:lang w:eastAsia="zh-CN"/>
        </w:rPr>
        <w:t>中标人确定</w:t>
      </w:r>
      <w:r>
        <w:rPr>
          <w:rFonts w:hint="eastAsia" w:hAnsi="宋体" w:cs="宋体"/>
          <w:b/>
          <w:bCs/>
          <w:color w:val="auto"/>
          <w:spacing w:val="4"/>
          <w:sz w:val="32"/>
          <w:szCs w:val="32"/>
          <w:highlight w:val="none"/>
        </w:rPr>
        <w:t>表</w:t>
      </w:r>
    </w:p>
    <w:p w14:paraId="21788A2A">
      <w:pPr>
        <w:ind w:firstLine="600"/>
        <w:jc w:val="left"/>
        <w:rPr>
          <w:rFonts w:hint="eastAsia" w:hAnsi="宋体" w:cs="宋体"/>
          <w:b/>
          <w:bCs/>
          <w:color w:val="auto"/>
          <w:spacing w:val="4"/>
          <w:sz w:val="30"/>
          <w:szCs w:val="30"/>
          <w:highlight w:val="none"/>
        </w:rPr>
      </w:pPr>
      <w:r>
        <w:rPr>
          <w:rFonts w:hint="eastAsia" w:hAnsi="宋体" w:cs="宋体"/>
          <w:color w:val="auto"/>
          <w:sz w:val="30"/>
          <w:szCs w:val="30"/>
          <w:highlight w:val="none"/>
        </w:rPr>
        <w:t>项目名称：</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2353"/>
        <w:gridCol w:w="1818"/>
        <w:gridCol w:w="1818"/>
        <w:gridCol w:w="1818"/>
      </w:tblGrid>
      <w:tr w14:paraId="14D8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3264C01D">
            <w:pPr>
              <w:widowControl/>
              <w:ind w:firstLine="0" w:firstLineChars="0"/>
              <w:jc w:val="center"/>
              <w:rPr>
                <w:rFonts w:hint="eastAsia" w:asciiTheme="minorEastAsia" w:hAnsiTheme="minorEastAsia" w:eastAsiaTheme="minorEastAsia" w:cstheme="minorEastAsia"/>
                <w:b/>
                <w:bCs w:val="0"/>
                <w:color w:val="auto"/>
                <w:spacing w:val="0"/>
                <w:sz w:val="21"/>
                <w:szCs w:val="21"/>
                <w:highlight w:val="none"/>
              </w:rPr>
            </w:pPr>
            <w:r>
              <w:rPr>
                <w:rFonts w:hint="eastAsia" w:asciiTheme="minorEastAsia" w:hAnsiTheme="minorEastAsia" w:eastAsiaTheme="minorEastAsia" w:cstheme="minorEastAsia"/>
                <w:b/>
                <w:bCs w:val="0"/>
                <w:color w:val="auto"/>
                <w:spacing w:val="0"/>
                <w:sz w:val="21"/>
                <w:szCs w:val="21"/>
                <w:highlight w:val="none"/>
              </w:rPr>
              <w:t>序号</w:t>
            </w:r>
          </w:p>
        </w:tc>
        <w:tc>
          <w:tcPr>
            <w:tcW w:w="2353" w:type="dxa"/>
            <w:noWrap w:val="0"/>
            <w:vAlign w:val="top"/>
          </w:tcPr>
          <w:p w14:paraId="05B2C43F">
            <w:pPr>
              <w:widowControl/>
              <w:ind w:firstLine="0" w:firstLineChars="0"/>
              <w:jc w:val="center"/>
              <w:rPr>
                <w:rFonts w:hint="eastAsia" w:asciiTheme="minorEastAsia" w:hAnsiTheme="minorEastAsia" w:eastAsiaTheme="minorEastAsia" w:cstheme="minorEastAsia"/>
                <w:b/>
                <w:bCs w:val="0"/>
                <w:color w:val="auto"/>
                <w:spacing w:val="0"/>
                <w:sz w:val="21"/>
                <w:szCs w:val="21"/>
                <w:highlight w:val="none"/>
              </w:rPr>
            </w:pPr>
            <w:r>
              <w:rPr>
                <w:rFonts w:hint="eastAsia" w:asciiTheme="minorEastAsia" w:hAnsiTheme="minorEastAsia" w:eastAsiaTheme="minorEastAsia" w:cstheme="minorEastAsia"/>
                <w:b/>
                <w:bCs w:val="0"/>
                <w:color w:val="auto"/>
                <w:spacing w:val="0"/>
                <w:sz w:val="21"/>
                <w:szCs w:val="21"/>
                <w:highlight w:val="none"/>
              </w:rPr>
              <w:t>合格的中标候选人</w:t>
            </w:r>
          </w:p>
        </w:tc>
        <w:tc>
          <w:tcPr>
            <w:tcW w:w="1818" w:type="dxa"/>
            <w:noWrap w:val="0"/>
            <w:vAlign w:val="top"/>
          </w:tcPr>
          <w:p w14:paraId="74C30DB4">
            <w:pPr>
              <w:widowControl/>
              <w:ind w:firstLine="0"/>
              <w:jc w:val="center"/>
              <w:rPr>
                <w:rFonts w:hint="eastAsia" w:asciiTheme="minorEastAsia" w:hAnsiTheme="minorEastAsia" w:eastAsiaTheme="minorEastAsia" w:cstheme="minorEastAsia"/>
                <w:b/>
                <w:bCs w:val="0"/>
                <w:color w:val="auto"/>
                <w:spacing w:val="0"/>
                <w:sz w:val="21"/>
                <w:szCs w:val="21"/>
                <w:highlight w:val="none"/>
              </w:rPr>
            </w:pPr>
            <w:r>
              <w:rPr>
                <w:rFonts w:hint="eastAsia" w:asciiTheme="minorEastAsia" w:hAnsiTheme="minorEastAsia" w:eastAsiaTheme="minorEastAsia" w:cstheme="minorEastAsia"/>
                <w:b/>
                <w:bCs w:val="0"/>
                <w:color w:val="auto"/>
                <w:spacing w:val="0"/>
                <w:sz w:val="21"/>
                <w:szCs w:val="21"/>
                <w:highlight w:val="none"/>
              </w:rPr>
              <w:t>总得分</w:t>
            </w:r>
          </w:p>
        </w:tc>
        <w:tc>
          <w:tcPr>
            <w:tcW w:w="1818" w:type="dxa"/>
            <w:noWrap w:val="0"/>
            <w:vAlign w:val="top"/>
          </w:tcPr>
          <w:p w14:paraId="16168841">
            <w:pPr>
              <w:widowControl/>
              <w:ind w:firstLine="0"/>
              <w:jc w:val="center"/>
              <w:rPr>
                <w:rFonts w:hint="eastAsia" w:asciiTheme="minorEastAsia" w:hAnsiTheme="minorEastAsia" w:eastAsiaTheme="minorEastAsia" w:cstheme="minorEastAsia"/>
                <w:b/>
                <w:bCs w:val="0"/>
                <w:color w:val="auto"/>
                <w:spacing w:val="0"/>
                <w:sz w:val="21"/>
                <w:szCs w:val="21"/>
                <w:highlight w:val="none"/>
                <w:lang w:eastAsia="zh-CN"/>
              </w:rPr>
            </w:pPr>
            <w:r>
              <w:rPr>
                <w:rFonts w:hint="eastAsia" w:asciiTheme="minorEastAsia" w:hAnsiTheme="minorEastAsia" w:eastAsiaTheme="minorEastAsia" w:cstheme="minorEastAsia"/>
                <w:b/>
                <w:bCs w:val="0"/>
                <w:color w:val="auto"/>
                <w:spacing w:val="0"/>
                <w:sz w:val="21"/>
                <w:szCs w:val="21"/>
                <w:highlight w:val="none"/>
              </w:rPr>
              <w:t>排</w:t>
            </w:r>
            <w:r>
              <w:rPr>
                <w:rFonts w:hint="eastAsia" w:asciiTheme="minorEastAsia" w:hAnsiTheme="minorEastAsia" w:eastAsiaTheme="minorEastAsia" w:cstheme="minorEastAsia"/>
                <w:b/>
                <w:bCs w:val="0"/>
                <w:color w:val="auto"/>
                <w:spacing w:val="0"/>
                <w:sz w:val="21"/>
                <w:szCs w:val="21"/>
                <w:highlight w:val="none"/>
                <w:lang w:eastAsia="zh-CN"/>
              </w:rPr>
              <w:t>名</w:t>
            </w:r>
          </w:p>
        </w:tc>
        <w:tc>
          <w:tcPr>
            <w:tcW w:w="1818" w:type="dxa"/>
            <w:noWrap w:val="0"/>
            <w:vAlign w:val="top"/>
          </w:tcPr>
          <w:p w14:paraId="50990362">
            <w:pPr>
              <w:widowControl/>
              <w:ind w:firstLine="0"/>
              <w:jc w:val="center"/>
              <w:rPr>
                <w:rFonts w:hint="eastAsia" w:asciiTheme="minorEastAsia" w:hAnsiTheme="minorEastAsia" w:eastAsiaTheme="minorEastAsia" w:cstheme="minorEastAsia"/>
                <w:b/>
                <w:bCs w:val="0"/>
                <w:color w:val="auto"/>
                <w:spacing w:val="0"/>
                <w:sz w:val="21"/>
                <w:szCs w:val="21"/>
                <w:highlight w:val="none"/>
                <w:lang w:eastAsia="zh-CN"/>
              </w:rPr>
            </w:pPr>
            <w:r>
              <w:rPr>
                <w:rFonts w:hint="eastAsia" w:asciiTheme="minorEastAsia" w:hAnsiTheme="minorEastAsia" w:eastAsiaTheme="minorEastAsia" w:cstheme="minorEastAsia"/>
                <w:b/>
                <w:bCs w:val="0"/>
                <w:color w:val="auto"/>
                <w:spacing w:val="0"/>
                <w:sz w:val="21"/>
                <w:szCs w:val="21"/>
                <w:highlight w:val="none"/>
                <w:lang w:eastAsia="zh-CN"/>
              </w:rPr>
              <w:t>是否确定为中标人</w:t>
            </w:r>
          </w:p>
        </w:tc>
      </w:tr>
      <w:tr w14:paraId="23D5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2742407A">
            <w:pPr>
              <w:widowControl w:val="0"/>
              <w:ind w:firstLine="658"/>
              <w:jc w:val="center"/>
              <w:rPr>
                <w:rFonts w:hint="eastAsia" w:hAnsi="宋体" w:cs="宋体"/>
                <w:b/>
                <w:bCs/>
                <w:color w:val="auto"/>
                <w:spacing w:val="4"/>
                <w:sz w:val="32"/>
                <w:szCs w:val="32"/>
                <w:highlight w:val="none"/>
              </w:rPr>
            </w:pPr>
          </w:p>
        </w:tc>
        <w:tc>
          <w:tcPr>
            <w:tcW w:w="2353" w:type="dxa"/>
            <w:noWrap w:val="0"/>
            <w:vAlign w:val="top"/>
          </w:tcPr>
          <w:p w14:paraId="11AB779F">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29AF1EEB">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7624C10B">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523B31A7">
            <w:pPr>
              <w:widowControl w:val="0"/>
              <w:ind w:firstLine="658"/>
              <w:jc w:val="center"/>
              <w:rPr>
                <w:rFonts w:hint="eastAsia" w:hAnsi="宋体" w:cs="宋体"/>
                <w:b/>
                <w:bCs/>
                <w:color w:val="auto"/>
                <w:spacing w:val="4"/>
                <w:sz w:val="32"/>
                <w:szCs w:val="32"/>
                <w:highlight w:val="none"/>
              </w:rPr>
            </w:pPr>
          </w:p>
        </w:tc>
      </w:tr>
      <w:tr w14:paraId="531C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59D41630">
            <w:pPr>
              <w:widowControl w:val="0"/>
              <w:ind w:firstLine="658"/>
              <w:jc w:val="center"/>
              <w:rPr>
                <w:rFonts w:hint="eastAsia" w:hAnsi="宋体" w:cs="宋体"/>
                <w:b/>
                <w:bCs/>
                <w:color w:val="auto"/>
                <w:spacing w:val="4"/>
                <w:sz w:val="32"/>
                <w:szCs w:val="32"/>
                <w:highlight w:val="none"/>
              </w:rPr>
            </w:pPr>
          </w:p>
        </w:tc>
        <w:tc>
          <w:tcPr>
            <w:tcW w:w="2353" w:type="dxa"/>
            <w:noWrap w:val="0"/>
            <w:vAlign w:val="top"/>
          </w:tcPr>
          <w:p w14:paraId="077C3B75">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354C44A3">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5C16F150">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7ADC294A">
            <w:pPr>
              <w:widowControl w:val="0"/>
              <w:ind w:firstLine="658"/>
              <w:jc w:val="center"/>
              <w:rPr>
                <w:rFonts w:hint="eastAsia" w:hAnsi="宋体" w:cs="宋体"/>
                <w:b/>
                <w:bCs/>
                <w:color w:val="auto"/>
                <w:spacing w:val="4"/>
                <w:sz w:val="32"/>
                <w:szCs w:val="32"/>
                <w:highlight w:val="none"/>
              </w:rPr>
            </w:pPr>
          </w:p>
        </w:tc>
      </w:tr>
      <w:tr w14:paraId="59D7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381BBFBC">
            <w:pPr>
              <w:widowControl w:val="0"/>
              <w:ind w:firstLine="658"/>
              <w:jc w:val="center"/>
              <w:rPr>
                <w:rFonts w:hint="eastAsia" w:hAnsi="宋体" w:cs="宋体"/>
                <w:b/>
                <w:bCs/>
                <w:color w:val="auto"/>
                <w:spacing w:val="4"/>
                <w:sz w:val="32"/>
                <w:szCs w:val="32"/>
                <w:highlight w:val="none"/>
              </w:rPr>
            </w:pPr>
          </w:p>
        </w:tc>
        <w:tc>
          <w:tcPr>
            <w:tcW w:w="2353" w:type="dxa"/>
            <w:noWrap w:val="0"/>
            <w:vAlign w:val="top"/>
          </w:tcPr>
          <w:p w14:paraId="4EBDFC39">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2F7A12E0">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64895FBF">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14650B8E">
            <w:pPr>
              <w:widowControl w:val="0"/>
              <w:ind w:firstLine="658"/>
              <w:jc w:val="center"/>
              <w:rPr>
                <w:rFonts w:hint="eastAsia" w:hAnsi="宋体" w:cs="宋体"/>
                <w:b/>
                <w:bCs/>
                <w:color w:val="auto"/>
                <w:spacing w:val="4"/>
                <w:sz w:val="32"/>
                <w:szCs w:val="32"/>
                <w:highlight w:val="none"/>
              </w:rPr>
            </w:pPr>
          </w:p>
        </w:tc>
      </w:tr>
      <w:tr w14:paraId="4E57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68ADD973">
            <w:pPr>
              <w:widowControl w:val="0"/>
              <w:ind w:firstLine="658"/>
              <w:jc w:val="center"/>
              <w:rPr>
                <w:rFonts w:hint="eastAsia" w:hAnsi="宋体" w:cs="宋体"/>
                <w:b/>
                <w:bCs/>
                <w:color w:val="auto"/>
                <w:spacing w:val="4"/>
                <w:sz w:val="32"/>
                <w:szCs w:val="32"/>
                <w:highlight w:val="none"/>
              </w:rPr>
            </w:pPr>
          </w:p>
        </w:tc>
        <w:tc>
          <w:tcPr>
            <w:tcW w:w="2353" w:type="dxa"/>
            <w:noWrap w:val="0"/>
            <w:vAlign w:val="top"/>
          </w:tcPr>
          <w:p w14:paraId="09D2DB32">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06D6131B">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6974F055">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3E2F3547">
            <w:pPr>
              <w:widowControl w:val="0"/>
              <w:ind w:firstLine="658"/>
              <w:jc w:val="center"/>
              <w:rPr>
                <w:rFonts w:hint="eastAsia" w:hAnsi="宋体" w:cs="宋体"/>
                <w:b/>
                <w:bCs/>
                <w:color w:val="auto"/>
                <w:spacing w:val="4"/>
                <w:sz w:val="32"/>
                <w:szCs w:val="32"/>
                <w:highlight w:val="none"/>
              </w:rPr>
            </w:pPr>
          </w:p>
        </w:tc>
      </w:tr>
      <w:tr w14:paraId="718A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6E176FF5">
            <w:pPr>
              <w:widowControl w:val="0"/>
              <w:ind w:firstLine="658"/>
              <w:jc w:val="center"/>
              <w:rPr>
                <w:rFonts w:hint="eastAsia" w:hAnsi="宋体" w:cs="宋体"/>
                <w:b/>
                <w:bCs/>
                <w:color w:val="auto"/>
                <w:spacing w:val="4"/>
                <w:sz w:val="32"/>
                <w:szCs w:val="32"/>
                <w:highlight w:val="none"/>
              </w:rPr>
            </w:pPr>
          </w:p>
        </w:tc>
        <w:tc>
          <w:tcPr>
            <w:tcW w:w="2353" w:type="dxa"/>
            <w:noWrap w:val="0"/>
            <w:vAlign w:val="top"/>
          </w:tcPr>
          <w:p w14:paraId="1E26F23D">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0CB14F16">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5899FAAB">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367E1FA9">
            <w:pPr>
              <w:widowControl w:val="0"/>
              <w:ind w:firstLine="658"/>
              <w:jc w:val="center"/>
              <w:rPr>
                <w:rFonts w:hint="eastAsia" w:hAnsi="宋体" w:cs="宋体"/>
                <w:b/>
                <w:bCs/>
                <w:color w:val="auto"/>
                <w:spacing w:val="4"/>
                <w:sz w:val="32"/>
                <w:szCs w:val="32"/>
                <w:highlight w:val="none"/>
              </w:rPr>
            </w:pPr>
          </w:p>
        </w:tc>
      </w:tr>
    </w:tbl>
    <w:p w14:paraId="58B81854">
      <w:pPr>
        <w:ind w:right="420" w:firstLine="480"/>
        <w:rPr>
          <w:rFonts w:hint="eastAsia" w:hAnsi="宋体" w:cs="宋体"/>
          <w:color w:val="auto"/>
          <w:highlight w:val="none"/>
        </w:rPr>
      </w:pPr>
      <w:r>
        <w:rPr>
          <w:rFonts w:hint="eastAsia" w:hAnsi="宋体" w:cs="宋体"/>
          <w:color w:val="auto"/>
          <w:highlight w:val="none"/>
        </w:rPr>
        <w:t>备注：</w:t>
      </w:r>
    </w:p>
    <w:p w14:paraId="69977131">
      <w:pPr>
        <w:spacing w:line="560" w:lineRule="exact"/>
        <w:ind w:firstLine="480"/>
        <w:rPr>
          <w:rFonts w:hint="eastAsia" w:cs="宋体"/>
          <w:color w:val="auto"/>
          <w:szCs w:val="24"/>
          <w:highlight w:val="none"/>
        </w:rPr>
      </w:pPr>
      <w:r>
        <w:rPr>
          <w:rFonts w:hint="eastAsia" w:cs="宋体"/>
          <w:color w:val="auto"/>
          <w:szCs w:val="24"/>
          <w:highlight w:val="none"/>
        </w:rPr>
        <w:t>（1）</w:t>
      </w:r>
      <w:r>
        <w:rPr>
          <w:rFonts w:hint="eastAsia" w:cs="宋体"/>
          <w:color w:val="auto"/>
          <w:kern w:val="2"/>
          <w:szCs w:val="21"/>
          <w:highlight w:val="none"/>
        </w:rPr>
        <w:t>各合格中标候选人总得分为各评委评分的算术平均值，若分数出现小数点时，保留小数点后二位，第三位小数四舍五入。</w:t>
      </w:r>
    </w:p>
    <w:p w14:paraId="6EA4E78B">
      <w:pPr>
        <w:spacing w:line="560" w:lineRule="exact"/>
        <w:ind w:firstLine="480"/>
        <w:rPr>
          <w:rFonts w:hint="eastAsia" w:cs="宋体"/>
          <w:color w:val="auto"/>
          <w:szCs w:val="24"/>
          <w:highlight w:val="none"/>
        </w:rPr>
      </w:pPr>
      <w:r>
        <w:rPr>
          <w:rFonts w:hint="eastAsia" w:cs="宋体"/>
          <w:color w:val="auto"/>
          <w:szCs w:val="24"/>
          <w:highlight w:val="none"/>
        </w:rPr>
        <w:t>（2）</w:t>
      </w:r>
      <w:r>
        <w:rPr>
          <w:rFonts w:hint="eastAsia" w:ascii="宋体" w:hAnsi="宋体" w:eastAsia="宋体" w:cs="宋体"/>
          <w:kern w:val="0"/>
          <w:szCs w:val="21"/>
          <w:highlight w:val="none"/>
        </w:rPr>
        <w:t>若合格中标候选人总得分相同且影响定标排序的，以价格因素得分高的排前；若价格因素得分仍相同的，以</w:t>
      </w:r>
      <w:r>
        <w:rPr>
          <w:rFonts w:hint="eastAsia" w:ascii="宋体" w:hAnsi="宋体" w:eastAsia="宋体" w:cs="宋体"/>
          <w:kern w:val="0"/>
          <w:szCs w:val="21"/>
          <w:highlight w:val="none"/>
          <w:lang w:eastAsia="zh-CN"/>
        </w:rPr>
        <w:t>方案</w:t>
      </w:r>
      <w:r>
        <w:rPr>
          <w:rFonts w:hint="eastAsia" w:ascii="宋体" w:hAnsi="宋体" w:eastAsia="宋体" w:cs="宋体"/>
          <w:kern w:val="0"/>
          <w:szCs w:val="21"/>
          <w:highlight w:val="none"/>
        </w:rPr>
        <w:t>因素得分高的排前，若</w:t>
      </w:r>
      <w:r>
        <w:rPr>
          <w:rFonts w:hint="eastAsia" w:ascii="宋体" w:hAnsi="宋体" w:eastAsia="宋体" w:cs="宋体"/>
          <w:kern w:val="0"/>
          <w:szCs w:val="21"/>
          <w:highlight w:val="none"/>
          <w:lang w:eastAsia="zh-CN"/>
        </w:rPr>
        <w:t>方案</w:t>
      </w:r>
      <w:r>
        <w:rPr>
          <w:rFonts w:hint="eastAsia" w:ascii="宋体" w:hAnsi="宋体" w:eastAsia="宋体" w:cs="宋体"/>
          <w:kern w:val="0"/>
          <w:szCs w:val="21"/>
          <w:highlight w:val="none"/>
        </w:rPr>
        <w:t>因素得分仍相同的，以</w:t>
      </w:r>
      <w:r>
        <w:rPr>
          <w:rFonts w:hint="eastAsia" w:ascii="宋体" w:hAnsi="宋体" w:eastAsia="宋体" w:cs="宋体"/>
          <w:kern w:val="0"/>
          <w:szCs w:val="21"/>
          <w:highlight w:val="none"/>
          <w:lang w:eastAsia="zh-CN"/>
        </w:rPr>
        <w:t>答辩</w:t>
      </w:r>
      <w:r>
        <w:rPr>
          <w:rFonts w:hint="eastAsia" w:ascii="宋体" w:hAnsi="宋体" w:eastAsia="宋体" w:cs="宋体"/>
          <w:kern w:val="0"/>
          <w:szCs w:val="21"/>
          <w:highlight w:val="none"/>
        </w:rPr>
        <w:t>因素得分高的排前；若</w:t>
      </w:r>
      <w:r>
        <w:rPr>
          <w:rFonts w:hint="eastAsia" w:ascii="宋体" w:hAnsi="宋体" w:eastAsia="宋体" w:cs="宋体"/>
          <w:kern w:val="0"/>
          <w:szCs w:val="21"/>
          <w:highlight w:val="none"/>
          <w:lang w:eastAsia="zh-CN"/>
        </w:rPr>
        <w:t>答辩</w:t>
      </w:r>
      <w:r>
        <w:rPr>
          <w:rFonts w:hint="eastAsia" w:ascii="宋体" w:hAnsi="宋体" w:eastAsia="宋体" w:cs="宋体"/>
          <w:kern w:val="0"/>
          <w:szCs w:val="21"/>
          <w:highlight w:val="none"/>
        </w:rPr>
        <w:t>因素得分仍相同的，由定标委员会采用记名投票方式确定排序。</w:t>
      </w:r>
    </w:p>
    <w:p w14:paraId="42C9FAF0">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Theme="minorEastAsia" w:hAnsiTheme="minorEastAsia" w:eastAsiaTheme="minorEastAsia" w:cstheme="minorEastAsia"/>
          <w:szCs w:val="21"/>
          <w:highlight w:val="none"/>
        </w:rPr>
      </w:pPr>
    </w:p>
    <w:p w14:paraId="3B73AFAB">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定标委员</w:t>
      </w:r>
      <w:r>
        <w:rPr>
          <w:rFonts w:hint="eastAsia" w:asciiTheme="minorEastAsia" w:hAnsiTheme="minorEastAsia" w:eastAsiaTheme="minorEastAsia" w:cstheme="minorEastAsia"/>
          <w:szCs w:val="21"/>
          <w:highlight w:val="none"/>
          <w:lang w:eastAsia="zh-CN"/>
        </w:rPr>
        <w:t>会</w:t>
      </w:r>
      <w:r>
        <w:rPr>
          <w:rFonts w:hint="eastAsia" w:asciiTheme="minorEastAsia" w:hAnsiTheme="minorEastAsia" w:eastAsiaTheme="minorEastAsia" w:cstheme="minorEastAsia"/>
          <w:szCs w:val="21"/>
          <w:highlight w:val="none"/>
        </w:rPr>
        <w:t>签名：</w:t>
      </w:r>
    </w:p>
    <w:p w14:paraId="6BD66383">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Theme="minorEastAsia" w:hAnsiTheme="minorEastAsia" w:eastAsiaTheme="minorEastAsia" w:cstheme="minorEastAsia"/>
          <w:szCs w:val="21"/>
          <w:highlight w:val="none"/>
        </w:rPr>
      </w:pPr>
    </w:p>
    <w:p w14:paraId="1B745E1B">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Theme="minorEastAsia" w:hAnsiTheme="minorEastAsia" w:eastAsiaTheme="minorEastAsia" w:cstheme="minorEastAsia"/>
          <w:szCs w:val="21"/>
          <w:highlight w:val="none"/>
        </w:rPr>
      </w:pPr>
    </w:p>
    <w:p w14:paraId="04225D58">
      <w:pPr>
        <w:adjustRightInd w:val="0"/>
        <w:snapToGrid w:val="0"/>
        <w:spacing w:line="360" w:lineRule="auto"/>
        <w:ind w:firstLine="6300" w:firstLineChars="3000"/>
        <w:rPr>
          <w:rFonts w:ascii="宋体" w:hAnsi="宋体" w:cs="宋体"/>
          <w:kern w:val="0"/>
          <w:szCs w:val="21"/>
          <w:highlight w:val="none"/>
        </w:rPr>
      </w:pPr>
      <w:r>
        <w:rPr>
          <w:rFonts w:hint="eastAsia" w:asciiTheme="minorEastAsia" w:hAnsiTheme="minorEastAsia" w:eastAsiaTheme="minorEastAsia" w:cstheme="minorEastAsia"/>
          <w:szCs w:val="21"/>
          <w:highlight w:val="none"/>
        </w:rPr>
        <w:t>日期：     年   月   日</w:t>
      </w:r>
    </w:p>
    <w:p w14:paraId="5D42DDD6">
      <w:pPr>
        <w:pStyle w:val="140"/>
        <w:rPr>
          <w:rFonts w:ascii="宋体" w:hAnsi="宋体" w:eastAsia="宋体" w:cs="宋体"/>
          <w:highlight w:val="none"/>
        </w:rPr>
      </w:pPr>
    </w:p>
    <w:p w14:paraId="6EBC06DE">
      <w:pPr>
        <w:pStyle w:val="44"/>
        <w:spacing w:line="360" w:lineRule="auto"/>
        <w:ind w:firstLine="6114" w:firstLineChars="2900"/>
        <w:rPr>
          <w:rFonts w:ascii="宋体" w:hAnsi="宋体" w:cs="宋体"/>
          <w:b/>
          <w:szCs w:val="22"/>
          <w:highlight w:val="none"/>
        </w:rPr>
      </w:pPr>
    </w:p>
    <w:p w14:paraId="617C2CE0">
      <w:pPr>
        <w:rPr>
          <w:rFonts w:ascii="宋体" w:hAnsi="宋体"/>
          <w:b/>
          <w:bCs/>
          <w:szCs w:val="32"/>
          <w:highlight w:val="none"/>
        </w:rPr>
      </w:pPr>
    </w:p>
    <w:p w14:paraId="2A491072">
      <w:pPr>
        <w:rPr>
          <w:rFonts w:ascii="宋体" w:hAnsi="宋体"/>
          <w:szCs w:val="32"/>
          <w:highlight w:val="none"/>
        </w:rPr>
      </w:pPr>
    </w:p>
    <w:p w14:paraId="4CBED7DD">
      <w:pPr>
        <w:rPr>
          <w:rFonts w:ascii="宋体" w:hAnsi="宋体"/>
          <w:szCs w:val="32"/>
          <w:highlight w:val="none"/>
        </w:rPr>
      </w:pPr>
    </w:p>
    <w:p w14:paraId="378B0DC8">
      <w:pPr>
        <w:widowControl/>
        <w:snapToGrid w:val="0"/>
        <w:spacing w:line="360" w:lineRule="auto"/>
        <w:ind w:firstLine="426" w:firstLineChars="202"/>
        <w:jc w:val="left"/>
        <w:rPr>
          <w:rFonts w:ascii="宋体" w:hAnsi="宋体"/>
          <w:b/>
          <w:kern w:val="0"/>
          <w:szCs w:val="21"/>
          <w:highlight w:val="none"/>
          <w:shd w:val="clear" w:color="auto" w:fill="FFFFFF"/>
        </w:rPr>
      </w:pPr>
    </w:p>
    <w:p w14:paraId="26A78F91">
      <w:pPr>
        <w:rPr>
          <w:rFonts w:ascii="宋体" w:hAnsi="宋体"/>
          <w:szCs w:val="32"/>
          <w:highlight w:val="none"/>
        </w:rPr>
      </w:pPr>
    </w:p>
    <w:p w14:paraId="4EED10CB">
      <w:pPr>
        <w:spacing w:line="360" w:lineRule="auto"/>
        <w:ind w:firstLine="420" w:firstLineChars="200"/>
        <w:rPr>
          <w:rFonts w:ascii="宋体" w:hAnsi="宋体"/>
          <w:highlight w:val="none"/>
        </w:rPr>
      </w:pPr>
    </w:p>
    <w:p w14:paraId="26B36EC8">
      <w:pPr>
        <w:pStyle w:val="3"/>
        <w:spacing w:line="240" w:lineRule="auto"/>
        <w:jc w:val="center"/>
        <w:rPr>
          <w:rFonts w:ascii="宋体" w:hAnsi="宋体"/>
          <w:highlight w:val="none"/>
        </w:rPr>
      </w:pPr>
      <w:r>
        <w:rPr>
          <w:rFonts w:ascii="宋体" w:hAnsi="宋体"/>
          <w:highlight w:val="none"/>
        </w:rPr>
        <w:br w:type="page"/>
      </w:r>
      <w:bookmarkStart w:id="447" w:name="_Toc15726"/>
      <w:bookmarkStart w:id="448" w:name="_Toc417"/>
      <w:bookmarkStart w:id="449" w:name="_Toc28491"/>
      <w:bookmarkStart w:id="450" w:name="_Toc49510035"/>
      <w:r>
        <w:rPr>
          <w:rFonts w:hint="eastAsia" w:ascii="宋体" w:hAnsi="宋体"/>
          <w:highlight w:val="none"/>
        </w:rPr>
        <w:t>第四章 合同条款及格式</w:t>
      </w:r>
      <w:bookmarkEnd w:id="447"/>
      <w:bookmarkEnd w:id="448"/>
      <w:bookmarkEnd w:id="449"/>
      <w:bookmarkEnd w:id="450"/>
    </w:p>
    <w:p w14:paraId="11DC440A">
      <w:pPr>
        <w:pStyle w:val="4"/>
        <w:ind w:firstLine="643" w:firstLineChars="200"/>
        <w:jc w:val="center"/>
        <w:rPr>
          <w:rFonts w:ascii="宋体" w:hAnsi="宋体" w:eastAsia="宋体"/>
          <w:bCs/>
          <w:highlight w:val="none"/>
        </w:rPr>
      </w:pPr>
      <w:bookmarkStart w:id="451" w:name="_Toc16559"/>
      <w:bookmarkStart w:id="452" w:name="_Toc29728"/>
      <w:bookmarkStart w:id="453" w:name="_Toc6476"/>
      <w:bookmarkStart w:id="454" w:name="_Toc21483"/>
      <w:r>
        <w:rPr>
          <w:rFonts w:hint="eastAsia" w:ascii="宋体" w:hAnsi="宋体" w:eastAsia="宋体"/>
          <w:bCs/>
          <w:highlight w:val="none"/>
        </w:rPr>
        <w:t>（另册）</w:t>
      </w:r>
      <w:bookmarkEnd w:id="451"/>
      <w:bookmarkEnd w:id="452"/>
      <w:bookmarkEnd w:id="453"/>
      <w:bookmarkEnd w:id="454"/>
    </w:p>
    <w:p w14:paraId="3DE2D450">
      <w:pPr>
        <w:rPr>
          <w:rFonts w:ascii="宋体" w:hAnsi="宋体"/>
          <w:bCs/>
          <w:highlight w:val="none"/>
        </w:rPr>
      </w:pPr>
    </w:p>
    <w:p w14:paraId="4FE673AF">
      <w:pPr>
        <w:pStyle w:val="22"/>
        <w:rPr>
          <w:rFonts w:ascii="宋体" w:hAnsi="宋体"/>
          <w:bCs/>
          <w:highlight w:val="none"/>
        </w:rPr>
      </w:pPr>
    </w:p>
    <w:p w14:paraId="3BEE06AD">
      <w:pPr>
        <w:pStyle w:val="23"/>
        <w:rPr>
          <w:rFonts w:ascii="宋体" w:hAnsi="宋体"/>
          <w:bCs/>
          <w:highlight w:val="none"/>
        </w:rPr>
      </w:pPr>
    </w:p>
    <w:p w14:paraId="017BD28A">
      <w:pPr>
        <w:spacing w:line="360" w:lineRule="auto"/>
        <w:jc w:val="center"/>
        <w:rPr>
          <w:rFonts w:ascii="宋体" w:hAnsi="宋体"/>
          <w:highlight w:val="none"/>
        </w:rPr>
      </w:pPr>
      <w:bookmarkStart w:id="455" w:name="_Toc49510050"/>
      <w:bookmarkStart w:id="456" w:name="_Toc1039"/>
      <w:bookmarkStart w:id="457" w:name="_Toc246996338"/>
      <w:bookmarkStart w:id="458" w:name="_Toc179632787"/>
      <w:bookmarkStart w:id="459" w:name="_Toc247085853"/>
      <w:bookmarkStart w:id="460" w:name="_Toc246997081"/>
      <w:bookmarkStart w:id="461" w:name="_Toc152045610"/>
      <w:bookmarkStart w:id="462" w:name="_Toc247527798"/>
      <w:bookmarkStart w:id="463" w:name="_Toc247514197"/>
      <w:bookmarkStart w:id="464" w:name="_Toc152042549"/>
      <w:bookmarkStart w:id="465" w:name="_Toc300835199"/>
      <w:bookmarkStart w:id="466" w:name="_Toc144974578"/>
      <w:bookmarkStart w:id="467" w:name="_Toc144974829"/>
      <w:bookmarkStart w:id="468" w:name="_Toc152042388"/>
      <w:bookmarkStart w:id="469" w:name="_Toc184635122"/>
      <w:r>
        <w:rPr>
          <w:rFonts w:hint="eastAsia" w:ascii="宋体" w:hAnsi="宋体"/>
          <w:b/>
          <w:kern w:val="44"/>
          <w:sz w:val="44"/>
          <w:szCs w:val="20"/>
          <w:highlight w:val="none"/>
        </w:rPr>
        <w:br w:type="page"/>
      </w:r>
      <w:bookmarkEnd w:id="455"/>
      <w:bookmarkEnd w:id="456"/>
      <w:bookmarkStart w:id="470" w:name="_Toc49510051"/>
      <w:bookmarkStart w:id="471" w:name="_Toc25775"/>
      <w:r>
        <w:rPr>
          <w:rFonts w:hint="eastAsia" w:ascii="宋体" w:hAnsi="宋体"/>
          <w:b/>
          <w:bCs/>
          <w:sz w:val="44"/>
          <w:szCs w:val="44"/>
          <w:highlight w:val="none"/>
        </w:rPr>
        <w:t>第二卷</w:t>
      </w:r>
    </w:p>
    <w:p w14:paraId="27FE4AAE">
      <w:pPr>
        <w:pStyle w:val="3"/>
        <w:spacing w:line="240" w:lineRule="auto"/>
        <w:jc w:val="center"/>
        <w:rPr>
          <w:rFonts w:ascii="宋体" w:hAnsi="宋体"/>
          <w:highlight w:val="none"/>
        </w:rPr>
      </w:pPr>
      <w:bookmarkStart w:id="472" w:name="_Toc30693"/>
      <w:bookmarkStart w:id="473" w:name="_Toc15730"/>
      <w:r>
        <w:rPr>
          <w:rFonts w:hint="eastAsia" w:ascii="宋体" w:hAnsi="宋体"/>
          <w:highlight w:val="none"/>
        </w:rPr>
        <w:t>第五章 委托人要求</w:t>
      </w:r>
      <w:bookmarkEnd w:id="470"/>
      <w:bookmarkEnd w:id="471"/>
      <w:bookmarkEnd w:id="472"/>
      <w:bookmarkEnd w:id="473"/>
    </w:p>
    <w:bookmarkEnd w:id="457"/>
    <w:bookmarkEnd w:id="458"/>
    <w:bookmarkEnd w:id="459"/>
    <w:bookmarkEnd w:id="460"/>
    <w:p w14:paraId="23A1BC0D">
      <w:pPr>
        <w:pStyle w:val="95"/>
        <w:spacing w:line="360" w:lineRule="auto"/>
        <w:ind w:firstLine="0" w:firstLineChars="0"/>
        <w:jc w:val="left"/>
        <w:rPr>
          <w:rFonts w:ascii="宋体" w:hAnsi="宋体" w:cs="宋体"/>
          <w:sz w:val="28"/>
          <w:szCs w:val="28"/>
          <w:highlight w:val="none"/>
        </w:rPr>
      </w:pPr>
      <w:r>
        <w:rPr>
          <w:rFonts w:hint="eastAsia" w:ascii="宋体" w:hAnsi="宋体" w:cs="宋体"/>
          <w:sz w:val="28"/>
          <w:szCs w:val="28"/>
          <w:highlight w:val="none"/>
        </w:rPr>
        <w:t>一、项目介绍</w:t>
      </w:r>
    </w:p>
    <w:p w14:paraId="0C096B26">
      <w:pPr>
        <w:widowControl/>
        <w:adjustRightInd w:val="0"/>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1、工程名称：</w:t>
      </w:r>
    </w:p>
    <w:p w14:paraId="40B303F0">
      <w:pPr>
        <w:widowControl/>
        <w:adjustRightInd w:val="0"/>
        <w:snapToGrid w:val="0"/>
        <w:spacing w:line="360" w:lineRule="auto"/>
        <w:jc w:val="left"/>
        <w:rPr>
          <w:rFonts w:hint="eastAsia" w:ascii="宋体" w:hAnsi="宋体" w:cs="宋体"/>
          <w:kern w:val="0"/>
          <w:sz w:val="24"/>
          <w:highlight w:val="none"/>
          <w:lang w:eastAsia="zh-CN"/>
        </w:rPr>
      </w:pPr>
      <w:r>
        <w:rPr>
          <w:rFonts w:hint="eastAsia" w:ascii="宋体" w:hAnsi="宋体" w:cs="宋体"/>
          <w:kern w:val="0"/>
          <w:sz w:val="24"/>
          <w:highlight w:val="none"/>
          <w:lang w:eastAsia="zh-CN"/>
        </w:rPr>
        <w:t>半导体多芯片堆叠大尺寸封装基板产品制造项目厂房建设项目施工监理</w:t>
      </w:r>
    </w:p>
    <w:p w14:paraId="78018A5F">
      <w:pPr>
        <w:widowControl/>
        <w:adjustRightInd w:val="0"/>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2、建设地点：</w:t>
      </w:r>
    </w:p>
    <w:p w14:paraId="55E5EBE1">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szCs w:val="24"/>
          <w:highlight w:val="none"/>
          <w:lang w:val="en-US" w:eastAsia="zh-CN"/>
        </w:rPr>
        <w:t>广州市黄埔区九龙镇知新路1321号。</w:t>
      </w:r>
    </w:p>
    <w:p w14:paraId="728CAB5D">
      <w:pPr>
        <w:widowControl/>
        <w:adjustRightInd w:val="0"/>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3、项目概况：</w:t>
      </w:r>
    </w:p>
    <w:p w14:paraId="3ECE4126">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本项目建设地点位于广州黄埔区中新知识城，总投资3.8亿元，均为基建投资。项目将建设封装基板专业工厂厂房1栋以及配套建筑1栋，用于生产半导体多芯片堆叠大尺寸封装基板产品。本项目占地面积约26050平方米，总建筑面积约104200平方米。</w:t>
      </w:r>
    </w:p>
    <w:p w14:paraId="3E4B7906">
      <w:pPr>
        <w:widowControl/>
        <w:adjustRightInd w:val="0"/>
        <w:snapToGrid w:val="0"/>
        <w:spacing w:line="360" w:lineRule="auto"/>
        <w:ind w:firstLine="0" w:firstLineChars="0"/>
        <w:jc w:val="left"/>
        <w:rPr>
          <w:rFonts w:hint="eastAsia" w:ascii="宋体" w:hAnsi="宋体" w:cs="宋体"/>
          <w:kern w:val="0"/>
          <w:sz w:val="24"/>
          <w:szCs w:val="22"/>
          <w:highlight w:val="none"/>
        </w:rPr>
      </w:pPr>
      <w:r>
        <w:rPr>
          <w:rFonts w:hint="eastAsia" w:ascii="宋体" w:hAnsi="宋体" w:cs="宋体"/>
          <w:kern w:val="0"/>
          <w:sz w:val="24"/>
          <w:szCs w:val="22"/>
          <w:highlight w:val="none"/>
          <w:lang w:val="en-US" w:eastAsia="zh-CN"/>
        </w:rPr>
        <w:t>二、</w:t>
      </w:r>
      <w:r>
        <w:rPr>
          <w:rFonts w:hint="eastAsia" w:ascii="宋体" w:hAnsi="宋体" w:cs="宋体"/>
          <w:kern w:val="0"/>
          <w:sz w:val="24"/>
          <w:szCs w:val="22"/>
          <w:highlight w:val="none"/>
        </w:rPr>
        <w:t>监理范围</w:t>
      </w:r>
      <w:r>
        <w:rPr>
          <w:rFonts w:hint="eastAsia" w:ascii="宋体" w:hAnsi="宋体" w:cs="宋体"/>
          <w:kern w:val="0"/>
          <w:sz w:val="24"/>
          <w:szCs w:val="22"/>
          <w:highlight w:val="none"/>
          <w:lang w:eastAsia="zh-CN"/>
        </w:rPr>
        <w:t>和内容</w:t>
      </w:r>
      <w:r>
        <w:rPr>
          <w:rFonts w:hint="eastAsia" w:ascii="宋体" w:hAnsi="宋体" w:cs="宋体"/>
          <w:kern w:val="0"/>
          <w:sz w:val="24"/>
          <w:szCs w:val="22"/>
          <w:highlight w:val="none"/>
        </w:rPr>
        <w:t>：</w:t>
      </w:r>
    </w:p>
    <w:p w14:paraId="1E61A66F">
      <w:pPr>
        <w:adjustRightInd/>
        <w:snapToGrid/>
        <w:spacing w:line="360" w:lineRule="auto"/>
        <w:ind w:firstLine="480" w:firstLineChars="200"/>
        <w:jc w:val="left"/>
        <w:rPr>
          <w:rFonts w:hint="eastAsia" w:ascii="宋体" w:hAnsi="宋体" w:cs="宋体"/>
          <w:snapToGrid/>
          <w:kern w:val="2"/>
          <w:sz w:val="24"/>
          <w:szCs w:val="24"/>
          <w:highlight w:val="none"/>
          <w:u w:val="single"/>
        </w:rPr>
      </w:pPr>
      <w:r>
        <w:rPr>
          <w:rFonts w:hint="eastAsia" w:ascii="宋体" w:hAnsi="宋体" w:cs="宋体"/>
          <w:snapToGrid/>
          <w:kern w:val="2"/>
          <w:sz w:val="24"/>
          <w:szCs w:val="24"/>
          <w:highlight w:val="none"/>
          <w:u w:val="single"/>
          <w:lang w:eastAsia="zh-CN"/>
        </w:rPr>
        <w:t>（</w:t>
      </w:r>
      <w:r>
        <w:rPr>
          <w:rFonts w:hint="eastAsia" w:ascii="宋体" w:hAnsi="宋体" w:cs="宋体"/>
          <w:snapToGrid/>
          <w:kern w:val="2"/>
          <w:sz w:val="24"/>
          <w:szCs w:val="24"/>
          <w:highlight w:val="none"/>
          <w:u w:val="single"/>
          <w:lang w:val="en-US" w:eastAsia="zh-CN"/>
        </w:rPr>
        <w:t>1</w:t>
      </w:r>
      <w:r>
        <w:rPr>
          <w:rFonts w:hint="eastAsia" w:ascii="宋体" w:hAnsi="宋体" w:cs="宋体"/>
          <w:snapToGrid/>
          <w:kern w:val="2"/>
          <w:sz w:val="24"/>
          <w:szCs w:val="24"/>
          <w:highlight w:val="none"/>
          <w:u w:val="single"/>
          <w:lang w:eastAsia="zh-CN"/>
        </w:rPr>
        <w:t>）</w:t>
      </w:r>
      <w:r>
        <w:rPr>
          <w:rFonts w:hint="eastAsia" w:ascii="宋体" w:hAnsi="宋体" w:cs="宋体"/>
          <w:snapToGrid/>
          <w:kern w:val="2"/>
          <w:sz w:val="24"/>
          <w:szCs w:val="24"/>
          <w:highlight w:val="none"/>
          <w:u w:val="single"/>
        </w:rPr>
        <w:t>监理范围包括：</w:t>
      </w:r>
      <w:r>
        <w:rPr>
          <w:rFonts w:hint="eastAsia" w:ascii="宋体" w:hAnsi="宋体" w:cs="宋体"/>
          <w:sz w:val="24"/>
          <w:szCs w:val="24"/>
          <w:highlight w:val="none"/>
          <w:u w:val="single"/>
        </w:rPr>
        <w:t>按《广东省建设工程监理条例》及相关法律法规要求执行，监理单位应全面履行监理义务，对本工程施工图及项目计划范围内的工程实施质量控制、进度控制、投资控制、合同管理、安全及文明施工的监督和检查、节能、环保的监督，以及信息及档案管理和工作协调，独立、公正、科学、有效地服务于本工程，使工程质量、工期和投资满足施工合同要求，并强化管理，使工程建设达到质量优、进度快、投资省、效益高的目标。</w:t>
      </w:r>
      <w:r>
        <w:rPr>
          <w:rFonts w:hint="eastAsia" w:ascii="宋体" w:hAnsi="宋体" w:cs="宋体"/>
          <w:snapToGrid/>
          <w:kern w:val="2"/>
          <w:sz w:val="24"/>
          <w:szCs w:val="24"/>
          <w:highlight w:val="none"/>
          <w:u w:val="single"/>
        </w:rPr>
        <w:fldChar w:fldCharType="begin"/>
      </w:r>
      <w:r>
        <w:rPr>
          <w:rFonts w:hint="eastAsia" w:ascii="宋体" w:hAnsi="宋体" w:cs="宋体"/>
          <w:snapToGrid/>
          <w:kern w:val="2"/>
          <w:sz w:val="24"/>
          <w:szCs w:val="24"/>
          <w:highlight w:val="none"/>
          <w:u w:val="single"/>
        </w:rPr>
        <w:instrText xml:space="preserve"> AUTOTEXT  input562 \* MERGEFORMAT </w:instrText>
      </w:r>
      <w:r>
        <w:rPr>
          <w:rFonts w:hint="eastAsia" w:ascii="宋体" w:hAnsi="宋体" w:cs="宋体"/>
          <w:snapToGrid/>
          <w:kern w:val="2"/>
          <w:sz w:val="24"/>
          <w:szCs w:val="24"/>
          <w:highlight w:val="none"/>
          <w:u w:val="single"/>
        </w:rPr>
        <w:fldChar w:fldCharType="end"/>
      </w:r>
      <w:r>
        <w:rPr>
          <w:rFonts w:hint="eastAsia" w:ascii="宋体" w:hAnsi="宋体" w:cs="宋体"/>
          <w:snapToGrid/>
          <w:kern w:val="2"/>
          <w:sz w:val="24"/>
          <w:szCs w:val="24"/>
          <w:highlight w:val="none"/>
          <w:u w:val="single"/>
        </w:rPr>
        <w:t>。</w:t>
      </w:r>
    </w:p>
    <w:p w14:paraId="65BDDB21">
      <w:pPr>
        <w:pStyle w:val="44"/>
        <w:rPr>
          <w:rFonts w:hint="eastAsia" w:ascii="宋体" w:hAnsi="宋体" w:cs="宋体"/>
          <w:snapToGrid/>
          <w:kern w:val="2"/>
          <w:sz w:val="24"/>
          <w:szCs w:val="24"/>
          <w:highlight w:val="none"/>
          <w:u w:val="single"/>
        </w:rPr>
      </w:pPr>
      <w:r>
        <w:rPr>
          <w:rFonts w:hint="eastAsia" w:ascii="宋体" w:hAnsi="宋体" w:cs="宋体"/>
          <w:snapToGrid/>
          <w:kern w:val="2"/>
          <w:sz w:val="24"/>
          <w:szCs w:val="24"/>
          <w:highlight w:val="none"/>
          <w:u w:val="single"/>
          <w:lang w:eastAsia="zh-CN"/>
        </w:rPr>
        <w:t>（</w:t>
      </w:r>
      <w:r>
        <w:rPr>
          <w:rFonts w:hint="eastAsia" w:ascii="宋体" w:hAnsi="宋体" w:cs="宋体"/>
          <w:snapToGrid/>
          <w:kern w:val="2"/>
          <w:sz w:val="24"/>
          <w:szCs w:val="24"/>
          <w:highlight w:val="none"/>
          <w:u w:val="single"/>
          <w:lang w:val="en-US" w:eastAsia="zh-CN"/>
        </w:rPr>
        <w:t>2</w:t>
      </w:r>
      <w:r>
        <w:rPr>
          <w:rFonts w:hint="eastAsia" w:ascii="宋体" w:hAnsi="宋体" w:cs="宋体"/>
          <w:snapToGrid/>
          <w:kern w:val="2"/>
          <w:sz w:val="24"/>
          <w:szCs w:val="24"/>
          <w:highlight w:val="none"/>
          <w:u w:val="single"/>
          <w:lang w:eastAsia="zh-CN"/>
        </w:rPr>
        <w:t>）</w:t>
      </w:r>
      <w:r>
        <w:rPr>
          <w:rFonts w:hint="eastAsia" w:ascii="宋体" w:hAnsi="宋体" w:cs="宋体"/>
          <w:snapToGrid/>
          <w:kern w:val="2"/>
          <w:sz w:val="24"/>
          <w:szCs w:val="24"/>
          <w:highlight w:val="none"/>
          <w:u w:val="single"/>
        </w:rPr>
        <w:t>监理工作内容还包括：1、施工阶段包括但不限于地基基础（含土石方工程、基坑支护工程、桩基工程、人防工程）、主体结构工程、装饰装修工程（含室内精装修、幕墙工程）、屋面及防水工程、建筑给排水工程、建筑电气工程、通风与空调工程、智能化工程、建筑节能、白蚁防治、室外工程、标识标线设施工程、消防工程、变配电工程、发电机工程、电梯供货安装工程等所有工程的全过程的质量、进度、费用控制、安全文明施工管理、合同、信息等方面的协调管理； 2.保修阶段的监理服务工作及审计结算的配合服务工作； 3.承包人不能拒绝执行为完成全部工程而需执行的可能遗漏的工作。4、协助业主办理图纸审查和各项报批工作。5、涉及工程建设现场的外层关系组织协调（设计、质量监督、质量检测、安全监督、施工等）。</w:t>
      </w:r>
    </w:p>
    <w:p w14:paraId="0C88E47F">
      <w:pPr>
        <w:pStyle w:val="44"/>
        <w:ind w:firstLine="0"/>
        <w:rPr>
          <w:rFonts w:hint="eastAsia" w:ascii="宋体" w:hAnsi="宋体" w:cs="宋体"/>
          <w:sz w:val="24"/>
          <w:highlight w:val="none"/>
          <w:u w:val="single"/>
        </w:rPr>
      </w:pPr>
      <w:r>
        <w:rPr>
          <w:rFonts w:hint="eastAsia" w:ascii="宋体" w:hAnsi="宋体" w:cs="宋体"/>
          <w:sz w:val="24"/>
          <w:highlight w:val="none"/>
          <w:u w:val="single"/>
          <w:lang w:eastAsia="zh-CN"/>
        </w:rPr>
        <w:t>三、</w:t>
      </w:r>
      <w:r>
        <w:rPr>
          <w:rFonts w:hint="eastAsia" w:ascii="宋体" w:hAnsi="宋体" w:cs="宋体"/>
          <w:sz w:val="24"/>
          <w:highlight w:val="none"/>
          <w:u w:val="single"/>
        </w:rPr>
        <w:t>项目总监要求具有国家注册监理工程师且满足5年（房屋建筑工程专业），具有工程师以上职称</w:t>
      </w:r>
      <w:r>
        <w:rPr>
          <w:rFonts w:hint="eastAsia" w:ascii="宋体" w:hAnsi="宋体" w:cs="宋体"/>
          <w:sz w:val="24"/>
          <w:highlight w:val="none"/>
          <w:u w:val="single"/>
          <w:lang w:eastAsia="zh-CN"/>
        </w:rPr>
        <w:t>。</w:t>
      </w:r>
    </w:p>
    <w:p w14:paraId="0205B45C">
      <w:pPr>
        <w:jc w:val="center"/>
        <w:rPr>
          <w:rFonts w:ascii="宋体" w:hAnsi="宋体"/>
          <w:highlight w:val="none"/>
        </w:rPr>
      </w:pPr>
      <w:r>
        <w:rPr>
          <w:rFonts w:ascii="宋体" w:hAnsi="宋体"/>
          <w:sz w:val="22"/>
          <w:highlight w:val="none"/>
        </w:rPr>
        <w:br w:type="page"/>
      </w:r>
      <w:bookmarkStart w:id="474" w:name="_Toc49510052"/>
      <w:bookmarkStart w:id="475" w:name="_Toc29685"/>
      <w:r>
        <w:rPr>
          <w:rFonts w:hint="eastAsia" w:ascii="宋体" w:hAnsi="宋体"/>
          <w:b/>
          <w:bCs/>
          <w:sz w:val="44"/>
          <w:szCs w:val="44"/>
          <w:highlight w:val="none"/>
        </w:rPr>
        <w:t>第三卷</w:t>
      </w:r>
      <w:bookmarkEnd w:id="474"/>
      <w:bookmarkEnd w:id="475"/>
      <w:bookmarkStart w:id="476" w:name="_Toc1700"/>
      <w:bookmarkStart w:id="477" w:name="_Toc49510053"/>
    </w:p>
    <w:p w14:paraId="45FBDDA7">
      <w:pPr>
        <w:pStyle w:val="3"/>
        <w:spacing w:line="240" w:lineRule="auto"/>
        <w:jc w:val="center"/>
        <w:rPr>
          <w:rFonts w:ascii="宋体" w:hAnsi="宋体"/>
          <w:highlight w:val="none"/>
        </w:rPr>
      </w:pPr>
      <w:bookmarkStart w:id="478" w:name="_Toc6294"/>
      <w:bookmarkStart w:id="479" w:name="_Toc26176"/>
      <w:r>
        <w:rPr>
          <w:rFonts w:hint="eastAsia" w:ascii="宋体" w:hAnsi="宋体"/>
          <w:highlight w:val="none"/>
        </w:rPr>
        <w:t>第六章 投标文件格式</w:t>
      </w:r>
      <w:bookmarkEnd w:id="476"/>
      <w:bookmarkEnd w:id="477"/>
      <w:bookmarkEnd w:id="478"/>
      <w:bookmarkEnd w:id="479"/>
    </w:p>
    <w:p w14:paraId="1295EAE0">
      <w:pPr>
        <w:spacing w:line="400" w:lineRule="exact"/>
        <w:rPr>
          <w:rFonts w:ascii="宋体" w:hAnsi="宋体"/>
          <w:highlight w:val="none"/>
        </w:rPr>
      </w:pPr>
    </w:p>
    <w:p w14:paraId="667D8CF3">
      <w:pPr>
        <w:spacing w:line="400" w:lineRule="exact"/>
        <w:rPr>
          <w:rFonts w:ascii="宋体" w:hAnsi="宋体"/>
          <w:highlight w:val="none"/>
        </w:rPr>
      </w:pPr>
      <w:r>
        <w:rPr>
          <w:rFonts w:ascii="宋体" w:hAnsi="宋体"/>
          <w:highlight w:val="none"/>
        </w:rPr>
        <w:br w:type="page"/>
      </w:r>
    </w:p>
    <w:bookmarkEnd w:id="461"/>
    <w:bookmarkEnd w:id="462"/>
    <w:bookmarkEnd w:id="463"/>
    <w:bookmarkEnd w:id="464"/>
    <w:bookmarkEnd w:id="465"/>
    <w:bookmarkEnd w:id="466"/>
    <w:bookmarkEnd w:id="467"/>
    <w:bookmarkEnd w:id="468"/>
    <w:bookmarkEnd w:id="469"/>
    <w:p w14:paraId="43127E03">
      <w:pPr>
        <w:pStyle w:val="4"/>
        <w:jc w:val="center"/>
        <w:rPr>
          <w:rFonts w:ascii="宋体" w:hAnsi="宋体" w:eastAsia="宋体"/>
          <w:highlight w:val="none"/>
        </w:rPr>
      </w:pPr>
      <w:bookmarkStart w:id="480" w:name="_Toc515450412"/>
      <w:bookmarkStart w:id="481" w:name="_Toc492300719"/>
      <w:bookmarkStart w:id="482" w:name="_Toc18963"/>
      <w:bookmarkStart w:id="483" w:name="_Toc516145370"/>
      <w:bookmarkStart w:id="484" w:name="_Toc26635"/>
      <w:r>
        <w:rPr>
          <w:rFonts w:ascii="宋体" w:hAnsi="宋体" w:eastAsia="宋体"/>
          <w:highlight w:val="none"/>
        </w:rPr>
        <w:t>目录</w:t>
      </w:r>
      <w:bookmarkEnd w:id="480"/>
      <w:bookmarkEnd w:id="481"/>
      <w:bookmarkEnd w:id="482"/>
      <w:bookmarkEnd w:id="483"/>
      <w:bookmarkEnd w:id="484"/>
    </w:p>
    <w:p w14:paraId="73097A57">
      <w:pPr>
        <w:spacing w:line="540" w:lineRule="exact"/>
        <w:outlineLvl w:val="0"/>
        <w:rPr>
          <w:rFonts w:ascii="宋体" w:hAnsi="宋体" w:cs="宋体"/>
          <w:highlight w:val="none"/>
        </w:rPr>
      </w:pPr>
      <w:bookmarkStart w:id="485" w:name="_Toc5748"/>
      <w:bookmarkStart w:id="486" w:name="_Toc31290"/>
      <w:bookmarkStart w:id="487" w:name="_Toc28562"/>
      <w:bookmarkStart w:id="488" w:name="_Toc20798"/>
      <w:bookmarkStart w:id="489" w:name="_Toc3737"/>
      <w:bookmarkStart w:id="490" w:name="_Toc369531691"/>
      <w:bookmarkStart w:id="491" w:name="_Toc7039"/>
      <w:bookmarkStart w:id="492" w:name="_Toc352691655"/>
      <w:r>
        <w:rPr>
          <w:rFonts w:hint="eastAsia" w:ascii="宋体" w:hAnsi="宋体" w:cs="宋体"/>
          <w:highlight w:val="none"/>
        </w:rPr>
        <w:t>一、投标函及投标函附录</w:t>
      </w:r>
      <w:bookmarkEnd w:id="485"/>
      <w:bookmarkEnd w:id="486"/>
      <w:bookmarkEnd w:id="487"/>
      <w:bookmarkEnd w:id="488"/>
      <w:bookmarkEnd w:id="489"/>
    </w:p>
    <w:p w14:paraId="28AA41AE">
      <w:pPr>
        <w:spacing w:line="540" w:lineRule="exact"/>
        <w:outlineLvl w:val="0"/>
        <w:rPr>
          <w:rFonts w:ascii="宋体" w:hAnsi="宋体" w:cs="宋体"/>
          <w:highlight w:val="none"/>
        </w:rPr>
      </w:pPr>
      <w:bookmarkStart w:id="493" w:name="_Toc23586"/>
      <w:bookmarkStart w:id="494" w:name="_Toc8297"/>
      <w:bookmarkStart w:id="495" w:name="_Toc23791"/>
      <w:bookmarkStart w:id="496" w:name="_Toc15105"/>
      <w:bookmarkStart w:id="497" w:name="_Toc6253"/>
      <w:r>
        <w:rPr>
          <w:rFonts w:hint="eastAsia" w:ascii="宋体" w:hAnsi="宋体" w:cs="宋体"/>
          <w:highlight w:val="none"/>
        </w:rPr>
        <w:t>二、法定代表人身份证明</w:t>
      </w:r>
      <w:bookmarkEnd w:id="493"/>
      <w:bookmarkEnd w:id="494"/>
      <w:bookmarkEnd w:id="495"/>
      <w:bookmarkStart w:id="498" w:name="_Toc16108"/>
      <w:bookmarkStart w:id="499" w:name="_Toc26395"/>
      <w:bookmarkStart w:id="500" w:name="_Toc23827"/>
      <w:r>
        <w:rPr>
          <w:rFonts w:hint="eastAsia" w:ascii="宋体" w:hAnsi="宋体" w:cs="宋体"/>
          <w:highlight w:val="none"/>
        </w:rPr>
        <w:t>、授权委托书</w:t>
      </w:r>
      <w:bookmarkEnd w:id="496"/>
      <w:bookmarkEnd w:id="497"/>
      <w:bookmarkEnd w:id="498"/>
      <w:bookmarkEnd w:id="499"/>
      <w:bookmarkEnd w:id="500"/>
    </w:p>
    <w:p w14:paraId="67584CBB">
      <w:pPr>
        <w:spacing w:line="540" w:lineRule="exact"/>
        <w:outlineLvl w:val="0"/>
        <w:rPr>
          <w:rFonts w:ascii="宋体" w:hAnsi="宋体" w:cs="宋体"/>
          <w:highlight w:val="none"/>
        </w:rPr>
      </w:pPr>
      <w:bookmarkStart w:id="501" w:name="_Toc31821"/>
      <w:bookmarkStart w:id="502" w:name="_Toc13987"/>
      <w:bookmarkStart w:id="503" w:name="_Toc28998"/>
      <w:bookmarkStart w:id="504" w:name="_Toc30986"/>
      <w:bookmarkStart w:id="505" w:name="_Toc11589"/>
      <w:r>
        <w:rPr>
          <w:rFonts w:hint="eastAsia" w:ascii="宋体" w:hAnsi="宋体" w:cs="宋体"/>
          <w:highlight w:val="none"/>
          <w:lang w:eastAsia="zh-CN"/>
        </w:rPr>
        <w:t>三</w:t>
      </w:r>
      <w:r>
        <w:rPr>
          <w:rFonts w:hint="eastAsia" w:ascii="宋体" w:hAnsi="宋体" w:cs="宋体"/>
          <w:highlight w:val="none"/>
        </w:rPr>
        <w:t>、</w:t>
      </w:r>
      <w:bookmarkEnd w:id="501"/>
      <w:bookmarkEnd w:id="502"/>
      <w:bookmarkEnd w:id="503"/>
      <w:r>
        <w:rPr>
          <w:rFonts w:hint="eastAsia" w:ascii="宋体" w:hAnsi="宋体" w:cs="宋体"/>
          <w:highlight w:val="none"/>
        </w:rPr>
        <w:t>监理报酬清单</w:t>
      </w:r>
      <w:bookmarkEnd w:id="504"/>
      <w:bookmarkEnd w:id="505"/>
    </w:p>
    <w:p w14:paraId="0AF66882">
      <w:pPr>
        <w:spacing w:line="540" w:lineRule="exact"/>
        <w:outlineLvl w:val="0"/>
        <w:rPr>
          <w:rFonts w:ascii="宋体" w:hAnsi="宋体" w:cs="宋体"/>
          <w:highlight w:val="none"/>
        </w:rPr>
      </w:pPr>
      <w:bookmarkStart w:id="506" w:name="_Toc8606"/>
      <w:bookmarkStart w:id="507" w:name="_Toc12809"/>
      <w:bookmarkStart w:id="508" w:name="_Toc4284"/>
      <w:bookmarkStart w:id="509" w:name="_Toc13588"/>
      <w:bookmarkStart w:id="510" w:name="_Toc5976"/>
      <w:r>
        <w:rPr>
          <w:rFonts w:hint="eastAsia" w:ascii="宋体" w:hAnsi="宋体" w:cs="宋体"/>
          <w:highlight w:val="none"/>
          <w:lang w:eastAsia="zh-CN"/>
        </w:rPr>
        <w:t>四</w:t>
      </w:r>
      <w:r>
        <w:rPr>
          <w:rFonts w:hint="eastAsia" w:ascii="宋体" w:hAnsi="宋体" w:cs="宋体"/>
          <w:highlight w:val="none"/>
        </w:rPr>
        <w:t>、资格审查资料</w:t>
      </w:r>
      <w:bookmarkEnd w:id="506"/>
      <w:bookmarkEnd w:id="507"/>
      <w:bookmarkEnd w:id="508"/>
      <w:bookmarkEnd w:id="509"/>
      <w:bookmarkEnd w:id="510"/>
    </w:p>
    <w:p w14:paraId="4E5EC0A1">
      <w:pPr>
        <w:spacing w:line="540" w:lineRule="exact"/>
        <w:outlineLvl w:val="0"/>
        <w:rPr>
          <w:rFonts w:ascii="宋体" w:hAnsi="宋体" w:cs="宋体"/>
          <w:highlight w:val="none"/>
        </w:rPr>
      </w:pPr>
      <w:bookmarkStart w:id="511" w:name="_Toc4325"/>
      <w:bookmarkStart w:id="512" w:name="_Toc8093"/>
      <w:bookmarkStart w:id="513" w:name="_Toc6297"/>
      <w:bookmarkStart w:id="514" w:name="_Toc14967"/>
      <w:bookmarkStart w:id="515" w:name="_Toc14983"/>
      <w:r>
        <w:rPr>
          <w:rFonts w:hint="eastAsia" w:ascii="宋体" w:hAnsi="宋体" w:cs="宋体"/>
          <w:highlight w:val="none"/>
          <w:lang w:eastAsia="zh-CN"/>
        </w:rPr>
        <w:t>五</w:t>
      </w:r>
      <w:r>
        <w:rPr>
          <w:rFonts w:hint="eastAsia" w:ascii="宋体" w:hAnsi="宋体" w:cs="宋体"/>
          <w:highlight w:val="none"/>
        </w:rPr>
        <w:t>、</w:t>
      </w:r>
      <w:bookmarkEnd w:id="511"/>
      <w:bookmarkEnd w:id="512"/>
      <w:bookmarkEnd w:id="513"/>
      <w:r>
        <w:rPr>
          <w:rFonts w:hint="eastAsia" w:ascii="宋体" w:hAnsi="宋体" w:cs="宋体"/>
          <w:highlight w:val="none"/>
        </w:rPr>
        <w:t>监理大纲</w:t>
      </w:r>
      <w:bookmarkEnd w:id="514"/>
      <w:bookmarkEnd w:id="515"/>
    </w:p>
    <w:p w14:paraId="0D00C71F">
      <w:pPr>
        <w:spacing w:line="540" w:lineRule="exact"/>
        <w:outlineLvl w:val="0"/>
        <w:rPr>
          <w:rFonts w:hint="eastAsia" w:ascii="宋体" w:hAnsi="宋体" w:cs="宋体"/>
          <w:highlight w:val="none"/>
          <w:lang w:eastAsia="zh-CN"/>
        </w:rPr>
      </w:pPr>
      <w:bookmarkStart w:id="516" w:name="_Toc18386"/>
      <w:bookmarkStart w:id="517" w:name="_Toc12786"/>
      <w:bookmarkStart w:id="518" w:name="_Toc20369"/>
      <w:bookmarkStart w:id="519" w:name="_Toc23425"/>
      <w:bookmarkStart w:id="520" w:name="_Toc10714"/>
      <w:r>
        <w:rPr>
          <w:rFonts w:hint="eastAsia" w:ascii="宋体" w:hAnsi="宋体" w:cs="宋体"/>
          <w:highlight w:val="none"/>
          <w:lang w:eastAsia="zh-CN"/>
        </w:rPr>
        <w:t>六、投标保证金</w:t>
      </w:r>
    </w:p>
    <w:p w14:paraId="1D95AA94">
      <w:pPr>
        <w:spacing w:line="540" w:lineRule="exact"/>
        <w:outlineLvl w:val="0"/>
        <w:rPr>
          <w:rFonts w:hint="eastAsia" w:ascii="宋体" w:hAnsi="宋体" w:cs="宋体"/>
          <w:highlight w:val="none"/>
        </w:rPr>
      </w:pPr>
      <w:r>
        <w:rPr>
          <w:rFonts w:hint="eastAsia" w:ascii="宋体" w:hAnsi="宋体" w:cs="宋体"/>
          <w:highlight w:val="none"/>
          <w:lang w:eastAsia="zh-CN"/>
        </w:rPr>
        <w:t>七</w:t>
      </w:r>
      <w:r>
        <w:rPr>
          <w:rFonts w:hint="eastAsia" w:ascii="宋体" w:hAnsi="宋体" w:cs="宋体"/>
          <w:highlight w:val="none"/>
        </w:rPr>
        <w:t>、其他资料</w:t>
      </w:r>
      <w:bookmarkEnd w:id="516"/>
      <w:bookmarkEnd w:id="517"/>
      <w:bookmarkEnd w:id="518"/>
      <w:bookmarkEnd w:id="519"/>
      <w:bookmarkEnd w:id="520"/>
    </w:p>
    <w:p w14:paraId="7AF48DE5">
      <w:pPr>
        <w:spacing w:line="540" w:lineRule="exact"/>
        <w:rPr>
          <w:rFonts w:ascii="宋体" w:hAnsi="宋体"/>
          <w:sz w:val="20"/>
          <w:highlight w:val="none"/>
        </w:rPr>
      </w:pPr>
    </w:p>
    <w:bookmarkEnd w:id="490"/>
    <w:bookmarkEnd w:id="491"/>
    <w:bookmarkEnd w:id="492"/>
    <w:p w14:paraId="6A17FB31">
      <w:pPr>
        <w:pStyle w:val="4"/>
        <w:spacing w:line="360" w:lineRule="auto"/>
        <w:jc w:val="center"/>
        <w:rPr>
          <w:rFonts w:ascii="宋体" w:hAnsi="宋体" w:eastAsia="宋体"/>
          <w:highlight w:val="none"/>
        </w:rPr>
      </w:pPr>
      <w:bookmarkStart w:id="521" w:name="_Toc516145371"/>
      <w:bookmarkStart w:id="522" w:name="_Toc515450413"/>
      <w:bookmarkStart w:id="523" w:name="_Toc492300720"/>
      <w:r>
        <w:rPr>
          <w:rFonts w:ascii="宋体" w:hAnsi="宋体" w:eastAsia="宋体"/>
          <w:highlight w:val="none"/>
        </w:rPr>
        <w:br w:type="page"/>
      </w:r>
      <w:bookmarkStart w:id="524" w:name="_Toc10252"/>
      <w:bookmarkStart w:id="525" w:name="_Toc3556"/>
      <w:r>
        <w:rPr>
          <w:rFonts w:ascii="宋体" w:hAnsi="宋体" w:eastAsia="宋体"/>
          <w:highlight w:val="none"/>
        </w:rPr>
        <w:t>一、投标</w:t>
      </w:r>
      <w:bookmarkStart w:id="526" w:name="_Toc352691656"/>
      <w:bookmarkStart w:id="527" w:name="_Toc369531692"/>
      <w:bookmarkStart w:id="528" w:name="_Toc6931"/>
      <w:r>
        <w:rPr>
          <w:rFonts w:ascii="宋体" w:hAnsi="宋体" w:eastAsia="宋体"/>
          <w:highlight w:val="none"/>
        </w:rPr>
        <w:t>函及投标函附录</w:t>
      </w:r>
      <w:bookmarkEnd w:id="521"/>
      <w:bookmarkEnd w:id="522"/>
      <w:bookmarkEnd w:id="523"/>
      <w:bookmarkEnd w:id="524"/>
      <w:bookmarkEnd w:id="525"/>
    </w:p>
    <w:bookmarkEnd w:id="526"/>
    <w:bookmarkEnd w:id="527"/>
    <w:bookmarkEnd w:id="528"/>
    <w:p w14:paraId="39B63259">
      <w:pPr>
        <w:spacing w:line="360" w:lineRule="auto"/>
        <w:ind w:left="118"/>
        <w:jc w:val="center"/>
        <w:outlineLvl w:val="2"/>
        <w:rPr>
          <w:rFonts w:ascii="宋体" w:hAnsi="宋体"/>
          <w:b/>
          <w:bCs/>
          <w:kern w:val="0"/>
          <w:sz w:val="32"/>
          <w:szCs w:val="28"/>
          <w:highlight w:val="none"/>
        </w:rPr>
      </w:pPr>
      <w:bookmarkStart w:id="529" w:name="_Toc370676426"/>
      <w:bookmarkStart w:id="530" w:name="_Toc359594235"/>
      <w:bookmarkStart w:id="531" w:name="_Toc391394111"/>
      <w:bookmarkStart w:id="532" w:name="_Toc529196601"/>
      <w:bookmarkStart w:id="533" w:name="_Toc385943065"/>
      <w:bookmarkStart w:id="534" w:name="_Toc22571"/>
      <w:bookmarkStart w:id="535" w:name="_Toc32376"/>
      <w:bookmarkStart w:id="536" w:name="_Toc482188651"/>
      <w:bookmarkStart w:id="537" w:name="_Toc530470643"/>
      <w:bookmarkStart w:id="538" w:name="_Toc535938752"/>
      <w:r>
        <w:rPr>
          <w:rFonts w:hint="eastAsia" w:ascii="宋体" w:hAnsi="宋体"/>
          <w:b/>
          <w:bCs/>
          <w:kern w:val="0"/>
          <w:sz w:val="32"/>
          <w:szCs w:val="28"/>
          <w:highlight w:val="none"/>
        </w:rPr>
        <w:t>（一）投标函</w:t>
      </w:r>
      <w:bookmarkEnd w:id="529"/>
      <w:bookmarkEnd w:id="530"/>
      <w:bookmarkEnd w:id="531"/>
      <w:bookmarkEnd w:id="532"/>
      <w:bookmarkEnd w:id="533"/>
      <w:bookmarkEnd w:id="534"/>
      <w:bookmarkEnd w:id="535"/>
      <w:bookmarkEnd w:id="536"/>
      <w:bookmarkEnd w:id="537"/>
      <w:bookmarkEnd w:id="538"/>
    </w:p>
    <w:p w14:paraId="7917A0BF">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（招标人名称）：</w:t>
      </w:r>
    </w:p>
    <w:p w14:paraId="0580268A">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1．我方已仔细研究了</w:t>
      </w:r>
      <w:r>
        <w:rPr>
          <w:rFonts w:hint="eastAsia" w:ascii="宋体" w:hAnsi="宋体" w:cs="宋体"/>
          <w:szCs w:val="21"/>
          <w:highlight w:val="none"/>
          <w:u w:val="single"/>
        </w:rPr>
        <w:t xml:space="preserve">             </w:t>
      </w:r>
      <w:r>
        <w:rPr>
          <w:rFonts w:hint="eastAsia" w:ascii="宋体" w:hAnsi="宋体" w:cs="宋体"/>
          <w:szCs w:val="21"/>
          <w:highlight w:val="none"/>
        </w:rPr>
        <w:t>（项目名称）监理招标项目招标文件的全部内容，愿意以《投标函附录》中的投标报价和监理服务期限，按合同约定完成监理工作。</w:t>
      </w:r>
    </w:p>
    <w:p w14:paraId="23D905F8">
      <w:pPr>
        <w:spacing w:line="360" w:lineRule="auto"/>
        <w:ind w:firstLine="420" w:firstLineChars="200"/>
        <w:rPr>
          <w:rFonts w:ascii="宋体" w:hAnsi="宋体" w:cs="宋体"/>
          <w:szCs w:val="21"/>
          <w:highlight w:val="none"/>
        </w:rPr>
      </w:pPr>
      <w:bookmarkStart w:id="539" w:name="_Toc530470644"/>
      <w:r>
        <w:rPr>
          <w:rFonts w:hint="eastAsia" w:ascii="宋体" w:hAnsi="宋体" w:cs="宋体"/>
          <w:szCs w:val="21"/>
          <w:highlight w:val="none"/>
        </w:rPr>
        <w:t>2. 我方的投标文件包括下列内容：</w:t>
      </w:r>
      <w:bookmarkEnd w:id="539"/>
    </w:p>
    <w:p w14:paraId="08C81B7A">
      <w:pPr>
        <w:spacing w:line="360" w:lineRule="auto"/>
        <w:ind w:firstLine="405"/>
        <w:rPr>
          <w:rFonts w:ascii="宋体" w:hAnsi="宋体" w:cs="宋体"/>
          <w:szCs w:val="21"/>
          <w:highlight w:val="none"/>
        </w:rPr>
      </w:pPr>
      <w:r>
        <w:rPr>
          <w:rFonts w:hint="eastAsia" w:ascii="宋体" w:hAnsi="宋体" w:cs="宋体"/>
          <w:szCs w:val="21"/>
          <w:highlight w:val="none"/>
        </w:rPr>
        <w:t>（1）投标函及投标函附录；</w:t>
      </w:r>
    </w:p>
    <w:p w14:paraId="20ABA473">
      <w:pPr>
        <w:spacing w:line="360" w:lineRule="auto"/>
        <w:ind w:firstLine="405"/>
        <w:rPr>
          <w:rFonts w:ascii="宋体" w:hAnsi="宋体" w:cs="宋体"/>
          <w:szCs w:val="21"/>
          <w:highlight w:val="none"/>
        </w:rPr>
      </w:pPr>
      <w:r>
        <w:rPr>
          <w:rFonts w:hint="eastAsia" w:ascii="宋体" w:hAnsi="宋体" w:cs="宋体"/>
          <w:szCs w:val="21"/>
          <w:highlight w:val="none"/>
        </w:rPr>
        <w:t>（2）法定代表人身份证明或授权委托书（如有）；</w:t>
      </w:r>
    </w:p>
    <w:p w14:paraId="7041ECEC">
      <w:pPr>
        <w:spacing w:line="360" w:lineRule="auto"/>
        <w:ind w:firstLine="405"/>
        <w:rPr>
          <w:strike w:val="0"/>
          <w:highlight w:val="none"/>
        </w:rPr>
      </w:pPr>
      <w:r>
        <w:rPr>
          <w:rFonts w:hint="eastAsia" w:ascii="宋体" w:hAnsi="宋体" w:cs="宋体"/>
          <w:strike w:val="0"/>
          <w:szCs w:val="21"/>
          <w:highlight w:val="none"/>
        </w:rPr>
        <w:t>（3）投标保证金；</w:t>
      </w:r>
    </w:p>
    <w:p w14:paraId="04C6A246">
      <w:pPr>
        <w:spacing w:line="360" w:lineRule="auto"/>
        <w:ind w:firstLine="405"/>
        <w:rPr>
          <w:rFonts w:ascii="宋体" w:hAnsi="宋体" w:cs="宋体"/>
          <w:strike/>
          <w:szCs w:val="21"/>
          <w:highlight w:val="none"/>
        </w:rPr>
      </w:pPr>
      <w:r>
        <w:rPr>
          <w:rFonts w:hint="eastAsia" w:ascii="宋体" w:hAnsi="宋体" w:cs="宋体"/>
          <w:szCs w:val="21"/>
          <w:highlight w:val="none"/>
        </w:rPr>
        <w:t>（4）监理报酬清单；</w:t>
      </w:r>
    </w:p>
    <w:p w14:paraId="3B70087E">
      <w:pPr>
        <w:spacing w:line="360" w:lineRule="auto"/>
        <w:ind w:firstLine="405"/>
        <w:rPr>
          <w:rFonts w:ascii="宋体" w:hAnsi="宋体" w:cs="宋体"/>
          <w:szCs w:val="21"/>
          <w:highlight w:val="none"/>
        </w:rPr>
      </w:pPr>
      <w:r>
        <w:rPr>
          <w:rFonts w:hint="eastAsia" w:ascii="宋体" w:hAnsi="宋体" w:cs="宋体"/>
          <w:szCs w:val="21"/>
          <w:highlight w:val="none"/>
        </w:rPr>
        <w:t>（5）资格审查资料；</w:t>
      </w:r>
    </w:p>
    <w:p w14:paraId="13F7869B">
      <w:pPr>
        <w:spacing w:line="360" w:lineRule="auto"/>
        <w:ind w:firstLine="405"/>
        <w:rPr>
          <w:rFonts w:ascii="宋体" w:hAnsi="宋体" w:cs="宋体"/>
          <w:szCs w:val="21"/>
          <w:highlight w:val="none"/>
        </w:rPr>
      </w:pPr>
      <w:r>
        <w:rPr>
          <w:rFonts w:hint="eastAsia" w:ascii="宋体" w:hAnsi="宋体" w:cs="宋体"/>
          <w:szCs w:val="21"/>
          <w:highlight w:val="none"/>
        </w:rPr>
        <w:t>（6）监理大纲；</w:t>
      </w:r>
    </w:p>
    <w:p w14:paraId="0F80A1FF">
      <w:pPr>
        <w:spacing w:line="360" w:lineRule="auto"/>
        <w:ind w:firstLine="420" w:firstLineChars="200"/>
        <w:rPr>
          <w:rFonts w:ascii="宋体" w:hAnsi="宋体" w:cs="宋体"/>
          <w:szCs w:val="21"/>
          <w:highlight w:val="none"/>
        </w:rPr>
      </w:pPr>
      <w:r>
        <w:rPr>
          <w:rFonts w:hint="eastAsia" w:ascii="宋体" w:hAnsi="宋体" w:cs="宋体"/>
          <w:szCs w:val="21"/>
          <w:highlight w:val="none"/>
        </w:rPr>
        <w:t>（7）其他资料。</w:t>
      </w:r>
    </w:p>
    <w:p w14:paraId="5DDFFDE3">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投标文件的上述组成部分如存在内容不一致的，以投标函为准。</w:t>
      </w:r>
    </w:p>
    <w:p w14:paraId="12891A94">
      <w:pPr>
        <w:spacing w:line="360" w:lineRule="auto"/>
        <w:ind w:firstLine="420" w:firstLineChars="200"/>
        <w:rPr>
          <w:rFonts w:ascii="宋体" w:hAnsi="宋体" w:cs="宋体"/>
          <w:szCs w:val="21"/>
          <w:highlight w:val="none"/>
        </w:rPr>
      </w:pPr>
      <w:r>
        <w:rPr>
          <w:rFonts w:hint="eastAsia" w:ascii="宋体" w:hAnsi="宋体" w:cs="宋体"/>
          <w:szCs w:val="21"/>
          <w:highlight w:val="none"/>
        </w:rPr>
        <w:t>3．我方承诺在招标文件规定的投标有效期</w:t>
      </w:r>
      <w:r>
        <w:rPr>
          <w:rFonts w:hint="eastAsia" w:ascii="宋体" w:hAnsi="宋体" w:cs="宋体"/>
          <w:szCs w:val="21"/>
          <w:highlight w:val="none"/>
          <w:u w:val="single"/>
        </w:rPr>
        <w:t>90</w:t>
      </w:r>
      <w:r>
        <w:rPr>
          <w:rFonts w:hint="eastAsia" w:ascii="宋体" w:hAnsi="宋体" w:cs="宋体"/>
          <w:szCs w:val="21"/>
          <w:highlight w:val="none"/>
        </w:rPr>
        <w:t>日历天内不撤销投标文件。</w:t>
      </w:r>
    </w:p>
    <w:p w14:paraId="7D407942">
      <w:pPr>
        <w:spacing w:line="360" w:lineRule="auto"/>
        <w:ind w:firstLine="420" w:firstLineChars="200"/>
        <w:rPr>
          <w:rFonts w:ascii="宋体" w:hAnsi="宋体" w:cs="宋体"/>
          <w:szCs w:val="21"/>
          <w:highlight w:val="none"/>
        </w:rPr>
      </w:pPr>
      <w:r>
        <w:rPr>
          <w:rFonts w:hint="eastAsia" w:ascii="宋体" w:hAnsi="宋体" w:cs="宋体"/>
          <w:szCs w:val="21"/>
          <w:highlight w:val="none"/>
        </w:rPr>
        <w:t>4．如我方中标，我方承诺：</w:t>
      </w:r>
    </w:p>
    <w:p w14:paraId="51B5FA56">
      <w:pPr>
        <w:spacing w:line="360" w:lineRule="auto"/>
        <w:ind w:firstLine="619" w:firstLineChars="295"/>
        <w:rPr>
          <w:rFonts w:ascii="宋体" w:hAnsi="宋体" w:cs="宋体"/>
          <w:szCs w:val="21"/>
          <w:highlight w:val="none"/>
        </w:rPr>
      </w:pPr>
      <w:r>
        <w:rPr>
          <w:rFonts w:hint="eastAsia" w:ascii="宋体" w:hAnsi="宋体" w:cs="宋体"/>
          <w:szCs w:val="21"/>
          <w:highlight w:val="none"/>
        </w:rPr>
        <w:t>（1）在收到中标通知书后，在中标通知书规定的期限内与你方签订合同；</w:t>
      </w:r>
    </w:p>
    <w:p w14:paraId="268BDE55">
      <w:pPr>
        <w:spacing w:line="360" w:lineRule="auto"/>
        <w:ind w:firstLine="619" w:firstLineChars="295"/>
        <w:rPr>
          <w:rFonts w:ascii="宋体" w:hAnsi="宋体" w:cs="宋体"/>
          <w:szCs w:val="21"/>
          <w:highlight w:val="none"/>
        </w:rPr>
      </w:pPr>
      <w:r>
        <w:rPr>
          <w:rFonts w:hint="eastAsia" w:ascii="宋体" w:hAnsi="宋体" w:cs="宋体"/>
          <w:szCs w:val="21"/>
          <w:highlight w:val="none"/>
        </w:rPr>
        <w:t>（2）在签订合同时不向你方提出附加条件；</w:t>
      </w:r>
    </w:p>
    <w:p w14:paraId="66A0CCCB">
      <w:pPr>
        <w:spacing w:line="360" w:lineRule="auto"/>
        <w:ind w:firstLine="619" w:firstLineChars="295"/>
        <w:rPr>
          <w:rFonts w:ascii="宋体" w:hAnsi="宋体" w:cs="宋体"/>
          <w:szCs w:val="21"/>
          <w:highlight w:val="none"/>
        </w:rPr>
      </w:pPr>
      <w:r>
        <w:rPr>
          <w:rFonts w:hint="eastAsia" w:ascii="宋体" w:hAnsi="宋体" w:cs="宋体"/>
          <w:szCs w:val="21"/>
          <w:highlight w:val="none"/>
        </w:rPr>
        <w:t>（3）按照招标文件要求提交履约保证金；</w:t>
      </w:r>
      <w:bookmarkStart w:id="540" w:name="_Toc369531694"/>
      <w:bookmarkStart w:id="541" w:name="_Toc1187"/>
      <w:bookmarkStart w:id="542" w:name="_Toc352691658"/>
    </w:p>
    <w:p w14:paraId="0536E172">
      <w:pPr>
        <w:spacing w:line="360" w:lineRule="auto"/>
        <w:ind w:firstLine="619" w:firstLineChars="295"/>
        <w:rPr>
          <w:rFonts w:ascii="宋体" w:hAnsi="宋体" w:cs="宋体"/>
          <w:szCs w:val="21"/>
          <w:highlight w:val="none"/>
        </w:rPr>
      </w:pPr>
      <w:r>
        <w:rPr>
          <w:rFonts w:hint="eastAsia" w:ascii="宋体" w:hAnsi="宋体" w:cs="宋体"/>
          <w:szCs w:val="21"/>
          <w:highlight w:val="none"/>
        </w:rPr>
        <w:t>（4）在合</w:t>
      </w:r>
      <w:bookmarkEnd w:id="540"/>
      <w:bookmarkEnd w:id="541"/>
      <w:bookmarkEnd w:id="542"/>
      <w:r>
        <w:rPr>
          <w:rFonts w:hint="eastAsia" w:ascii="宋体" w:hAnsi="宋体" w:cs="宋体"/>
          <w:szCs w:val="21"/>
          <w:highlight w:val="none"/>
        </w:rPr>
        <w:t>同约定的期限内完成合同规定的全部义务。</w:t>
      </w:r>
    </w:p>
    <w:p w14:paraId="4916C74A">
      <w:pPr>
        <w:spacing w:line="360" w:lineRule="auto"/>
        <w:ind w:firstLine="619" w:firstLineChars="295"/>
        <w:rPr>
          <w:rFonts w:ascii="宋体" w:hAnsi="宋体" w:cs="宋体"/>
          <w:szCs w:val="21"/>
          <w:highlight w:val="none"/>
        </w:rPr>
      </w:pPr>
      <w:r>
        <w:rPr>
          <w:rFonts w:hint="eastAsia" w:ascii="宋体" w:hAnsi="宋体" w:cs="宋体"/>
          <w:szCs w:val="21"/>
          <w:highlight w:val="none"/>
        </w:rPr>
        <w:t>（5）除伤亡、吊销监理工程师执业资格等合法原因不能再从事监理工作情形外，如我方更换项目总监、总监代表，接受贵</w:t>
      </w:r>
      <w:r>
        <w:rPr>
          <w:rFonts w:hint="eastAsia" w:ascii="宋体" w:hAnsi="宋体" w:cs="宋体"/>
          <w:spacing w:val="4"/>
          <w:szCs w:val="21"/>
          <w:highlight w:val="none"/>
        </w:rPr>
        <w:t>单位</w:t>
      </w:r>
      <w:r>
        <w:rPr>
          <w:rFonts w:hint="eastAsia" w:ascii="宋体" w:hAnsi="宋体" w:cs="宋体"/>
          <w:szCs w:val="21"/>
          <w:highlight w:val="none"/>
        </w:rPr>
        <w:t>1年内拒绝我方参与贵单位后续工程投标的处理。</w:t>
      </w:r>
    </w:p>
    <w:p w14:paraId="6368542B">
      <w:pPr>
        <w:spacing w:line="360" w:lineRule="auto"/>
        <w:ind w:firstLine="420" w:firstLineChars="200"/>
        <w:rPr>
          <w:rFonts w:ascii="宋体" w:hAnsi="宋体" w:cs="宋体"/>
          <w:szCs w:val="21"/>
          <w:highlight w:val="none"/>
        </w:rPr>
      </w:pPr>
      <w:r>
        <w:rPr>
          <w:rFonts w:hint="eastAsia" w:ascii="宋体" w:hAnsi="宋体" w:cs="宋体"/>
          <w:szCs w:val="21"/>
          <w:highlight w:val="none"/>
        </w:rPr>
        <w:t>5．我方在此声明，</w:t>
      </w:r>
      <w:bookmarkStart w:id="543" w:name="_Hlk22686284"/>
      <w:r>
        <w:rPr>
          <w:rFonts w:hint="eastAsia" w:ascii="宋体" w:hAnsi="宋体" w:cs="宋体"/>
          <w:szCs w:val="21"/>
          <w:highlight w:val="none"/>
        </w:rPr>
        <w:t>所递交的投标文件</w:t>
      </w:r>
      <w:bookmarkEnd w:id="543"/>
      <w:r>
        <w:rPr>
          <w:rFonts w:hint="eastAsia" w:ascii="宋体" w:hAnsi="宋体" w:cs="宋体"/>
          <w:szCs w:val="21"/>
          <w:highlight w:val="none"/>
        </w:rPr>
        <w:t>及有关资料内容完整、真实和准确，且不存在第二章“投标人须知”第1.4.3项规定的任何一种情形。</w:t>
      </w:r>
    </w:p>
    <w:p w14:paraId="2CF02624">
      <w:pPr>
        <w:spacing w:line="360" w:lineRule="auto"/>
        <w:ind w:firstLine="420" w:firstLineChars="200"/>
        <w:rPr>
          <w:rFonts w:ascii="宋体" w:hAnsi="宋体" w:cs="宋体"/>
          <w:szCs w:val="21"/>
          <w:highlight w:val="none"/>
        </w:rPr>
      </w:pPr>
      <w:r>
        <w:rPr>
          <w:rFonts w:hint="eastAsia" w:ascii="宋体" w:hAnsi="宋体" w:cs="宋体"/>
          <w:szCs w:val="21"/>
          <w:highlight w:val="none"/>
        </w:rPr>
        <w:t>6. 如我方中标，我方承诺，满足“委托人要求”中的所有内容。</w:t>
      </w:r>
    </w:p>
    <w:p w14:paraId="04EC36AC">
      <w:pPr>
        <w:spacing w:line="360" w:lineRule="auto"/>
        <w:ind w:firstLine="420" w:firstLineChars="200"/>
        <w:rPr>
          <w:rFonts w:ascii="宋体" w:hAnsi="宋体" w:cs="宋体"/>
          <w:szCs w:val="21"/>
          <w:highlight w:val="none"/>
        </w:rPr>
      </w:pPr>
      <w:r>
        <w:rPr>
          <w:rFonts w:hint="eastAsia" w:ascii="宋体" w:hAnsi="宋体" w:cs="宋体"/>
          <w:szCs w:val="21"/>
          <w:highlight w:val="none"/>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接受行政监督部门的行政处罚等。</w:t>
      </w:r>
    </w:p>
    <w:p w14:paraId="0C0FF3B1">
      <w:pPr>
        <w:spacing w:line="360" w:lineRule="auto"/>
        <w:ind w:firstLine="2520" w:firstLineChars="1200"/>
        <w:jc w:val="left"/>
        <w:rPr>
          <w:rFonts w:ascii="宋体" w:hAnsi="宋体" w:cs="宋体"/>
          <w:szCs w:val="21"/>
          <w:highlight w:val="none"/>
        </w:rPr>
      </w:pPr>
    </w:p>
    <w:p w14:paraId="45EDE80A">
      <w:pPr>
        <w:spacing w:line="360" w:lineRule="auto"/>
        <w:ind w:firstLine="2520" w:firstLineChars="1200"/>
        <w:jc w:val="left"/>
        <w:rPr>
          <w:rFonts w:ascii="宋体" w:hAnsi="宋体" w:cs="宋体"/>
          <w:szCs w:val="21"/>
          <w:highlight w:val="none"/>
        </w:rPr>
      </w:pPr>
    </w:p>
    <w:p w14:paraId="01052F30">
      <w:pPr>
        <w:spacing w:line="360" w:lineRule="auto"/>
        <w:ind w:firstLine="2835" w:firstLineChars="135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2174338C">
      <w:pPr>
        <w:spacing w:line="360" w:lineRule="auto"/>
        <w:ind w:firstLine="2835" w:firstLineChars="1350"/>
        <w:rPr>
          <w:rFonts w:ascii="宋体" w:hAnsi="宋体" w:cs="宋体"/>
          <w:szCs w:val="21"/>
          <w:highlight w:val="none"/>
          <w:u w:val="single"/>
        </w:rPr>
      </w:pPr>
      <w:r>
        <w:rPr>
          <w:rFonts w:hint="eastAsia" w:ascii="宋体" w:hAnsi="宋体" w:cs="宋体"/>
          <w:szCs w:val="21"/>
          <w:highlight w:val="none"/>
        </w:rPr>
        <w:t>法定代表人(或被授权人)：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14:paraId="550BF258">
      <w:pPr>
        <w:spacing w:line="360" w:lineRule="auto"/>
        <w:ind w:firstLine="2835" w:firstLineChars="135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2EA042EC">
      <w:pPr>
        <w:spacing w:line="360" w:lineRule="auto"/>
        <w:ind w:firstLine="2835" w:firstLineChars="1350"/>
        <w:rPr>
          <w:rFonts w:ascii="宋体" w:hAnsi="宋体" w:cs="宋体"/>
          <w:szCs w:val="21"/>
          <w:highlight w:val="none"/>
        </w:rPr>
      </w:pPr>
      <w:r>
        <w:rPr>
          <w:rFonts w:hint="eastAsia" w:ascii="宋体" w:hAnsi="宋体" w:cs="宋体"/>
          <w:szCs w:val="21"/>
          <w:highlight w:val="none"/>
        </w:rPr>
        <w:t>网址：</w:t>
      </w:r>
      <w:r>
        <w:rPr>
          <w:rFonts w:hint="eastAsia" w:ascii="宋体" w:hAnsi="宋体" w:cs="宋体"/>
          <w:szCs w:val="21"/>
          <w:highlight w:val="none"/>
          <w:u w:val="single"/>
        </w:rPr>
        <w:t xml:space="preserve">                                   </w:t>
      </w:r>
    </w:p>
    <w:p w14:paraId="1F2F3F7B">
      <w:pPr>
        <w:spacing w:line="360" w:lineRule="auto"/>
        <w:ind w:right="85" w:firstLine="2835" w:firstLineChars="1350"/>
        <w:rPr>
          <w:rFonts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u w:val="single"/>
        </w:rPr>
        <w:t xml:space="preserve">                                   </w:t>
      </w:r>
    </w:p>
    <w:p w14:paraId="0B58BFFB">
      <w:pPr>
        <w:spacing w:line="360" w:lineRule="auto"/>
        <w:ind w:firstLine="2835" w:firstLineChars="1350"/>
        <w:rPr>
          <w:rFonts w:ascii="宋体" w:hAnsi="宋体" w:cs="宋体"/>
          <w:szCs w:val="21"/>
          <w:highlight w:val="none"/>
        </w:rPr>
      </w:pPr>
      <w:r>
        <w:rPr>
          <w:rFonts w:hint="eastAsia" w:ascii="宋体" w:hAnsi="宋体" w:cs="宋体"/>
          <w:szCs w:val="21"/>
          <w:highlight w:val="none"/>
        </w:rPr>
        <w:t>传真：</w:t>
      </w:r>
      <w:r>
        <w:rPr>
          <w:rFonts w:hint="eastAsia" w:ascii="宋体" w:hAnsi="宋体" w:cs="宋体"/>
          <w:szCs w:val="21"/>
          <w:highlight w:val="none"/>
          <w:u w:val="single"/>
        </w:rPr>
        <w:t xml:space="preserve">                                   </w:t>
      </w:r>
    </w:p>
    <w:p w14:paraId="3EA27AAA">
      <w:pPr>
        <w:spacing w:line="360" w:lineRule="auto"/>
        <w:ind w:firstLine="2835" w:firstLineChars="1350"/>
        <w:rPr>
          <w:rFonts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u w:val="single"/>
        </w:rPr>
        <w:t xml:space="preserve">                               </w:t>
      </w:r>
    </w:p>
    <w:p w14:paraId="4559689D">
      <w:pPr>
        <w:spacing w:line="360" w:lineRule="auto"/>
        <w:ind w:firstLine="5880" w:firstLineChars="2800"/>
        <w:jc w:val="lef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F221AB1">
      <w:pPr>
        <w:rPr>
          <w:rFonts w:ascii="宋体" w:hAnsi="宋体"/>
          <w:highlight w:val="none"/>
        </w:rPr>
      </w:pPr>
      <w:bookmarkStart w:id="544" w:name="_Toc361508752"/>
      <w:bookmarkStart w:id="545" w:name="_Toc352691661"/>
      <w:bookmarkStart w:id="546" w:name="_Toc247527827"/>
      <w:bookmarkStart w:id="547" w:name="_Toc17960"/>
      <w:bookmarkStart w:id="548" w:name="_Toc300835209"/>
      <w:bookmarkStart w:id="549" w:name="_Toc152045787"/>
      <w:bookmarkStart w:id="550" w:name="_Toc369531697"/>
      <w:bookmarkStart w:id="551" w:name="_Toc247514246"/>
      <w:bookmarkStart w:id="552" w:name="_Toc144974856"/>
      <w:bookmarkStart w:id="553" w:name="_Toc152042576"/>
      <w:bookmarkStart w:id="554" w:name="_Toc384308375"/>
      <w:r>
        <w:rPr>
          <w:rFonts w:ascii="宋体" w:hAnsi="宋体"/>
          <w:szCs w:val="21"/>
          <w:highlight w:val="none"/>
        </w:rPr>
        <w:br w:type="page"/>
      </w:r>
    </w:p>
    <w:p w14:paraId="5789271B">
      <w:pPr>
        <w:spacing w:line="360" w:lineRule="auto"/>
        <w:jc w:val="center"/>
        <w:rPr>
          <w:rFonts w:ascii="宋体" w:hAnsi="宋体"/>
          <w:sz w:val="32"/>
          <w:szCs w:val="32"/>
          <w:highlight w:val="none"/>
        </w:rPr>
      </w:pPr>
      <w:bookmarkStart w:id="555" w:name="_Toc482188652"/>
      <w:bookmarkStart w:id="556" w:name="_Toc385943066"/>
      <w:bookmarkStart w:id="557" w:name="_Toc370676427"/>
      <w:bookmarkStart w:id="558" w:name="_Toc515450415"/>
      <w:bookmarkStart w:id="559" w:name="_Toc516145373"/>
      <w:bookmarkStart w:id="560" w:name="_Toc359594236"/>
      <w:bookmarkStart w:id="561" w:name="_Toc492300722"/>
      <w:bookmarkStart w:id="562" w:name="_Toc391394112"/>
      <w:r>
        <w:rPr>
          <w:rFonts w:hint="eastAsia" w:ascii="宋体" w:hAnsi="宋体"/>
          <w:b/>
          <w:bCs/>
          <w:kern w:val="0"/>
          <w:sz w:val="32"/>
          <w:szCs w:val="32"/>
          <w:highlight w:val="none"/>
        </w:rPr>
        <w:t>（二）投标函附录</w:t>
      </w:r>
      <w:bookmarkEnd w:id="555"/>
      <w:bookmarkEnd w:id="556"/>
      <w:bookmarkEnd w:id="557"/>
      <w:bookmarkEnd w:id="558"/>
      <w:bookmarkEnd w:id="559"/>
      <w:bookmarkEnd w:id="560"/>
      <w:bookmarkEnd w:id="561"/>
      <w:bookmarkEnd w:id="562"/>
    </w:p>
    <w:tbl>
      <w:tblPr>
        <w:tblStyle w:val="46"/>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12"/>
        <w:gridCol w:w="4711"/>
        <w:gridCol w:w="1649"/>
      </w:tblGrid>
      <w:tr w14:paraId="41A7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34FFA19C">
            <w:pPr>
              <w:jc w:val="center"/>
              <w:rPr>
                <w:rFonts w:ascii="宋体" w:hAnsi="宋体"/>
                <w:b/>
                <w:sz w:val="24"/>
                <w:szCs w:val="24"/>
                <w:highlight w:val="none"/>
              </w:rPr>
            </w:pPr>
            <w:r>
              <w:rPr>
                <w:rFonts w:hint="eastAsia" w:ascii="宋体" w:hAnsi="宋体"/>
                <w:b/>
                <w:sz w:val="24"/>
                <w:szCs w:val="24"/>
                <w:highlight w:val="none"/>
              </w:rPr>
              <w:t>序号</w:t>
            </w:r>
          </w:p>
        </w:tc>
        <w:tc>
          <w:tcPr>
            <w:tcW w:w="1812" w:type="dxa"/>
            <w:tcBorders>
              <w:top w:val="single" w:color="auto" w:sz="4" w:space="0"/>
              <w:left w:val="single" w:color="auto" w:sz="4" w:space="0"/>
              <w:bottom w:val="single" w:color="auto" w:sz="4" w:space="0"/>
              <w:right w:val="single" w:color="auto" w:sz="4" w:space="0"/>
            </w:tcBorders>
            <w:noWrap/>
            <w:vAlign w:val="center"/>
          </w:tcPr>
          <w:p w14:paraId="4C4D678F">
            <w:pPr>
              <w:jc w:val="center"/>
              <w:rPr>
                <w:rFonts w:ascii="宋体" w:hAnsi="宋体"/>
                <w:b/>
                <w:sz w:val="24"/>
                <w:szCs w:val="24"/>
                <w:highlight w:val="none"/>
              </w:rPr>
            </w:pPr>
            <w:r>
              <w:rPr>
                <w:rFonts w:hint="eastAsia" w:ascii="宋体" w:hAnsi="宋体"/>
                <w:b/>
                <w:sz w:val="24"/>
                <w:szCs w:val="24"/>
                <w:highlight w:val="none"/>
              </w:rPr>
              <w:t>条款名称</w:t>
            </w:r>
          </w:p>
        </w:tc>
        <w:tc>
          <w:tcPr>
            <w:tcW w:w="4711" w:type="dxa"/>
            <w:tcBorders>
              <w:top w:val="single" w:color="auto" w:sz="4" w:space="0"/>
              <w:left w:val="single" w:color="auto" w:sz="4" w:space="0"/>
              <w:bottom w:val="single" w:color="auto" w:sz="4" w:space="0"/>
              <w:right w:val="single" w:color="auto" w:sz="4" w:space="0"/>
            </w:tcBorders>
            <w:noWrap/>
            <w:vAlign w:val="center"/>
          </w:tcPr>
          <w:p w14:paraId="2CA66077">
            <w:pPr>
              <w:jc w:val="center"/>
              <w:rPr>
                <w:rFonts w:ascii="宋体" w:hAnsi="宋体"/>
                <w:b/>
                <w:sz w:val="24"/>
                <w:szCs w:val="24"/>
                <w:highlight w:val="none"/>
              </w:rPr>
            </w:pPr>
            <w:r>
              <w:rPr>
                <w:rFonts w:hint="eastAsia" w:ascii="宋体" w:hAnsi="宋体"/>
                <w:b/>
                <w:sz w:val="24"/>
                <w:szCs w:val="24"/>
                <w:highlight w:val="none"/>
              </w:rPr>
              <w:t>约定内容</w:t>
            </w:r>
          </w:p>
        </w:tc>
        <w:tc>
          <w:tcPr>
            <w:tcW w:w="1649" w:type="dxa"/>
            <w:tcBorders>
              <w:top w:val="single" w:color="auto" w:sz="4" w:space="0"/>
              <w:left w:val="single" w:color="auto" w:sz="4" w:space="0"/>
              <w:bottom w:val="single" w:color="auto" w:sz="4" w:space="0"/>
              <w:right w:val="single" w:color="auto" w:sz="4" w:space="0"/>
            </w:tcBorders>
            <w:noWrap/>
            <w:vAlign w:val="center"/>
          </w:tcPr>
          <w:p w14:paraId="60137C26">
            <w:pPr>
              <w:jc w:val="center"/>
              <w:rPr>
                <w:rFonts w:ascii="宋体" w:hAnsi="宋体"/>
                <w:b/>
                <w:sz w:val="24"/>
                <w:szCs w:val="24"/>
                <w:highlight w:val="none"/>
              </w:rPr>
            </w:pPr>
            <w:r>
              <w:rPr>
                <w:rFonts w:hint="eastAsia" w:ascii="宋体" w:hAnsi="宋体"/>
                <w:b/>
                <w:sz w:val="24"/>
                <w:szCs w:val="24"/>
                <w:highlight w:val="none"/>
              </w:rPr>
              <w:t>备注</w:t>
            </w:r>
          </w:p>
        </w:tc>
      </w:tr>
      <w:tr w14:paraId="483A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5D64B928">
            <w:pPr>
              <w:spacing w:before="100" w:beforeAutospacing="1" w:after="100" w:afterAutospacing="1" w:line="400" w:lineRule="exact"/>
              <w:contextualSpacing/>
              <w:jc w:val="center"/>
              <w:rPr>
                <w:rFonts w:ascii="宋体" w:hAnsi="宋体"/>
                <w:sz w:val="24"/>
                <w:szCs w:val="24"/>
                <w:highlight w:val="none"/>
              </w:rPr>
            </w:pPr>
            <w:r>
              <w:rPr>
                <w:rFonts w:hint="eastAsia" w:ascii="宋体" w:hAnsi="宋体"/>
                <w:sz w:val="24"/>
                <w:szCs w:val="24"/>
                <w:highlight w:val="none"/>
              </w:rPr>
              <w:t>1</w:t>
            </w:r>
          </w:p>
        </w:tc>
        <w:tc>
          <w:tcPr>
            <w:tcW w:w="1812" w:type="dxa"/>
            <w:tcBorders>
              <w:top w:val="single" w:color="auto" w:sz="4" w:space="0"/>
              <w:left w:val="single" w:color="auto" w:sz="4" w:space="0"/>
              <w:bottom w:val="single" w:color="auto" w:sz="4" w:space="0"/>
              <w:right w:val="single" w:color="auto" w:sz="4" w:space="0"/>
            </w:tcBorders>
            <w:noWrap/>
            <w:vAlign w:val="center"/>
          </w:tcPr>
          <w:p w14:paraId="589A47CE">
            <w:pPr>
              <w:spacing w:before="100" w:beforeAutospacing="1" w:after="100" w:afterAutospacing="1" w:line="400" w:lineRule="exact"/>
              <w:contextualSpacing/>
              <w:jc w:val="center"/>
              <w:rPr>
                <w:rFonts w:ascii="宋体" w:hAnsi="宋体"/>
                <w:sz w:val="24"/>
                <w:szCs w:val="24"/>
                <w:highlight w:val="none"/>
              </w:rPr>
            </w:pPr>
            <w:r>
              <w:rPr>
                <w:rFonts w:hint="eastAsia" w:ascii="宋体" w:hAnsi="宋体"/>
                <w:sz w:val="24"/>
                <w:szCs w:val="24"/>
                <w:highlight w:val="none"/>
              </w:rPr>
              <w:t>总监理工程师</w:t>
            </w:r>
          </w:p>
        </w:tc>
        <w:tc>
          <w:tcPr>
            <w:tcW w:w="4711" w:type="dxa"/>
            <w:tcBorders>
              <w:top w:val="single" w:color="auto" w:sz="4" w:space="0"/>
              <w:left w:val="single" w:color="auto" w:sz="4" w:space="0"/>
              <w:bottom w:val="single" w:color="auto" w:sz="4" w:space="0"/>
              <w:right w:val="single" w:color="auto" w:sz="4" w:space="0"/>
            </w:tcBorders>
            <w:noWrap/>
            <w:vAlign w:val="center"/>
          </w:tcPr>
          <w:p w14:paraId="6D9C8A47">
            <w:pPr>
              <w:pStyle w:val="19"/>
              <w:topLinePunct/>
              <w:spacing w:line="400" w:lineRule="exact"/>
              <w:contextualSpacing/>
              <w:rPr>
                <w:rFonts w:hAnsi="宋体"/>
                <w:szCs w:val="24"/>
                <w:highlight w:val="none"/>
                <w:u w:val="single"/>
              </w:rPr>
            </w:pPr>
            <w:r>
              <w:rPr>
                <w:rFonts w:hint="eastAsia" w:hAnsi="宋体"/>
                <w:szCs w:val="24"/>
                <w:highlight w:val="none"/>
                <w:u w:val="single"/>
              </w:rPr>
              <w:t xml:space="preserve">姓名：               </w:t>
            </w:r>
          </w:p>
          <w:p w14:paraId="7A0CFF15">
            <w:pPr>
              <w:pStyle w:val="19"/>
              <w:topLinePunct/>
              <w:spacing w:line="400" w:lineRule="exact"/>
              <w:contextualSpacing/>
              <w:rPr>
                <w:rFonts w:hAnsi="宋体"/>
                <w:szCs w:val="24"/>
                <w:highlight w:val="none"/>
                <w:u w:val="single"/>
              </w:rPr>
            </w:pPr>
            <w:r>
              <w:rPr>
                <w:rFonts w:hint="eastAsia" w:hAnsi="宋体"/>
                <w:szCs w:val="24"/>
                <w:highlight w:val="none"/>
                <w:u w:val="single"/>
              </w:rPr>
              <w:t xml:space="preserve">技术职称：           </w:t>
            </w:r>
          </w:p>
          <w:p w14:paraId="699E4B1F">
            <w:pPr>
              <w:pStyle w:val="19"/>
              <w:topLinePunct/>
              <w:spacing w:line="400" w:lineRule="exact"/>
              <w:contextualSpacing/>
              <w:rPr>
                <w:rFonts w:hAnsi="宋体"/>
                <w:szCs w:val="24"/>
                <w:highlight w:val="none"/>
              </w:rPr>
            </w:pPr>
            <w:r>
              <w:rPr>
                <w:rFonts w:hint="eastAsia" w:hAnsi="宋体"/>
                <w:szCs w:val="24"/>
                <w:highlight w:val="none"/>
                <w:u w:val="single"/>
              </w:rPr>
              <w:t xml:space="preserve">注册证号：           </w:t>
            </w:r>
          </w:p>
        </w:tc>
        <w:tc>
          <w:tcPr>
            <w:tcW w:w="1649" w:type="dxa"/>
            <w:tcBorders>
              <w:top w:val="single" w:color="auto" w:sz="4" w:space="0"/>
              <w:left w:val="single" w:color="auto" w:sz="4" w:space="0"/>
              <w:bottom w:val="single" w:color="auto" w:sz="4" w:space="0"/>
              <w:right w:val="single" w:color="auto" w:sz="4" w:space="0"/>
            </w:tcBorders>
            <w:noWrap/>
            <w:vAlign w:val="center"/>
          </w:tcPr>
          <w:p w14:paraId="0A844499">
            <w:pPr>
              <w:spacing w:line="400" w:lineRule="exact"/>
              <w:ind w:firstLine="820" w:firstLineChars="342"/>
              <w:contextualSpacing/>
              <w:rPr>
                <w:rFonts w:ascii="宋体" w:hAnsi="宋体"/>
                <w:sz w:val="24"/>
                <w:szCs w:val="24"/>
                <w:highlight w:val="none"/>
              </w:rPr>
            </w:pPr>
          </w:p>
        </w:tc>
      </w:tr>
      <w:tr w14:paraId="394C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1C9DAD09">
            <w:pPr>
              <w:spacing w:line="400" w:lineRule="exact"/>
              <w:contextualSpacing/>
              <w:jc w:val="center"/>
              <w:rPr>
                <w:rFonts w:ascii="宋体" w:hAnsi="宋体"/>
                <w:sz w:val="24"/>
                <w:szCs w:val="24"/>
                <w:highlight w:val="none"/>
              </w:rPr>
            </w:pPr>
            <w:r>
              <w:rPr>
                <w:rFonts w:hint="eastAsia" w:ascii="宋体" w:hAnsi="宋体"/>
                <w:sz w:val="24"/>
                <w:szCs w:val="24"/>
                <w:highlight w:val="none"/>
              </w:rPr>
              <w:t>2</w:t>
            </w:r>
          </w:p>
        </w:tc>
        <w:tc>
          <w:tcPr>
            <w:tcW w:w="1812" w:type="dxa"/>
            <w:tcBorders>
              <w:top w:val="single" w:color="auto" w:sz="4" w:space="0"/>
              <w:left w:val="single" w:color="auto" w:sz="4" w:space="0"/>
              <w:bottom w:val="single" w:color="auto" w:sz="4" w:space="0"/>
              <w:right w:val="single" w:color="auto" w:sz="4" w:space="0"/>
            </w:tcBorders>
            <w:noWrap/>
            <w:vAlign w:val="center"/>
          </w:tcPr>
          <w:p w14:paraId="197CE22B">
            <w:pPr>
              <w:spacing w:before="100" w:beforeAutospacing="1" w:after="100" w:afterAutospacing="1" w:line="400" w:lineRule="exact"/>
              <w:contextualSpacing/>
              <w:jc w:val="center"/>
              <w:rPr>
                <w:rFonts w:ascii="宋体" w:hAnsi="宋体"/>
                <w:sz w:val="24"/>
                <w:szCs w:val="24"/>
                <w:highlight w:val="none"/>
              </w:rPr>
            </w:pPr>
            <w:r>
              <w:rPr>
                <w:rFonts w:hint="eastAsia" w:ascii="宋体" w:hAnsi="宋体"/>
                <w:sz w:val="24"/>
                <w:szCs w:val="24"/>
                <w:highlight w:val="none"/>
              </w:rPr>
              <w:t>监理服务期限</w:t>
            </w:r>
          </w:p>
        </w:tc>
        <w:tc>
          <w:tcPr>
            <w:tcW w:w="4711" w:type="dxa"/>
            <w:tcBorders>
              <w:top w:val="single" w:color="auto" w:sz="4" w:space="0"/>
              <w:left w:val="single" w:color="auto" w:sz="4" w:space="0"/>
              <w:bottom w:val="single" w:color="auto" w:sz="4" w:space="0"/>
              <w:right w:val="single" w:color="auto" w:sz="4" w:space="0"/>
            </w:tcBorders>
            <w:noWrap/>
            <w:vAlign w:val="center"/>
          </w:tcPr>
          <w:p w14:paraId="31275443">
            <w:pPr>
              <w:pStyle w:val="19"/>
              <w:topLinePunct/>
              <w:spacing w:line="400" w:lineRule="exact"/>
              <w:contextualSpacing/>
              <w:rPr>
                <w:rFonts w:hAnsi="宋体"/>
                <w:szCs w:val="24"/>
                <w:highlight w:val="none"/>
              </w:rPr>
            </w:pPr>
            <w:r>
              <w:rPr>
                <w:rFonts w:hint="eastAsia" w:hAnsi="宋体"/>
                <w:szCs w:val="24"/>
                <w:highlight w:val="none"/>
                <w:u w:val="single"/>
              </w:rPr>
              <w:t>按招标文件要求。</w:t>
            </w:r>
          </w:p>
        </w:tc>
        <w:tc>
          <w:tcPr>
            <w:tcW w:w="1649" w:type="dxa"/>
            <w:tcBorders>
              <w:top w:val="single" w:color="auto" w:sz="4" w:space="0"/>
              <w:left w:val="single" w:color="auto" w:sz="4" w:space="0"/>
              <w:bottom w:val="single" w:color="auto" w:sz="4" w:space="0"/>
              <w:right w:val="single" w:color="auto" w:sz="4" w:space="0"/>
            </w:tcBorders>
            <w:noWrap/>
            <w:vAlign w:val="center"/>
          </w:tcPr>
          <w:p w14:paraId="15172C0D">
            <w:pPr>
              <w:spacing w:line="400" w:lineRule="exact"/>
              <w:contextualSpacing/>
              <w:rPr>
                <w:rFonts w:ascii="宋体" w:hAnsi="宋体"/>
                <w:sz w:val="24"/>
                <w:szCs w:val="24"/>
                <w:highlight w:val="none"/>
              </w:rPr>
            </w:pPr>
          </w:p>
        </w:tc>
      </w:tr>
      <w:tr w14:paraId="2499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6CD91972">
            <w:pPr>
              <w:tabs>
                <w:tab w:val="left" w:pos="360"/>
              </w:tabs>
              <w:spacing w:line="400" w:lineRule="exact"/>
              <w:contextualSpacing/>
              <w:jc w:val="center"/>
              <w:rPr>
                <w:rFonts w:ascii="宋体" w:hAnsi="宋体"/>
                <w:sz w:val="24"/>
                <w:szCs w:val="24"/>
                <w:highlight w:val="none"/>
              </w:rPr>
            </w:pPr>
            <w:r>
              <w:rPr>
                <w:rFonts w:hint="eastAsia" w:ascii="宋体" w:hAnsi="宋体"/>
                <w:sz w:val="24"/>
                <w:szCs w:val="24"/>
                <w:highlight w:val="none"/>
              </w:rPr>
              <w:t>3</w:t>
            </w:r>
          </w:p>
        </w:tc>
        <w:tc>
          <w:tcPr>
            <w:tcW w:w="1812" w:type="dxa"/>
            <w:tcBorders>
              <w:top w:val="single" w:color="auto" w:sz="4" w:space="0"/>
              <w:left w:val="single" w:color="auto" w:sz="4" w:space="0"/>
              <w:bottom w:val="single" w:color="auto" w:sz="4" w:space="0"/>
              <w:right w:val="single" w:color="auto" w:sz="4" w:space="0"/>
            </w:tcBorders>
            <w:noWrap/>
            <w:vAlign w:val="center"/>
          </w:tcPr>
          <w:p w14:paraId="076F92CD">
            <w:pPr>
              <w:spacing w:before="100" w:beforeAutospacing="1" w:after="100" w:afterAutospacing="1" w:line="400" w:lineRule="exact"/>
              <w:contextualSpacing/>
              <w:jc w:val="center"/>
              <w:rPr>
                <w:rFonts w:ascii="宋体" w:hAnsi="宋体"/>
                <w:sz w:val="24"/>
                <w:szCs w:val="24"/>
                <w:highlight w:val="none"/>
              </w:rPr>
            </w:pPr>
            <w:r>
              <w:rPr>
                <w:rFonts w:hint="eastAsia" w:ascii="宋体" w:hAnsi="宋体"/>
                <w:sz w:val="24"/>
                <w:szCs w:val="24"/>
                <w:highlight w:val="none"/>
              </w:rPr>
              <w:t>合同价款确定方式</w:t>
            </w:r>
          </w:p>
        </w:tc>
        <w:tc>
          <w:tcPr>
            <w:tcW w:w="4711" w:type="dxa"/>
            <w:tcBorders>
              <w:top w:val="single" w:color="auto" w:sz="4" w:space="0"/>
              <w:left w:val="single" w:color="auto" w:sz="4" w:space="0"/>
              <w:bottom w:val="single" w:color="auto" w:sz="4" w:space="0"/>
              <w:right w:val="single" w:color="auto" w:sz="4" w:space="0"/>
            </w:tcBorders>
            <w:noWrap/>
            <w:vAlign w:val="center"/>
          </w:tcPr>
          <w:p w14:paraId="592ECA79">
            <w:pPr>
              <w:spacing w:line="400" w:lineRule="exact"/>
              <w:contextualSpacing/>
              <w:rPr>
                <w:rFonts w:ascii="宋体" w:hAnsi="宋体"/>
                <w:sz w:val="24"/>
                <w:szCs w:val="24"/>
                <w:highlight w:val="none"/>
              </w:rPr>
            </w:pPr>
            <w:r>
              <w:rPr>
                <w:rFonts w:hint="eastAsia" w:ascii="宋体" w:hAnsi="宋体"/>
                <w:sz w:val="24"/>
                <w:highlight w:val="none"/>
                <w:u w:val="single"/>
              </w:rPr>
              <w:t>按合同约定。</w:t>
            </w:r>
          </w:p>
        </w:tc>
        <w:tc>
          <w:tcPr>
            <w:tcW w:w="1649" w:type="dxa"/>
            <w:tcBorders>
              <w:top w:val="single" w:color="auto" w:sz="4" w:space="0"/>
              <w:left w:val="single" w:color="auto" w:sz="4" w:space="0"/>
              <w:bottom w:val="single" w:color="auto" w:sz="4" w:space="0"/>
              <w:right w:val="single" w:color="auto" w:sz="4" w:space="0"/>
            </w:tcBorders>
            <w:noWrap/>
            <w:vAlign w:val="center"/>
          </w:tcPr>
          <w:p w14:paraId="4D9130FB">
            <w:pPr>
              <w:tabs>
                <w:tab w:val="left" w:pos="360"/>
              </w:tabs>
              <w:spacing w:line="400" w:lineRule="exact"/>
              <w:contextualSpacing/>
              <w:jc w:val="center"/>
              <w:rPr>
                <w:rFonts w:ascii="宋体" w:hAnsi="宋体"/>
                <w:sz w:val="24"/>
                <w:szCs w:val="24"/>
                <w:highlight w:val="none"/>
              </w:rPr>
            </w:pPr>
          </w:p>
        </w:tc>
      </w:tr>
      <w:tr w14:paraId="70F3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59921502">
            <w:pPr>
              <w:spacing w:line="400" w:lineRule="exact"/>
              <w:contextualSpacing/>
              <w:jc w:val="center"/>
              <w:rPr>
                <w:rFonts w:ascii="宋体" w:hAnsi="宋体"/>
                <w:sz w:val="24"/>
                <w:szCs w:val="24"/>
                <w:highlight w:val="none"/>
              </w:rPr>
            </w:pPr>
            <w:r>
              <w:rPr>
                <w:rFonts w:hint="eastAsia" w:ascii="宋体" w:hAnsi="宋体"/>
                <w:sz w:val="24"/>
                <w:szCs w:val="24"/>
                <w:highlight w:val="none"/>
              </w:rPr>
              <w:t>4</w:t>
            </w:r>
          </w:p>
        </w:tc>
        <w:tc>
          <w:tcPr>
            <w:tcW w:w="1812" w:type="dxa"/>
            <w:tcBorders>
              <w:top w:val="single" w:color="auto" w:sz="4" w:space="0"/>
              <w:left w:val="single" w:color="auto" w:sz="4" w:space="0"/>
              <w:bottom w:val="single" w:color="auto" w:sz="4" w:space="0"/>
              <w:right w:val="single" w:color="auto" w:sz="4" w:space="0"/>
            </w:tcBorders>
            <w:noWrap/>
            <w:vAlign w:val="center"/>
          </w:tcPr>
          <w:p w14:paraId="63ADE920">
            <w:pPr>
              <w:spacing w:line="400" w:lineRule="exact"/>
              <w:contextualSpacing/>
              <w:jc w:val="center"/>
              <w:rPr>
                <w:rFonts w:ascii="宋体" w:hAnsi="宋体"/>
                <w:sz w:val="24"/>
                <w:szCs w:val="24"/>
                <w:highlight w:val="none"/>
              </w:rPr>
            </w:pPr>
            <w:r>
              <w:rPr>
                <w:rFonts w:hint="eastAsia" w:ascii="宋体" w:hAnsi="宋体"/>
                <w:sz w:val="24"/>
                <w:szCs w:val="24"/>
                <w:highlight w:val="none"/>
              </w:rPr>
              <w:t>质量标准</w:t>
            </w:r>
          </w:p>
        </w:tc>
        <w:tc>
          <w:tcPr>
            <w:tcW w:w="4711" w:type="dxa"/>
            <w:tcBorders>
              <w:top w:val="single" w:color="auto" w:sz="4" w:space="0"/>
              <w:left w:val="single" w:color="auto" w:sz="4" w:space="0"/>
              <w:bottom w:val="single" w:color="auto" w:sz="4" w:space="0"/>
              <w:right w:val="single" w:color="auto" w:sz="4" w:space="0"/>
            </w:tcBorders>
            <w:noWrap/>
            <w:vAlign w:val="center"/>
          </w:tcPr>
          <w:p w14:paraId="5CB8AFAC">
            <w:pPr>
              <w:spacing w:line="400" w:lineRule="exact"/>
              <w:contextualSpacing/>
              <w:rPr>
                <w:rFonts w:ascii="宋体" w:hAnsi="宋体"/>
                <w:sz w:val="24"/>
                <w:szCs w:val="24"/>
                <w:highlight w:val="none"/>
              </w:rPr>
            </w:pPr>
            <w:r>
              <w:rPr>
                <w:rFonts w:hint="eastAsia" w:ascii="宋体" w:hAnsi="宋体"/>
                <w:sz w:val="24"/>
                <w:szCs w:val="24"/>
                <w:highlight w:val="none"/>
                <w:u w:val="single"/>
              </w:rPr>
              <w:t>按招标文件要求。</w:t>
            </w:r>
          </w:p>
        </w:tc>
        <w:tc>
          <w:tcPr>
            <w:tcW w:w="1649" w:type="dxa"/>
            <w:tcBorders>
              <w:top w:val="single" w:color="auto" w:sz="4" w:space="0"/>
              <w:left w:val="single" w:color="auto" w:sz="4" w:space="0"/>
              <w:bottom w:val="single" w:color="auto" w:sz="4" w:space="0"/>
              <w:right w:val="single" w:color="auto" w:sz="4" w:space="0"/>
            </w:tcBorders>
            <w:noWrap/>
            <w:vAlign w:val="center"/>
          </w:tcPr>
          <w:p w14:paraId="47D76B3C">
            <w:pPr>
              <w:tabs>
                <w:tab w:val="left" w:pos="360"/>
              </w:tabs>
              <w:spacing w:line="400" w:lineRule="exact"/>
              <w:contextualSpacing/>
              <w:jc w:val="center"/>
              <w:rPr>
                <w:rFonts w:ascii="宋体" w:hAnsi="宋体"/>
                <w:sz w:val="24"/>
                <w:szCs w:val="24"/>
                <w:highlight w:val="none"/>
              </w:rPr>
            </w:pPr>
          </w:p>
        </w:tc>
      </w:tr>
      <w:tr w14:paraId="032F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2DC8D22E">
            <w:pPr>
              <w:spacing w:line="400" w:lineRule="exact"/>
              <w:contextualSpacing/>
              <w:jc w:val="center"/>
              <w:rPr>
                <w:rFonts w:ascii="宋体" w:hAnsi="宋体"/>
                <w:sz w:val="24"/>
                <w:szCs w:val="24"/>
                <w:highlight w:val="none"/>
              </w:rPr>
            </w:pPr>
            <w:r>
              <w:rPr>
                <w:rFonts w:hint="eastAsia" w:ascii="宋体" w:hAnsi="宋体"/>
                <w:sz w:val="24"/>
                <w:szCs w:val="24"/>
                <w:highlight w:val="none"/>
              </w:rPr>
              <w:t>5</w:t>
            </w:r>
          </w:p>
        </w:tc>
        <w:tc>
          <w:tcPr>
            <w:tcW w:w="1812" w:type="dxa"/>
            <w:tcBorders>
              <w:top w:val="single" w:color="auto" w:sz="4" w:space="0"/>
              <w:left w:val="single" w:color="auto" w:sz="4" w:space="0"/>
              <w:bottom w:val="single" w:color="auto" w:sz="4" w:space="0"/>
              <w:right w:val="single" w:color="auto" w:sz="4" w:space="0"/>
            </w:tcBorders>
            <w:noWrap/>
            <w:vAlign w:val="center"/>
          </w:tcPr>
          <w:p w14:paraId="5B632E2D">
            <w:pPr>
              <w:spacing w:line="400" w:lineRule="exact"/>
              <w:contextualSpacing/>
              <w:jc w:val="center"/>
              <w:rPr>
                <w:rFonts w:ascii="宋体" w:hAnsi="宋体"/>
                <w:sz w:val="24"/>
                <w:szCs w:val="24"/>
                <w:highlight w:val="none"/>
              </w:rPr>
            </w:pPr>
            <w:r>
              <w:rPr>
                <w:rFonts w:hint="eastAsia" w:ascii="宋体" w:hAnsi="宋体"/>
                <w:sz w:val="24"/>
                <w:szCs w:val="24"/>
                <w:highlight w:val="none"/>
              </w:rPr>
              <w:t>拟投入本项目监理机构人数</w:t>
            </w:r>
          </w:p>
        </w:tc>
        <w:tc>
          <w:tcPr>
            <w:tcW w:w="4711" w:type="dxa"/>
            <w:tcBorders>
              <w:top w:val="single" w:color="auto" w:sz="4" w:space="0"/>
              <w:left w:val="single" w:color="auto" w:sz="4" w:space="0"/>
              <w:bottom w:val="single" w:color="auto" w:sz="4" w:space="0"/>
              <w:right w:val="single" w:color="auto" w:sz="4" w:space="0"/>
            </w:tcBorders>
            <w:noWrap/>
            <w:vAlign w:val="center"/>
          </w:tcPr>
          <w:p w14:paraId="68402A8C">
            <w:pPr>
              <w:spacing w:line="400" w:lineRule="exact"/>
              <w:contextualSpacing/>
              <w:rPr>
                <w:rFonts w:ascii="宋体" w:hAnsi="宋体"/>
                <w:sz w:val="24"/>
                <w:szCs w:val="24"/>
                <w:highlight w:val="none"/>
              </w:rPr>
            </w:pPr>
            <w:r>
              <w:rPr>
                <w:rFonts w:hint="eastAsia" w:ascii="宋体" w:hAnsi="宋体"/>
                <w:sz w:val="24"/>
                <w:szCs w:val="24"/>
                <w:highlight w:val="none"/>
              </w:rPr>
              <w:t>人数：</w:t>
            </w:r>
          </w:p>
        </w:tc>
        <w:tc>
          <w:tcPr>
            <w:tcW w:w="1649" w:type="dxa"/>
            <w:tcBorders>
              <w:top w:val="single" w:color="auto" w:sz="4" w:space="0"/>
              <w:left w:val="single" w:color="auto" w:sz="4" w:space="0"/>
              <w:bottom w:val="single" w:color="auto" w:sz="4" w:space="0"/>
              <w:right w:val="single" w:color="auto" w:sz="4" w:space="0"/>
            </w:tcBorders>
            <w:noWrap/>
            <w:vAlign w:val="center"/>
          </w:tcPr>
          <w:p w14:paraId="2C7E908D">
            <w:pPr>
              <w:tabs>
                <w:tab w:val="left" w:pos="360"/>
              </w:tabs>
              <w:spacing w:line="400" w:lineRule="exact"/>
              <w:contextualSpacing/>
              <w:jc w:val="center"/>
              <w:rPr>
                <w:rFonts w:ascii="宋体" w:hAnsi="宋体"/>
                <w:sz w:val="24"/>
                <w:szCs w:val="24"/>
                <w:highlight w:val="none"/>
              </w:rPr>
            </w:pPr>
          </w:p>
        </w:tc>
      </w:tr>
      <w:tr w14:paraId="270F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2E2DF955">
            <w:pPr>
              <w:spacing w:line="400" w:lineRule="exact"/>
              <w:contextualSpacing/>
              <w:jc w:val="center"/>
              <w:rPr>
                <w:rFonts w:ascii="宋体" w:hAnsi="宋体"/>
                <w:sz w:val="24"/>
                <w:szCs w:val="24"/>
                <w:highlight w:val="none"/>
              </w:rPr>
            </w:pPr>
            <w:r>
              <w:rPr>
                <w:rFonts w:hint="eastAsia" w:ascii="宋体" w:hAnsi="宋体"/>
                <w:sz w:val="24"/>
                <w:szCs w:val="24"/>
                <w:highlight w:val="none"/>
              </w:rPr>
              <w:t>6</w:t>
            </w:r>
          </w:p>
        </w:tc>
        <w:tc>
          <w:tcPr>
            <w:tcW w:w="1812" w:type="dxa"/>
            <w:tcBorders>
              <w:top w:val="single" w:color="auto" w:sz="4" w:space="0"/>
              <w:left w:val="single" w:color="auto" w:sz="4" w:space="0"/>
              <w:bottom w:val="single" w:color="auto" w:sz="4" w:space="0"/>
              <w:right w:val="single" w:color="auto" w:sz="4" w:space="0"/>
            </w:tcBorders>
            <w:noWrap/>
            <w:vAlign w:val="center"/>
          </w:tcPr>
          <w:p w14:paraId="2097AD8D">
            <w:pPr>
              <w:spacing w:line="400" w:lineRule="exact"/>
              <w:contextualSpacing/>
              <w:jc w:val="center"/>
              <w:rPr>
                <w:rFonts w:ascii="宋体" w:hAnsi="宋体"/>
                <w:sz w:val="24"/>
                <w:szCs w:val="24"/>
                <w:highlight w:val="none"/>
              </w:rPr>
            </w:pPr>
            <w:r>
              <w:rPr>
                <w:rFonts w:hint="eastAsia" w:ascii="宋体" w:hAnsi="宋体"/>
                <w:sz w:val="24"/>
                <w:szCs w:val="24"/>
                <w:highlight w:val="none"/>
              </w:rPr>
              <w:t>监理费投标</w:t>
            </w:r>
          </w:p>
          <w:p w14:paraId="40A8AC17">
            <w:pPr>
              <w:spacing w:line="400" w:lineRule="exact"/>
              <w:contextualSpacing/>
              <w:jc w:val="center"/>
              <w:rPr>
                <w:rFonts w:ascii="宋体" w:hAnsi="宋体"/>
                <w:sz w:val="24"/>
                <w:szCs w:val="24"/>
                <w:highlight w:val="none"/>
              </w:rPr>
            </w:pPr>
            <w:r>
              <w:rPr>
                <w:rFonts w:hint="eastAsia" w:ascii="宋体" w:hAnsi="宋体"/>
                <w:sz w:val="24"/>
                <w:szCs w:val="24"/>
                <w:highlight w:val="none"/>
              </w:rPr>
              <w:t>总报价</w:t>
            </w:r>
          </w:p>
        </w:tc>
        <w:tc>
          <w:tcPr>
            <w:tcW w:w="4711" w:type="dxa"/>
            <w:tcBorders>
              <w:top w:val="single" w:color="auto" w:sz="4" w:space="0"/>
              <w:left w:val="single" w:color="auto" w:sz="4" w:space="0"/>
              <w:bottom w:val="single" w:color="auto" w:sz="4" w:space="0"/>
              <w:right w:val="single" w:color="auto" w:sz="4" w:space="0"/>
            </w:tcBorders>
            <w:noWrap/>
            <w:vAlign w:val="center"/>
          </w:tcPr>
          <w:p w14:paraId="00256098">
            <w:pPr>
              <w:spacing w:before="120" w:beforeLines="50" w:after="120" w:afterLines="50" w:line="400" w:lineRule="exact"/>
              <w:contextualSpacing/>
              <w:rPr>
                <w:rFonts w:ascii="宋体" w:hAnsi="宋体"/>
                <w:sz w:val="24"/>
                <w:szCs w:val="24"/>
                <w:highlight w:val="none"/>
              </w:rPr>
            </w:pPr>
            <w:r>
              <w:rPr>
                <w:rFonts w:hint="eastAsia" w:ascii="宋体" w:hAnsi="宋体"/>
                <w:sz w:val="24"/>
                <w:szCs w:val="24"/>
                <w:highlight w:val="none"/>
              </w:rPr>
              <w:t>大写：                    元</w:t>
            </w:r>
          </w:p>
          <w:p w14:paraId="28F195AF">
            <w:pPr>
              <w:spacing w:before="120" w:beforeLines="50" w:after="120" w:afterLines="50" w:line="400" w:lineRule="exact"/>
              <w:contextualSpacing/>
              <w:rPr>
                <w:rFonts w:ascii="宋体" w:hAnsi="宋体"/>
                <w:sz w:val="24"/>
                <w:szCs w:val="24"/>
                <w:highlight w:val="none"/>
              </w:rPr>
            </w:pPr>
            <w:r>
              <w:rPr>
                <w:rFonts w:hint="eastAsia" w:ascii="宋体" w:hAnsi="宋体"/>
                <w:sz w:val="24"/>
                <w:szCs w:val="24"/>
                <w:highlight w:val="none"/>
              </w:rPr>
              <w:t>小写：</w:t>
            </w:r>
          </w:p>
        </w:tc>
        <w:tc>
          <w:tcPr>
            <w:tcW w:w="1649" w:type="dxa"/>
            <w:tcBorders>
              <w:top w:val="single" w:color="auto" w:sz="4" w:space="0"/>
              <w:left w:val="single" w:color="auto" w:sz="4" w:space="0"/>
              <w:bottom w:val="single" w:color="auto" w:sz="4" w:space="0"/>
              <w:right w:val="single" w:color="auto" w:sz="4" w:space="0"/>
            </w:tcBorders>
            <w:noWrap/>
            <w:vAlign w:val="center"/>
          </w:tcPr>
          <w:p w14:paraId="369C276C">
            <w:pPr>
              <w:tabs>
                <w:tab w:val="left" w:pos="360"/>
              </w:tabs>
              <w:spacing w:line="400" w:lineRule="exact"/>
              <w:contextualSpacing/>
              <w:jc w:val="left"/>
              <w:rPr>
                <w:rFonts w:ascii="宋体" w:hAnsi="宋体"/>
                <w:b/>
                <w:szCs w:val="21"/>
                <w:highlight w:val="none"/>
              </w:rPr>
            </w:pPr>
          </w:p>
        </w:tc>
      </w:tr>
      <w:tr w14:paraId="6D05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457E0265">
            <w:pPr>
              <w:spacing w:line="400" w:lineRule="exact"/>
              <w:contextualSpacing/>
              <w:jc w:val="center"/>
              <w:rPr>
                <w:rFonts w:ascii="宋体" w:hAnsi="宋体"/>
                <w:sz w:val="24"/>
                <w:szCs w:val="24"/>
                <w:highlight w:val="none"/>
              </w:rPr>
            </w:pPr>
            <w:r>
              <w:rPr>
                <w:rFonts w:hint="eastAsia" w:ascii="宋体" w:hAnsi="宋体"/>
                <w:sz w:val="24"/>
                <w:szCs w:val="24"/>
                <w:highlight w:val="none"/>
              </w:rPr>
              <w:t>7</w:t>
            </w:r>
          </w:p>
        </w:tc>
        <w:tc>
          <w:tcPr>
            <w:tcW w:w="1812" w:type="dxa"/>
            <w:tcBorders>
              <w:top w:val="single" w:color="auto" w:sz="4" w:space="0"/>
              <w:left w:val="single" w:color="auto" w:sz="4" w:space="0"/>
              <w:bottom w:val="single" w:color="auto" w:sz="4" w:space="0"/>
              <w:right w:val="single" w:color="auto" w:sz="4" w:space="0"/>
            </w:tcBorders>
            <w:noWrap/>
            <w:vAlign w:val="center"/>
          </w:tcPr>
          <w:p w14:paraId="62C23387">
            <w:pPr>
              <w:spacing w:line="400" w:lineRule="exact"/>
              <w:contextualSpacing/>
              <w:jc w:val="center"/>
              <w:rPr>
                <w:rFonts w:ascii="宋体" w:hAnsi="宋体"/>
                <w:sz w:val="24"/>
                <w:szCs w:val="24"/>
                <w:highlight w:val="none"/>
              </w:rPr>
            </w:pPr>
            <w:r>
              <w:rPr>
                <w:rFonts w:hint="eastAsia" w:ascii="宋体" w:hAnsi="宋体"/>
                <w:sz w:val="24"/>
                <w:szCs w:val="24"/>
                <w:highlight w:val="none"/>
              </w:rPr>
              <w:t>投标有效期</w:t>
            </w:r>
          </w:p>
        </w:tc>
        <w:tc>
          <w:tcPr>
            <w:tcW w:w="4711" w:type="dxa"/>
            <w:tcBorders>
              <w:top w:val="single" w:color="auto" w:sz="4" w:space="0"/>
              <w:left w:val="single" w:color="auto" w:sz="4" w:space="0"/>
              <w:bottom w:val="single" w:color="auto" w:sz="4" w:space="0"/>
              <w:right w:val="single" w:color="auto" w:sz="4" w:space="0"/>
            </w:tcBorders>
            <w:noWrap/>
            <w:vAlign w:val="center"/>
          </w:tcPr>
          <w:p w14:paraId="0B2EBF80">
            <w:pPr>
              <w:spacing w:line="400" w:lineRule="exact"/>
              <w:contextualSpacing/>
              <w:rPr>
                <w:rFonts w:ascii="宋体" w:hAnsi="宋体"/>
                <w:sz w:val="24"/>
                <w:szCs w:val="24"/>
                <w:highlight w:val="none"/>
              </w:rPr>
            </w:pPr>
            <w:r>
              <w:rPr>
                <w:rFonts w:hint="eastAsia" w:ascii="宋体" w:hAnsi="宋体"/>
                <w:sz w:val="24"/>
                <w:szCs w:val="24"/>
                <w:highlight w:val="none"/>
              </w:rPr>
              <w:t>90日历天</w:t>
            </w:r>
          </w:p>
          <w:p w14:paraId="68D94AE8">
            <w:pPr>
              <w:spacing w:line="400" w:lineRule="exact"/>
              <w:contextualSpacing/>
              <w:rPr>
                <w:rFonts w:ascii="宋体" w:hAnsi="宋体"/>
                <w:sz w:val="24"/>
                <w:szCs w:val="24"/>
                <w:highlight w:val="none"/>
              </w:rPr>
            </w:pPr>
            <w:r>
              <w:rPr>
                <w:rFonts w:hint="eastAsia" w:ascii="宋体" w:hAnsi="宋体"/>
                <w:sz w:val="24"/>
                <w:szCs w:val="24"/>
                <w:highlight w:val="none"/>
              </w:rPr>
              <w:t>（从投标截止之日算起）</w:t>
            </w:r>
          </w:p>
        </w:tc>
        <w:tc>
          <w:tcPr>
            <w:tcW w:w="1649" w:type="dxa"/>
            <w:tcBorders>
              <w:top w:val="single" w:color="auto" w:sz="4" w:space="0"/>
              <w:left w:val="single" w:color="auto" w:sz="4" w:space="0"/>
              <w:bottom w:val="single" w:color="auto" w:sz="4" w:space="0"/>
              <w:right w:val="single" w:color="auto" w:sz="4" w:space="0"/>
            </w:tcBorders>
            <w:noWrap/>
            <w:vAlign w:val="center"/>
          </w:tcPr>
          <w:p w14:paraId="1A4C7DA3">
            <w:pPr>
              <w:spacing w:line="400" w:lineRule="exact"/>
              <w:contextualSpacing/>
              <w:jc w:val="center"/>
              <w:rPr>
                <w:rFonts w:ascii="宋体" w:hAnsi="宋体"/>
                <w:sz w:val="24"/>
                <w:szCs w:val="24"/>
                <w:highlight w:val="none"/>
              </w:rPr>
            </w:pPr>
          </w:p>
        </w:tc>
      </w:tr>
    </w:tbl>
    <w:p w14:paraId="227E87C8">
      <w:pPr>
        <w:spacing w:line="480" w:lineRule="exact"/>
        <w:jc w:val="left"/>
        <w:rPr>
          <w:rFonts w:ascii="宋体" w:hAnsi="宋体" w:cs="宋体"/>
          <w:sz w:val="24"/>
          <w:szCs w:val="24"/>
          <w:highlight w:val="none"/>
        </w:rPr>
      </w:pPr>
    </w:p>
    <w:p w14:paraId="7BF32337">
      <w:pPr>
        <w:spacing w:line="480" w:lineRule="exact"/>
        <w:ind w:firstLine="2880" w:firstLineChars="1200"/>
        <w:jc w:val="left"/>
        <w:rPr>
          <w:rFonts w:ascii="宋体" w:hAnsi="宋体" w:cs="宋体"/>
          <w:sz w:val="24"/>
          <w:szCs w:val="24"/>
          <w:highlight w:val="none"/>
          <w:u w:val="single"/>
        </w:rPr>
      </w:pPr>
      <w:r>
        <w:rPr>
          <w:rFonts w:hint="eastAsia" w:ascii="宋体" w:hAnsi="宋体" w:cs="宋体"/>
          <w:sz w:val="24"/>
          <w:szCs w:val="24"/>
          <w:highlight w:val="none"/>
        </w:rPr>
        <w:t xml:space="preserve">投标人：（盖单位章） </w:t>
      </w:r>
    </w:p>
    <w:p w14:paraId="14B594E6">
      <w:pPr>
        <w:tabs>
          <w:tab w:val="left" w:pos="9333"/>
        </w:tabs>
        <w:spacing w:line="480" w:lineRule="exact"/>
        <w:ind w:right="178" w:rightChars="85" w:firstLine="2880" w:firstLineChars="1200"/>
        <w:jc w:val="left"/>
        <w:rPr>
          <w:rFonts w:ascii="宋体" w:hAnsi="宋体" w:cs="宋体"/>
          <w:sz w:val="24"/>
          <w:szCs w:val="24"/>
          <w:highlight w:val="none"/>
        </w:rPr>
      </w:pPr>
      <w:r>
        <w:rPr>
          <w:rFonts w:hint="eastAsia" w:ascii="宋体" w:hAnsi="宋体" w:cs="宋体"/>
          <w:sz w:val="24"/>
          <w:szCs w:val="24"/>
          <w:highlight w:val="none"/>
        </w:rPr>
        <w:t xml:space="preserve">法定代表人或委托代理人： （签字或盖章）   </w:t>
      </w:r>
    </w:p>
    <w:p w14:paraId="4184A833">
      <w:pPr>
        <w:spacing w:line="440" w:lineRule="exact"/>
        <w:ind w:firstLine="2880" w:firstLineChars="1200"/>
        <w:rPr>
          <w:rFonts w:ascii="宋体" w:hAnsi="宋体"/>
          <w:sz w:val="20"/>
          <w:highlight w:val="none"/>
        </w:rPr>
      </w:pPr>
      <w:r>
        <w:rPr>
          <w:rFonts w:hint="eastAsia" w:ascii="宋体" w:hAnsi="宋体" w:cs="宋体"/>
          <w:sz w:val="24"/>
          <w:szCs w:val="24"/>
          <w:highlight w:val="none"/>
        </w:rPr>
        <w:t>日期：  年  月  日</w:t>
      </w:r>
    </w:p>
    <w:p w14:paraId="77958059">
      <w:pPr>
        <w:spacing w:line="440" w:lineRule="exact"/>
        <w:ind w:firstLine="420" w:firstLineChars="200"/>
        <w:rPr>
          <w:rFonts w:ascii="宋体" w:hAnsi="宋体"/>
          <w:szCs w:val="21"/>
          <w:highlight w:val="none"/>
        </w:rPr>
      </w:pPr>
      <w:r>
        <w:rPr>
          <w:rFonts w:ascii="宋体" w:hAnsi="宋体"/>
          <w:szCs w:val="21"/>
          <w:highlight w:val="none"/>
        </w:rPr>
        <w:br w:type="page"/>
      </w:r>
    </w:p>
    <w:bookmarkEnd w:id="544"/>
    <w:bookmarkEnd w:id="545"/>
    <w:bookmarkEnd w:id="546"/>
    <w:bookmarkEnd w:id="547"/>
    <w:bookmarkEnd w:id="548"/>
    <w:bookmarkEnd w:id="549"/>
    <w:bookmarkEnd w:id="550"/>
    <w:bookmarkEnd w:id="551"/>
    <w:bookmarkEnd w:id="552"/>
    <w:bookmarkEnd w:id="553"/>
    <w:bookmarkEnd w:id="554"/>
    <w:p w14:paraId="06953C61">
      <w:pPr>
        <w:spacing w:line="600" w:lineRule="auto"/>
        <w:jc w:val="left"/>
        <w:outlineLvl w:val="1"/>
        <w:rPr>
          <w:rFonts w:ascii="宋体" w:hAnsi="宋体"/>
          <w:b/>
          <w:bCs/>
          <w:kern w:val="0"/>
          <w:sz w:val="30"/>
          <w:szCs w:val="30"/>
          <w:highlight w:val="none"/>
        </w:rPr>
      </w:pPr>
      <w:bookmarkStart w:id="563" w:name="_Toc535938754"/>
      <w:bookmarkStart w:id="564" w:name="_Toc530470646"/>
      <w:bookmarkStart w:id="565" w:name="_Toc529196603"/>
      <w:bookmarkStart w:id="566" w:name="_Toc10139"/>
      <w:bookmarkStart w:id="567" w:name="_Toc12083"/>
      <w:bookmarkStart w:id="568" w:name="_Toc515450416"/>
      <w:bookmarkStart w:id="569" w:name="_Toc516145374"/>
      <w:bookmarkStart w:id="570" w:name="_Toc492300723"/>
      <w:r>
        <w:rPr>
          <w:rFonts w:hint="eastAsia" w:ascii="宋体" w:hAnsi="宋体"/>
          <w:b/>
          <w:bCs/>
          <w:kern w:val="0"/>
          <w:sz w:val="30"/>
          <w:szCs w:val="30"/>
          <w:highlight w:val="none"/>
        </w:rPr>
        <w:t>二、法定代表人身份证明或授权委托书（格式可自定）</w:t>
      </w:r>
      <w:bookmarkEnd w:id="563"/>
      <w:bookmarkEnd w:id="564"/>
      <w:bookmarkEnd w:id="565"/>
      <w:bookmarkEnd w:id="566"/>
      <w:bookmarkEnd w:id="567"/>
    </w:p>
    <w:p w14:paraId="2C7B068D">
      <w:pPr>
        <w:spacing w:line="440" w:lineRule="exact"/>
        <w:jc w:val="center"/>
        <w:rPr>
          <w:rFonts w:ascii="宋体" w:hAnsi="宋体"/>
          <w:highlight w:val="none"/>
        </w:rPr>
      </w:pPr>
      <w:r>
        <w:rPr>
          <w:rFonts w:hint="eastAsia" w:ascii="宋体" w:hAnsi="宋体"/>
          <w:b/>
          <w:sz w:val="32"/>
          <w:szCs w:val="32"/>
          <w:highlight w:val="none"/>
        </w:rPr>
        <w:t>法定代表人身份证明</w:t>
      </w:r>
      <w:bookmarkEnd w:id="568"/>
      <w:bookmarkEnd w:id="569"/>
      <w:bookmarkEnd w:id="570"/>
    </w:p>
    <w:p w14:paraId="761E94C3">
      <w:pPr>
        <w:spacing w:line="440" w:lineRule="exact"/>
        <w:rPr>
          <w:rFonts w:ascii="宋体" w:hAnsi="宋体"/>
          <w:highlight w:val="none"/>
        </w:rPr>
      </w:pPr>
      <w:r>
        <w:rPr>
          <w:rFonts w:ascii="宋体" w:hAnsi="宋体"/>
          <w:highlight w:val="none"/>
        </w:rPr>
        <w:t>投标人名称：</w:t>
      </w:r>
      <w:r>
        <w:rPr>
          <w:rFonts w:hint="eastAsia" w:ascii="宋体" w:hAnsi="宋体"/>
          <w:szCs w:val="21"/>
          <w:highlight w:val="none"/>
          <w:u w:val="single"/>
        </w:rPr>
        <w:t xml:space="preserve">                                </w:t>
      </w:r>
    </w:p>
    <w:p w14:paraId="78A13CCF">
      <w:pPr>
        <w:spacing w:line="440" w:lineRule="exact"/>
        <w:rPr>
          <w:rFonts w:ascii="宋体" w:hAnsi="宋体"/>
          <w:highlight w:val="none"/>
        </w:rPr>
      </w:pPr>
      <w:r>
        <w:rPr>
          <w:rFonts w:ascii="宋体" w:hAnsi="宋体"/>
          <w:highlight w:val="none"/>
        </w:rPr>
        <w:t>姓名：</w:t>
      </w:r>
      <w:r>
        <w:rPr>
          <w:rFonts w:hint="eastAsia" w:ascii="宋体" w:hAnsi="宋体"/>
          <w:szCs w:val="21"/>
          <w:highlight w:val="none"/>
          <w:u w:val="single"/>
        </w:rPr>
        <w:t xml:space="preserve">             </w:t>
      </w:r>
      <w:r>
        <w:rPr>
          <w:rFonts w:ascii="宋体" w:hAnsi="宋体"/>
          <w:highlight w:val="none"/>
        </w:rPr>
        <w:t>性别：</w:t>
      </w:r>
      <w:bookmarkStart w:id="571" w:name="_Toc352691662"/>
      <w:bookmarkStart w:id="572" w:name="_Toc369531698"/>
      <w:bookmarkStart w:id="573" w:name="_Toc27897"/>
      <w:r>
        <w:rPr>
          <w:rFonts w:hint="eastAsia" w:ascii="宋体" w:hAnsi="宋体"/>
          <w:szCs w:val="21"/>
          <w:highlight w:val="none"/>
          <w:u w:val="single"/>
        </w:rPr>
        <w:t xml:space="preserve">             </w:t>
      </w:r>
      <w:r>
        <w:rPr>
          <w:rFonts w:ascii="宋体" w:hAnsi="宋体"/>
          <w:highlight w:val="none"/>
        </w:rPr>
        <w:t>年</w:t>
      </w:r>
      <w:bookmarkEnd w:id="571"/>
      <w:bookmarkEnd w:id="572"/>
      <w:bookmarkEnd w:id="573"/>
      <w:r>
        <w:rPr>
          <w:rFonts w:ascii="宋体" w:hAnsi="宋体"/>
          <w:highlight w:val="none"/>
        </w:rPr>
        <w:t>龄</w:t>
      </w:r>
      <w:bookmarkStart w:id="574" w:name="_Toc152045789"/>
      <w:bookmarkStart w:id="575" w:name="_Toc15573"/>
      <w:bookmarkStart w:id="576" w:name="_Toc384308377"/>
      <w:bookmarkStart w:id="577" w:name="_Toc369531699"/>
      <w:bookmarkStart w:id="578" w:name="_Toc361508754"/>
      <w:bookmarkStart w:id="579" w:name="_Toc247514248"/>
      <w:bookmarkStart w:id="580" w:name="_Toc352691663"/>
      <w:bookmarkStart w:id="581" w:name="_Toc144974858"/>
      <w:bookmarkStart w:id="582" w:name="_Toc247527829"/>
      <w:bookmarkStart w:id="583" w:name="_Toc300835211"/>
      <w:bookmarkStart w:id="584" w:name="_Toc152042578"/>
      <w:r>
        <w:rPr>
          <w:rFonts w:ascii="宋体" w:hAnsi="宋体"/>
          <w:highlight w:val="none"/>
        </w:rPr>
        <w:t>：</w:t>
      </w:r>
      <w:bookmarkEnd w:id="574"/>
      <w:bookmarkEnd w:id="575"/>
      <w:bookmarkEnd w:id="576"/>
      <w:bookmarkEnd w:id="577"/>
      <w:bookmarkEnd w:id="578"/>
      <w:bookmarkEnd w:id="579"/>
      <w:bookmarkEnd w:id="580"/>
      <w:bookmarkEnd w:id="581"/>
      <w:bookmarkEnd w:id="582"/>
      <w:bookmarkEnd w:id="583"/>
      <w:bookmarkEnd w:id="584"/>
      <w:r>
        <w:rPr>
          <w:rFonts w:hint="eastAsia" w:ascii="宋体" w:hAnsi="宋体"/>
          <w:szCs w:val="21"/>
          <w:highlight w:val="none"/>
          <w:u w:val="single"/>
        </w:rPr>
        <w:t xml:space="preserve">             </w:t>
      </w:r>
      <w:r>
        <w:rPr>
          <w:rFonts w:ascii="宋体" w:hAnsi="宋体"/>
          <w:highlight w:val="none"/>
        </w:rPr>
        <w:t>职务：</w:t>
      </w:r>
      <w:r>
        <w:rPr>
          <w:rFonts w:hint="eastAsia" w:ascii="宋体" w:hAnsi="宋体"/>
          <w:szCs w:val="21"/>
          <w:highlight w:val="none"/>
          <w:u w:val="single"/>
        </w:rPr>
        <w:t xml:space="preserve">             </w:t>
      </w:r>
    </w:p>
    <w:p w14:paraId="57C87CF6">
      <w:pPr>
        <w:spacing w:line="440" w:lineRule="exact"/>
        <w:rPr>
          <w:rFonts w:ascii="宋体" w:hAnsi="宋体"/>
          <w:highlight w:val="none"/>
        </w:rPr>
      </w:pPr>
      <w:r>
        <w:rPr>
          <w:rFonts w:ascii="宋体" w:hAnsi="宋体"/>
          <w:highlight w:val="none"/>
        </w:rPr>
        <w:t>系</w:t>
      </w:r>
      <w:r>
        <w:rPr>
          <w:rFonts w:hint="eastAsia" w:ascii="宋体" w:hAnsi="宋体"/>
          <w:szCs w:val="21"/>
          <w:highlight w:val="none"/>
          <w:u w:val="single"/>
        </w:rPr>
        <w:t xml:space="preserve">                               </w:t>
      </w:r>
      <w:r>
        <w:rPr>
          <w:rFonts w:ascii="宋体" w:hAnsi="宋体"/>
          <w:highlight w:val="none"/>
        </w:rPr>
        <w:t>（投标人名称）的法定代表人。</w:t>
      </w:r>
    </w:p>
    <w:p w14:paraId="235B7829">
      <w:pPr>
        <w:spacing w:line="440" w:lineRule="exact"/>
        <w:ind w:firstLine="420" w:firstLineChars="200"/>
        <w:rPr>
          <w:rFonts w:ascii="宋体" w:hAnsi="宋体"/>
          <w:highlight w:val="none"/>
        </w:rPr>
      </w:pPr>
      <w:r>
        <w:rPr>
          <w:rFonts w:ascii="宋体" w:hAnsi="宋体"/>
          <w:highlight w:val="none"/>
        </w:rPr>
        <w:t>特此证明。</w:t>
      </w:r>
    </w:p>
    <w:p w14:paraId="34035E5C">
      <w:pPr>
        <w:spacing w:line="440" w:lineRule="exact"/>
        <w:rPr>
          <w:rFonts w:ascii="宋体" w:hAnsi="宋体"/>
          <w:highlight w:val="none"/>
        </w:rPr>
      </w:pPr>
    </w:p>
    <w:p w14:paraId="63C20898">
      <w:pPr>
        <w:spacing w:line="440" w:lineRule="exact"/>
        <w:rPr>
          <w:rFonts w:ascii="宋体" w:hAnsi="宋体"/>
          <w:highlight w:val="none"/>
        </w:rPr>
      </w:pPr>
      <w:r>
        <w:rPr>
          <w:rFonts w:ascii="宋体" w:hAnsi="宋体"/>
          <w:highlight w:val="none"/>
        </w:rPr>
        <w:t>附：法定代表人身份证扫描件。</w:t>
      </w:r>
    </w:p>
    <w:p w14:paraId="48EF56B9">
      <w:pPr>
        <w:spacing w:line="440" w:lineRule="exact"/>
        <w:rPr>
          <w:rFonts w:ascii="宋体" w:hAnsi="宋体"/>
          <w:highlight w:val="none"/>
        </w:rPr>
      </w:pPr>
    </w:p>
    <w:p w14:paraId="176B06A3">
      <w:pPr>
        <w:spacing w:line="440" w:lineRule="exact"/>
        <w:rPr>
          <w:rFonts w:ascii="宋体" w:hAnsi="宋体"/>
          <w:highlight w:val="none"/>
        </w:rPr>
      </w:pPr>
      <w:r>
        <w:rPr>
          <w:rFonts w:ascii="宋体" w:hAnsi="宋体"/>
          <w:highlight w:val="none"/>
        </w:rPr>
        <w:t>注：本身份证明需由投标人加盖单位公章。</w:t>
      </w:r>
    </w:p>
    <w:p w14:paraId="09BCFE7F">
      <w:pPr>
        <w:spacing w:line="440" w:lineRule="exact"/>
        <w:rPr>
          <w:rFonts w:ascii="宋体" w:hAnsi="宋体"/>
          <w:highlight w:val="none"/>
        </w:rPr>
      </w:pPr>
    </w:p>
    <w:p w14:paraId="377EAE78">
      <w:pPr>
        <w:spacing w:line="440" w:lineRule="exact"/>
        <w:rPr>
          <w:rFonts w:ascii="宋体" w:hAnsi="宋体"/>
          <w:highlight w:val="none"/>
        </w:rPr>
      </w:pPr>
    </w:p>
    <w:p w14:paraId="3C02AB98">
      <w:pPr>
        <w:spacing w:line="440" w:lineRule="exact"/>
        <w:jc w:val="center"/>
        <w:rPr>
          <w:rFonts w:ascii="宋体" w:hAnsi="宋体"/>
          <w:highlight w:val="none"/>
        </w:rPr>
      </w:pPr>
      <w:r>
        <w:rPr>
          <w:rFonts w:hint="eastAsia" w:ascii="宋体" w:hAnsi="宋体"/>
          <w:highlight w:val="none"/>
        </w:rPr>
        <w:t xml:space="preserve">                    </w:t>
      </w:r>
      <w:bookmarkStart w:id="585" w:name="_Toc21557"/>
      <w:bookmarkStart w:id="586" w:name="_Toc17279"/>
      <w:r>
        <w:rPr>
          <w:rFonts w:ascii="宋体" w:hAnsi="宋体"/>
          <w:highlight w:val="none"/>
        </w:rPr>
        <w:t>投标人：</w:t>
      </w:r>
      <w:r>
        <w:rPr>
          <w:rFonts w:ascii="宋体" w:hAnsi="宋体"/>
          <w:szCs w:val="21"/>
          <w:highlight w:val="none"/>
          <w:u w:val="single"/>
        </w:rPr>
        <w:tab/>
      </w:r>
      <w:r>
        <w:rPr>
          <w:rFonts w:hint="eastAsia" w:ascii="宋体" w:hAnsi="宋体"/>
          <w:szCs w:val="21"/>
          <w:highlight w:val="none"/>
          <w:u w:val="single"/>
        </w:rPr>
        <w:t xml:space="preserve">                        </w:t>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章</w:t>
      </w:r>
      <w:r>
        <w:rPr>
          <w:rFonts w:ascii="宋体" w:hAnsi="宋体"/>
          <w:highlight w:val="none"/>
        </w:rPr>
        <w:t>）</w:t>
      </w:r>
      <w:bookmarkEnd w:id="585"/>
      <w:bookmarkEnd w:id="586"/>
    </w:p>
    <w:p w14:paraId="3B716825">
      <w:pPr>
        <w:spacing w:line="440" w:lineRule="exact"/>
        <w:rPr>
          <w:rFonts w:ascii="宋体" w:hAnsi="宋体"/>
          <w:highlight w:val="none"/>
        </w:rPr>
      </w:pPr>
    </w:p>
    <w:p w14:paraId="3F17A496">
      <w:pPr>
        <w:spacing w:line="440" w:lineRule="exact"/>
        <w:ind w:firstLine="5040" w:firstLineChars="2400"/>
        <w:rPr>
          <w:rFonts w:ascii="宋体" w:hAnsi="宋体"/>
          <w:highlight w:val="none"/>
        </w:rPr>
      </w:pPr>
      <w:r>
        <w:rPr>
          <w:rFonts w:ascii="宋体" w:hAnsi="宋体"/>
          <w:highlight w:val="none"/>
        </w:rPr>
        <w:t>年</w:t>
      </w:r>
      <w:r>
        <w:rPr>
          <w:rFonts w:hint="eastAsia" w:ascii="宋体" w:hAnsi="宋体"/>
          <w:highlight w:val="none"/>
        </w:rPr>
        <w:t xml:space="preserve">   </w:t>
      </w:r>
      <w:r>
        <w:rPr>
          <w:rFonts w:ascii="宋体" w:hAnsi="宋体"/>
          <w:highlight w:val="none"/>
        </w:rPr>
        <w:t>月</w:t>
      </w:r>
      <w:r>
        <w:rPr>
          <w:rFonts w:hint="eastAsia" w:ascii="宋体" w:hAnsi="宋体"/>
          <w:highlight w:val="none"/>
        </w:rPr>
        <w:t xml:space="preserve">   </w:t>
      </w:r>
      <w:r>
        <w:rPr>
          <w:rFonts w:ascii="宋体" w:hAnsi="宋体"/>
          <w:highlight w:val="none"/>
        </w:rPr>
        <w:t>日</w:t>
      </w:r>
    </w:p>
    <w:p w14:paraId="09BF09C9">
      <w:pPr>
        <w:spacing w:line="440" w:lineRule="exact"/>
        <w:rPr>
          <w:rFonts w:ascii="宋体" w:hAnsi="宋体"/>
          <w:sz w:val="20"/>
          <w:highlight w:val="none"/>
        </w:rPr>
      </w:pPr>
    </w:p>
    <w:p w14:paraId="1FA90B6A">
      <w:pPr>
        <w:rPr>
          <w:rFonts w:ascii="宋体" w:hAnsi="宋体"/>
          <w:b/>
          <w:sz w:val="32"/>
          <w:szCs w:val="32"/>
          <w:highlight w:val="none"/>
        </w:rPr>
      </w:pPr>
      <w:r>
        <w:rPr>
          <w:rFonts w:ascii="宋体" w:hAnsi="宋体"/>
          <w:sz w:val="20"/>
          <w:highlight w:val="none"/>
        </w:rPr>
        <w:br w:type="page"/>
      </w:r>
    </w:p>
    <w:p w14:paraId="4BEEC131">
      <w:pPr>
        <w:spacing w:line="440" w:lineRule="exact"/>
        <w:jc w:val="center"/>
        <w:rPr>
          <w:rFonts w:ascii="宋体" w:hAnsi="宋体"/>
          <w:highlight w:val="none"/>
        </w:rPr>
      </w:pPr>
      <w:r>
        <w:rPr>
          <w:rFonts w:hint="eastAsia" w:ascii="宋体" w:hAnsi="宋体"/>
          <w:b/>
          <w:sz w:val="32"/>
          <w:szCs w:val="32"/>
          <w:highlight w:val="none"/>
        </w:rPr>
        <w:t>授权委托书</w:t>
      </w:r>
    </w:p>
    <w:p w14:paraId="0AED2022">
      <w:pPr>
        <w:topLinePunct/>
        <w:spacing w:line="440" w:lineRule="exact"/>
        <w:ind w:firstLine="420" w:firstLineChars="200"/>
        <w:rPr>
          <w:rFonts w:ascii="宋体" w:hAnsi="宋体"/>
          <w:highlight w:val="none"/>
        </w:rPr>
      </w:pPr>
    </w:p>
    <w:p w14:paraId="1F59AE5E">
      <w:pPr>
        <w:topLinePunct/>
        <w:spacing w:line="440" w:lineRule="exact"/>
        <w:ind w:firstLine="420" w:firstLineChars="200"/>
        <w:rPr>
          <w:rFonts w:ascii="宋体" w:hAnsi="宋体"/>
          <w:highlight w:val="none"/>
        </w:rPr>
      </w:pPr>
      <w:r>
        <w:rPr>
          <w:rFonts w:ascii="宋体" w:hAnsi="宋体"/>
          <w:highlight w:val="none"/>
        </w:rPr>
        <w:t>本人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highlight w:val="none"/>
        </w:rPr>
        <w:t>（姓名）系</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highlight w:val="none"/>
        </w:rPr>
        <w:t>（投标人名称）的法定代表人，现委托</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highlight w:val="none"/>
        </w:rPr>
        <w:t>（姓名）为我方代理人。代理人根据授权，以我方名义签署、澄清确认、递交、撤回、修改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ascii="宋体" w:hAnsi="宋体"/>
          <w:highlight w:val="none"/>
        </w:rPr>
        <w:t>投标文件、签订合同和处理有关事宜，其法律后果由我方承担。</w:t>
      </w:r>
    </w:p>
    <w:p w14:paraId="489E0884">
      <w:pPr>
        <w:spacing w:line="440" w:lineRule="exact"/>
        <w:rPr>
          <w:rFonts w:ascii="宋体" w:hAnsi="宋体"/>
          <w:highlight w:val="none"/>
        </w:rPr>
      </w:pPr>
      <w:r>
        <w:rPr>
          <w:rFonts w:ascii="宋体" w:hAnsi="宋体"/>
          <w:highlight w:val="none"/>
        </w:rPr>
        <w:t>委托期限：</w:t>
      </w:r>
      <w:r>
        <w:rPr>
          <w:rFonts w:hint="eastAsia" w:ascii="宋体" w:hAnsi="宋体"/>
          <w:szCs w:val="21"/>
          <w:highlight w:val="none"/>
          <w:u w:val="single"/>
        </w:rPr>
        <w:t xml:space="preserve">     90日历天       </w:t>
      </w:r>
      <w:r>
        <w:rPr>
          <w:rFonts w:ascii="宋体" w:hAnsi="宋体"/>
          <w:highlight w:val="none"/>
        </w:rPr>
        <w:t>。</w:t>
      </w:r>
    </w:p>
    <w:p w14:paraId="724D2E9A">
      <w:pPr>
        <w:spacing w:line="440" w:lineRule="exact"/>
        <w:ind w:firstLine="420" w:firstLineChars="200"/>
        <w:rPr>
          <w:rFonts w:ascii="宋体" w:hAnsi="宋体"/>
          <w:highlight w:val="none"/>
        </w:rPr>
      </w:pPr>
      <w:r>
        <w:rPr>
          <w:rFonts w:ascii="宋体" w:hAnsi="宋体"/>
          <w:highlight w:val="none"/>
        </w:rPr>
        <w:t>代理人无转委托权。</w:t>
      </w:r>
    </w:p>
    <w:p w14:paraId="6C92DD2B">
      <w:pPr>
        <w:spacing w:line="440" w:lineRule="exact"/>
        <w:ind w:firstLine="420" w:firstLineChars="200"/>
        <w:rPr>
          <w:rFonts w:ascii="宋体" w:hAnsi="宋体"/>
          <w:highlight w:val="none"/>
        </w:rPr>
      </w:pPr>
    </w:p>
    <w:p w14:paraId="1FEB6CEF">
      <w:pPr>
        <w:spacing w:line="440" w:lineRule="exact"/>
        <w:rPr>
          <w:rFonts w:ascii="宋体" w:hAnsi="宋体"/>
          <w:highlight w:val="none"/>
        </w:rPr>
      </w:pPr>
      <w:r>
        <w:rPr>
          <w:rFonts w:ascii="宋体" w:hAnsi="宋体"/>
          <w:highlight w:val="none"/>
        </w:rPr>
        <w:t>附：法定代表人身份证扫描件及委托代理人身份证扫描件</w:t>
      </w:r>
    </w:p>
    <w:p w14:paraId="769E7979">
      <w:pPr>
        <w:spacing w:line="440" w:lineRule="exact"/>
        <w:rPr>
          <w:rFonts w:ascii="宋体" w:hAnsi="宋体"/>
          <w:highlight w:val="none"/>
        </w:rPr>
      </w:pPr>
    </w:p>
    <w:p w14:paraId="083641DF">
      <w:pPr>
        <w:spacing w:line="440" w:lineRule="exact"/>
        <w:rPr>
          <w:rFonts w:ascii="宋体" w:hAnsi="宋体"/>
          <w:highlight w:val="none"/>
        </w:rPr>
      </w:pPr>
      <w:r>
        <w:rPr>
          <w:rFonts w:ascii="宋体" w:hAnsi="宋体"/>
          <w:highlight w:val="none"/>
        </w:rPr>
        <w:t>注：本授权委托书需由投标人加盖单位公章并由其法定代表人和委托代理人签字</w:t>
      </w:r>
      <w:r>
        <w:rPr>
          <w:rFonts w:hint="eastAsia" w:ascii="宋体" w:hAnsi="宋体"/>
          <w:highlight w:val="none"/>
        </w:rPr>
        <w:t>或盖章</w:t>
      </w:r>
      <w:r>
        <w:rPr>
          <w:rFonts w:ascii="宋体" w:hAnsi="宋体"/>
          <w:highlight w:val="none"/>
        </w:rPr>
        <w:t>。</w:t>
      </w:r>
    </w:p>
    <w:p w14:paraId="19DFBD7C">
      <w:pPr>
        <w:spacing w:line="440" w:lineRule="exact"/>
        <w:rPr>
          <w:rFonts w:ascii="宋体" w:hAnsi="宋体"/>
          <w:highlight w:val="none"/>
        </w:rPr>
      </w:pPr>
    </w:p>
    <w:p w14:paraId="3D2A1B9C">
      <w:pPr>
        <w:spacing w:line="440" w:lineRule="exact"/>
        <w:ind w:firstLine="2692" w:firstLineChars="1282"/>
        <w:rPr>
          <w:rFonts w:ascii="宋体" w:hAnsi="宋体"/>
          <w:highlight w:val="none"/>
        </w:rPr>
      </w:pPr>
      <w:r>
        <w:rPr>
          <w:rFonts w:ascii="宋体" w:hAnsi="宋体"/>
          <w:highlight w:val="none"/>
        </w:rPr>
        <w:t>投标人：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章</w:t>
      </w:r>
      <w:r>
        <w:rPr>
          <w:rFonts w:ascii="宋体" w:hAnsi="宋体"/>
          <w:highlight w:val="none"/>
        </w:rPr>
        <w:t>）</w:t>
      </w:r>
    </w:p>
    <w:p w14:paraId="58330EBC">
      <w:pPr>
        <w:spacing w:line="440" w:lineRule="exact"/>
        <w:ind w:firstLine="2692" w:firstLineChars="1282"/>
        <w:rPr>
          <w:rFonts w:ascii="宋体" w:hAnsi="宋体"/>
          <w:highlight w:val="none"/>
        </w:rPr>
      </w:pPr>
    </w:p>
    <w:p w14:paraId="2B8AF199">
      <w:pPr>
        <w:spacing w:line="440" w:lineRule="exact"/>
        <w:ind w:firstLine="2690" w:firstLineChars="1281"/>
        <w:jc w:val="left"/>
        <w:rPr>
          <w:rFonts w:ascii="宋体" w:hAnsi="宋体"/>
          <w:highlight w:val="none"/>
        </w:rPr>
      </w:pPr>
      <w:r>
        <w:rPr>
          <w:rFonts w:ascii="宋体" w:hAnsi="宋体"/>
          <w:highlight w:val="none"/>
        </w:rPr>
        <w:t>法定代表人：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highlight w:val="none"/>
        </w:rPr>
        <w:t>（签字</w:t>
      </w:r>
      <w:r>
        <w:rPr>
          <w:rFonts w:hint="eastAsia" w:ascii="宋体" w:hAnsi="宋体"/>
          <w:highlight w:val="none"/>
        </w:rPr>
        <w:t>或盖章</w:t>
      </w:r>
      <w:r>
        <w:rPr>
          <w:rFonts w:ascii="宋体" w:hAnsi="宋体"/>
          <w:highlight w:val="none"/>
        </w:rPr>
        <w:t>）</w:t>
      </w:r>
    </w:p>
    <w:p w14:paraId="03714934">
      <w:pPr>
        <w:spacing w:line="440" w:lineRule="exact"/>
        <w:ind w:firstLine="2692" w:firstLineChars="1282"/>
        <w:rPr>
          <w:rFonts w:ascii="宋体" w:hAnsi="宋体"/>
          <w:highlight w:val="none"/>
        </w:rPr>
      </w:pPr>
    </w:p>
    <w:p w14:paraId="4555C8BD">
      <w:pPr>
        <w:spacing w:line="440" w:lineRule="exact"/>
        <w:ind w:firstLine="2692" w:firstLineChars="1282"/>
        <w:rPr>
          <w:rFonts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p>
    <w:p w14:paraId="407F2E55">
      <w:pPr>
        <w:spacing w:line="440" w:lineRule="exact"/>
        <w:ind w:firstLine="2692" w:firstLineChars="1282"/>
        <w:rPr>
          <w:rFonts w:ascii="宋体" w:hAnsi="宋体"/>
          <w:highlight w:val="none"/>
        </w:rPr>
      </w:pPr>
    </w:p>
    <w:p w14:paraId="2CB4C978">
      <w:pPr>
        <w:spacing w:line="440" w:lineRule="exact"/>
        <w:ind w:firstLine="2692" w:firstLineChars="1282"/>
        <w:rPr>
          <w:rFonts w:ascii="宋体" w:hAnsi="宋体"/>
          <w:highlight w:val="none"/>
        </w:rPr>
      </w:pPr>
      <w:r>
        <w:rPr>
          <w:rFonts w:ascii="宋体" w:hAnsi="宋体"/>
          <w:highlight w:val="none"/>
        </w:rPr>
        <w:t>委托代理人：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highlight w:val="none"/>
        </w:rPr>
        <w:t>（签字</w:t>
      </w:r>
      <w:r>
        <w:rPr>
          <w:rFonts w:hint="eastAsia" w:ascii="宋体" w:hAnsi="宋体"/>
          <w:highlight w:val="none"/>
        </w:rPr>
        <w:t>或盖章</w:t>
      </w:r>
      <w:r>
        <w:rPr>
          <w:rFonts w:ascii="宋体" w:hAnsi="宋体"/>
          <w:highlight w:val="none"/>
        </w:rPr>
        <w:t>）</w:t>
      </w:r>
    </w:p>
    <w:p w14:paraId="2A558F7E">
      <w:pPr>
        <w:spacing w:line="440" w:lineRule="exact"/>
        <w:ind w:firstLine="2692" w:firstLineChars="1282"/>
        <w:rPr>
          <w:rFonts w:ascii="宋体" w:hAnsi="宋体"/>
          <w:highlight w:val="none"/>
        </w:rPr>
      </w:pPr>
    </w:p>
    <w:p w14:paraId="4A54CD7A">
      <w:pPr>
        <w:spacing w:line="440" w:lineRule="exact"/>
        <w:ind w:firstLine="2692" w:firstLineChars="1282"/>
        <w:rPr>
          <w:rFonts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p>
    <w:p w14:paraId="6D228665">
      <w:pPr>
        <w:spacing w:line="440" w:lineRule="exact"/>
        <w:ind w:firstLine="2692" w:firstLineChars="1282"/>
        <w:rPr>
          <w:rFonts w:ascii="宋体" w:hAnsi="宋体"/>
          <w:highlight w:val="none"/>
        </w:rPr>
      </w:pPr>
    </w:p>
    <w:p w14:paraId="2BC659DB">
      <w:pPr>
        <w:spacing w:line="440" w:lineRule="exact"/>
        <w:ind w:firstLine="2692" w:firstLineChars="1282"/>
        <w:rPr>
          <w:rFonts w:ascii="宋体" w:hAnsi="宋体"/>
          <w:highlight w:val="none"/>
        </w:rPr>
      </w:pPr>
    </w:p>
    <w:p w14:paraId="210CFF84">
      <w:pPr>
        <w:spacing w:line="440" w:lineRule="exact"/>
        <w:ind w:firstLine="4057" w:firstLineChars="1932"/>
        <w:jc w:val="right"/>
        <w:rPr>
          <w:rFonts w:ascii="宋体" w:hAnsi="宋体"/>
          <w:highlight w:val="none"/>
        </w:rPr>
      </w:pPr>
      <w:r>
        <w:rPr>
          <w:rFonts w:ascii="宋体" w:hAnsi="宋体"/>
          <w:highlight w:val="none"/>
        </w:rPr>
        <w:t>年</w:t>
      </w:r>
      <w:r>
        <w:rPr>
          <w:rFonts w:hint="eastAsia" w:ascii="宋体" w:hAnsi="宋体"/>
          <w:highlight w:val="none"/>
        </w:rPr>
        <w:t xml:space="preserve">   </w:t>
      </w:r>
      <w:r>
        <w:rPr>
          <w:rFonts w:ascii="宋体" w:hAnsi="宋体"/>
          <w:highlight w:val="none"/>
        </w:rPr>
        <w:t>月</w:t>
      </w:r>
      <w:r>
        <w:rPr>
          <w:rFonts w:hint="eastAsia" w:ascii="宋体" w:hAnsi="宋体"/>
          <w:highlight w:val="none"/>
        </w:rPr>
        <w:t xml:space="preserve">   </w:t>
      </w:r>
      <w:r>
        <w:rPr>
          <w:rFonts w:ascii="宋体" w:hAnsi="宋体"/>
          <w:highlight w:val="none"/>
        </w:rPr>
        <w:t>日</w:t>
      </w:r>
    </w:p>
    <w:p w14:paraId="4F17CB9E">
      <w:pPr>
        <w:spacing w:line="600" w:lineRule="auto"/>
        <w:jc w:val="left"/>
        <w:outlineLvl w:val="1"/>
        <w:rPr>
          <w:rFonts w:ascii="宋体" w:hAnsi="宋体"/>
          <w:highlight w:val="none"/>
        </w:rPr>
      </w:pPr>
      <w:r>
        <w:rPr>
          <w:rFonts w:ascii="宋体" w:hAnsi="宋体"/>
          <w:highlight w:val="none"/>
        </w:rPr>
        <w:br w:type="page"/>
      </w:r>
      <w:bookmarkStart w:id="587" w:name="_Toc30672"/>
      <w:bookmarkStart w:id="588" w:name="_Toc516145377"/>
      <w:bookmarkStart w:id="589" w:name="_Toc515205280"/>
      <w:bookmarkStart w:id="590" w:name="_Toc8916"/>
      <w:bookmarkStart w:id="591" w:name="_Toc361508760"/>
      <w:bookmarkStart w:id="592" w:name="_Toc515450421"/>
      <w:bookmarkStart w:id="593" w:name="_Toc492300728"/>
    </w:p>
    <w:p w14:paraId="4415426E">
      <w:pPr>
        <w:spacing w:line="600" w:lineRule="auto"/>
        <w:jc w:val="left"/>
        <w:outlineLvl w:val="1"/>
        <w:rPr>
          <w:rFonts w:ascii="宋体" w:hAnsi="宋体"/>
          <w:b/>
          <w:bCs/>
          <w:kern w:val="0"/>
          <w:sz w:val="30"/>
          <w:szCs w:val="30"/>
          <w:highlight w:val="none"/>
        </w:rPr>
      </w:pPr>
      <w:bookmarkStart w:id="594" w:name="_Toc12783"/>
      <w:bookmarkStart w:id="595" w:name="_Toc14835"/>
      <w:r>
        <w:rPr>
          <w:rFonts w:hint="eastAsia" w:ascii="宋体" w:hAnsi="宋体"/>
          <w:b/>
          <w:bCs/>
          <w:kern w:val="0"/>
          <w:sz w:val="30"/>
          <w:szCs w:val="30"/>
          <w:highlight w:val="none"/>
          <w:lang w:eastAsia="zh-CN"/>
        </w:rPr>
        <w:t>三</w:t>
      </w:r>
      <w:r>
        <w:rPr>
          <w:rFonts w:hint="eastAsia" w:ascii="宋体" w:hAnsi="宋体"/>
          <w:b/>
          <w:bCs/>
          <w:kern w:val="0"/>
          <w:sz w:val="30"/>
          <w:szCs w:val="30"/>
          <w:highlight w:val="none"/>
        </w:rPr>
        <w:t>、</w:t>
      </w:r>
      <w:bookmarkEnd w:id="587"/>
      <w:bookmarkEnd w:id="588"/>
      <w:bookmarkEnd w:id="589"/>
      <w:bookmarkEnd w:id="590"/>
      <w:r>
        <w:rPr>
          <w:rFonts w:hint="eastAsia" w:ascii="宋体" w:hAnsi="宋体"/>
          <w:b/>
          <w:bCs/>
          <w:kern w:val="0"/>
          <w:sz w:val="30"/>
          <w:szCs w:val="30"/>
          <w:highlight w:val="none"/>
        </w:rPr>
        <w:t>监理报酬清单（格式可自定）</w:t>
      </w:r>
      <w:bookmarkEnd w:id="594"/>
      <w:bookmarkEnd w:id="595"/>
    </w:p>
    <w:p w14:paraId="7ED1E46C">
      <w:pPr>
        <w:spacing w:before="240" w:line="360" w:lineRule="auto"/>
        <w:jc w:val="center"/>
        <w:rPr>
          <w:rFonts w:ascii="宋体" w:hAnsi="宋体"/>
          <w:b/>
          <w:sz w:val="28"/>
          <w:szCs w:val="28"/>
          <w:highlight w:val="none"/>
        </w:rPr>
      </w:pPr>
      <w:r>
        <w:rPr>
          <w:rFonts w:hint="eastAsia" w:ascii="宋体" w:hAnsi="宋体"/>
          <w:b/>
          <w:sz w:val="28"/>
          <w:szCs w:val="28"/>
          <w:highlight w:val="none"/>
        </w:rPr>
        <w:t>监理费用报价表</w:t>
      </w:r>
    </w:p>
    <w:p w14:paraId="7D49F0C2">
      <w:pPr>
        <w:tabs>
          <w:tab w:val="left" w:pos="1200"/>
        </w:tabs>
        <w:spacing w:before="240" w:beforeLines="100" w:line="360" w:lineRule="auto"/>
        <w:ind w:left="1196" w:hanging="357"/>
        <w:jc w:val="right"/>
        <w:rPr>
          <w:rFonts w:ascii="宋体" w:hAnsi="宋体" w:cs="宋体"/>
          <w:bCs/>
          <w:color w:val="auto"/>
          <w:sz w:val="24"/>
          <w:highlight w:val="none"/>
        </w:rPr>
      </w:pPr>
      <w:bookmarkStart w:id="596" w:name="_Toc525827486"/>
      <w:bookmarkStart w:id="597" w:name="_Toc525828220"/>
      <w:bookmarkStart w:id="598" w:name="_Toc530470650"/>
      <w:bookmarkStart w:id="599" w:name="_Toc529196608"/>
      <w:r>
        <w:rPr>
          <w:rFonts w:hint="eastAsia" w:ascii="宋体" w:hAnsi="宋体" w:cs="宋体"/>
          <w:bCs/>
          <w:color w:val="auto"/>
          <w:sz w:val="24"/>
          <w:highlight w:val="none"/>
        </w:rPr>
        <w:t>单位：人民币元</w:t>
      </w:r>
    </w:p>
    <w:tbl>
      <w:tblPr>
        <w:tblStyle w:val="4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2543"/>
        <w:gridCol w:w="1960"/>
        <w:gridCol w:w="1749"/>
        <w:gridCol w:w="1749"/>
      </w:tblGrid>
      <w:tr w14:paraId="74C5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579" w:type="pct"/>
            <w:vAlign w:val="center"/>
          </w:tcPr>
          <w:p w14:paraId="62B4C179">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04" w:type="pct"/>
            <w:vAlign w:val="center"/>
          </w:tcPr>
          <w:p w14:paraId="3151D62E">
            <w:pPr>
              <w:jc w:val="center"/>
              <w:rPr>
                <w:rFonts w:ascii="宋体" w:hAnsi="宋体" w:cs="宋体"/>
                <w:color w:val="auto"/>
                <w:sz w:val="24"/>
                <w:highlight w:val="none"/>
              </w:rPr>
            </w:pPr>
            <w:r>
              <w:rPr>
                <w:rFonts w:hint="eastAsia" w:ascii="宋体" w:hAnsi="宋体" w:cs="宋体"/>
                <w:color w:val="auto"/>
                <w:sz w:val="24"/>
                <w:highlight w:val="none"/>
              </w:rPr>
              <w:t>服务酬金</w:t>
            </w:r>
          </w:p>
        </w:tc>
        <w:tc>
          <w:tcPr>
            <w:tcW w:w="1082" w:type="pct"/>
            <w:vAlign w:val="center"/>
          </w:tcPr>
          <w:p w14:paraId="5A847882">
            <w:pPr>
              <w:jc w:val="center"/>
              <w:rPr>
                <w:rFonts w:ascii="宋体" w:hAnsi="宋体" w:cs="宋体"/>
                <w:color w:val="auto"/>
                <w:sz w:val="24"/>
                <w:highlight w:val="none"/>
              </w:rPr>
            </w:pPr>
            <w:r>
              <w:rPr>
                <w:rFonts w:hint="eastAsia" w:ascii="宋体" w:hAnsi="宋体" w:cs="宋体"/>
                <w:color w:val="auto"/>
                <w:sz w:val="24"/>
                <w:highlight w:val="none"/>
              </w:rPr>
              <w:t>金额（元）</w:t>
            </w:r>
          </w:p>
        </w:tc>
        <w:tc>
          <w:tcPr>
            <w:tcW w:w="966" w:type="pct"/>
            <w:vAlign w:val="center"/>
          </w:tcPr>
          <w:p w14:paraId="1809C0C8">
            <w:pPr>
              <w:jc w:val="center"/>
              <w:rPr>
                <w:rFonts w:ascii="宋体" w:hAnsi="宋体" w:cs="宋体"/>
                <w:color w:val="auto"/>
                <w:sz w:val="24"/>
                <w:highlight w:val="none"/>
              </w:rPr>
            </w:pPr>
            <w:r>
              <w:rPr>
                <w:rFonts w:hint="eastAsia" w:ascii="宋体" w:hAnsi="宋体" w:cs="宋体"/>
                <w:color w:val="auto"/>
                <w:sz w:val="24"/>
                <w:highlight w:val="none"/>
              </w:rPr>
              <w:t>对比限价下浮率</w:t>
            </w:r>
          </w:p>
          <w:p w14:paraId="11312B19">
            <w:pPr>
              <w:jc w:val="center"/>
              <w:rPr>
                <w:color w:val="auto"/>
                <w:highlight w:val="none"/>
              </w:rPr>
            </w:pPr>
            <w:r>
              <w:rPr>
                <w:rFonts w:hint="eastAsia"/>
                <w:color w:val="auto"/>
                <w:highlight w:val="none"/>
              </w:rPr>
              <w:t>（保留两位小数）</w:t>
            </w:r>
          </w:p>
        </w:tc>
        <w:tc>
          <w:tcPr>
            <w:tcW w:w="966" w:type="pct"/>
            <w:vAlign w:val="center"/>
          </w:tcPr>
          <w:p w14:paraId="3181D23D">
            <w:pPr>
              <w:jc w:val="center"/>
              <w:rPr>
                <w:rFonts w:hint="default" w:eastAsia="宋体"/>
                <w:color w:val="auto"/>
                <w:highlight w:val="none"/>
                <w:lang w:val="en-US" w:eastAsia="zh-CN"/>
              </w:rPr>
            </w:pPr>
            <w:r>
              <w:rPr>
                <w:rFonts w:hint="eastAsia"/>
                <w:color w:val="auto"/>
                <w:highlight w:val="none"/>
                <w:lang w:val="en-US" w:eastAsia="zh-CN"/>
              </w:rPr>
              <w:t>含增值税   %。</w:t>
            </w:r>
          </w:p>
        </w:tc>
      </w:tr>
      <w:tr w14:paraId="7F14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79" w:type="pct"/>
            <w:vAlign w:val="center"/>
          </w:tcPr>
          <w:p w14:paraId="4A4939AC">
            <w:pPr>
              <w:jc w:val="center"/>
              <w:rPr>
                <w:rFonts w:ascii="宋体" w:hAnsi="宋体" w:cs="宋体"/>
                <w:color w:val="auto"/>
                <w:sz w:val="24"/>
                <w:highlight w:val="none"/>
              </w:rPr>
            </w:pPr>
            <w:r>
              <w:rPr>
                <w:rFonts w:hint="eastAsia" w:ascii="宋体" w:hAnsi="宋体" w:cs="宋体"/>
                <w:color w:val="auto"/>
                <w:sz w:val="24"/>
                <w:highlight w:val="none"/>
              </w:rPr>
              <w:t>1</w:t>
            </w:r>
          </w:p>
        </w:tc>
        <w:tc>
          <w:tcPr>
            <w:tcW w:w="1404" w:type="pct"/>
            <w:vAlign w:val="center"/>
          </w:tcPr>
          <w:p w14:paraId="7D250D78">
            <w:pPr>
              <w:jc w:val="center"/>
              <w:rPr>
                <w:rFonts w:ascii="宋体" w:hAnsi="宋体" w:cs="宋体"/>
                <w:color w:val="auto"/>
                <w:sz w:val="24"/>
                <w:highlight w:val="none"/>
              </w:rPr>
            </w:pPr>
            <w:r>
              <w:rPr>
                <w:rFonts w:hint="eastAsia" w:hAnsi="宋体"/>
                <w:color w:val="auto"/>
                <w:szCs w:val="21"/>
                <w:highlight w:val="none"/>
              </w:rPr>
              <w:t>工程监理服务费</w:t>
            </w:r>
          </w:p>
        </w:tc>
        <w:tc>
          <w:tcPr>
            <w:tcW w:w="1082" w:type="pct"/>
            <w:vAlign w:val="center"/>
          </w:tcPr>
          <w:p w14:paraId="214F73BB">
            <w:pPr>
              <w:jc w:val="center"/>
              <w:rPr>
                <w:rFonts w:ascii="宋体" w:hAnsi="宋体" w:cs="宋体"/>
                <w:color w:val="auto"/>
                <w:sz w:val="24"/>
                <w:highlight w:val="none"/>
              </w:rPr>
            </w:pPr>
          </w:p>
        </w:tc>
        <w:tc>
          <w:tcPr>
            <w:tcW w:w="966" w:type="pct"/>
            <w:vAlign w:val="center"/>
          </w:tcPr>
          <w:p w14:paraId="4F6A8AE5">
            <w:pPr>
              <w:jc w:val="center"/>
              <w:rPr>
                <w:rFonts w:ascii="宋体" w:hAnsi="宋体" w:cs="宋体"/>
                <w:color w:val="auto"/>
                <w:sz w:val="24"/>
                <w:highlight w:val="none"/>
              </w:rPr>
            </w:pPr>
          </w:p>
        </w:tc>
        <w:tc>
          <w:tcPr>
            <w:tcW w:w="966" w:type="pct"/>
            <w:vAlign w:val="center"/>
          </w:tcPr>
          <w:p w14:paraId="5E112FBA">
            <w:pPr>
              <w:jc w:val="center"/>
              <w:rPr>
                <w:rFonts w:ascii="宋体" w:hAnsi="宋体" w:cs="宋体"/>
                <w:color w:val="auto"/>
                <w:sz w:val="24"/>
                <w:highlight w:val="none"/>
              </w:rPr>
            </w:pPr>
          </w:p>
        </w:tc>
      </w:tr>
      <w:bookmarkEnd w:id="596"/>
      <w:bookmarkEnd w:id="597"/>
      <w:bookmarkEnd w:id="598"/>
      <w:bookmarkEnd w:id="599"/>
    </w:tbl>
    <w:p w14:paraId="43EFF0E2">
      <w:pPr>
        <w:topLinePunct/>
        <w:spacing w:line="360" w:lineRule="auto"/>
        <w:rPr>
          <w:rFonts w:ascii="宋体" w:hAnsi="宋体" w:cs="宋体"/>
          <w:bCs/>
          <w:color w:val="auto"/>
          <w:spacing w:val="-10"/>
          <w:szCs w:val="21"/>
          <w:highlight w:val="none"/>
        </w:rPr>
      </w:pPr>
    </w:p>
    <w:p w14:paraId="479FD979">
      <w:pPr>
        <w:topLinePunct/>
        <w:spacing w:line="360" w:lineRule="auto"/>
        <w:ind w:firstLine="480" w:firstLineChars="200"/>
        <w:rPr>
          <w:rFonts w:ascii="宋体" w:hAnsi="宋体" w:cs="宋体"/>
          <w:color w:val="auto"/>
          <w:sz w:val="24"/>
          <w:highlight w:val="none"/>
        </w:rPr>
      </w:pPr>
    </w:p>
    <w:p w14:paraId="131CE10B">
      <w:pPr>
        <w:topLinePunct/>
        <w:spacing w:line="360" w:lineRule="auto"/>
        <w:ind w:firstLine="480" w:firstLineChars="200"/>
        <w:rPr>
          <w:rFonts w:ascii="宋体" w:hAnsi="宋体" w:cs="宋体"/>
          <w:color w:val="auto"/>
          <w:sz w:val="24"/>
          <w:highlight w:val="none"/>
        </w:rPr>
      </w:pPr>
    </w:p>
    <w:p w14:paraId="5819C19C">
      <w:pPr>
        <w:topLinePunct/>
        <w:spacing w:line="360" w:lineRule="auto"/>
        <w:ind w:firstLine="3600" w:firstLineChars="1500"/>
        <w:rPr>
          <w:rFonts w:ascii="宋体" w:hAnsi="宋体" w:cs="宋体"/>
          <w:color w:val="auto"/>
          <w:sz w:val="24"/>
          <w:highlight w:val="none"/>
        </w:rPr>
      </w:pPr>
    </w:p>
    <w:p w14:paraId="35E82686">
      <w:pPr>
        <w:topLinePunct/>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rPr>
        <w:t>投 标 单  位：    (盖公章)</w:t>
      </w:r>
    </w:p>
    <w:p w14:paraId="70EA0357">
      <w:pPr>
        <w:topLinePunct/>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rPr>
        <w:t>日期：    年    月     日</w:t>
      </w:r>
    </w:p>
    <w:p w14:paraId="3EEB0236">
      <w:pPr>
        <w:rPr>
          <w:highlight w:val="none"/>
        </w:rPr>
      </w:pPr>
    </w:p>
    <w:p w14:paraId="18BD80DD">
      <w:pPr>
        <w:rPr>
          <w:highlight w:val="none"/>
        </w:rPr>
      </w:pPr>
    </w:p>
    <w:p w14:paraId="2DDEE706">
      <w:pPr>
        <w:spacing w:line="440" w:lineRule="exact"/>
        <w:ind w:firstLine="3600" w:firstLineChars="1800"/>
        <w:rPr>
          <w:rFonts w:ascii="宋体" w:hAnsi="宋体"/>
          <w:sz w:val="20"/>
          <w:highlight w:val="none"/>
        </w:rPr>
      </w:pPr>
    </w:p>
    <w:p w14:paraId="61A8AEA6">
      <w:pPr>
        <w:widowControl/>
        <w:spacing w:line="360" w:lineRule="auto"/>
        <w:jc w:val="left"/>
        <w:rPr>
          <w:rFonts w:ascii="宋体" w:hAnsi="宋体"/>
          <w:b/>
          <w:bCs/>
          <w:sz w:val="32"/>
          <w:szCs w:val="32"/>
          <w:highlight w:val="none"/>
        </w:rPr>
      </w:pPr>
      <w:r>
        <w:rPr>
          <w:rFonts w:ascii="宋体" w:hAnsi="宋体"/>
          <w:highlight w:val="none"/>
        </w:rPr>
        <w:br w:type="page"/>
      </w:r>
      <w:bookmarkEnd w:id="591"/>
      <w:bookmarkEnd w:id="592"/>
      <w:bookmarkEnd w:id="593"/>
      <w:bookmarkStart w:id="600" w:name="_Toc9088"/>
      <w:r>
        <w:rPr>
          <w:rFonts w:hint="eastAsia" w:ascii="宋体" w:hAnsi="宋体"/>
          <w:b/>
          <w:bCs/>
          <w:sz w:val="32"/>
          <w:szCs w:val="32"/>
          <w:highlight w:val="none"/>
          <w:lang w:eastAsia="zh-CN"/>
        </w:rPr>
        <w:t>四</w:t>
      </w:r>
      <w:r>
        <w:rPr>
          <w:rFonts w:hint="eastAsia" w:ascii="宋体" w:hAnsi="宋体"/>
          <w:b/>
          <w:bCs/>
          <w:sz w:val="32"/>
          <w:szCs w:val="32"/>
          <w:highlight w:val="none"/>
        </w:rPr>
        <w:t>、</w:t>
      </w:r>
      <w:r>
        <w:rPr>
          <w:rFonts w:ascii="宋体" w:hAnsi="宋体"/>
          <w:b/>
          <w:bCs/>
          <w:sz w:val="32"/>
          <w:szCs w:val="32"/>
          <w:highlight w:val="none"/>
        </w:rPr>
        <w:t>资格审查资料</w:t>
      </w:r>
      <w:r>
        <w:rPr>
          <w:rFonts w:hint="eastAsia" w:ascii="宋体" w:hAnsi="宋体"/>
          <w:b/>
          <w:bCs/>
          <w:kern w:val="0"/>
          <w:sz w:val="32"/>
          <w:szCs w:val="32"/>
          <w:highlight w:val="none"/>
        </w:rPr>
        <w:t>（格式可自定）</w:t>
      </w:r>
    </w:p>
    <w:p w14:paraId="3B4236B5">
      <w:pPr>
        <w:jc w:val="center"/>
        <w:rPr>
          <w:rFonts w:ascii="宋体" w:hAnsi="宋体" w:cs="宋体"/>
          <w:b/>
          <w:sz w:val="32"/>
          <w:szCs w:val="32"/>
          <w:highlight w:val="none"/>
        </w:rPr>
      </w:pPr>
      <w:bookmarkStart w:id="601" w:name="_Toc32629"/>
      <w:bookmarkStart w:id="602" w:name="_Toc4257"/>
      <w:bookmarkStart w:id="603" w:name="_Toc526786515"/>
      <w:r>
        <w:rPr>
          <w:rFonts w:hint="eastAsia" w:ascii="宋体" w:hAnsi="宋体" w:cs="宋体"/>
          <w:b/>
          <w:sz w:val="32"/>
          <w:szCs w:val="32"/>
          <w:highlight w:val="none"/>
        </w:rPr>
        <w:t>资格审查资料</w:t>
      </w:r>
    </w:p>
    <w:tbl>
      <w:tblPr>
        <w:tblStyle w:val="4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8040"/>
      </w:tblGrid>
      <w:tr w14:paraId="7E38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68" w:type="dxa"/>
            <w:tcBorders>
              <w:top w:val="single" w:color="auto" w:sz="4" w:space="0"/>
              <w:left w:val="single" w:color="auto" w:sz="4" w:space="0"/>
              <w:bottom w:val="single" w:color="auto" w:sz="4" w:space="0"/>
              <w:right w:val="single" w:color="auto" w:sz="4" w:space="0"/>
            </w:tcBorders>
            <w:vAlign w:val="center"/>
          </w:tcPr>
          <w:p w14:paraId="4E99F0AD">
            <w:pPr>
              <w:tabs>
                <w:tab w:val="left" w:pos="720"/>
              </w:tabs>
              <w:snapToGrid w:val="0"/>
              <w:jc w:val="center"/>
              <w:rPr>
                <w:rFonts w:ascii="宋体" w:hAnsi="宋体" w:cs="宋体"/>
                <w:b/>
                <w:bCs/>
                <w:sz w:val="28"/>
                <w:szCs w:val="28"/>
                <w:highlight w:val="none"/>
              </w:rPr>
            </w:pPr>
            <w:r>
              <w:rPr>
                <w:rFonts w:hint="eastAsia" w:ascii="宋体" w:hAnsi="宋体" w:cs="宋体"/>
                <w:b/>
                <w:bCs/>
                <w:sz w:val="28"/>
                <w:szCs w:val="28"/>
                <w:highlight w:val="none"/>
              </w:rPr>
              <w:t>序号</w:t>
            </w:r>
          </w:p>
        </w:tc>
        <w:tc>
          <w:tcPr>
            <w:tcW w:w="8040" w:type="dxa"/>
            <w:tcBorders>
              <w:top w:val="single" w:color="auto" w:sz="4" w:space="0"/>
              <w:left w:val="single" w:color="auto" w:sz="4" w:space="0"/>
              <w:bottom w:val="single" w:color="auto" w:sz="4" w:space="0"/>
              <w:right w:val="single" w:color="auto" w:sz="4" w:space="0"/>
            </w:tcBorders>
            <w:vAlign w:val="center"/>
          </w:tcPr>
          <w:p w14:paraId="083E6134">
            <w:pPr>
              <w:tabs>
                <w:tab w:val="left" w:pos="720"/>
              </w:tabs>
              <w:snapToGrid w:val="0"/>
              <w:jc w:val="center"/>
              <w:rPr>
                <w:rFonts w:ascii="宋体" w:hAnsi="宋体" w:cs="宋体"/>
                <w:b/>
                <w:bCs/>
                <w:sz w:val="28"/>
                <w:szCs w:val="28"/>
                <w:highlight w:val="none"/>
              </w:rPr>
            </w:pPr>
            <w:r>
              <w:rPr>
                <w:rFonts w:hint="eastAsia" w:ascii="宋体" w:hAnsi="宋体" w:cs="宋体"/>
                <w:b/>
                <w:bCs/>
                <w:sz w:val="28"/>
                <w:szCs w:val="28"/>
                <w:highlight w:val="none"/>
              </w:rPr>
              <w:t>审查内容</w:t>
            </w:r>
          </w:p>
        </w:tc>
      </w:tr>
      <w:tr w14:paraId="1B6E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68" w:type="dxa"/>
            <w:tcBorders>
              <w:top w:val="single" w:color="auto" w:sz="4" w:space="0"/>
              <w:left w:val="single" w:color="auto" w:sz="4" w:space="0"/>
              <w:bottom w:val="single" w:color="auto" w:sz="4" w:space="0"/>
              <w:right w:val="single" w:color="auto" w:sz="4" w:space="0"/>
            </w:tcBorders>
            <w:vAlign w:val="center"/>
          </w:tcPr>
          <w:p w14:paraId="207A678D">
            <w:pPr>
              <w:tabs>
                <w:tab w:val="left" w:pos="720"/>
              </w:tabs>
              <w:snapToGrid w:val="0"/>
              <w:jc w:val="center"/>
              <w:rPr>
                <w:rFonts w:ascii="宋体" w:hAnsi="宋体" w:cs="宋体"/>
                <w:sz w:val="28"/>
                <w:szCs w:val="28"/>
                <w:highlight w:val="none"/>
              </w:rPr>
            </w:pPr>
            <w:r>
              <w:rPr>
                <w:rFonts w:hint="eastAsia" w:ascii="宋体" w:hAnsi="宋体" w:cs="宋体"/>
                <w:sz w:val="28"/>
                <w:szCs w:val="28"/>
                <w:highlight w:val="none"/>
              </w:rPr>
              <w:t>1</w:t>
            </w:r>
          </w:p>
        </w:tc>
        <w:tc>
          <w:tcPr>
            <w:tcW w:w="8040" w:type="dxa"/>
            <w:tcBorders>
              <w:top w:val="single" w:color="auto" w:sz="4" w:space="0"/>
              <w:left w:val="single" w:color="auto" w:sz="4" w:space="0"/>
              <w:bottom w:val="single" w:color="auto" w:sz="4" w:space="0"/>
              <w:right w:val="single" w:color="auto" w:sz="4" w:space="0"/>
            </w:tcBorders>
            <w:vAlign w:val="center"/>
          </w:tcPr>
          <w:p w14:paraId="6F119D98">
            <w:pPr>
              <w:tabs>
                <w:tab w:val="left" w:pos="720"/>
              </w:tabs>
              <w:snapToGrid w:val="0"/>
              <w:rPr>
                <w:rFonts w:ascii="宋体" w:hAnsi="宋体" w:cs="宋体"/>
                <w:sz w:val="28"/>
                <w:szCs w:val="28"/>
                <w:highlight w:val="none"/>
              </w:rPr>
            </w:pPr>
            <w:r>
              <w:rPr>
                <w:rFonts w:hint="eastAsia" w:ascii="宋体" w:hAnsi="宋体" w:cs="宋体"/>
                <w:sz w:val="28"/>
                <w:szCs w:val="28"/>
                <w:highlight w:val="none"/>
              </w:rPr>
              <w:t>营业执照等</w:t>
            </w:r>
            <w:r>
              <w:rPr>
                <w:rFonts w:ascii="宋体" w:hAnsi="宋体" w:cs="宋体"/>
                <w:sz w:val="28"/>
                <w:szCs w:val="28"/>
                <w:highlight w:val="none"/>
              </w:rPr>
              <w:t>扫描件</w:t>
            </w:r>
          </w:p>
        </w:tc>
      </w:tr>
      <w:tr w14:paraId="5875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68" w:type="dxa"/>
            <w:tcBorders>
              <w:top w:val="single" w:color="auto" w:sz="4" w:space="0"/>
              <w:left w:val="single" w:color="auto" w:sz="4" w:space="0"/>
              <w:bottom w:val="single" w:color="auto" w:sz="4" w:space="0"/>
              <w:right w:val="single" w:color="auto" w:sz="4" w:space="0"/>
            </w:tcBorders>
            <w:vAlign w:val="center"/>
          </w:tcPr>
          <w:p w14:paraId="28852873">
            <w:pPr>
              <w:tabs>
                <w:tab w:val="left" w:pos="720"/>
              </w:tabs>
              <w:snapToGrid w:val="0"/>
              <w:jc w:val="center"/>
              <w:rPr>
                <w:rFonts w:ascii="宋体" w:hAnsi="宋体" w:cs="宋体"/>
                <w:sz w:val="28"/>
                <w:szCs w:val="28"/>
                <w:highlight w:val="none"/>
              </w:rPr>
            </w:pPr>
            <w:r>
              <w:rPr>
                <w:rFonts w:hint="eastAsia" w:ascii="宋体" w:hAnsi="宋体" w:cs="宋体"/>
                <w:sz w:val="28"/>
                <w:szCs w:val="28"/>
                <w:highlight w:val="none"/>
              </w:rPr>
              <w:t>2</w:t>
            </w:r>
          </w:p>
        </w:tc>
        <w:tc>
          <w:tcPr>
            <w:tcW w:w="8040" w:type="dxa"/>
            <w:tcBorders>
              <w:top w:val="single" w:color="auto" w:sz="4" w:space="0"/>
              <w:left w:val="single" w:color="auto" w:sz="4" w:space="0"/>
              <w:bottom w:val="single" w:color="auto" w:sz="4" w:space="0"/>
              <w:right w:val="single" w:color="auto" w:sz="4" w:space="0"/>
            </w:tcBorders>
            <w:vAlign w:val="center"/>
          </w:tcPr>
          <w:p w14:paraId="624F3267">
            <w:pPr>
              <w:tabs>
                <w:tab w:val="left" w:pos="720"/>
              </w:tabs>
              <w:snapToGrid w:val="0"/>
              <w:rPr>
                <w:rFonts w:ascii="宋体" w:hAnsi="宋体" w:cs="宋体"/>
                <w:sz w:val="28"/>
                <w:szCs w:val="28"/>
                <w:highlight w:val="none"/>
              </w:rPr>
            </w:pPr>
            <w:r>
              <w:rPr>
                <w:rFonts w:hint="eastAsia" w:ascii="宋体" w:hAnsi="宋体" w:cs="宋体"/>
                <w:sz w:val="28"/>
                <w:szCs w:val="28"/>
                <w:highlight w:val="none"/>
              </w:rPr>
              <w:t>资质证书</w:t>
            </w:r>
            <w:r>
              <w:rPr>
                <w:rFonts w:ascii="宋体" w:hAnsi="宋体" w:cs="宋体"/>
                <w:sz w:val="28"/>
                <w:szCs w:val="28"/>
                <w:highlight w:val="none"/>
              </w:rPr>
              <w:t>扫描件</w:t>
            </w:r>
          </w:p>
        </w:tc>
      </w:tr>
      <w:tr w14:paraId="65AA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68" w:type="dxa"/>
            <w:tcBorders>
              <w:top w:val="single" w:color="auto" w:sz="4" w:space="0"/>
              <w:left w:val="single" w:color="auto" w:sz="4" w:space="0"/>
              <w:bottom w:val="single" w:color="auto" w:sz="4" w:space="0"/>
              <w:right w:val="single" w:color="auto" w:sz="4" w:space="0"/>
            </w:tcBorders>
            <w:vAlign w:val="center"/>
          </w:tcPr>
          <w:p w14:paraId="144A69C7">
            <w:pPr>
              <w:tabs>
                <w:tab w:val="left" w:pos="720"/>
              </w:tabs>
              <w:snapToGrid w:val="0"/>
              <w:jc w:val="center"/>
              <w:rPr>
                <w:rFonts w:ascii="宋体" w:hAnsi="宋体" w:cs="宋体"/>
                <w:sz w:val="28"/>
                <w:szCs w:val="28"/>
                <w:highlight w:val="none"/>
              </w:rPr>
            </w:pPr>
            <w:r>
              <w:rPr>
                <w:rFonts w:hint="eastAsia" w:ascii="宋体" w:hAnsi="宋体" w:cs="宋体"/>
                <w:sz w:val="28"/>
                <w:szCs w:val="28"/>
                <w:highlight w:val="none"/>
              </w:rPr>
              <w:t>3</w:t>
            </w:r>
          </w:p>
        </w:tc>
        <w:tc>
          <w:tcPr>
            <w:tcW w:w="8040" w:type="dxa"/>
            <w:tcBorders>
              <w:top w:val="single" w:color="auto" w:sz="4" w:space="0"/>
              <w:left w:val="single" w:color="auto" w:sz="4" w:space="0"/>
              <w:bottom w:val="single" w:color="auto" w:sz="4" w:space="0"/>
              <w:right w:val="single" w:color="auto" w:sz="4" w:space="0"/>
            </w:tcBorders>
            <w:vAlign w:val="center"/>
          </w:tcPr>
          <w:p w14:paraId="67EA8F42">
            <w:pPr>
              <w:tabs>
                <w:tab w:val="left" w:pos="720"/>
              </w:tabs>
              <w:snapToGrid w:val="0"/>
              <w:rPr>
                <w:rFonts w:ascii="宋体" w:hAnsi="宋体" w:cs="宋体"/>
                <w:sz w:val="28"/>
                <w:szCs w:val="28"/>
                <w:highlight w:val="none"/>
              </w:rPr>
            </w:pPr>
            <w:r>
              <w:rPr>
                <w:rFonts w:hint="eastAsia" w:ascii="宋体" w:hAnsi="宋体" w:cs="宋体"/>
                <w:sz w:val="28"/>
                <w:szCs w:val="28"/>
                <w:highlight w:val="none"/>
              </w:rPr>
              <w:t>拟派项目总监理工程师证明资料</w:t>
            </w:r>
          </w:p>
        </w:tc>
      </w:tr>
      <w:tr w14:paraId="4E09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68" w:type="dxa"/>
            <w:tcBorders>
              <w:top w:val="single" w:color="auto" w:sz="4" w:space="0"/>
              <w:left w:val="single" w:color="auto" w:sz="4" w:space="0"/>
              <w:bottom w:val="single" w:color="auto" w:sz="4" w:space="0"/>
              <w:right w:val="single" w:color="auto" w:sz="4" w:space="0"/>
            </w:tcBorders>
            <w:vAlign w:val="center"/>
          </w:tcPr>
          <w:p w14:paraId="089370DC">
            <w:pPr>
              <w:tabs>
                <w:tab w:val="left" w:pos="720"/>
              </w:tabs>
              <w:snapToGrid w:val="0"/>
              <w:jc w:val="center"/>
              <w:rPr>
                <w:rFonts w:ascii="宋体" w:hAnsi="宋体" w:cs="宋体"/>
                <w:sz w:val="28"/>
                <w:szCs w:val="28"/>
                <w:highlight w:val="none"/>
              </w:rPr>
            </w:pPr>
            <w:r>
              <w:rPr>
                <w:rFonts w:hint="eastAsia" w:ascii="宋体" w:hAnsi="宋体" w:cs="宋体"/>
                <w:sz w:val="28"/>
                <w:szCs w:val="28"/>
                <w:highlight w:val="none"/>
              </w:rPr>
              <w:t>4</w:t>
            </w:r>
          </w:p>
        </w:tc>
        <w:tc>
          <w:tcPr>
            <w:tcW w:w="8040" w:type="dxa"/>
            <w:tcBorders>
              <w:top w:val="single" w:color="auto" w:sz="4" w:space="0"/>
              <w:left w:val="single" w:color="auto" w:sz="4" w:space="0"/>
              <w:bottom w:val="single" w:color="auto" w:sz="4" w:space="0"/>
              <w:right w:val="single" w:color="auto" w:sz="4" w:space="0"/>
            </w:tcBorders>
            <w:vAlign w:val="center"/>
          </w:tcPr>
          <w:p w14:paraId="2A9AFCD4">
            <w:pPr>
              <w:tabs>
                <w:tab w:val="left" w:pos="720"/>
              </w:tabs>
              <w:snapToGrid w:val="0"/>
              <w:rPr>
                <w:rFonts w:ascii="宋体" w:hAnsi="宋体" w:cs="宋体"/>
                <w:sz w:val="28"/>
                <w:szCs w:val="28"/>
                <w:highlight w:val="none"/>
              </w:rPr>
            </w:pPr>
            <w:r>
              <w:rPr>
                <w:rFonts w:ascii="宋体" w:hAnsi="宋体" w:cs="宋体"/>
                <w:sz w:val="28"/>
                <w:szCs w:val="28"/>
                <w:highlight w:val="none"/>
              </w:rPr>
              <w:t>其他</w:t>
            </w:r>
            <w:r>
              <w:rPr>
                <w:rFonts w:hint="eastAsia" w:ascii="宋体" w:hAnsi="宋体" w:cs="宋体"/>
                <w:sz w:val="28"/>
                <w:szCs w:val="28"/>
                <w:highlight w:val="none"/>
              </w:rPr>
              <w:t>证明资料（《投标人声明》格式详见招标公告附件）</w:t>
            </w:r>
          </w:p>
        </w:tc>
      </w:tr>
      <w:tr w14:paraId="72D8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68" w:type="dxa"/>
            <w:tcBorders>
              <w:top w:val="single" w:color="auto" w:sz="4" w:space="0"/>
              <w:left w:val="single" w:color="auto" w:sz="4" w:space="0"/>
              <w:bottom w:val="single" w:color="auto" w:sz="4" w:space="0"/>
              <w:right w:val="single" w:color="auto" w:sz="4" w:space="0"/>
            </w:tcBorders>
            <w:vAlign w:val="center"/>
          </w:tcPr>
          <w:p w14:paraId="0F4EBA21">
            <w:pPr>
              <w:tabs>
                <w:tab w:val="left" w:pos="720"/>
              </w:tabs>
              <w:snapToGrid w:val="0"/>
              <w:jc w:val="center"/>
              <w:rPr>
                <w:rFonts w:ascii="宋体" w:hAnsi="宋体" w:cs="宋体"/>
                <w:sz w:val="28"/>
                <w:szCs w:val="28"/>
                <w:highlight w:val="none"/>
              </w:rPr>
            </w:pPr>
            <w:r>
              <w:rPr>
                <w:rFonts w:hint="eastAsia" w:ascii="宋体" w:hAnsi="宋体" w:cs="宋体"/>
                <w:sz w:val="28"/>
                <w:szCs w:val="28"/>
                <w:highlight w:val="none"/>
              </w:rPr>
              <w:t>5</w:t>
            </w:r>
          </w:p>
        </w:tc>
        <w:tc>
          <w:tcPr>
            <w:tcW w:w="8040" w:type="dxa"/>
            <w:tcBorders>
              <w:top w:val="single" w:color="auto" w:sz="4" w:space="0"/>
              <w:left w:val="single" w:color="auto" w:sz="4" w:space="0"/>
              <w:bottom w:val="single" w:color="auto" w:sz="4" w:space="0"/>
              <w:right w:val="single" w:color="auto" w:sz="4" w:space="0"/>
            </w:tcBorders>
            <w:vAlign w:val="center"/>
          </w:tcPr>
          <w:p w14:paraId="1630EB2A">
            <w:pPr>
              <w:tabs>
                <w:tab w:val="left" w:pos="720"/>
              </w:tabs>
              <w:snapToGrid w:val="0"/>
              <w:rPr>
                <w:rFonts w:ascii="宋体" w:hAnsi="宋体" w:cs="宋体"/>
                <w:sz w:val="28"/>
                <w:szCs w:val="28"/>
                <w:highlight w:val="none"/>
              </w:rPr>
            </w:pPr>
            <w:r>
              <w:rPr>
                <w:rFonts w:ascii="宋体" w:hAnsi="宋体" w:cs="宋体"/>
                <w:sz w:val="28"/>
                <w:szCs w:val="28"/>
                <w:highlight w:val="none"/>
              </w:rPr>
              <w:t>投标人认为需要提供的资料</w:t>
            </w:r>
          </w:p>
        </w:tc>
      </w:tr>
      <w:tr w14:paraId="22F4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68" w:type="dxa"/>
            <w:tcBorders>
              <w:top w:val="single" w:color="auto" w:sz="4" w:space="0"/>
              <w:left w:val="single" w:color="auto" w:sz="4" w:space="0"/>
              <w:bottom w:val="single" w:color="auto" w:sz="4" w:space="0"/>
              <w:right w:val="single" w:color="auto" w:sz="4" w:space="0"/>
            </w:tcBorders>
            <w:vAlign w:val="center"/>
          </w:tcPr>
          <w:p w14:paraId="3273BAB2">
            <w:pPr>
              <w:tabs>
                <w:tab w:val="left" w:pos="720"/>
              </w:tabs>
              <w:snapToGrid w:val="0"/>
              <w:jc w:val="center"/>
              <w:rPr>
                <w:rFonts w:ascii="宋体" w:hAnsi="宋体" w:cs="宋体"/>
                <w:sz w:val="28"/>
                <w:szCs w:val="28"/>
                <w:highlight w:val="none"/>
              </w:rPr>
            </w:pPr>
          </w:p>
        </w:tc>
        <w:tc>
          <w:tcPr>
            <w:tcW w:w="8040" w:type="dxa"/>
            <w:tcBorders>
              <w:top w:val="single" w:color="auto" w:sz="4" w:space="0"/>
              <w:left w:val="single" w:color="auto" w:sz="4" w:space="0"/>
              <w:bottom w:val="single" w:color="auto" w:sz="4" w:space="0"/>
              <w:right w:val="single" w:color="auto" w:sz="4" w:space="0"/>
            </w:tcBorders>
            <w:vAlign w:val="center"/>
          </w:tcPr>
          <w:p w14:paraId="55AFF8C1">
            <w:pPr>
              <w:tabs>
                <w:tab w:val="left" w:pos="720"/>
              </w:tabs>
              <w:snapToGrid w:val="0"/>
              <w:rPr>
                <w:rFonts w:ascii="宋体" w:hAnsi="宋体" w:cs="宋体"/>
                <w:sz w:val="28"/>
                <w:szCs w:val="28"/>
                <w:highlight w:val="none"/>
              </w:rPr>
            </w:pPr>
            <w:r>
              <w:rPr>
                <w:rFonts w:hint="eastAsia" w:ascii="宋体" w:hAnsi="宋体" w:cs="宋体"/>
                <w:sz w:val="28"/>
                <w:szCs w:val="28"/>
                <w:highlight w:val="none"/>
              </w:rPr>
              <w:t>……</w:t>
            </w:r>
          </w:p>
        </w:tc>
      </w:tr>
    </w:tbl>
    <w:p w14:paraId="3A0BAE15">
      <w:pPr>
        <w:ind w:firstLine="1120" w:firstLineChars="400"/>
        <w:rPr>
          <w:rFonts w:ascii="宋体" w:hAnsi="宋体" w:cs="宋体"/>
          <w:sz w:val="28"/>
          <w:szCs w:val="28"/>
          <w:highlight w:val="none"/>
        </w:rPr>
      </w:pPr>
    </w:p>
    <w:p w14:paraId="01B5C3E6">
      <w:pPr>
        <w:keepNext/>
        <w:keepLines/>
        <w:spacing w:line="480" w:lineRule="auto"/>
        <w:jc w:val="left"/>
        <w:outlineLvl w:val="2"/>
        <w:rPr>
          <w:rFonts w:ascii="宋体" w:hAnsi="宋体" w:cs="宋体"/>
          <w:b/>
          <w:bCs/>
          <w:sz w:val="32"/>
          <w:szCs w:val="32"/>
          <w:highlight w:val="none"/>
        </w:rPr>
      </w:pPr>
      <w:r>
        <w:rPr>
          <w:rFonts w:hint="eastAsia" w:ascii="宋体" w:hAnsi="宋体" w:cs="宋体"/>
          <w:highlight w:val="none"/>
        </w:rPr>
        <w:br w:type="page"/>
      </w:r>
      <w:bookmarkStart w:id="604" w:name="_Toc8425"/>
      <w:bookmarkStart w:id="605" w:name="_Toc5598"/>
      <w:r>
        <w:rPr>
          <w:rFonts w:hint="eastAsia" w:ascii="宋体" w:hAnsi="宋体" w:cs="宋体"/>
          <w:b/>
          <w:bCs/>
          <w:sz w:val="32"/>
          <w:szCs w:val="32"/>
          <w:highlight w:val="none"/>
          <w:lang w:eastAsia="zh-CN"/>
        </w:rPr>
        <w:t>五</w:t>
      </w:r>
      <w:r>
        <w:rPr>
          <w:rFonts w:hint="eastAsia" w:ascii="宋体" w:hAnsi="宋体" w:cs="宋体"/>
          <w:b/>
          <w:bCs/>
          <w:sz w:val="32"/>
          <w:szCs w:val="32"/>
          <w:highlight w:val="none"/>
        </w:rPr>
        <w:t>、监理大纲</w:t>
      </w:r>
      <w:r>
        <w:rPr>
          <w:rFonts w:hint="eastAsia" w:ascii="宋体" w:hAnsi="宋体"/>
          <w:b/>
          <w:bCs/>
          <w:kern w:val="0"/>
          <w:sz w:val="30"/>
          <w:szCs w:val="30"/>
          <w:highlight w:val="none"/>
        </w:rPr>
        <w:t>（格式可自定）</w:t>
      </w:r>
      <w:bookmarkEnd w:id="604"/>
      <w:bookmarkEnd w:id="605"/>
    </w:p>
    <w:p w14:paraId="251B0693">
      <w:pPr>
        <w:spacing w:line="360" w:lineRule="auto"/>
        <w:ind w:firstLine="542" w:firstLineChars="226"/>
        <w:rPr>
          <w:rFonts w:ascii="宋体" w:hAnsi="宋体"/>
          <w:sz w:val="24"/>
          <w:szCs w:val="24"/>
          <w:highlight w:val="none"/>
        </w:rPr>
      </w:pPr>
      <w:r>
        <w:rPr>
          <w:rFonts w:hint="eastAsia" w:ascii="宋体" w:hAnsi="宋体"/>
          <w:sz w:val="24"/>
          <w:szCs w:val="24"/>
          <w:highlight w:val="none"/>
        </w:rPr>
        <w:t>监理大纲应包括（但不限于）下列内容：</w:t>
      </w:r>
    </w:p>
    <w:p w14:paraId="14BC2903">
      <w:pPr>
        <w:spacing w:line="360" w:lineRule="auto"/>
        <w:ind w:firstLine="542" w:firstLineChars="226"/>
        <w:rPr>
          <w:rFonts w:ascii="宋体" w:hAnsi="宋体"/>
          <w:sz w:val="24"/>
          <w:szCs w:val="24"/>
          <w:highlight w:val="none"/>
        </w:rPr>
      </w:pPr>
      <w:r>
        <w:rPr>
          <w:rFonts w:hint="eastAsia" w:ascii="宋体" w:hAnsi="宋体"/>
          <w:sz w:val="24"/>
          <w:szCs w:val="24"/>
          <w:highlight w:val="none"/>
        </w:rPr>
        <w:t>一、监理工程概况；</w:t>
      </w:r>
    </w:p>
    <w:p w14:paraId="0FC0BAF0">
      <w:pPr>
        <w:spacing w:line="360" w:lineRule="auto"/>
        <w:ind w:firstLine="542" w:firstLineChars="226"/>
        <w:rPr>
          <w:rFonts w:ascii="宋体" w:hAnsi="宋体"/>
          <w:sz w:val="24"/>
          <w:szCs w:val="24"/>
          <w:highlight w:val="none"/>
        </w:rPr>
      </w:pPr>
      <w:r>
        <w:rPr>
          <w:rFonts w:hint="eastAsia" w:ascii="宋体" w:hAnsi="宋体"/>
          <w:sz w:val="24"/>
          <w:szCs w:val="24"/>
          <w:highlight w:val="none"/>
        </w:rPr>
        <w:t>二、监理范围、监理内容；</w:t>
      </w:r>
    </w:p>
    <w:p w14:paraId="5B9CDE0C">
      <w:pPr>
        <w:spacing w:line="360" w:lineRule="auto"/>
        <w:ind w:firstLine="542" w:firstLineChars="226"/>
        <w:rPr>
          <w:rFonts w:ascii="宋体" w:hAnsi="宋体"/>
          <w:sz w:val="24"/>
          <w:szCs w:val="24"/>
          <w:highlight w:val="none"/>
        </w:rPr>
      </w:pPr>
      <w:r>
        <w:rPr>
          <w:rFonts w:hint="eastAsia" w:ascii="宋体" w:hAnsi="宋体"/>
          <w:sz w:val="24"/>
          <w:szCs w:val="24"/>
          <w:highlight w:val="none"/>
        </w:rPr>
        <w:t>三、监理依据、监理工作目标；</w:t>
      </w:r>
    </w:p>
    <w:p w14:paraId="453C8B35">
      <w:pPr>
        <w:spacing w:line="360" w:lineRule="auto"/>
        <w:ind w:firstLine="542" w:firstLineChars="226"/>
        <w:rPr>
          <w:rFonts w:ascii="宋体" w:hAnsi="宋体"/>
          <w:sz w:val="24"/>
          <w:szCs w:val="24"/>
          <w:highlight w:val="none"/>
        </w:rPr>
      </w:pPr>
      <w:r>
        <w:rPr>
          <w:rFonts w:hint="eastAsia" w:ascii="宋体" w:hAnsi="宋体"/>
          <w:sz w:val="24"/>
          <w:szCs w:val="24"/>
          <w:highlight w:val="none"/>
        </w:rPr>
        <w:t>四、监理机构设置（监理组织架构框图）、岗位职责；</w:t>
      </w:r>
    </w:p>
    <w:p w14:paraId="59862C73">
      <w:pPr>
        <w:spacing w:line="360" w:lineRule="auto"/>
        <w:ind w:firstLine="542" w:firstLineChars="226"/>
        <w:rPr>
          <w:rFonts w:ascii="宋体" w:hAnsi="宋体"/>
          <w:sz w:val="24"/>
          <w:szCs w:val="24"/>
          <w:highlight w:val="none"/>
        </w:rPr>
      </w:pPr>
      <w:r>
        <w:rPr>
          <w:rFonts w:hint="eastAsia" w:ascii="宋体" w:hAnsi="宋体"/>
          <w:sz w:val="24"/>
          <w:szCs w:val="24"/>
          <w:highlight w:val="none"/>
        </w:rPr>
        <w:t>五、质量控制、进度控制、投资控制措施；</w:t>
      </w:r>
    </w:p>
    <w:p w14:paraId="541D0AB8">
      <w:pPr>
        <w:spacing w:line="360" w:lineRule="auto"/>
        <w:ind w:firstLine="542" w:firstLineChars="226"/>
        <w:rPr>
          <w:rFonts w:ascii="宋体" w:hAnsi="宋体"/>
          <w:sz w:val="24"/>
          <w:szCs w:val="24"/>
          <w:highlight w:val="none"/>
        </w:rPr>
      </w:pPr>
      <w:r>
        <w:rPr>
          <w:rFonts w:hint="eastAsia" w:ascii="宋体" w:hAnsi="宋体"/>
          <w:sz w:val="24"/>
          <w:szCs w:val="24"/>
          <w:highlight w:val="none"/>
        </w:rPr>
        <w:t>六、安全、文明施工管理；</w:t>
      </w:r>
    </w:p>
    <w:p w14:paraId="546CA641">
      <w:pPr>
        <w:spacing w:line="360" w:lineRule="auto"/>
        <w:ind w:firstLine="542" w:firstLineChars="226"/>
        <w:rPr>
          <w:rFonts w:ascii="宋体" w:hAnsi="宋体"/>
          <w:sz w:val="24"/>
          <w:szCs w:val="24"/>
          <w:highlight w:val="none"/>
        </w:rPr>
      </w:pPr>
      <w:r>
        <w:rPr>
          <w:rFonts w:hint="eastAsia" w:ascii="宋体" w:hAnsi="宋体"/>
          <w:sz w:val="24"/>
          <w:szCs w:val="24"/>
          <w:highlight w:val="none"/>
        </w:rPr>
        <w:t>七、合同、信息管理方案；</w:t>
      </w:r>
    </w:p>
    <w:p w14:paraId="72F4C875">
      <w:pPr>
        <w:spacing w:line="360" w:lineRule="auto"/>
        <w:ind w:firstLine="542" w:firstLineChars="226"/>
        <w:rPr>
          <w:rFonts w:ascii="宋体" w:hAnsi="宋体"/>
          <w:sz w:val="24"/>
          <w:szCs w:val="24"/>
          <w:highlight w:val="none"/>
        </w:rPr>
      </w:pPr>
      <w:r>
        <w:rPr>
          <w:rFonts w:hint="eastAsia" w:ascii="宋体" w:hAnsi="宋体"/>
          <w:sz w:val="24"/>
          <w:szCs w:val="24"/>
          <w:highlight w:val="none"/>
        </w:rPr>
        <w:t>八、监理组织协调内容及措施；</w:t>
      </w:r>
    </w:p>
    <w:p w14:paraId="5CB51340">
      <w:pPr>
        <w:spacing w:line="360" w:lineRule="auto"/>
        <w:ind w:firstLine="542" w:firstLineChars="226"/>
        <w:rPr>
          <w:rFonts w:ascii="宋体" w:hAnsi="宋体"/>
          <w:sz w:val="24"/>
          <w:szCs w:val="24"/>
          <w:highlight w:val="none"/>
        </w:rPr>
      </w:pPr>
      <w:r>
        <w:rPr>
          <w:rFonts w:hint="eastAsia" w:ascii="宋体" w:hAnsi="宋体"/>
          <w:sz w:val="24"/>
          <w:szCs w:val="24"/>
          <w:highlight w:val="none"/>
        </w:rPr>
        <w:t>九、监理工作程序、方法和制度；</w:t>
      </w:r>
    </w:p>
    <w:p w14:paraId="74BABF41">
      <w:pPr>
        <w:spacing w:line="360" w:lineRule="auto"/>
        <w:ind w:firstLine="542" w:firstLineChars="226"/>
        <w:rPr>
          <w:rFonts w:ascii="宋体" w:hAnsi="宋体"/>
          <w:sz w:val="24"/>
          <w:szCs w:val="24"/>
          <w:highlight w:val="none"/>
        </w:rPr>
      </w:pPr>
      <w:r>
        <w:rPr>
          <w:rFonts w:hint="eastAsia" w:ascii="宋体" w:hAnsi="宋体"/>
          <w:sz w:val="24"/>
          <w:szCs w:val="24"/>
          <w:highlight w:val="none"/>
        </w:rPr>
        <w:t>十、会议制度；</w:t>
      </w:r>
    </w:p>
    <w:p w14:paraId="3B670AED">
      <w:pPr>
        <w:spacing w:line="360" w:lineRule="auto"/>
        <w:ind w:firstLine="542" w:firstLineChars="226"/>
        <w:rPr>
          <w:rFonts w:ascii="宋体" w:hAnsi="宋体"/>
          <w:sz w:val="24"/>
          <w:szCs w:val="24"/>
          <w:highlight w:val="none"/>
        </w:rPr>
      </w:pPr>
      <w:r>
        <w:rPr>
          <w:rFonts w:hint="eastAsia" w:ascii="宋体" w:hAnsi="宋体"/>
          <w:sz w:val="24"/>
          <w:szCs w:val="24"/>
          <w:highlight w:val="none"/>
        </w:rPr>
        <w:t>十一、工程进度款、工程结算管理；</w:t>
      </w:r>
    </w:p>
    <w:p w14:paraId="179E2DB9">
      <w:pPr>
        <w:spacing w:line="360" w:lineRule="auto"/>
        <w:ind w:firstLine="542" w:firstLineChars="226"/>
        <w:rPr>
          <w:rFonts w:ascii="宋体" w:hAnsi="宋体"/>
          <w:sz w:val="24"/>
          <w:szCs w:val="24"/>
          <w:highlight w:val="none"/>
        </w:rPr>
      </w:pPr>
      <w:r>
        <w:rPr>
          <w:rFonts w:hint="eastAsia" w:ascii="宋体" w:hAnsi="宋体"/>
          <w:sz w:val="24"/>
          <w:szCs w:val="24"/>
          <w:highlight w:val="none"/>
        </w:rPr>
        <w:t>十二、监理工作重点、难点分析；</w:t>
      </w:r>
    </w:p>
    <w:p w14:paraId="7688844D">
      <w:pPr>
        <w:numPr>
          <w:ilvl w:val="0"/>
          <w:numId w:val="3"/>
        </w:numPr>
        <w:spacing w:line="360" w:lineRule="auto"/>
        <w:ind w:firstLine="542" w:firstLineChars="226"/>
        <w:jc w:val="left"/>
        <w:rPr>
          <w:rFonts w:ascii="宋体" w:hAnsi="宋体"/>
          <w:sz w:val="24"/>
          <w:szCs w:val="24"/>
          <w:highlight w:val="none"/>
        </w:rPr>
      </w:pPr>
      <w:r>
        <w:rPr>
          <w:rFonts w:hint="eastAsia" w:ascii="宋体" w:hAnsi="宋体"/>
          <w:sz w:val="24"/>
          <w:szCs w:val="24"/>
          <w:highlight w:val="none"/>
        </w:rPr>
        <w:t>合理化建议。</w:t>
      </w:r>
    </w:p>
    <w:p w14:paraId="0D34A62A">
      <w:pPr>
        <w:spacing w:line="360" w:lineRule="auto"/>
        <w:jc w:val="left"/>
        <w:rPr>
          <w:rFonts w:hint="eastAsia" w:ascii="宋体" w:hAnsi="宋体" w:cs="宋体"/>
          <w:highlight w:val="none"/>
        </w:rPr>
      </w:pPr>
      <w:r>
        <w:rPr>
          <w:rFonts w:hint="eastAsia" w:ascii="宋体" w:hAnsi="宋体" w:cs="宋体"/>
          <w:highlight w:val="none"/>
        </w:rPr>
        <w:br w:type="page"/>
      </w:r>
    </w:p>
    <w:p w14:paraId="09781C80">
      <w:pPr>
        <w:numPr>
          <w:ilvl w:val="0"/>
          <w:numId w:val="0"/>
        </w:numPr>
        <w:spacing w:line="600" w:lineRule="auto"/>
        <w:jc w:val="left"/>
        <w:outlineLvl w:val="1"/>
        <w:rPr>
          <w:rFonts w:ascii="宋体" w:hAnsi="宋体"/>
          <w:b/>
          <w:bCs/>
          <w:kern w:val="0"/>
          <w:sz w:val="30"/>
          <w:szCs w:val="30"/>
        </w:rPr>
      </w:pPr>
      <w:bookmarkStart w:id="606" w:name="_Toc529196605"/>
      <w:bookmarkStart w:id="607" w:name="_Toc530470648"/>
      <w:bookmarkStart w:id="608" w:name="_Toc535938756"/>
      <w:r>
        <w:rPr>
          <w:rFonts w:hint="eastAsia" w:ascii="宋体" w:hAnsi="宋体"/>
          <w:b/>
          <w:bCs/>
          <w:kern w:val="0"/>
          <w:sz w:val="30"/>
          <w:szCs w:val="30"/>
          <w:lang w:eastAsia="zh-CN"/>
        </w:rPr>
        <w:t>六、</w:t>
      </w:r>
      <w:r>
        <w:rPr>
          <w:rFonts w:hint="eastAsia" w:ascii="宋体" w:hAnsi="宋体"/>
          <w:b/>
          <w:bCs/>
          <w:kern w:val="0"/>
          <w:sz w:val="30"/>
          <w:szCs w:val="30"/>
        </w:rPr>
        <w:t>投标保证金（格式可自定）</w:t>
      </w:r>
      <w:bookmarkEnd w:id="606"/>
      <w:bookmarkEnd w:id="607"/>
      <w:bookmarkEnd w:id="608"/>
    </w:p>
    <w:p w14:paraId="46082122">
      <w:pPr>
        <w:spacing w:line="360" w:lineRule="auto"/>
        <w:jc w:val="left"/>
        <w:rPr>
          <w:rFonts w:hint="eastAsia" w:ascii="宋体" w:hAnsi="宋体" w:cs="宋体"/>
          <w:highlight w:val="none"/>
        </w:rPr>
      </w:pPr>
    </w:p>
    <w:p w14:paraId="079FA807">
      <w:pPr>
        <w:spacing w:line="360" w:lineRule="auto"/>
        <w:jc w:val="left"/>
        <w:rPr>
          <w:rFonts w:hint="eastAsia" w:ascii="宋体" w:hAnsi="宋体" w:cs="宋体"/>
          <w:highlight w:val="none"/>
        </w:rPr>
      </w:pPr>
    </w:p>
    <w:p w14:paraId="59E0AB70">
      <w:pPr>
        <w:spacing w:line="360" w:lineRule="auto"/>
        <w:jc w:val="left"/>
        <w:rPr>
          <w:rFonts w:hint="eastAsia" w:ascii="宋体" w:hAnsi="宋体" w:cs="宋体"/>
          <w:highlight w:val="none"/>
        </w:rPr>
      </w:pPr>
    </w:p>
    <w:p w14:paraId="6BE47587">
      <w:pPr>
        <w:spacing w:line="360" w:lineRule="auto"/>
        <w:jc w:val="left"/>
        <w:rPr>
          <w:rFonts w:hint="eastAsia" w:ascii="宋体" w:hAnsi="宋体" w:cs="宋体"/>
          <w:highlight w:val="none"/>
        </w:rPr>
      </w:pPr>
    </w:p>
    <w:p w14:paraId="6947927C">
      <w:pPr>
        <w:spacing w:line="360" w:lineRule="auto"/>
        <w:jc w:val="left"/>
        <w:rPr>
          <w:rFonts w:hint="eastAsia" w:ascii="宋体" w:hAnsi="宋体" w:cs="宋体"/>
          <w:highlight w:val="none"/>
        </w:rPr>
      </w:pPr>
    </w:p>
    <w:p w14:paraId="4AC4C8ED">
      <w:pPr>
        <w:spacing w:line="360" w:lineRule="auto"/>
        <w:jc w:val="left"/>
        <w:rPr>
          <w:rFonts w:hint="eastAsia" w:ascii="宋体" w:hAnsi="宋体" w:cs="宋体"/>
          <w:highlight w:val="none"/>
        </w:rPr>
      </w:pPr>
    </w:p>
    <w:p w14:paraId="2FE05357">
      <w:pPr>
        <w:spacing w:line="360" w:lineRule="auto"/>
        <w:jc w:val="left"/>
        <w:rPr>
          <w:rFonts w:hint="eastAsia" w:ascii="宋体" w:hAnsi="宋体" w:cs="宋体"/>
          <w:highlight w:val="none"/>
        </w:rPr>
      </w:pPr>
    </w:p>
    <w:p w14:paraId="516696BE">
      <w:pPr>
        <w:spacing w:line="360" w:lineRule="auto"/>
        <w:jc w:val="left"/>
        <w:rPr>
          <w:rFonts w:hint="eastAsia" w:ascii="宋体" w:hAnsi="宋体" w:cs="宋体"/>
          <w:highlight w:val="none"/>
        </w:rPr>
      </w:pPr>
    </w:p>
    <w:p w14:paraId="302016B5">
      <w:pPr>
        <w:spacing w:line="360" w:lineRule="auto"/>
        <w:jc w:val="left"/>
        <w:rPr>
          <w:rFonts w:hint="eastAsia" w:ascii="宋体" w:hAnsi="宋体" w:cs="宋体"/>
          <w:highlight w:val="none"/>
        </w:rPr>
      </w:pPr>
    </w:p>
    <w:p w14:paraId="12D58E6C">
      <w:pPr>
        <w:spacing w:line="360" w:lineRule="auto"/>
        <w:jc w:val="left"/>
        <w:rPr>
          <w:rFonts w:hint="eastAsia" w:ascii="宋体" w:hAnsi="宋体" w:cs="宋体"/>
          <w:highlight w:val="none"/>
        </w:rPr>
      </w:pPr>
    </w:p>
    <w:p w14:paraId="5ED0BD36">
      <w:pPr>
        <w:spacing w:line="360" w:lineRule="auto"/>
        <w:jc w:val="left"/>
        <w:rPr>
          <w:rFonts w:hint="eastAsia" w:ascii="宋体" w:hAnsi="宋体" w:cs="宋体"/>
          <w:highlight w:val="none"/>
        </w:rPr>
      </w:pPr>
    </w:p>
    <w:p w14:paraId="4B12116E">
      <w:pPr>
        <w:spacing w:line="360" w:lineRule="auto"/>
        <w:jc w:val="left"/>
        <w:rPr>
          <w:rFonts w:hint="eastAsia" w:ascii="宋体" w:hAnsi="宋体" w:cs="宋体"/>
          <w:highlight w:val="none"/>
        </w:rPr>
      </w:pPr>
    </w:p>
    <w:p w14:paraId="0CBA3D02">
      <w:pPr>
        <w:spacing w:line="360" w:lineRule="auto"/>
        <w:jc w:val="left"/>
        <w:rPr>
          <w:rFonts w:hint="eastAsia" w:ascii="宋体" w:hAnsi="宋体" w:cs="宋体"/>
          <w:highlight w:val="none"/>
        </w:rPr>
      </w:pPr>
    </w:p>
    <w:p w14:paraId="2B252615">
      <w:pPr>
        <w:spacing w:line="360" w:lineRule="auto"/>
        <w:jc w:val="left"/>
        <w:rPr>
          <w:rFonts w:hint="eastAsia" w:ascii="宋体" w:hAnsi="宋体" w:cs="宋体"/>
          <w:highlight w:val="none"/>
        </w:rPr>
      </w:pPr>
    </w:p>
    <w:p w14:paraId="6C23FC29">
      <w:pPr>
        <w:spacing w:line="360" w:lineRule="auto"/>
        <w:jc w:val="left"/>
        <w:rPr>
          <w:rFonts w:hint="eastAsia" w:ascii="宋体" w:hAnsi="宋体" w:cs="宋体"/>
          <w:highlight w:val="none"/>
        </w:rPr>
      </w:pPr>
    </w:p>
    <w:p w14:paraId="19CDCB0F">
      <w:pPr>
        <w:spacing w:line="360" w:lineRule="auto"/>
        <w:jc w:val="left"/>
        <w:rPr>
          <w:rFonts w:hint="eastAsia" w:ascii="宋体" w:hAnsi="宋体" w:cs="宋体"/>
          <w:highlight w:val="none"/>
        </w:rPr>
      </w:pPr>
    </w:p>
    <w:p w14:paraId="531F112E">
      <w:pPr>
        <w:spacing w:line="360" w:lineRule="auto"/>
        <w:jc w:val="left"/>
        <w:rPr>
          <w:rFonts w:hint="eastAsia" w:ascii="宋体" w:hAnsi="宋体" w:cs="宋体"/>
          <w:highlight w:val="none"/>
        </w:rPr>
      </w:pPr>
    </w:p>
    <w:p w14:paraId="67A5F8A4">
      <w:pPr>
        <w:spacing w:line="360" w:lineRule="auto"/>
        <w:jc w:val="left"/>
        <w:rPr>
          <w:rFonts w:hint="eastAsia" w:ascii="宋体" w:hAnsi="宋体" w:cs="宋体"/>
          <w:highlight w:val="none"/>
        </w:rPr>
      </w:pPr>
    </w:p>
    <w:p w14:paraId="2D6FCEC4">
      <w:pPr>
        <w:spacing w:line="360" w:lineRule="auto"/>
        <w:jc w:val="left"/>
        <w:rPr>
          <w:rFonts w:hint="eastAsia" w:ascii="宋体" w:hAnsi="宋体" w:cs="宋体"/>
          <w:highlight w:val="none"/>
        </w:rPr>
      </w:pPr>
    </w:p>
    <w:p w14:paraId="15E3D305">
      <w:pPr>
        <w:spacing w:line="360" w:lineRule="auto"/>
        <w:jc w:val="left"/>
        <w:rPr>
          <w:rFonts w:hint="eastAsia" w:ascii="宋体" w:hAnsi="宋体" w:cs="宋体"/>
          <w:highlight w:val="none"/>
        </w:rPr>
      </w:pPr>
    </w:p>
    <w:p w14:paraId="7E1D7F2E">
      <w:pPr>
        <w:spacing w:line="360" w:lineRule="auto"/>
        <w:jc w:val="left"/>
        <w:rPr>
          <w:rFonts w:hint="eastAsia" w:ascii="宋体" w:hAnsi="宋体" w:cs="宋体"/>
          <w:highlight w:val="none"/>
        </w:rPr>
      </w:pPr>
    </w:p>
    <w:p w14:paraId="673F3C18">
      <w:pPr>
        <w:spacing w:line="360" w:lineRule="auto"/>
        <w:jc w:val="left"/>
        <w:rPr>
          <w:rFonts w:hint="eastAsia" w:ascii="宋体" w:hAnsi="宋体" w:cs="宋体"/>
          <w:highlight w:val="none"/>
        </w:rPr>
      </w:pPr>
    </w:p>
    <w:p w14:paraId="4E8344D8">
      <w:pPr>
        <w:spacing w:line="360" w:lineRule="auto"/>
        <w:jc w:val="left"/>
        <w:rPr>
          <w:rFonts w:hint="eastAsia" w:ascii="宋体" w:hAnsi="宋体" w:cs="宋体"/>
          <w:highlight w:val="none"/>
        </w:rPr>
      </w:pPr>
    </w:p>
    <w:p w14:paraId="243419CD">
      <w:pPr>
        <w:spacing w:line="360" w:lineRule="auto"/>
        <w:jc w:val="left"/>
        <w:rPr>
          <w:rFonts w:hint="eastAsia" w:ascii="宋体" w:hAnsi="宋体" w:cs="宋体"/>
          <w:highlight w:val="none"/>
        </w:rPr>
      </w:pPr>
    </w:p>
    <w:p w14:paraId="614C2464">
      <w:pPr>
        <w:spacing w:line="360" w:lineRule="auto"/>
        <w:jc w:val="left"/>
        <w:rPr>
          <w:rFonts w:hint="eastAsia" w:ascii="宋体" w:hAnsi="宋体" w:cs="宋体"/>
          <w:highlight w:val="none"/>
        </w:rPr>
      </w:pPr>
    </w:p>
    <w:p w14:paraId="0BE1A179">
      <w:pPr>
        <w:spacing w:line="360" w:lineRule="auto"/>
        <w:jc w:val="left"/>
        <w:rPr>
          <w:rFonts w:hint="eastAsia" w:ascii="宋体" w:hAnsi="宋体" w:cs="宋体"/>
          <w:highlight w:val="none"/>
        </w:rPr>
      </w:pPr>
    </w:p>
    <w:p w14:paraId="096E5F0F">
      <w:pPr>
        <w:spacing w:line="360" w:lineRule="auto"/>
        <w:jc w:val="left"/>
        <w:rPr>
          <w:rFonts w:hint="eastAsia" w:ascii="宋体" w:hAnsi="宋体" w:cs="宋体"/>
          <w:highlight w:val="none"/>
        </w:rPr>
      </w:pPr>
    </w:p>
    <w:p w14:paraId="138A0645">
      <w:pPr>
        <w:spacing w:line="360" w:lineRule="auto"/>
        <w:jc w:val="left"/>
        <w:rPr>
          <w:rFonts w:hint="eastAsia" w:ascii="宋体" w:hAnsi="宋体" w:cs="宋体"/>
          <w:highlight w:val="none"/>
        </w:rPr>
      </w:pPr>
    </w:p>
    <w:p w14:paraId="1998B700">
      <w:pPr>
        <w:spacing w:line="360" w:lineRule="auto"/>
        <w:jc w:val="left"/>
        <w:rPr>
          <w:rFonts w:hint="eastAsia" w:ascii="宋体" w:hAnsi="宋体" w:cs="宋体"/>
          <w:highlight w:val="none"/>
        </w:rPr>
      </w:pPr>
    </w:p>
    <w:p w14:paraId="4C4F87FD">
      <w:pPr>
        <w:spacing w:line="360" w:lineRule="auto"/>
        <w:jc w:val="left"/>
        <w:rPr>
          <w:rFonts w:hint="eastAsia" w:ascii="宋体" w:hAnsi="宋体" w:cs="宋体"/>
          <w:highlight w:val="none"/>
        </w:rPr>
      </w:pPr>
    </w:p>
    <w:p w14:paraId="08C92280">
      <w:pPr>
        <w:spacing w:line="360" w:lineRule="auto"/>
        <w:jc w:val="left"/>
        <w:rPr>
          <w:rFonts w:ascii="宋体" w:hAnsi="宋体" w:cs="宋体"/>
          <w:b/>
          <w:bCs/>
          <w:sz w:val="32"/>
          <w:szCs w:val="32"/>
          <w:highlight w:val="none"/>
        </w:rPr>
      </w:pPr>
      <w:r>
        <w:rPr>
          <w:rFonts w:hint="eastAsia" w:ascii="宋体" w:hAnsi="宋体" w:cs="宋体"/>
          <w:b/>
          <w:bCs/>
          <w:sz w:val="32"/>
          <w:szCs w:val="32"/>
          <w:highlight w:val="none"/>
          <w:lang w:eastAsia="zh-CN"/>
        </w:rPr>
        <w:t>七</w:t>
      </w:r>
      <w:r>
        <w:rPr>
          <w:rFonts w:hint="eastAsia" w:ascii="宋体" w:hAnsi="宋体" w:cs="宋体"/>
          <w:b/>
          <w:bCs/>
          <w:sz w:val="32"/>
          <w:szCs w:val="32"/>
          <w:highlight w:val="none"/>
        </w:rPr>
        <w:t>、其他资料</w:t>
      </w:r>
      <w:r>
        <w:rPr>
          <w:rFonts w:hint="eastAsia" w:ascii="宋体" w:hAnsi="宋体"/>
          <w:b/>
          <w:bCs/>
          <w:kern w:val="0"/>
          <w:sz w:val="30"/>
          <w:szCs w:val="30"/>
          <w:highlight w:val="none"/>
        </w:rPr>
        <w:t>（格式可自定）</w:t>
      </w:r>
    </w:p>
    <w:p w14:paraId="47E091A4">
      <w:pPr>
        <w:pStyle w:val="5"/>
        <w:keepNext w:val="0"/>
        <w:keepLines w:val="0"/>
        <w:spacing w:before="20" w:line="240" w:lineRule="auto"/>
        <w:ind w:firstLine="157"/>
        <w:jc w:val="center"/>
        <w:rPr>
          <w:rFonts w:ascii="宋体" w:hAnsi="宋体" w:cs="宋体"/>
          <w:highlight w:val="none"/>
        </w:rPr>
      </w:pPr>
      <w:bookmarkStart w:id="609" w:name="_Toc19084"/>
      <w:bookmarkStart w:id="610" w:name="_Toc3209"/>
      <w:bookmarkStart w:id="611" w:name="_Toc517280608"/>
      <w:r>
        <w:rPr>
          <w:rFonts w:hint="eastAsia" w:ascii="宋体" w:hAnsi="宋体" w:cs="宋体"/>
          <w:b/>
          <w:sz w:val="32"/>
          <w:highlight w:val="none"/>
        </w:rPr>
        <w:t>（一）基本情况表</w:t>
      </w:r>
      <w:bookmarkEnd w:id="609"/>
      <w:bookmarkEnd w:id="610"/>
      <w:bookmarkEnd w:id="611"/>
    </w:p>
    <w:tbl>
      <w:tblPr>
        <w:tblStyle w:val="46"/>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1210"/>
        <w:gridCol w:w="714"/>
        <w:gridCol w:w="1287"/>
        <w:gridCol w:w="414"/>
        <w:gridCol w:w="873"/>
        <w:gridCol w:w="828"/>
        <w:gridCol w:w="284"/>
        <w:gridCol w:w="1230"/>
      </w:tblGrid>
      <w:tr w14:paraId="34A86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4F33520C">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789283BA">
            <w:pPr>
              <w:topLinePunct/>
              <w:spacing w:line="440" w:lineRule="exact"/>
              <w:jc w:val="center"/>
              <w:rPr>
                <w:rFonts w:ascii="宋体" w:hAnsi="宋体" w:cs="宋体"/>
                <w:sz w:val="24"/>
                <w:szCs w:val="24"/>
                <w:highlight w:val="none"/>
              </w:rPr>
            </w:pPr>
          </w:p>
        </w:tc>
      </w:tr>
      <w:tr w14:paraId="7DCEA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1E2AA885">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437D37F6">
            <w:pPr>
              <w:topLinePunct/>
              <w:spacing w:line="440" w:lineRule="exact"/>
              <w:jc w:val="center"/>
              <w:rPr>
                <w:rFonts w:ascii="宋体" w:hAnsi="宋体" w:cs="宋体"/>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2387658D">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4DE2C21B">
            <w:pPr>
              <w:topLinePunct/>
              <w:spacing w:line="440" w:lineRule="exact"/>
              <w:jc w:val="center"/>
              <w:rPr>
                <w:rFonts w:ascii="宋体" w:hAnsi="宋体" w:cs="宋体"/>
                <w:sz w:val="24"/>
                <w:szCs w:val="24"/>
                <w:highlight w:val="none"/>
              </w:rPr>
            </w:pPr>
          </w:p>
        </w:tc>
      </w:tr>
      <w:tr w14:paraId="1822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vMerge w:val="restart"/>
            <w:tcBorders>
              <w:top w:val="single" w:color="auto" w:sz="4" w:space="0"/>
              <w:left w:val="single" w:color="auto" w:sz="4" w:space="0"/>
              <w:bottom w:val="single" w:color="auto" w:sz="4" w:space="0"/>
              <w:right w:val="single" w:color="auto" w:sz="4" w:space="0"/>
            </w:tcBorders>
            <w:noWrap/>
            <w:vAlign w:val="center"/>
          </w:tcPr>
          <w:p w14:paraId="274E0FF9">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联系方式</w:t>
            </w:r>
          </w:p>
        </w:tc>
        <w:tc>
          <w:tcPr>
            <w:tcW w:w="1210" w:type="dxa"/>
            <w:tcBorders>
              <w:top w:val="single" w:color="auto" w:sz="4" w:space="0"/>
              <w:left w:val="single" w:color="auto" w:sz="4" w:space="0"/>
              <w:bottom w:val="single" w:color="auto" w:sz="4" w:space="0"/>
              <w:right w:val="single" w:color="auto" w:sz="4" w:space="0"/>
            </w:tcBorders>
            <w:noWrap/>
            <w:vAlign w:val="center"/>
          </w:tcPr>
          <w:p w14:paraId="0E25AFD1">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联系人</w:t>
            </w:r>
          </w:p>
        </w:tc>
        <w:tc>
          <w:tcPr>
            <w:tcW w:w="2001" w:type="dxa"/>
            <w:gridSpan w:val="2"/>
            <w:tcBorders>
              <w:top w:val="single" w:color="auto" w:sz="4" w:space="0"/>
              <w:left w:val="single" w:color="auto" w:sz="4" w:space="0"/>
              <w:bottom w:val="single" w:color="auto" w:sz="4" w:space="0"/>
              <w:right w:val="single" w:color="auto" w:sz="4" w:space="0"/>
            </w:tcBorders>
            <w:noWrap/>
            <w:vAlign w:val="center"/>
          </w:tcPr>
          <w:p w14:paraId="12739DA5">
            <w:pPr>
              <w:topLinePunct/>
              <w:spacing w:line="440" w:lineRule="exact"/>
              <w:jc w:val="center"/>
              <w:rPr>
                <w:rFonts w:ascii="宋体" w:hAnsi="宋体" w:cs="宋体"/>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5C86952A">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5E1FA347">
            <w:pPr>
              <w:topLinePunct/>
              <w:spacing w:line="440" w:lineRule="exact"/>
              <w:jc w:val="center"/>
              <w:rPr>
                <w:rFonts w:ascii="宋体" w:hAnsi="宋体" w:cs="宋体"/>
                <w:sz w:val="24"/>
                <w:szCs w:val="24"/>
                <w:highlight w:val="none"/>
              </w:rPr>
            </w:pPr>
          </w:p>
        </w:tc>
      </w:tr>
      <w:tr w14:paraId="0C3C4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vMerge w:val="continue"/>
            <w:tcBorders>
              <w:top w:val="single" w:color="auto" w:sz="4" w:space="0"/>
              <w:left w:val="single" w:color="auto" w:sz="4" w:space="0"/>
              <w:bottom w:val="single" w:color="auto" w:sz="4" w:space="0"/>
              <w:right w:val="single" w:color="auto" w:sz="4" w:space="0"/>
            </w:tcBorders>
            <w:noWrap/>
            <w:vAlign w:val="center"/>
          </w:tcPr>
          <w:p w14:paraId="3C223388">
            <w:pPr>
              <w:rPr>
                <w:highlight w:val="none"/>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57A6B2F6">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传  真</w:t>
            </w:r>
          </w:p>
        </w:tc>
        <w:tc>
          <w:tcPr>
            <w:tcW w:w="2001" w:type="dxa"/>
            <w:gridSpan w:val="2"/>
            <w:tcBorders>
              <w:top w:val="single" w:color="auto" w:sz="4" w:space="0"/>
              <w:left w:val="single" w:color="auto" w:sz="4" w:space="0"/>
              <w:bottom w:val="single" w:color="auto" w:sz="4" w:space="0"/>
              <w:right w:val="single" w:color="auto" w:sz="4" w:space="0"/>
            </w:tcBorders>
            <w:noWrap/>
            <w:vAlign w:val="center"/>
          </w:tcPr>
          <w:p w14:paraId="5F6C7157">
            <w:pPr>
              <w:topLinePunct/>
              <w:spacing w:line="440" w:lineRule="exact"/>
              <w:jc w:val="center"/>
              <w:rPr>
                <w:rFonts w:ascii="宋体" w:hAnsi="宋体" w:cs="宋体"/>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6A5D08B6">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146E1E96">
            <w:pPr>
              <w:topLinePunct/>
              <w:spacing w:line="440" w:lineRule="exact"/>
              <w:jc w:val="center"/>
              <w:rPr>
                <w:rFonts w:ascii="宋体" w:hAnsi="宋体" w:cs="宋体"/>
                <w:sz w:val="24"/>
                <w:szCs w:val="24"/>
                <w:highlight w:val="none"/>
              </w:rPr>
            </w:pPr>
          </w:p>
        </w:tc>
      </w:tr>
      <w:tr w14:paraId="4AAB4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6916A86F">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法定代表人</w:t>
            </w:r>
          </w:p>
        </w:tc>
        <w:tc>
          <w:tcPr>
            <w:tcW w:w="1210" w:type="dxa"/>
            <w:tcBorders>
              <w:top w:val="single" w:color="auto" w:sz="4" w:space="0"/>
              <w:left w:val="single" w:color="auto" w:sz="4" w:space="0"/>
              <w:bottom w:val="single" w:color="auto" w:sz="4" w:space="0"/>
              <w:right w:val="single" w:color="auto" w:sz="4" w:space="0"/>
            </w:tcBorders>
            <w:noWrap/>
            <w:vAlign w:val="center"/>
          </w:tcPr>
          <w:p w14:paraId="5E60488B">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姓名</w:t>
            </w:r>
          </w:p>
        </w:tc>
        <w:tc>
          <w:tcPr>
            <w:tcW w:w="714" w:type="dxa"/>
            <w:tcBorders>
              <w:top w:val="single" w:color="auto" w:sz="4" w:space="0"/>
              <w:left w:val="single" w:color="auto" w:sz="4" w:space="0"/>
              <w:bottom w:val="single" w:color="auto" w:sz="4" w:space="0"/>
              <w:right w:val="single" w:color="auto" w:sz="4" w:space="0"/>
            </w:tcBorders>
            <w:noWrap/>
            <w:vAlign w:val="center"/>
          </w:tcPr>
          <w:p w14:paraId="7ADE8B0D">
            <w:pPr>
              <w:topLinePunct/>
              <w:spacing w:line="440" w:lineRule="exact"/>
              <w:jc w:val="center"/>
              <w:rPr>
                <w:rFonts w:ascii="宋体" w:hAnsi="宋体" w:cs="宋体"/>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noWrap/>
            <w:vAlign w:val="center"/>
          </w:tcPr>
          <w:p w14:paraId="73EE8064">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07A03B36">
            <w:pPr>
              <w:topLinePunct/>
              <w:spacing w:line="440" w:lineRule="exact"/>
              <w:jc w:val="center"/>
              <w:rPr>
                <w:rFonts w:ascii="宋体" w:hAnsi="宋体" w:cs="宋体"/>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14:paraId="2B1636E8">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03C26728">
            <w:pPr>
              <w:topLinePunct/>
              <w:spacing w:line="440" w:lineRule="exact"/>
              <w:jc w:val="center"/>
              <w:rPr>
                <w:rFonts w:ascii="宋体" w:hAnsi="宋体" w:cs="宋体"/>
                <w:sz w:val="24"/>
                <w:szCs w:val="24"/>
                <w:highlight w:val="none"/>
              </w:rPr>
            </w:pPr>
          </w:p>
        </w:tc>
      </w:tr>
      <w:tr w14:paraId="2A5C5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6E499E42">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210" w:type="dxa"/>
            <w:tcBorders>
              <w:top w:val="single" w:color="auto" w:sz="4" w:space="0"/>
              <w:left w:val="single" w:color="auto" w:sz="4" w:space="0"/>
              <w:bottom w:val="single" w:color="auto" w:sz="4" w:space="0"/>
              <w:right w:val="single" w:color="auto" w:sz="4" w:space="0"/>
            </w:tcBorders>
            <w:noWrap/>
            <w:vAlign w:val="center"/>
          </w:tcPr>
          <w:p w14:paraId="2877A14C">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姓名</w:t>
            </w:r>
          </w:p>
        </w:tc>
        <w:tc>
          <w:tcPr>
            <w:tcW w:w="714" w:type="dxa"/>
            <w:tcBorders>
              <w:top w:val="single" w:color="auto" w:sz="4" w:space="0"/>
              <w:left w:val="single" w:color="auto" w:sz="4" w:space="0"/>
              <w:bottom w:val="single" w:color="auto" w:sz="4" w:space="0"/>
              <w:right w:val="single" w:color="auto" w:sz="4" w:space="0"/>
            </w:tcBorders>
            <w:noWrap/>
            <w:vAlign w:val="center"/>
          </w:tcPr>
          <w:p w14:paraId="66D195C6">
            <w:pPr>
              <w:topLinePunct/>
              <w:spacing w:line="440" w:lineRule="exact"/>
              <w:jc w:val="center"/>
              <w:rPr>
                <w:rFonts w:ascii="宋体" w:hAnsi="宋体" w:cs="宋体"/>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noWrap/>
            <w:vAlign w:val="center"/>
          </w:tcPr>
          <w:p w14:paraId="2FF92CD5">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33048E22">
            <w:pPr>
              <w:topLinePunct/>
              <w:spacing w:line="440" w:lineRule="exact"/>
              <w:jc w:val="center"/>
              <w:rPr>
                <w:rFonts w:ascii="宋体" w:hAnsi="宋体" w:cs="宋体"/>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14:paraId="48257FB7">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1A1C6AC5">
            <w:pPr>
              <w:topLinePunct/>
              <w:spacing w:line="440" w:lineRule="exact"/>
              <w:jc w:val="center"/>
              <w:rPr>
                <w:rFonts w:ascii="宋体" w:hAnsi="宋体" w:cs="宋体"/>
                <w:sz w:val="24"/>
                <w:szCs w:val="24"/>
                <w:highlight w:val="none"/>
              </w:rPr>
            </w:pPr>
          </w:p>
        </w:tc>
      </w:tr>
      <w:tr w14:paraId="19EFB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7C01F054">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24D96F07">
            <w:pPr>
              <w:topLinePunct/>
              <w:spacing w:before="100" w:beforeAutospacing="1" w:after="100" w:afterAutospacing="1" w:line="440" w:lineRule="exact"/>
              <w:ind w:firstLine="120" w:firstLineChars="50"/>
              <w:jc w:val="center"/>
              <w:rPr>
                <w:rFonts w:ascii="宋体" w:hAnsi="宋体" w:cs="宋体"/>
                <w:sz w:val="24"/>
                <w:szCs w:val="24"/>
                <w:highlight w:val="none"/>
              </w:rPr>
            </w:pPr>
            <w:r>
              <w:rPr>
                <w:rFonts w:hint="eastAsia" w:ascii="宋体" w:hAnsi="宋体" w:cs="宋体"/>
                <w:sz w:val="24"/>
                <w:szCs w:val="24"/>
                <w:highlight w:val="none"/>
              </w:rPr>
              <w:t>类型：                    等级：      证书号：</w:t>
            </w:r>
          </w:p>
        </w:tc>
      </w:tr>
      <w:tr w14:paraId="409A2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4DDF1689">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17D6377F">
            <w:pPr>
              <w:topLinePunct/>
              <w:spacing w:before="100" w:beforeAutospacing="1" w:after="100" w:afterAutospacing="1" w:line="440" w:lineRule="exact"/>
              <w:ind w:firstLine="120" w:firstLineChars="50"/>
              <w:jc w:val="center"/>
              <w:rPr>
                <w:rFonts w:ascii="宋体" w:hAnsi="宋体" w:cs="宋体"/>
                <w:sz w:val="24"/>
                <w:szCs w:val="24"/>
                <w:highlight w:val="none"/>
              </w:rPr>
            </w:pPr>
            <w:r>
              <w:rPr>
                <w:rFonts w:hint="eastAsia" w:ascii="宋体" w:hAnsi="宋体" w:cs="宋体"/>
                <w:sz w:val="24"/>
                <w:szCs w:val="24"/>
                <w:highlight w:val="none"/>
              </w:rPr>
              <w:t>类型：                    等级：      证书号：</w:t>
            </w:r>
          </w:p>
        </w:tc>
      </w:tr>
      <w:tr w14:paraId="59C5D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0DAAF578">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统一社会信用代码</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0006FDBF">
            <w:pPr>
              <w:topLinePunct/>
              <w:spacing w:line="440" w:lineRule="exact"/>
              <w:jc w:val="center"/>
              <w:rPr>
                <w:rFonts w:ascii="宋体" w:hAnsi="宋体" w:cs="宋体"/>
                <w:sz w:val="24"/>
                <w:szCs w:val="24"/>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ign w:val="center"/>
          </w:tcPr>
          <w:p w14:paraId="462CA91D">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员工总人数：</w:t>
            </w:r>
          </w:p>
        </w:tc>
      </w:tr>
      <w:tr w14:paraId="69AEF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6D55235B">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2CAEB320">
            <w:pPr>
              <w:topLinePunct/>
              <w:spacing w:line="440" w:lineRule="exact"/>
              <w:jc w:val="center"/>
              <w:rPr>
                <w:rFonts w:ascii="宋体" w:hAnsi="宋体" w:cs="宋体"/>
                <w:sz w:val="24"/>
                <w:szCs w:val="24"/>
                <w:highlight w:val="none"/>
              </w:rPr>
            </w:pPr>
          </w:p>
        </w:tc>
        <w:tc>
          <w:tcPr>
            <w:tcW w:w="414" w:type="dxa"/>
            <w:vMerge w:val="restart"/>
            <w:tcBorders>
              <w:top w:val="single" w:color="auto" w:sz="4" w:space="0"/>
              <w:left w:val="single" w:color="auto" w:sz="4" w:space="0"/>
              <w:right w:val="single" w:color="auto" w:sz="4" w:space="0"/>
            </w:tcBorders>
            <w:noWrap/>
            <w:vAlign w:val="center"/>
          </w:tcPr>
          <w:p w14:paraId="47476B4A">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1C836CC0">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108AAF4E">
            <w:pPr>
              <w:topLinePunct/>
              <w:spacing w:line="440" w:lineRule="exact"/>
              <w:jc w:val="center"/>
              <w:rPr>
                <w:rFonts w:ascii="宋体" w:hAnsi="宋体" w:cs="宋体"/>
                <w:sz w:val="24"/>
                <w:szCs w:val="24"/>
                <w:highlight w:val="none"/>
              </w:rPr>
            </w:pPr>
          </w:p>
        </w:tc>
      </w:tr>
      <w:tr w14:paraId="6C5B9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51C9CE29">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437B26E7">
            <w:pPr>
              <w:topLinePunct/>
              <w:spacing w:line="440" w:lineRule="exact"/>
              <w:jc w:val="center"/>
              <w:rPr>
                <w:rFonts w:ascii="宋体" w:hAnsi="宋体" w:cs="宋体"/>
                <w:sz w:val="24"/>
                <w:szCs w:val="24"/>
                <w:highlight w:val="none"/>
              </w:rPr>
            </w:pPr>
          </w:p>
        </w:tc>
        <w:tc>
          <w:tcPr>
            <w:tcW w:w="414" w:type="dxa"/>
            <w:vMerge w:val="continue"/>
            <w:tcBorders>
              <w:left w:val="single" w:color="auto" w:sz="4" w:space="0"/>
              <w:right w:val="single" w:color="auto" w:sz="4" w:space="0"/>
            </w:tcBorders>
            <w:noWrap/>
            <w:vAlign w:val="center"/>
          </w:tcPr>
          <w:p w14:paraId="1291F7CA">
            <w:pPr>
              <w:rPr>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2A0830EE">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348ED7DA">
            <w:pPr>
              <w:topLinePunct/>
              <w:spacing w:line="440" w:lineRule="exact"/>
              <w:jc w:val="center"/>
              <w:rPr>
                <w:rFonts w:ascii="宋体" w:hAnsi="宋体" w:cs="宋体"/>
                <w:sz w:val="24"/>
                <w:szCs w:val="24"/>
                <w:highlight w:val="none"/>
              </w:rPr>
            </w:pPr>
          </w:p>
        </w:tc>
      </w:tr>
      <w:tr w14:paraId="5E7C1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07A4EEB6">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10827D6A">
            <w:pPr>
              <w:topLinePunct/>
              <w:spacing w:line="440" w:lineRule="exact"/>
              <w:jc w:val="center"/>
              <w:rPr>
                <w:rFonts w:ascii="宋体" w:hAnsi="宋体" w:cs="宋体"/>
                <w:sz w:val="24"/>
                <w:szCs w:val="24"/>
                <w:highlight w:val="none"/>
              </w:rPr>
            </w:pPr>
          </w:p>
        </w:tc>
        <w:tc>
          <w:tcPr>
            <w:tcW w:w="414" w:type="dxa"/>
            <w:vMerge w:val="continue"/>
            <w:tcBorders>
              <w:left w:val="single" w:color="auto" w:sz="4" w:space="0"/>
              <w:right w:val="single" w:color="auto" w:sz="4" w:space="0"/>
            </w:tcBorders>
            <w:noWrap/>
            <w:vAlign w:val="center"/>
          </w:tcPr>
          <w:p w14:paraId="263DD5EC">
            <w:pPr>
              <w:rPr>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3253B571">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7BAAE6EC">
            <w:pPr>
              <w:topLinePunct/>
              <w:spacing w:line="440" w:lineRule="exact"/>
              <w:jc w:val="center"/>
              <w:rPr>
                <w:rFonts w:ascii="宋体" w:hAnsi="宋体" w:cs="宋体"/>
                <w:sz w:val="24"/>
                <w:szCs w:val="24"/>
                <w:highlight w:val="none"/>
              </w:rPr>
            </w:pPr>
          </w:p>
        </w:tc>
      </w:tr>
      <w:tr w14:paraId="65815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01CF28DD">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033184C1">
            <w:pPr>
              <w:topLinePunct/>
              <w:spacing w:line="440" w:lineRule="exact"/>
              <w:jc w:val="center"/>
              <w:rPr>
                <w:rFonts w:ascii="宋体" w:hAnsi="宋体" w:cs="宋体"/>
                <w:sz w:val="24"/>
                <w:szCs w:val="24"/>
                <w:highlight w:val="none"/>
              </w:rPr>
            </w:pPr>
          </w:p>
        </w:tc>
        <w:tc>
          <w:tcPr>
            <w:tcW w:w="414" w:type="dxa"/>
            <w:vMerge w:val="continue"/>
            <w:tcBorders>
              <w:left w:val="single" w:color="auto" w:sz="4" w:space="0"/>
              <w:right w:val="single" w:color="auto" w:sz="4" w:space="0"/>
            </w:tcBorders>
            <w:noWrap/>
            <w:vAlign w:val="center"/>
          </w:tcPr>
          <w:p w14:paraId="04539B92">
            <w:pPr>
              <w:rPr>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633FF705">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6D7210E1">
            <w:pPr>
              <w:topLinePunct/>
              <w:spacing w:line="440" w:lineRule="exact"/>
              <w:jc w:val="center"/>
              <w:rPr>
                <w:rFonts w:ascii="宋体" w:hAnsi="宋体" w:cs="宋体"/>
                <w:sz w:val="24"/>
                <w:szCs w:val="24"/>
                <w:highlight w:val="none"/>
              </w:rPr>
            </w:pPr>
          </w:p>
        </w:tc>
      </w:tr>
      <w:tr w14:paraId="6EEB0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right w:val="single" w:color="auto" w:sz="4" w:space="0"/>
            </w:tcBorders>
            <w:noWrap/>
            <w:vAlign w:val="center"/>
          </w:tcPr>
          <w:p w14:paraId="08BB498A">
            <w:pPr>
              <w:topLinePunct/>
              <w:spacing w:before="100" w:beforeAutospacing="1" w:after="100" w:afterAutospacing="1" w:line="440" w:lineRule="exact"/>
              <w:ind w:firstLine="240" w:firstLineChars="100"/>
              <w:jc w:val="center"/>
              <w:rPr>
                <w:rFonts w:ascii="宋体" w:hAnsi="宋体" w:cs="宋体"/>
                <w:sz w:val="24"/>
                <w:szCs w:val="24"/>
                <w:highlight w:val="none"/>
              </w:rPr>
            </w:pPr>
            <w:r>
              <w:rPr>
                <w:rFonts w:hint="eastAsia" w:ascii="宋体" w:hAnsi="宋体" w:cs="宋体"/>
                <w:sz w:val="24"/>
                <w:szCs w:val="24"/>
                <w:highlight w:val="none"/>
              </w:rPr>
              <w:t>经营范围</w:t>
            </w:r>
          </w:p>
        </w:tc>
        <w:tc>
          <w:tcPr>
            <w:tcW w:w="6840" w:type="dxa"/>
            <w:gridSpan w:val="8"/>
            <w:tcBorders>
              <w:top w:val="single" w:color="auto" w:sz="4" w:space="0"/>
              <w:left w:val="single" w:color="auto" w:sz="4" w:space="0"/>
              <w:right w:val="single" w:color="auto" w:sz="4" w:space="0"/>
            </w:tcBorders>
            <w:noWrap/>
            <w:vAlign w:val="center"/>
          </w:tcPr>
          <w:p w14:paraId="7AFA1AB7">
            <w:pPr>
              <w:topLinePunct/>
              <w:spacing w:line="440" w:lineRule="exact"/>
              <w:jc w:val="center"/>
              <w:rPr>
                <w:rFonts w:ascii="宋体" w:hAnsi="宋体" w:cs="宋体"/>
                <w:sz w:val="24"/>
                <w:szCs w:val="24"/>
                <w:highlight w:val="none"/>
              </w:rPr>
            </w:pPr>
          </w:p>
        </w:tc>
      </w:tr>
      <w:tr w14:paraId="7F230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right w:val="single" w:color="auto" w:sz="4" w:space="0"/>
            </w:tcBorders>
            <w:noWrap/>
            <w:vAlign w:val="center"/>
          </w:tcPr>
          <w:p w14:paraId="65229769">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ign w:val="center"/>
          </w:tcPr>
          <w:p w14:paraId="040DDC68">
            <w:pPr>
              <w:topLinePunct/>
              <w:spacing w:line="440" w:lineRule="exact"/>
              <w:jc w:val="center"/>
              <w:rPr>
                <w:rFonts w:ascii="宋体" w:hAnsi="宋体" w:cs="宋体"/>
                <w:sz w:val="24"/>
                <w:szCs w:val="24"/>
                <w:highlight w:val="none"/>
              </w:rPr>
            </w:pPr>
          </w:p>
        </w:tc>
      </w:tr>
      <w:tr w14:paraId="44EA8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14:paraId="787BA03F">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560DE2F9">
            <w:pPr>
              <w:topLinePunct/>
              <w:spacing w:line="440" w:lineRule="exact"/>
              <w:jc w:val="center"/>
              <w:rPr>
                <w:rFonts w:ascii="宋体" w:hAnsi="宋体" w:cs="宋体"/>
                <w:sz w:val="24"/>
                <w:szCs w:val="24"/>
                <w:highlight w:val="none"/>
              </w:rPr>
            </w:pPr>
          </w:p>
        </w:tc>
      </w:tr>
    </w:tbl>
    <w:p w14:paraId="30D8271C">
      <w:pPr>
        <w:pStyle w:val="5"/>
        <w:keepNext w:val="0"/>
        <w:keepLines w:val="0"/>
        <w:spacing w:line="240" w:lineRule="auto"/>
        <w:ind w:firstLine="137"/>
        <w:jc w:val="center"/>
        <w:rPr>
          <w:rFonts w:ascii="宋体" w:hAnsi="宋体" w:cs="宋体"/>
          <w:highlight w:val="none"/>
        </w:rPr>
      </w:pPr>
      <w:bookmarkStart w:id="612" w:name="_Toc517280609"/>
      <w:r>
        <w:rPr>
          <w:rFonts w:hint="eastAsia"/>
          <w:highlight w:val="none"/>
        </w:rPr>
        <w:br w:type="page"/>
      </w:r>
      <w:bookmarkStart w:id="613" w:name="_Toc23648"/>
      <w:bookmarkStart w:id="614" w:name="_Toc14510"/>
      <w:r>
        <w:rPr>
          <w:rFonts w:hint="eastAsia" w:ascii="宋体" w:hAnsi="宋体" w:cs="宋体"/>
          <w:b/>
          <w:sz w:val="32"/>
          <w:highlight w:val="none"/>
        </w:rPr>
        <w:t>（二）近年完成的类似监理项目情况表</w:t>
      </w:r>
      <w:bookmarkEnd w:id="612"/>
      <w:bookmarkEnd w:id="613"/>
      <w:bookmarkEnd w:id="614"/>
    </w:p>
    <w:tbl>
      <w:tblPr>
        <w:tblStyle w:val="46"/>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077"/>
      </w:tblGrid>
      <w:tr w14:paraId="0A0E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4CD6FB4">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项目名称</w:t>
            </w:r>
          </w:p>
        </w:tc>
        <w:tc>
          <w:tcPr>
            <w:tcW w:w="7077" w:type="dxa"/>
            <w:tcBorders>
              <w:top w:val="single" w:color="auto" w:sz="4" w:space="0"/>
              <w:left w:val="single" w:color="auto" w:sz="4" w:space="0"/>
              <w:bottom w:val="single" w:color="auto" w:sz="4" w:space="0"/>
              <w:right w:val="single" w:color="auto" w:sz="4" w:space="0"/>
            </w:tcBorders>
            <w:noWrap/>
          </w:tcPr>
          <w:p w14:paraId="1681E908">
            <w:pPr>
              <w:topLinePunct/>
              <w:spacing w:line="440" w:lineRule="exact"/>
              <w:rPr>
                <w:rFonts w:ascii="宋体" w:hAnsi="宋体" w:cs="宋体"/>
                <w:sz w:val="24"/>
                <w:szCs w:val="24"/>
                <w:highlight w:val="none"/>
              </w:rPr>
            </w:pPr>
          </w:p>
        </w:tc>
      </w:tr>
      <w:tr w14:paraId="0FF3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8020FD3">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项目所在地</w:t>
            </w:r>
          </w:p>
        </w:tc>
        <w:tc>
          <w:tcPr>
            <w:tcW w:w="7077" w:type="dxa"/>
            <w:tcBorders>
              <w:top w:val="single" w:color="auto" w:sz="4" w:space="0"/>
              <w:left w:val="single" w:color="auto" w:sz="4" w:space="0"/>
              <w:bottom w:val="single" w:color="auto" w:sz="4" w:space="0"/>
              <w:right w:val="single" w:color="auto" w:sz="4" w:space="0"/>
            </w:tcBorders>
            <w:noWrap/>
          </w:tcPr>
          <w:p w14:paraId="0DD19CE1">
            <w:pPr>
              <w:topLinePunct/>
              <w:spacing w:line="440" w:lineRule="exact"/>
              <w:rPr>
                <w:rFonts w:ascii="宋体" w:hAnsi="宋体" w:cs="宋体"/>
                <w:sz w:val="24"/>
                <w:szCs w:val="24"/>
                <w:highlight w:val="none"/>
              </w:rPr>
            </w:pPr>
          </w:p>
        </w:tc>
      </w:tr>
      <w:tr w14:paraId="53DA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9033FF8">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委托人名称</w:t>
            </w:r>
          </w:p>
        </w:tc>
        <w:tc>
          <w:tcPr>
            <w:tcW w:w="7077" w:type="dxa"/>
            <w:tcBorders>
              <w:top w:val="single" w:color="auto" w:sz="4" w:space="0"/>
              <w:left w:val="single" w:color="auto" w:sz="4" w:space="0"/>
              <w:bottom w:val="single" w:color="auto" w:sz="4" w:space="0"/>
              <w:right w:val="single" w:color="auto" w:sz="4" w:space="0"/>
            </w:tcBorders>
            <w:noWrap/>
          </w:tcPr>
          <w:p w14:paraId="6E29604E">
            <w:pPr>
              <w:topLinePunct/>
              <w:spacing w:line="440" w:lineRule="exact"/>
              <w:rPr>
                <w:rFonts w:ascii="宋体" w:hAnsi="宋体" w:cs="宋体"/>
                <w:sz w:val="24"/>
                <w:szCs w:val="24"/>
                <w:highlight w:val="none"/>
              </w:rPr>
            </w:pPr>
          </w:p>
        </w:tc>
      </w:tr>
      <w:tr w14:paraId="4430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98D82D4">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委托人地址</w:t>
            </w:r>
          </w:p>
        </w:tc>
        <w:tc>
          <w:tcPr>
            <w:tcW w:w="7077" w:type="dxa"/>
            <w:tcBorders>
              <w:top w:val="single" w:color="auto" w:sz="4" w:space="0"/>
              <w:left w:val="single" w:color="auto" w:sz="4" w:space="0"/>
              <w:bottom w:val="single" w:color="auto" w:sz="4" w:space="0"/>
              <w:right w:val="single" w:color="auto" w:sz="4" w:space="0"/>
            </w:tcBorders>
            <w:noWrap/>
          </w:tcPr>
          <w:p w14:paraId="62635AF7">
            <w:pPr>
              <w:topLinePunct/>
              <w:spacing w:line="440" w:lineRule="exact"/>
              <w:rPr>
                <w:rFonts w:ascii="宋体" w:hAnsi="宋体" w:cs="宋体"/>
                <w:sz w:val="24"/>
                <w:szCs w:val="24"/>
                <w:highlight w:val="none"/>
              </w:rPr>
            </w:pPr>
          </w:p>
        </w:tc>
      </w:tr>
      <w:tr w14:paraId="4D93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D02CE0A">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委托人电话</w:t>
            </w:r>
          </w:p>
        </w:tc>
        <w:tc>
          <w:tcPr>
            <w:tcW w:w="7077" w:type="dxa"/>
            <w:tcBorders>
              <w:top w:val="single" w:color="auto" w:sz="4" w:space="0"/>
              <w:left w:val="single" w:color="auto" w:sz="4" w:space="0"/>
              <w:bottom w:val="single" w:color="auto" w:sz="4" w:space="0"/>
              <w:right w:val="single" w:color="auto" w:sz="4" w:space="0"/>
            </w:tcBorders>
            <w:noWrap/>
          </w:tcPr>
          <w:p w14:paraId="67155A71">
            <w:pPr>
              <w:topLinePunct/>
              <w:spacing w:line="440" w:lineRule="exact"/>
              <w:rPr>
                <w:rFonts w:ascii="宋体" w:hAnsi="宋体" w:cs="宋体"/>
                <w:sz w:val="24"/>
                <w:szCs w:val="24"/>
                <w:highlight w:val="none"/>
              </w:rPr>
            </w:pPr>
          </w:p>
        </w:tc>
      </w:tr>
      <w:tr w14:paraId="28B9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8E95861">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合同价格</w:t>
            </w:r>
          </w:p>
        </w:tc>
        <w:tc>
          <w:tcPr>
            <w:tcW w:w="7077" w:type="dxa"/>
            <w:tcBorders>
              <w:top w:val="single" w:color="auto" w:sz="4" w:space="0"/>
              <w:left w:val="single" w:color="auto" w:sz="4" w:space="0"/>
              <w:bottom w:val="single" w:color="auto" w:sz="4" w:space="0"/>
              <w:right w:val="single" w:color="auto" w:sz="4" w:space="0"/>
            </w:tcBorders>
            <w:noWrap/>
          </w:tcPr>
          <w:p w14:paraId="26A1F5D4">
            <w:pPr>
              <w:topLinePunct/>
              <w:spacing w:line="440" w:lineRule="exact"/>
              <w:rPr>
                <w:rFonts w:ascii="宋体" w:hAnsi="宋体" w:cs="宋体"/>
                <w:sz w:val="24"/>
                <w:szCs w:val="24"/>
                <w:highlight w:val="none"/>
              </w:rPr>
            </w:pPr>
          </w:p>
        </w:tc>
      </w:tr>
      <w:tr w14:paraId="240E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12B21E7">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监理服务期限</w:t>
            </w:r>
          </w:p>
        </w:tc>
        <w:tc>
          <w:tcPr>
            <w:tcW w:w="7077" w:type="dxa"/>
            <w:tcBorders>
              <w:top w:val="single" w:color="auto" w:sz="4" w:space="0"/>
              <w:left w:val="single" w:color="auto" w:sz="4" w:space="0"/>
              <w:bottom w:val="single" w:color="auto" w:sz="4" w:space="0"/>
              <w:right w:val="single" w:color="auto" w:sz="4" w:space="0"/>
            </w:tcBorders>
            <w:noWrap/>
          </w:tcPr>
          <w:p w14:paraId="17AC1F51">
            <w:pPr>
              <w:topLinePunct/>
              <w:spacing w:line="440" w:lineRule="exact"/>
              <w:rPr>
                <w:rFonts w:ascii="宋体" w:hAnsi="宋体" w:cs="宋体"/>
                <w:sz w:val="24"/>
                <w:szCs w:val="24"/>
                <w:highlight w:val="none"/>
              </w:rPr>
            </w:pPr>
          </w:p>
        </w:tc>
      </w:tr>
      <w:tr w14:paraId="1AF2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BEDDD91">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监理内容</w:t>
            </w:r>
          </w:p>
        </w:tc>
        <w:tc>
          <w:tcPr>
            <w:tcW w:w="7077" w:type="dxa"/>
            <w:tcBorders>
              <w:top w:val="single" w:color="auto" w:sz="4" w:space="0"/>
              <w:left w:val="single" w:color="auto" w:sz="4" w:space="0"/>
              <w:bottom w:val="single" w:color="auto" w:sz="4" w:space="0"/>
              <w:right w:val="single" w:color="auto" w:sz="4" w:space="0"/>
            </w:tcBorders>
            <w:noWrap/>
          </w:tcPr>
          <w:p w14:paraId="7FA5257A">
            <w:pPr>
              <w:topLinePunct/>
              <w:spacing w:line="440" w:lineRule="exact"/>
              <w:rPr>
                <w:rFonts w:ascii="宋体" w:hAnsi="宋体" w:cs="宋体"/>
                <w:sz w:val="24"/>
                <w:szCs w:val="24"/>
                <w:highlight w:val="none"/>
              </w:rPr>
            </w:pPr>
          </w:p>
        </w:tc>
      </w:tr>
      <w:tr w14:paraId="216C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4E583CA">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总监理工程师</w:t>
            </w:r>
          </w:p>
        </w:tc>
        <w:tc>
          <w:tcPr>
            <w:tcW w:w="7077" w:type="dxa"/>
            <w:tcBorders>
              <w:top w:val="single" w:color="auto" w:sz="4" w:space="0"/>
              <w:left w:val="single" w:color="auto" w:sz="4" w:space="0"/>
              <w:bottom w:val="single" w:color="auto" w:sz="4" w:space="0"/>
              <w:right w:val="single" w:color="auto" w:sz="4" w:space="0"/>
            </w:tcBorders>
            <w:noWrap/>
          </w:tcPr>
          <w:p w14:paraId="7A880167">
            <w:pPr>
              <w:topLinePunct/>
              <w:spacing w:line="440" w:lineRule="exact"/>
              <w:rPr>
                <w:rFonts w:ascii="宋体" w:hAnsi="宋体" w:cs="宋体"/>
                <w:sz w:val="24"/>
                <w:szCs w:val="24"/>
                <w:highlight w:val="none"/>
              </w:rPr>
            </w:pPr>
          </w:p>
        </w:tc>
      </w:tr>
      <w:tr w14:paraId="3AD8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BDF9EC6">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项目描述</w:t>
            </w:r>
          </w:p>
        </w:tc>
        <w:tc>
          <w:tcPr>
            <w:tcW w:w="7077" w:type="dxa"/>
            <w:tcBorders>
              <w:top w:val="single" w:color="auto" w:sz="4" w:space="0"/>
              <w:left w:val="single" w:color="auto" w:sz="4" w:space="0"/>
              <w:bottom w:val="single" w:color="auto" w:sz="4" w:space="0"/>
              <w:right w:val="single" w:color="auto" w:sz="4" w:space="0"/>
            </w:tcBorders>
            <w:noWrap/>
          </w:tcPr>
          <w:p w14:paraId="1D740701">
            <w:pPr>
              <w:topLinePunct/>
              <w:spacing w:line="440" w:lineRule="exact"/>
              <w:rPr>
                <w:rFonts w:ascii="宋体" w:hAnsi="宋体" w:cs="宋体"/>
                <w:sz w:val="24"/>
                <w:szCs w:val="24"/>
                <w:highlight w:val="none"/>
              </w:rPr>
            </w:pPr>
          </w:p>
          <w:p w14:paraId="4F01FA41">
            <w:pPr>
              <w:topLinePunct/>
              <w:spacing w:line="440" w:lineRule="exact"/>
              <w:rPr>
                <w:rFonts w:ascii="宋体" w:hAnsi="宋体" w:cs="宋体"/>
                <w:sz w:val="24"/>
                <w:szCs w:val="24"/>
                <w:highlight w:val="none"/>
              </w:rPr>
            </w:pPr>
          </w:p>
          <w:p w14:paraId="578234A3">
            <w:pPr>
              <w:topLinePunct/>
              <w:spacing w:line="440" w:lineRule="exact"/>
              <w:rPr>
                <w:rFonts w:ascii="宋体" w:hAnsi="宋体" w:cs="宋体"/>
                <w:sz w:val="24"/>
                <w:szCs w:val="24"/>
                <w:highlight w:val="none"/>
              </w:rPr>
            </w:pPr>
          </w:p>
          <w:p w14:paraId="1B68D6E0">
            <w:pPr>
              <w:topLinePunct/>
              <w:spacing w:line="440" w:lineRule="exact"/>
              <w:rPr>
                <w:rFonts w:ascii="宋体" w:hAnsi="宋体" w:cs="宋体"/>
                <w:sz w:val="24"/>
                <w:szCs w:val="24"/>
                <w:highlight w:val="none"/>
              </w:rPr>
            </w:pPr>
          </w:p>
          <w:p w14:paraId="7926707C">
            <w:pPr>
              <w:topLinePunct/>
              <w:spacing w:line="440" w:lineRule="exact"/>
              <w:rPr>
                <w:rFonts w:ascii="宋体" w:hAnsi="宋体" w:cs="宋体"/>
                <w:sz w:val="24"/>
                <w:szCs w:val="24"/>
                <w:highlight w:val="none"/>
              </w:rPr>
            </w:pPr>
          </w:p>
          <w:p w14:paraId="0BD0D2BA">
            <w:pPr>
              <w:topLinePunct/>
              <w:spacing w:line="440" w:lineRule="exact"/>
              <w:rPr>
                <w:rFonts w:ascii="宋体" w:hAnsi="宋体" w:cs="宋体"/>
                <w:sz w:val="24"/>
                <w:szCs w:val="24"/>
                <w:highlight w:val="none"/>
              </w:rPr>
            </w:pPr>
          </w:p>
          <w:p w14:paraId="3F19698D">
            <w:pPr>
              <w:topLinePunct/>
              <w:spacing w:line="440" w:lineRule="exact"/>
              <w:rPr>
                <w:rFonts w:ascii="宋体" w:hAnsi="宋体" w:cs="宋体"/>
                <w:sz w:val="24"/>
                <w:szCs w:val="24"/>
                <w:highlight w:val="none"/>
              </w:rPr>
            </w:pPr>
          </w:p>
        </w:tc>
      </w:tr>
      <w:tr w14:paraId="7B44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0BD97D3">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7077" w:type="dxa"/>
            <w:tcBorders>
              <w:top w:val="single" w:color="auto" w:sz="4" w:space="0"/>
              <w:left w:val="single" w:color="auto" w:sz="4" w:space="0"/>
              <w:bottom w:val="single" w:color="auto" w:sz="4" w:space="0"/>
              <w:right w:val="single" w:color="auto" w:sz="4" w:space="0"/>
            </w:tcBorders>
            <w:noWrap/>
          </w:tcPr>
          <w:p w14:paraId="64A44D61">
            <w:pPr>
              <w:topLinePunct/>
              <w:spacing w:line="440" w:lineRule="exact"/>
              <w:rPr>
                <w:rFonts w:ascii="宋体" w:hAnsi="宋体" w:cs="宋体"/>
                <w:sz w:val="24"/>
                <w:szCs w:val="24"/>
                <w:highlight w:val="none"/>
              </w:rPr>
            </w:pPr>
          </w:p>
        </w:tc>
      </w:tr>
    </w:tbl>
    <w:p w14:paraId="15BC8E5E">
      <w:pPr>
        <w:rPr>
          <w:rFonts w:ascii="宋体" w:hAnsi="宋体" w:cs="宋体"/>
          <w:sz w:val="24"/>
          <w:szCs w:val="24"/>
          <w:highlight w:val="none"/>
        </w:rPr>
      </w:pPr>
      <w:bookmarkStart w:id="615" w:name="_Toc517280611"/>
      <w:r>
        <w:rPr>
          <w:rFonts w:hint="eastAsia" w:ascii="宋体" w:hAnsi="宋体" w:cs="宋体"/>
          <w:sz w:val="24"/>
          <w:szCs w:val="24"/>
          <w:highlight w:val="none"/>
        </w:rPr>
        <w:br w:type="page"/>
      </w:r>
    </w:p>
    <w:p w14:paraId="413EADAD">
      <w:pPr>
        <w:spacing w:line="360" w:lineRule="auto"/>
        <w:jc w:val="center"/>
        <w:rPr>
          <w:rFonts w:ascii="黑体" w:hAnsi="黑体" w:eastAsia="黑体" w:cs="黑体"/>
          <w:b/>
          <w:sz w:val="32"/>
          <w:szCs w:val="32"/>
          <w:highlight w:val="none"/>
        </w:rPr>
      </w:pPr>
      <w:r>
        <w:rPr>
          <w:rFonts w:hint="eastAsia" w:ascii="黑体" w:hAnsi="黑体" w:eastAsia="黑体" w:cs="黑体"/>
          <w:b/>
          <w:sz w:val="32"/>
          <w:szCs w:val="32"/>
          <w:highlight w:val="none"/>
        </w:rPr>
        <w:t>（三）拟委任的主要人员汇总表</w:t>
      </w:r>
      <w:bookmarkEnd w:id="615"/>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38"/>
        <w:gridCol w:w="1115"/>
        <w:gridCol w:w="810"/>
        <w:gridCol w:w="710"/>
        <w:gridCol w:w="1246"/>
        <w:gridCol w:w="856"/>
        <w:gridCol w:w="1051"/>
        <w:gridCol w:w="1369"/>
      </w:tblGrid>
      <w:tr w14:paraId="6D45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vMerge w:val="restart"/>
            <w:noWrap/>
            <w:vAlign w:val="center"/>
          </w:tcPr>
          <w:p w14:paraId="09FDF257">
            <w:pPr>
              <w:spacing w:line="44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1538" w:type="dxa"/>
            <w:vMerge w:val="restart"/>
            <w:noWrap/>
            <w:vAlign w:val="center"/>
          </w:tcPr>
          <w:p w14:paraId="3171F045">
            <w:pPr>
              <w:spacing w:line="440" w:lineRule="exact"/>
              <w:jc w:val="center"/>
              <w:rPr>
                <w:rFonts w:ascii="宋体" w:hAnsi="宋体" w:cs="宋体"/>
                <w:sz w:val="24"/>
                <w:szCs w:val="24"/>
                <w:highlight w:val="none"/>
              </w:rPr>
            </w:pPr>
            <w:r>
              <w:rPr>
                <w:rFonts w:hint="eastAsia" w:ascii="宋体" w:hAnsi="宋体" w:cs="宋体"/>
                <w:sz w:val="24"/>
                <w:szCs w:val="24"/>
                <w:highlight w:val="none"/>
              </w:rPr>
              <w:t>本项目任职</w:t>
            </w:r>
          </w:p>
        </w:tc>
        <w:tc>
          <w:tcPr>
            <w:tcW w:w="1115" w:type="dxa"/>
            <w:vMerge w:val="restart"/>
            <w:noWrap/>
            <w:vAlign w:val="center"/>
          </w:tcPr>
          <w:p w14:paraId="319B5BD9">
            <w:pPr>
              <w:spacing w:line="440" w:lineRule="exact"/>
              <w:jc w:val="center"/>
              <w:rPr>
                <w:rFonts w:ascii="宋体" w:hAnsi="宋体" w:cs="宋体"/>
                <w:sz w:val="24"/>
                <w:szCs w:val="24"/>
                <w:highlight w:val="none"/>
              </w:rPr>
            </w:pPr>
            <w:r>
              <w:rPr>
                <w:rFonts w:hint="eastAsia" w:ascii="宋体" w:hAnsi="宋体" w:cs="宋体"/>
                <w:sz w:val="24"/>
                <w:szCs w:val="24"/>
                <w:highlight w:val="none"/>
              </w:rPr>
              <w:t>姓名</w:t>
            </w:r>
          </w:p>
        </w:tc>
        <w:tc>
          <w:tcPr>
            <w:tcW w:w="810" w:type="dxa"/>
            <w:vMerge w:val="restart"/>
            <w:noWrap/>
            <w:vAlign w:val="center"/>
          </w:tcPr>
          <w:p w14:paraId="69545BA9">
            <w:pPr>
              <w:spacing w:line="440" w:lineRule="exact"/>
              <w:jc w:val="center"/>
              <w:rPr>
                <w:rFonts w:ascii="宋体" w:hAnsi="宋体" w:cs="宋体"/>
                <w:sz w:val="24"/>
                <w:szCs w:val="24"/>
                <w:highlight w:val="none"/>
              </w:rPr>
            </w:pPr>
            <w:r>
              <w:rPr>
                <w:rFonts w:hint="eastAsia" w:ascii="宋体" w:hAnsi="宋体" w:cs="宋体"/>
                <w:sz w:val="24"/>
                <w:szCs w:val="24"/>
                <w:highlight w:val="none"/>
              </w:rPr>
              <w:t>职称</w:t>
            </w:r>
          </w:p>
        </w:tc>
        <w:tc>
          <w:tcPr>
            <w:tcW w:w="710" w:type="dxa"/>
            <w:vMerge w:val="restart"/>
            <w:noWrap/>
            <w:vAlign w:val="center"/>
          </w:tcPr>
          <w:p w14:paraId="4B58ED72">
            <w:pPr>
              <w:spacing w:line="440" w:lineRule="exact"/>
              <w:jc w:val="center"/>
              <w:rPr>
                <w:rFonts w:ascii="宋体" w:hAnsi="宋体" w:cs="宋体"/>
                <w:sz w:val="24"/>
                <w:szCs w:val="24"/>
                <w:highlight w:val="none"/>
              </w:rPr>
            </w:pPr>
            <w:r>
              <w:rPr>
                <w:rFonts w:hint="eastAsia" w:ascii="宋体" w:hAnsi="宋体" w:cs="宋体"/>
                <w:sz w:val="24"/>
                <w:szCs w:val="24"/>
                <w:highlight w:val="none"/>
              </w:rPr>
              <w:t>专业</w:t>
            </w:r>
          </w:p>
        </w:tc>
        <w:tc>
          <w:tcPr>
            <w:tcW w:w="3153" w:type="dxa"/>
            <w:gridSpan w:val="3"/>
            <w:noWrap/>
            <w:vAlign w:val="center"/>
          </w:tcPr>
          <w:p w14:paraId="4CB3CFA9">
            <w:pPr>
              <w:spacing w:line="440" w:lineRule="exact"/>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369" w:type="dxa"/>
            <w:noWrap/>
            <w:vAlign w:val="center"/>
          </w:tcPr>
          <w:p w14:paraId="6C04D91A">
            <w:pPr>
              <w:spacing w:line="440" w:lineRule="exact"/>
              <w:jc w:val="center"/>
              <w:rPr>
                <w:rFonts w:ascii="宋体" w:hAnsi="宋体" w:cs="宋体"/>
                <w:sz w:val="24"/>
                <w:szCs w:val="24"/>
                <w:highlight w:val="none"/>
              </w:rPr>
            </w:pPr>
            <w:r>
              <w:rPr>
                <w:rFonts w:hint="eastAsia" w:ascii="宋体" w:hAnsi="宋体" w:cs="宋体"/>
                <w:sz w:val="24"/>
                <w:szCs w:val="24"/>
                <w:highlight w:val="none"/>
              </w:rPr>
              <w:t>备注</w:t>
            </w:r>
          </w:p>
        </w:tc>
      </w:tr>
      <w:tr w14:paraId="1B96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5" w:type="dxa"/>
            <w:vMerge w:val="continue"/>
            <w:noWrap/>
            <w:vAlign w:val="center"/>
          </w:tcPr>
          <w:p w14:paraId="69B35DAD">
            <w:pPr>
              <w:rPr>
                <w:highlight w:val="none"/>
              </w:rPr>
            </w:pPr>
          </w:p>
        </w:tc>
        <w:tc>
          <w:tcPr>
            <w:tcW w:w="1538" w:type="dxa"/>
            <w:vMerge w:val="continue"/>
            <w:tcBorders>
              <w:left w:val="single" w:color="auto" w:sz="4" w:space="0"/>
            </w:tcBorders>
            <w:noWrap/>
          </w:tcPr>
          <w:p w14:paraId="1BD316EF">
            <w:pPr>
              <w:rPr>
                <w:highlight w:val="none"/>
              </w:rPr>
            </w:pPr>
          </w:p>
        </w:tc>
        <w:tc>
          <w:tcPr>
            <w:tcW w:w="1115" w:type="dxa"/>
            <w:vMerge w:val="continue"/>
            <w:tcBorders>
              <w:left w:val="single" w:color="auto" w:sz="4" w:space="0"/>
            </w:tcBorders>
            <w:noWrap/>
            <w:vAlign w:val="center"/>
          </w:tcPr>
          <w:p w14:paraId="73DDC452">
            <w:pPr>
              <w:rPr>
                <w:highlight w:val="none"/>
              </w:rPr>
            </w:pPr>
          </w:p>
        </w:tc>
        <w:tc>
          <w:tcPr>
            <w:tcW w:w="810" w:type="dxa"/>
            <w:vMerge w:val="continue"/>
            <w:tcBorders>
              <w:left w:val="single" w:color="auto" w:sz="4" w:space="0"/>
            </w:tcBorders>
            <w:noWrap/>
            <w:vAlign w:val="center"/>
          </w:tcPr>
          <w:p w14:paraId="670AD9C9">
            <w:pPr>
              <w:rPr>
                <w:highlight w:val="none"/>
              </w:rPr>
            </w:pPr>
          </w:p>
        </w:tc>
        <w:tc>
          <w:tcPr>
            <w:tcW w:w="710" w:type="dxa"/>
            <w:vMerge w:val="continue"/>
            <w:tcBorders>
              <w:left w:val="single" w:color="auto" w:sz="4" w:space="0"/>
            </w:tcBorders>
            <w:noWrap/>
            <w:vAlign w:val="center"/>
          </w:tcPr>
          <w:p w14:paraId="5C94D88F">
            <w:pPr>
              <w:rPr>
                <w:highlight w:val="none"/>
              </w:rPr>
            </w:pPr>
          </w:p>
        </w:tc>
        <w:tc>
          <w:tcPr>
            <w:tcW w:w="1246" w:type="dxa"/>
            <w:tcBorders>
              <w:left w:val="single" w:color="auto" w:sz="4" w:space="0"/>
            </w:tcBorders>
            <w:noWrap/>
            <w:vAlign w:val="center"/>
          </w:tcPr>
          <w:p w14:paraId="40DE6AEF">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证书名称</w:t>
            </w:r>
          </w:p>
        </w:tc>
        <w:tc>
          <w:tcPr>
            <w:tcW w:w="856" w:type="dxa"/>
            <w:tcBorders>
              <w:left w:val="single" w:color="auto" w:sz="4" w:space="0"/>
            </w:tcBorders>
            <w:noWrap/>
            <w:vAlign w:val="center"/>
          </w:tcPr>
          <w:p w14:paraId="7EE19CE2">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级别</w:t>
            </w:r>
          </w:p>
        </w:tc>
        <w:tc>
          <w:tcPr>
            <w:tcW w:w="1051" w:type="dxa"/>
            <w:tcBorders>
              <w:left w:val="single" w:color="auto" w:sz="4" w:space="0"/>
            </w:tcBorders>
            <w:noWrap/>
            <w:vAlign w:val="center"/>
          </w:tcPr>
          <w:p w14:paraId="03992EAB">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证号</w:t>
            </w:r>
          </w:p>
        </w:tc>
        <w:tc>
          <w:tcPr>
            <w:tcW w:w="1369" w:type="dxa"/>
            <w:tcBorders>
              <w:left w:val="single" w:color="auto" w:sz="4" w:space="0"/>
            </w:tcBorders>
            <w:noWrap/>
            <w:vAlign w:val="center"/>
          </w:tcPr>
          <w:p w14:paraId="7D26CAB9">
            <w:pPr>
              <w:spacing w:line="440" w:lineRule="exact"/>
              <w:jc w:val="center"/>
              <w:rPr>
                <w:rFonts w:ascii="宋体" w:hAnsi="宋体" w:cs="宋体"/>
                <w:sz w:val="24"/>
                <w:szCs w:val="24"/>
                <w:highlight w:val="none"/>
              </w:rPr>
            </w:pPr>
          </w:p>
        </w:tc>
      </w:tr>
      <w:tr w14:paraId="3228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vAlign w:val="center"/>
          </w:tcPr>
          <w:p w14:paraId="06402B99">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7AC9827C">
            <w:pPr>
              <w:spacing w:line="440" w:lineRule="exact"/>
              <w:jc w:val="center"/>
              <w:rPr>
                <w:rFonts w:ascii="宋体" w:hAnsi="宋体" w:cs="宋体"/>
                <w:sz w:val="24"/>
                <w:szCs w:val="24"/>
                <w:highlight w:val="none"/>
              </w:rPr>
            </w:pPr>
          </w:p>
        </w:tc>
        <w:tc>
          <w:tcPr>
            <w:tcW w:w="1115" w:type="dxa"/>
            <w:tcBorders>
              <w:left w:val="single" w:color="auto" w:sz="4" w:space="0"/>
            </w:tcBorders>
            <w:noWrap/>
            <w:vAlign w:val="center"/>
          </w:tcPr>
          <w:p w14:paraId="0D9B6055">
            <w:pPr>
              <w:spacing w:line="440" w:lineRule="exact"/>
              <w:jc w:val="center"/>
              <w:rPr>
                <w:rFonts w:ascii="宋体" w:hAnsi="宋体" w:cs="宋体"/>
                <w:sz w:val="24"/>
                <w:szCs w:val="24"/>
                <w:highlight w:val="none"/>
              </w:rPr>
            </w:pPr>
          </w:p>
        </w:tc>
        <w:tc>
          <w:tcPr>
            <w:tcW w:w="810" w:type="dxa"/>
            <w:tcBorders>
              <w:left w:val="single" w:color="auto" w:sz="4" w:space="0"/>
            </w:tcBorders>
            <w:noWrap/>
            <w:vAlign w:val="center"/>
          </w:tcPr>
          <w:p w14:paraId="59BE4243">
            <w:pPr>
              <w:spacing w:line="440" w:lineRule="exact"/>
              <w:jc w:val="center"/>
              <w:rPr>
                <w:rFonts w:ascii="宋体" w:hAnsi="宋体" w:cs="宋体"/>
                <w:sz w:val="24"/>
                <w:szCs w:val="24"/>
                <w:highlight w:val="none"/>
              </w:rPr>
            </w:pPr>
          </w:p>
        </w:tc>
        <w:tc>
          <w:tcPr>
            <w:tcW w:w="710" w:type="dxa"/>
            <w:tcBorders>
              <w:left w:val="single" w:color="auto" w:sz="4" w:space="0"/>
            </w:tcBorders>
            <w:noWrap/>
            <w:vAlign w:val="center"/>
          </w:tcPr>
          <w:p w14:paraId="226EACF7">
            <w:pPr>
              <w:spacing w:line="440" w:lineRule="exact"/>
              <w:jc w:val="center"/>
              <w:rPr>
                <w:rFonts w:ascii="宋体" w:hAnsi="宋体" w:cs="宋体"/>
                <w:sz w:val="24"/>
                <w:szCs w:val="24"/>
                <w:highlight w:val="none"/>
              </w:rPr>
            </w:pPr>
          </w:p>
        </w:tc>
        <w:tc>
          <w:tcPr>
            <w:tcW w:w="1246" w:type="dxa"/>
            <w:tcBorders>
              <w:left w:val="single" w:color="auto" w:sz="4" w:space="0"/>
            </w:tcBorders>
            <w:noWrap/>
            <w:vAlign w:val="center"/>
          </w:tcPr>
          <w:p w14:paraId="6D215AC4">
            <w:pPr>
              <w:spacing w:line="440" w:lineRule="exact"/>
              <w:jc w:val="center"/>
              <w:rPr>
                <w:rFonts w:ascii="宋体" w:hAnsi="宋体" w:cs="宋体"/>
                <w:sz w:val="24"/>
                <w:szCs w:val="24"/>
                <w:highlight w:val="none"/>
              </w:rPr>
            </w:pPr>
          </w:p>
        </w:tc>
        <w:tc>
          <w:tcPr>
            <w:tcW w:w="856" w:type="dxa"/>
            <w:tcBorders>
              <w:left w:val="single" w:color="auto" w:sz="4" w:space="0"/>
            </w:tcBorders>
            <w:noWrap/>
            <w:vAlign w:val="center"/>
          </w:tcPr>
          <w:p w14:paraId="0F38B2CA">
            <w:pPr>
              <w:spacing w:line="440" w:lineRule="exact"/>
              <w:jc w:val="center"/>
              <w:rPr>
                <w:rFonts w:ascii="宋体" w:hAnsi="宋体" w:cs="宋体"/>
                <w:sz w:val="24"/>
                <w:szCs w:val="24"/>
                <w:highlight w:val="none"/>
              </w:rPr>
            </w:pPr>
          </w:p>
        </w:tc>
        <w:tc>
          <w:tcPr>
            <w:tcW w:w="1051" w:type="dxa"/>
            <w:tcBorders>
              <w:left w:val="single" w:color="auto" w:sz="4" w:space="0"/>
            </w:tcBorders>
            <w:noWrap/>
            <w:vAlign w:val="center"/>
          </w:tcPr>
          <w:p w14:paraId="5067949E">
            <w:pPr>
              <w:spacing w:line="440" w:lineRule="exact"/>
              <w:jc w:val="center"/>
              <w:rPr>
                <w:rFonts w:ascii="宋体" w:hAnsi="宋体" w:cs="宋体"/>
                <w:sz w:val="24"/>
                <w:szCs w:val="24"/>
                <w:highlight w:val="none"/>
              </w:rPr>
            </w:pPr>
          </w:p>
        </w:tc>
        <w:tc>
          <w:tcPr>
            <w:tcW w:w="1369" w:type="dxa"/>
            <w:tcBorders>
              <w:left w:val="single" w:color="auto" w:sz="4" w:space="0"/>
            </w:tcBorders>
            <w:noWrap/>
            <w:vAlign w:val="center"/>
          </w:tcPr>
          <w:p w14:paraId="34B2FAC6">
            <w:pPr>
              <w:spacing w:line="440" w:lineRule="exact"/>
              <w:jc w:val="center"/>
              <w:rPr>
                <w:rFonts w:ascii="宋体" w:hAnsi="宋体" w:cs="宋体"/>
                <w:sz w:val="24"/>
                <w:szCs w:val="24"/>
                <w:highlight w:val="none"/>
              </w:rPr>
            </w:pPr>
          </w:p>
        </w:tc>
      </w:tr>
      <w:tr w14:paraId="6FA0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C6BA03D">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33DECACC">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62C1842B">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20CAC95B">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4936ADDA">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0C78C880">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3D65EAF5">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5285B287">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1A9AA0EB">
            <w:pPr>
              <w:spacing w:line="440" w:lineRule="exact"/>
              <w:jc w:val="center"/>
              <w:rPr>
                <w:rFonts w:ascii="宋体" w:hAnsi="宋体" w:cs="宋体"/>
                <w:sz w:val="24"/>
                <w:szCs w:val="24"/>
                <w:highlight w:val="none"/>
              </w:rPr>
            </w:pPr>
          </w:p>
        </w:tc>
      </w:tr>
      <w:tr w14:paraId="69BE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A32206C">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639902D6">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2D7FA25F">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4A79484C">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014BD8B9">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5A7AFB83">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583E6F89">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06319EE5">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33FB63D5">
            <w:pPr>
              <w:spacing w:line="440" w:lineRule="exact"/>
              <w:jc w:val="center"/>
              <w:rPr>
                <w:rFonts w:ascii="宋体" w:hAnsi="宋体" w:cs="宋体"/>
                <w:sz w:val="24"/>
                <w:szCs w:val="24"/>
                <w:highlight w:val="none"/>
              </w:rPr>
            </w:pPr>
          </w:p>
        </w:tc>
      </w:tr>
      <w:tr w14:paraId="009A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65FB244">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7E446648">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7E3DFEEA">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1E56618D">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3E50C31D">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5F685E88">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3C1D52D2">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35E096A9">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01EB7148">
            <w:pPr>
              <w:spacing w:line="440" w:lineRule="exact"/>
              <w:jc w:val="center"/>
              <w:rPr>
                <w:rFonts w:ascii="宋体" w:hAnsi="宋体" w:cs="宋体"/>
                <w:sz w:val="24"/>
                <w:szCs w:val="24"/>
                <w:highlight w:val="none"/>
              </w:rPr>
            </w:pPr>
          </w:p>
        </w:tc>
      </w:tr>
      <w:tr w14:paraId="39B3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6621C7A">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55A616EF">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76D2F26A">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251D968A">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18D9F982">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4FFEEA23">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0D42A4B4">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03CEA431">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398F66C2">
            <w:pPr>
              <w:spacing w:line="440" w:lineRule="exact"/>
              <w:jc w:val="center"/>
              <w:rPr>
                <w:rFonts w:ascii="宋体" w:hAnsi="宋体" w:cs="宋体"/>
                <w:sz w:val="24"/>
                <w:szCs w:val="24"/>
                <w:highlight w:val="none"/>
              </w:rPr>
            </w:pPr>
          </w:p>
        </w:tc>
      </w:tr>
      <w:tr w14:paraId="23ED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935EE27">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0ACF943F">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00AABEDD">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669C801F">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579AA52C">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5C7BC1F5">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472208D5">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2D9F4198">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478FFFA2">
            <w:pPr>
              <w:spacing w:line="440" w:lineRule="exact"/>
              <w:jc w:val="center"/>
              <w:rPr>
                <w:rFonts w:ascii="宋体" w:hAnsi="宋体" w:cs="宋体"/>
                <w:sz w:val="24"/>
                <w:szCs w:val="24"/>
                <w:highlight w:val="none"/>
              </w:rPr>
            </w:pPr>
          </w:p>
        </w:tc>
      </w:tr>
      <w:tr w14:paraId="634C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9086E69">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2E9EAC8E">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772B3711">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02B285C1">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4E01056D">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0BAF00E2">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76B8D694">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5294F351">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34DE3271">
            <w:pPr>
              <w:spacing w:line="440" w:lineRule="exact"/>
              <w:jc w:val="center"/>
              <w:rPr>
                <w:rFonts w:ascii="宋体" w:hAnsi="宋体" w:cs="宋体"/>
                <w:sz w:val="24"/>
                <w:szCs w:val="24"/>
                <w:highlight w:val="none"/>
              </w:rPr>
            </w:pPr>
          </w:p>
        </w:tc>
      </w:tr>
      <w:tr w14:paraId="7E7F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19923466">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6F6493AD">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440E0AA5">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3B13BCB9">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6F7E17C5">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0E8647DB">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31063FD1">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2D524A10">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38E53AC3">
            <w:pPr>
              <w:spacing w:line="440" w:lineRule="exact"/>
              <w:jc w:val="center"/>
              <w:rPr>
                <w:rFonts w:ascii="宋体" w:hAnsi="宋体" w:cs="宋体"/>
                <w:sz w:val="24"/>
                <w:szCs w:val="24"/>
                <w:highlight w:val="none"/>
              </w:rPr>
            </w:pPr>
          </w:p>
        </w:tc>
      </w:tr>
      <w:tr w14:paraId="1C4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E9CDBAA">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3913B4E9">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3984E9F4">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3563D5B2">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5483897B">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4D5AEF60">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10EC4CD1">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196A7571">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797933B0">
            <w:pPr>
              <w:spacing w:line="440" w:lineRule="exact"/>
              <w:jc w:val="center"/>
              <w:rPr>
                <w:rFonts w:ascii="宋体" w:hAnsi="宋体" w:cs="宋体"/>
                <w:sz w:val="24"/>
                <w:szCs w:val="24"/>
                <w:highlight w:val="none"/>
              </w:rPr>
            </w:pPr>
          </w:p>
        </w:tc>
      </w:tr>
      <w:tr w14:paraId="433A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D63FD1A">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1C842A43">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7BFE0831">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48989187">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41033E64">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1FEE857F">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6F6247AC">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3FADABC7">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4072E761">
            <w:pPr>
              <w:spacing w:line="440" w:lineRule="exact"/>
              <w:jc w:val="center"/>
              <w:rPr>
                <w:rFonts w:ascii="宋体" w:hAnsi="宋体" w:cs="宋体"/>
                <w:sz w:val="24"/>
                <w:szCs w:val="24"/>
                <w:highlight w:val="none"/>
              </w:rPr>
            </w:pPr>
          </w:p>
        </w:tc>
      </w:tr>
      <w:tr w14:paraId="5B1E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7D733AC">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57C1AAE1">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29EEDDF0">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269365B9">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0D1F4B03">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3DA34A36">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53DAF01E">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585EA7BA">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3A443461">
            <w:pPr>
              <w:spacing w:line="440" w:lineRule="exact"/>
              <w:jc w:val="center"/>
              <w:rPr>
                <w:rFonts w:ascii="宋体" w:hAnsi="宋体" w:cs="宋体"/>
                <w:sz w:val="24"/>
                <w:szCs w:val="24"/>
                <w:highlight w:val="none"/>
              </w:rPr>
            </w:pPr>
          </w:p>
        </w:tc>
      </w:tr>
      <w:tr w14:paraId="32F0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8A35DCC">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76F7AB9C">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75C79D74">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429195E0">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3A04D45B">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673623F8">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0E90038A">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3437E048">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2951F08B">
            <w:pPr>
              <w:spacing w:line="440" w:lineRule="exact"/>
              <w:jc w:val="center"/>
              <w:rPr>
                <w:rFonts w:ascii="宋体" w:hAnsi="宋体" w:cs="宋体"/>
                <w:sz w:val="24"/>
                <w:szCs w:val="24"/>
                <w:highlight w:val="none"/>
              </w:rPr>
            </w:pPr>
          </w:p>
        </w:tc>
      </w:tr>
      <w:tr w14:paraId="737F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1F17FDBE">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4C2BDCC7">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20F1424D">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2D380EF3">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1188A959">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764B781E">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5A3C29B1">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305885CA">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76301C79">
            <w:pPr>
              <w:spacing w:line="440" w:lineRule="exact"/>
              <w:jc w:val="center"/>
              <w:rPr>
                <w:rFonts w:ascii="宋体" w:hAnsi="宋体" w:cs="宋体"/>
                <w:sz w:val="24"/>
                <w:szCs w:val="24"/>
                <w:highlight w:val="none"/>
              </w:rPr>
            </w:pPr>
          </w:p>
        </w:tc>
      </w:tr>
      <w:tr w14:paraId="74D6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C827DF7">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74B37558">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0DBE46E6">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621FA019">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2F260A54">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5B61F123">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7CC8A448">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12B7198D">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55DA0789">
            <w:pPr>
              <w:spacing w:line="440" w:lineRule="exact"/>
              <w:jc w:val="center"/>
              <w:rPr>
                <w:rFonts w:ascii="宋体" w:hAnsi="宋体" w:cs="宋体"/>
                <w:sz w:val="24"/>
                <w:szCs w:val="24"/>
                <w:highlight w:val="none"/>
              </w:rPr>
            </w:pPr>
          </w:p>
        </w:tc>
      </w:tr>
      <w:tr w14:paraId="4AFB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A7FF966">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5FF92F2C">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3A9F5002">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2E7F11E5">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1D12A4A2">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29A5D8F1">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44F7CB76">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0BB063EC">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73473180">
            <w:pPr>
              <w:spacing w:line="440" w:lineRule="exact"/>
              <w:jc w:val="center"/>
              <w:rPr>
                <w:rFonts w:ascii="宋体" w:hAnsi="宋体" w:cs="宋体"/>
                <w:sz w:val="24"/>
                <w:szCs w:val="24"/>
                <w:highlight w:val="none"/>
              </w:rPr>
            </w:pPr>
          </w:p>
        </w:tc>
      </w:tr>
      <w:tr w14:paraId="59CD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6C07A26">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1354217A">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0D96C3DC">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39EA3E8B">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64DA227D">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0F4062C0">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28FEC661">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5F85CCDE">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4DC322DD">
            <w:pPr>
              <w:spacing w:line="440" w:lineRule="exact"/>
              <w:jc w:val="center"/>
              <w:rPr>
                <w:rFonts w:ascii="宋体" w:hAnsi="宋体" w:cs="宋体"/>
                <w:sz w:val="24"/>
                <w:szCs w:val="24"/>
                <w:highlight w:val="none"/>
              </w:rPr>
            </w:pPr>
          </w:p>
        </w:tc>
      </w:tr>
      <w:tr w14:paraId="1C24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412A4C7">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7409CFCD">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16652B7E">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20660630">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476B53AF">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3F04AE8E">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5B3D38B6">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64AECD7F">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61B96D12">
            <w:pPr>
              <w:spacing w:line="440" w:lineRule="exact"/>
              <w:jc w:val="center"/>
              <w:rPr>
                <w:rFonts w:ascii="宋体" w:hAnsi="宋体" w:cs="宋体"/>
                <w:sz w:val="24"/>
                <w:szCs w:val="24"/>
                <w:highlight w:val="none"/>
              </w:rPr>
            </w:pPr>
          </w:p>
        </w:tc>
      </w:tr>
      <w:tr w14:paraId="161A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66A1878">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46B988F2">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1D39B51E">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114C952B">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4422DE6E">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6A8D7FE1">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65E32925">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3645D74A">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1C24031A">
            <w:pPr>
              <w:spacing w:line="440" w:lineRule="exact"/>
              <w:jc w:val="center"/>
              <w:rPr>
                <w:rFonts w:ascii="宋体" w:hAnsi="宋体" w:cs="宋体"/>
                <w:sz w:val="24"/>
                <w:szCs w:val="24"/>
                <w:highlight w:val="none"/>
              </w:rPr>
            </w:pPr>
          </w:p>
        </w:tc>
      </w:tr>
      <w:tr w14:paraId="1A8D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1997626">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5F7760F8">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616751F3">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795BDA53">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2112162D">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0B21DBE1">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22078764">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2F02A272">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566E629F">
            <w:pPr>
              <w:spacing w:line="440" w:lineRule="exact"/>
              <w:jc w:val="center"/>
              <w:rPr>
                <w:rFonts w:ascii="宋体" w:hAnsi="宋体" w:cs="宋体"/>
                <w:sz w:val="24"/>
                <w:szCs w:val="24"/>
                <w:highlight w:val="none"/>
              </w:rPr>
            </w:pPr>
          </w:p>
        </w:tc>
      </w:tr>
      <w:tr w14:paraId="11A6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D97E612">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2F944F84">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6F941CE0">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362B43FC">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41720652">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5A5EDFD4">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13A4454D">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7EE89522">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0A97E58B">
            <w:pPr>
              <w:spacing w:line="440" w:lineRule="exact"/>
              <w:jc w:val="center"/>
              <w:rPr>
                <w:rFonts w:ascii="宋体" w:hAnsi="宋体" w:cs="宋体"/>
                <w:sz w:val="24"/>
                <w:szCs w:val="24"/>
                <w:highlight w:val="none"/>
              </w:rPr>
            </w:pPr>
          </w:p>
        </w:tc>
      </w:tr>
      <w:tr w14:paraId="4B3B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85" w:type="dxa"/>
            <w:noWrap/>
          </w:tcPr>
          <w:p w14:paraId="51C752EF">
            <w:pPr>
              <w:spacing w:line="440" w:lineRule="exact"/>
              <w:jc w:val="center"/>
              <w:rPr>
                <w:rFonts w:ascii="宋体" w:hAnsi="宋体" w:cs="宋体"/>
                <w:sz w:val="24"/>
                <w:szCs w:val="24"/>
                <w:highlight w:val="none"/>
              </w:rPr>
            </w:pPr>
          </w:p>
        </w:tc>
        <w:tc>
          <w:tcPr>
            <w:tcW w:w="1538" w:type="dxa"/>
            <w:tcBorders>
              <w:left w:val="single" w:color="auto" w:sz="4" w:space="0"/>
            </w:tcBorders>
            <w:noWrap/>
          </w:tcPr>
          <w:p w14:paraId="069611DF">
            <w:pPr>
              <w:spacing w:line="440" w:lineRule="exact"/>
              <w:jc w:val="center"/>
              <w:rPr>
                <w:rFonts w:ascii="宋体" w:hAnsi="宋体" w:cs="宋体"/>
                <w:sz w:val="24"/>
                <w:szCs w:val="24"/>
                <w:highlight w:val="none"/>
              </w:rPr>
            </w:pPr>
          </w:p>
        </w:tc>
        <w:tc>
          <w:tcPr>
            <w:tcW w:w="1115" w:type="dxa"/>
            <w:tcBorders>
              <w:left w:val="single" w:color="auto" w:sz="4" w:space="0"/>
            </w:tcBorders>
            <w:noWrap/>
          </w:tcPr>
          <w:p w14:paraId="2E33D0C9">
            <w:pPr>
              <w:spacing w:line="440" w:lineRule="exact"/>
              <w:jc w:val="center"/>
              <w:rPr>
                <w:rFonts w:ascii="宋体" w:hAnsi="宋体" w:cs="宋体"/>
                <w:sz w:val="24"/>
                <w:szCs w:val="24"/>
                <w:highlight w:val="none"/>
              </w:rPr>
            </w:pPr>
          </w:p>
        </w:tc>
        <w:tc>
          <w:tcPr>
            <w:tcW w:w="810" w:type="dxa"/>
            <w:tcBorders>
              <w:left w:val="single" w:color="auto" w:sz="4" w:space="0"/>
            </w:tcBorders>
            <w:noWrap/>
          </w:tcPr>
          <w:p w14:paraId="29FFB215">
            <w:pPr>
              <w:spacing w:line="440" w:lineRule="exact"/>
              <w:jc w:val="center"/>
              <w:rPr>
                <w:rFonts w:ascii="宋体" w:hAnsi="宋体" w:cs="宋体"/>
                <w:sz w:val="24"/>
                <w:szCs w:val="24"/>
                <w:highlight w:val="none"/>
              </w:rPr>
            </w:pPr>
          </w:p>
        </w:tc>
        <w:tc>
          <w:tcPr>
            <w:tcW w:w="710" w:type="dxa"/>
            <w:tcBorders>
              <w:left w:val="single" w:color="auto" w:sz="4" w:space="0"/>
            </w:tcBorders>
            <w:noWrap/>
          </w:tcPr>
          <w:p w14:paraId="2154DD27">
            <w:pPr>
              <w:spacing w:line="440" w:lineRule="exact"/>
              <w:jc w:val="center"/>
              <w:rPr>
                <w:rFonts w:ascii="宋体" w:hAnsi="宋体" w:cs="宋体"/>
                <w:sz w:val="24"/>
                <w:szCs w:val="24"/>
                <w:highlight w:val="none"/>
              </w:rPr>
            </w:pPr>
          </w:p>
        </w:tc>
        <w:tc>
          <w:tcPr>
            <w:tcW w:w="1246" w:type="dxa"/>
            <w:tcBorders>
              <w:left w:val="single" w:color="auto" w:sz="4" w:space="0"/>
            </w:tcBorders>
            <w:noWrap/>
          </w:tcPr>
          <w:p w14:paraId="42D09951">
            <w:pPr>
              <w:spacing w:line="440" w:lineRule="exact"/>
              <w:jc w:val="center"/>
              <w:rPr>
                <w:rFonts w:ascii="宋体" w:hAnsi="宋体" w:cs="宋体"/>
                <w:sz w:val="24"/>
                <w:szCs w:val="24"/>
                <w:highlight w:val="none"/>
              </w:rPr>
            </w:pPr>
          </w:p>
        </w:tc>
        <w:tc>
          <w:tcPr>
            <w:tcW w:w="856" w:type="dxa"/>
            <w:tcBorders>
              <w:left w:val="single" w:color="auto" w:sz="4" w:space="0"/>
            </w:tcBorders>
            <w:noWrap/>
          </w:tcPr>
          <w:p w14:paraId="32A10B16">
            <w:pPr>
              <w:spacing w:line="440" w:lineRule="exact"/>
              <w:jc w:val="center"/>
              <w:rPr>
                <w:rFonts w:ascii="宋体" w:hAnsi="宋体" w:cs="宋体"/>
                <w:sz w:val="24"/>
                <w:szCs w:val="24"/>
                <w:highlight w:val="none"/>
              </w:rPr>
            </w:pPr>
          </w:p>
        </w:tc>
        <w:tc>
          <w:tcPr>
            <w:tcW w:w="1051" w:type="dxa"/>
            <w:tcBorders>
              <w:left w:val="single" w:color="auto" w:sz="4" w:space="0"/>
            </w:tcBorders>
            <w:noWrap/>
          </w:tcPr>
          <w:p w14:paraId="4214ADD0">
            <w:pPr>
              <w:spacing w:line="440" w:lineRule="exact"/>
              <w:jc w:val="center"/>
              <w:rPr>
                <w:rFonts w:ascii="宋体" w:hAnsi="宋体" w:cs="宋体"/>
                <w:sz w:val="24"/>
                <w:szCs w:val="24"/>
                <w:highlight w:val="none"/>
              </w:rPr>
            </w:pPr>
          </w:p>
        </w:tc>
        <w:tc>
          <w:tcPr>
            <w:tcW w:w="1369" w:type="dxa"/>
            <w:tcBorders>
              <w:left w:val="single" w:color="auto" w:sz="4" w:space="0"/>
            </w:tcBorders>
            <w:noWrap/>
          </w:tcPr>
          <w:p w14:paraId="370A0817">
            <w:pPr>
              <w:spacing w:line="440" w:lineRule="exact"/>
              <w:jc w:val="center"/>
              <w:rPr>
                <w:rFonts w:ascii="宋体" w:hAnsi="宋体" w:cs="宋体"/>
                <w:sz w:val="24"/>
                <w:szCs w:val="24"/>
                <w:highlight w:val="none"/>
              </w:rPr>
            </w:pPr>
          </w:p>
        </w:tc>
      </w:tr>
    </w:tbl>
    <w:p w14:paraId="7BDF741F">
      <w:pPr>
        <w:spacing w:line="440" w:lineRule="exact"/>
        <w:rPr>
          <w:rFonts w:ascii="宋体" w:hAnsi="宋体" w:cs="宋体"/>
          <w:highlight w:val="none"/>
        </w:rPr>
      </w:pPr>
      <w:bookmarkStart w:id="616" w:name="_Toc517280612"/>
    </w:p>
    <w:p w14:paraId="2C52CE1C">
      <w:pPr>
        <w:spacing w:line="440" w:lineRule="exact"/>
        <w:rPr>
          <w:rFonts w:ascii="宋体" w:hAnsi="宋体" w:cs="宋体"/>
          <w:highlight w:val="none"/>
        </w:rPr>
      </w:pPr>
    </w:p>
    <w:p w14:paraId="5C040762">
      <w:pPr>
        <w:pStyle w:val="5"/>
        <w:keepNext w:val="0"/>
        <w:keepLines w:val="0"/>
        <w:spacing w:line="240" w:lineRule="auto"/>
        <w:ind w:firstLine="137"/>
        <w:jc w:val="center"/>
        <w:rPr>
          <w:rFonts w:ascii="宋体" w:hAnsi="宋体" w:cs="宋体"/>
          <w:highlight w:val="none"/>
        </w:rPr>
      </w:pPr>
      <w:r>
        <w:rPr>
          <w:rFonts w:hint="eastAsia" w:ascii="宋体" w:hAnsi="宋体" w:cs="宋体"/>
          <w:highlight w:val="none"/>
        </w:rPr>
        <w:br w:type="page"/>
      </w:r>
      <w:bookmarkStart w:id="617" w:name="_Toc15290"/>
      <w:bookmarkStart w:id="618" w:name="_Toc23842"/>
      <w:r>
        <w:rPr>
          <w:rFonts w:hint="eastAsia" w:ascii="宋体" w:hAnsi="宋体" w:cs="宋体"/>
          <w:b/>
          <w:sz w:val="32"/>
          <w:highlight w:val="none"/>
        </w:rPr>
        <w:t>（四）</w:t>
      </w:r>
      <w:r>
        <w:rPr>
          <w:rFonts w:ascii="宋体" w:hAnsi="宋体" w:cs="宋体"/>
          <w:b/>
          <w:sz w:val="32"/>
          <w:highlight w:val="none"/>
        </w:rPr>
        <w:t>主要人员简历表</w:t>
      </w:r>
      <w:bookmarkEnd w:id="616"/>
      <w:bookmarkEnd w:id="617"/>
      <w:bookmarkEnd w:id="618"/>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406"/>
        <w:gridCol w:w="787"/>
        <w:gridCol w:w="1090"/>
        <w:gridCol w:w="1213"/>
        <w:gridCol w:w="803"/>
        <w:gridCol w:w="1435"/>
        <w:gridCol w:w="457"/>
        <w:gridCol w:w="2158"/>
      </w:tblGrid>
      <w:tr w14:paraId="600D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51" w:type="dxa"/>
            <w:noWrap/>
            <w:vAlign w:val="center"/>
          </w:tcPr>
          <w:p w14:paraId="16D41F1B">
            <w:pPr>
              <w:spacing w:line="440" w:lineRule="exact"/>
              <w:jc w:val="center"/>
              <w:rPr>
                <w:rFonts w:ascii="宋体" w:hAnsi="宋体" w:cs="宋体"/>
                <w:sz w:val="24"/>
                <w:szCs w:val="24"/>
                <w:highlight w:val="none"/>
              </w:rPr>
            </w:pPr>
            <w:r>
              <w:rPr>
                <w:rFonts w:hint="eastAsia" w:ascii="宋体" w:hAnsi="宋体" w:cs="宋体"/>
                <w:sz w:val="24"/>
                <w:szCs w:val="24"/>
                <w:highlight w:val="none"/>
              </w:rPr>
              <w:t>姓  名</w:t>
            </w:r>
          </w:p>
        </w:tc>
        <w:tc>
          <w:tcPr>
            <w:tcW w:w="1193" w:type="dxa"/>
            <w:gridSpan w:val="2"/>
            <w:noWrap/>
            <w:vAlign w:val="center"/>
          </w:tcPr>
          <w:p w14:paraId="71773270">
            <w:pPr>
              <w:spacing w:line="440" w:lineRule="exact"/>
              <w:jc w:val="center"/>
              <w:rPr>
                <w:rFonts w:ascii="宋体" w:hAnsi="宋体" w:cs="宋体"/>
                <w:sz w:val="24"/>
                <w:szCs w:val="24"/>
                <w:highlight w:val="none"/>
              </w:rPr>
            </w:pPr>
          </w:p>
        </w:tc>
        <w:tc>
          <w:tcPr>
            <w:tcW w:w="1090" w:type="dxa"/>
            <w:noWrap/>
            <w:vAlign w:val="center"/>
          </w:tcPr>
          <w:p w14:paraId="6824655C">
            <w:pPr>
              <w:spacing w:line="440" w:lineRule="exact"/>
              <w:jc w:val="center"/>
              <w:rPr>
                <w:rFonts w:ascii="宋体" w:hAnsi="宋体" w:cs="宋体"/>
                <w:sz w:val="24"/>
                <w:szCs w:val="24"/>
                <w:highlight w:val="none"/>
              </w:rPr>
            </w:pPr>
            <w:r>
              <w:rPr>
                <w:rFonts w:hint="eastAsia" w:ascii="宋体" w:hAnsi="宋体" w:cs="宋体"/>
                <w:sz w:val="24"/>
                <w:szCs w:val="24"/>
                <w:highlight w:val="none"/>
              </w:rPr>
              <w:t>年龄</w:t>
            </w:r>
          </w:p>
        </w:tc>
        <w:tc>
          <w:tcPr>
            <w:tcW w:w="1213" w:type="dxa"/>
            <w:noWrap/>
            <w:vAlign w:val="center"/>
          </w:tcPr>
          <w:p w14:paraId="3BED028D">
            <w:pPr>
              <w:spacing w:line="440" w:lineRule="exact"/>
              <w:jc w:val="center"/>
              <w:rPr>
                <w:rFonts w:ascii="宋体" w:hAnsi="宋体" w:cs="宋体"/>
                <w:sz w:val="24"/>
                <w:szCs w:val="24"/>
                <w:highlight w:val="none"/>
              </w:rPr>
            </w:pPr>
          </w:p>
        </w:tc>
        <w:tc>
          <w:tcPr>
            <w:tcW w:w="2695" w:type="dxa"/>
            <w:gridSpan w:val="3"/>
            <w:noWrap/>
            <w:vAlign w:val="center"/>
          </w:tcPr>
          <w:p w14:paraId="68ABC61B">
            <w:pPr>
              <w:spacing w:line="440" w:lineRule="exact"/>
              <w:jc w:val="center"/>
              <w:rPr>
                <w:rFonts w:ascii="宋体" w:hAnsi="宋体" w:cs="宋体"/>
                <w:sz w:val="24"/>
                <w:szCs w:val="24"/>
                <w:highlight w:val="none"/>
              </w:rPr>
            </w:pPr>
            <w:r>
              <w:rPr>
                <w:rFonts w:hint="eastAsia" w:ascii="宋体" w:hAnsi="宋体" w:cs="宋体"/>
                <w:sz w:val="24"/>
                <w:szCs w:val="24"/>
                <w:highlight w:val="none"/>
              </w:rPr>
              <w:t>执业资格证书（或上岗证书）名称</w:t>
            </w:r>
          </w:p>
        </w:tc>
        <w:tc>
          <w:tcPr>
            <w:tcW w:w="2158" w:type="dxa"/>
            <w:noWrap/>
            <w:vAlign w:val="center"/>
          </w:tcPr>
          <w:p w14:paraId="2BB24171">
            <w:pPr>
              <w:spacing w:line="440" w:lineRule="exact"/>
              <w:jc w:val="center"/>
              <w:rPr>
                <w:rFonts w:ascii="宋体" w:hAnsi="宋体" w:cs="宋体"/>
                <w:sz w:val="24"/>
                <w:szCs w:val="24"/>
                <w:highlight w:val="none"/>
              </w:rPr>
            </w:pPr>
          </w:p>
        </w:tc>
      </w:tr>
      <w:tr w14:paraId="5C12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14:paraId="371B6864">
            <w:pPr>
              <w:spacing w:line="440" w:lineRule="exact"/>
              <w:jc w:val="center"/>
              <w:rPr>
                <w:rFonts w:ascii="宋体" w:hAnsi="宋体" w:cs="宋体"/>
                <w:sz w:val="24"/>
                <w:szCs w:val="24"/>
                <w:highlight w:val="none"/>
              </w:rPr>
            </w:pPr>
            <w:r>
              <w:rPr>
                <w:rFonts w:hint="eastAsia" w:ascii="宋体" w:hAnsi="宋体" w:cs="宋体"/>
                <w:sz w:val="24"/>
                <w:szCs w:val="24"/>
                <w:highlight w:val="none"/>
              </w:rPr>
              <w:t>职  称</w:t>
            </w:r>
          </w:p>
        </w:tc>
        <w:tc>
          <w:tcPr>
            <w:tcW w:w="1193" w:type="dxa"/>
            <w:gridSpan w:val="2"/>
            <w:tcBorders>
              <w:left w:val="single" w:color="auto" w:sz="4" w:space="0"/>
            </w:tcBorders>
            <w:noWrap/>
            <w:vAlign w:val="center"/>
          </w:tcPr>
          <w:p w14:paraId="50A2B199">
            <w:pPr>
              <w:spacing w:line="440" w:lineRule="exact"/>
              <w:jc w:val="center"/>
              <w:rPr>
                <w:rFonts w:ascii="宋体" w:hAnsi="宋体" w:cs="宋体"/>
                <w:sz w:val="24"/>
                <w:szCs w:val="24"/>
                <w:highlight w:val="none"/>
              </w:rPr>
            </w:pPr>
          </w:p>
        </w:tc>
        <w:tc>
          <w:tcPr>
            <w:tcW w:w="1090" w:type="dxa"/>
            <w:tcBorders>
              <w:left w:val="single" w:color="auto" w:sz="4" w:space="0"/>
            </w:tcBorders>
            <w:noWrap/>
            <w:vAlign w:val="center"/>
          </w:tcPr>
          <w:p w14:paraId="6FEE7B3D">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学历</w:t>
            </w:r>
          </w:p>
        </w:tc>
        <w:tc>
          <w:tcPr>
            <w:tcW w:w="1213" w:type="dxa"/>
            <w:tcBorders>
              <w:left w:val="single" w:color="auto" w:sz="4" w:space="0"/>
            </w:tcBorders>
            <w:noWrap/>
            <w:vAlign w:val="center"/>
          </w:tcPr>
          <w:p w14:paraId="4C00D904">
            <w:pPr>
              <w:spacing w:line="440" w:lineRule="exact"/>
              <w:jc w:val="center"/>
              <w:rPr>
                <w:rFonts w:ascii="宋体" w:hAnsi="宋体" w:cs="宋体"/>
                <w:sz w:val="24"/>
                <w:szCs w:val="24"/>
                <w:highlight w:val="none"/>
              </w:rPr>
            </w:pPr>
          </w:p>
        </w:tc>
        <w:tc>
          <w:tcPr>
            <w:tcW w:w="2695" w:type="dxa"/>
            <w:gridSpan w:val="3"/>
            <w:tcBorders>
              <w:left w:val="single" w:color="auto" w:sz="4" w:space="0"/>
            </w:tcBorders>
            <w:noWrap/>
            <w:vAlign w:val="center"/>
          </w:tcPr>
          <w:p w14:paraId="773A8E2A">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拟在本项目任职</w:t>
            </w:r>
          </w:p>
        </w:tc>
        <w:tc>
          <w:tcPr>
            <w:tcW w:w="2158" w:type="dxa"/>
            <w:tcBorders>
              <w:left w:val="single" w:color="auto" w:sz="4" w:space="0"/>
            </w:tcBorders>
            <w:noWrap/>
            <w:vAlign w:val="center"/>
          </w:tcPr>
          <w:p w14:paraId="7DA682EB">
            <w:pPr>
              <w:spacing w:line="440" w:lineRule="exact"/>
              <w:jc w:val="center"/>
              <w:rPr>
                <w:rFonts w:ascii="宋体" w:hAnsi="宋体" w:cs="宋体"/>
                <w:sz w:val="24"/>
                <w:szCs w:val="24"/>
                <w:highlight w:val="none"/>
              </w:rPr>
            </w:pPr>
          </w:p>
        </w:tc>
      </w:tr>
      <w:tr w14:paraId="0D59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14:paraId="6667E8B6">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工作年限</w:t>
            </w:r>
          </w:p>
        </w:tc>
        <w:tc>
          <w:tcPr>
            <w:tcW w:w="3496" w:type="dxa"/>
            <w:gridSpan w:val="4"/>
            <w:tcBorders>
              <w:left w:val="single" w:color="auto" w:sz="4" w:space="0"/>
            </w:tcBorders>
            <w:noWrap/>
            <w:vAlign w:val="center"/>
          </w:tcPr>
          <w:p w14:paraId="3FF7C596">
            <w:pPr>
              <w:spacing w:line="440" w:lineRule="exact"/>
              <w:jc w:val="center"/>
              <w:rPr>
                <w:rFonts w:ascii="宋体" w:hAnsi="宋体" w:cs="宋体"/>
                <w:sz w:val="24"/>
                <w:szCs w:val="24"/>
                <w:highlight w:val="none"/>
              </w:rPr>
            </w:pPr>
          </w:p>
        </w:tc>
        <w:tc>
          <w:tcPr>
            <w:tcW w:w="2695" w:type="dxa"/>
            <w:gridSpan w:val="3"/>
            <w:tcBorders>
              <w:left w:val="single" w:color="auto" w:sz="4" w:space="0"/>
            </w:tcBorders>
            <w:noWrap/>
            <w:vAlign w:val="center"/>
          </w:tcPr>
          <w:p w14:paraId="6939D316">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从事监理工作年限</w:t>
            </w:r>
          </w:p>
        </w:tc>
        <w:tc>
          <w:tcPr>
            <w:tcW w:w="2158" w:type="dxa"/>
            <w:tcBorders>
              <w:left w:val="single" w:color="auto" w:sz="4" w:space="0"/>
            </w:tcBorders>
            <w:noWrap/>
            <w:vAlign w:val="center"/>
          </w:tcPr>
          <w:p w14:paraId="0F726424">
            <w:pPr>
              <w:spacing w:line="440" w:lineRule="exact"/>
              <w:jc w:val="center"/>
              <w:rPr>
                <w:rFonts w:ascii="宋体" w:hAnsi="宋体" w:cs="宋体"/>
                <w:sz w:val="24"/>
                <w:szCs w:val="24"/>
                <w:highlight w:val="none"/>
              </w:rPr>
            </w:pPr>
          </w:p>
        </w:tc>
      </w:tr>
      <w:tr w14:paraId="09C6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1" w:type="dxa"/>
            <w:noWrap/>
            <w:vAlign w:val="center"/>
          </w:tcPr>
          <w:p w14:paraId="0EA90CF2">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毕业学校</w:t>
            </w:r>
          </w:p>
        </w:tc>
        <w:tc>
          <w:tcPr>
            <w:tcW w:w="8349" w:type="dxa"/>
            <w:gridSpan w:val="8"/>
            <w:tcBorders>
              <w:left w:val="single" w:color="auto" w:sz="4" w:space="0"/>
            </w:tcBorders>
            <w:noWrap/>
            <w:vAlign w:val="center"/>
          </w:tcPr>
          <w:p w14:paraId="657D6045">
            <w:pPr>
              <w:spacing w:before="100" w:beforeAutospacing="1" w:after="100" w:afterAutospacing="1" w:line="440" w:lineRule="exact"/>
              <w:ind w:firstLine="1320" w:firstLineChars="550"/>
              <w:rPr>
                <w:rFonts w:ascii="宋体" w:hAnsi="宋体" w:cs="宋体"/>
                <w:sz w:val="24"/>
                <w:szCs w:val="24"/>
                <w:highlight w:val="none"/>
              </w:rPr>
            </w:pPr>
            <w:r>
              <w:rPr>
                <w:rFonts w:hint="eastAsia" w:ascii="宋体" w:hAnsi="宋体" w:cs="宋体"/>
                <w:sz w:val="24"/>
                <w:szCs w:val="24"/>
                <w:highlight w:val="none"/>
              </w:rPr>
              <w:t>年毕业于            学校        专业</w:t>
            </w:r>
          </w:p>
        </w:tc>
      </w:tr>
      <w:tr w14:paraId="6C3D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00" w:type="dxa"/>
            <w:gridSpan w:val="9"/>
            <w:noWrap/>
            <w:vAlign w:val="center"/>
          </w:tcPr>
          <w:p w14:paraId="1C4238A2">
            <w:pPr>
              <w:spacing w:before="100" w:beforeAutospacing="1" w:after="100" w:afterAutospacing="1" w:line="440" w:lineRule="exact"/>
              <w:jc w:val="left"/>
              <w:rPr>
                <w:rFonts w:ascii="宋体" w:hAnsi="宋体" w:cs="宋体"/>
                <w:sz w:val="24"/>
                <w:szCs w:val="24"/>
                <w:highlight w:val="none"/>
              </w:rPr>
            </w:pPr>
            <w:r>
              <w:rPr>
                <w:rFonts w:hint="eastAsia" w:ascii="宋体" w:hAnsi="宋体" w:cs="宋体"/>
                <w:sz w:val="24"/>
                <w:szCs w:val="24"/>
                <w:highlight w:val="none"/>
              </w:rPr>
              <w:t>主要工作经历</w:t>
            </w:r>
          </w:p>
        </w:tc>
      </w:tr>
      <w:tr w14:paraId="0E58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57" w:type="dxa"/>
            <w:gridSpan w:val="2"/>
            <w:noWrap/>
            <w:vAlign w:val="center"/>
          </w:tcPr>
          <w:p w14:paraId="2530004D">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时  间</w:t>
            </w:r>
          </w:p>
        </w:tc>
        <w:tc>
          <w:tcPr>
            <w:tcW w:w="3893" w:type="dxa"/>
            <w:gridSpan w:val="4"/>
            <w:tcBorders>
              <w:left w:val="single" w:color="auto" w:sz="4" w:space="0"/>
            </w:tcBorders>
            <w:noWrap/>
            <w:vAlign w:val="center"/>
          </w:tcPr>
          <w:p w14:paraId="6F59DAFD">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参加过的类似项目</w:t>
            </w:r>
          </w:p>
        </w:tc>
        <w:tc>
          <w:tcPr>
            <w:tcW w:w="1435" w:type="dxa"/>
            <w:tcBorders>
              <w:left w:val="single" w:color="auto" w:sz="4" w:space="0"/>
            </w:tcBorders>
            <w:noWrap/>
            <w:vAlign w:val="center"/>
          </w:tcPr>
          <w:p w14:paraId="6967FFD0">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担任职务</w:t>
            </w:r>
          </w:p>
        </w:tc>
        <w:tc>
          <w:tcPr>
            <w:tcW w:w="2615" w:type="dxa"/>
            <w:gridSpan w:val="2"/>
            <w:tcBorders>
              <w:left w:val="single" w:color="auto" w:sz="4" w:space="0"/>
            </w:tcBorders>
            <w:noWrap/>
            <w:vAlign w:val="center"/>
          </w:tcPr>
          <w:p w14:paraId="3553E274">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委托人及联系电话</w:t>
            </w:r>
          </w:p>
        </w:tc>
      </w:tr>
      <w:tr w14:paraId="494C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395ABD14">
            <w:pPr>
              <w:spacing w:line="440" w:lineRule="exact"/>
              <w:rPr>
                <w:rFonts w:ascii="宋体" w:hAnsi="宋体" w:cs="宋体"/>
                <w:sz w:val="24"/>
                <w:szCs w:val="24"/>
                <w:highlight w:val="none"/>
              </w:rPr>
            </w:pPr>
          </w:p>
        </w:tc>
        <w:tc>
          <w:tcPr>
            <w:tcW w:w="3893" w:type="dxa"/>
            <w:gridSpan w:val="4"/>
            <w:tcBorders>
              <w:left w:val="single" w:color="auto" w:sz="4" w:space="0"/>
            </w:tcBorders>
            <w:noWrap/>
          </w:tcPr>
          <w:p w14:paraId="031956ED">
            <w:pPr>
              <w:spacing w:line="440" w:lineRule="exact"/>
              <w:rPr>
                <w:rFonts w:ascii="宋体" w:hAnsi="宋体" w:cs="宋体"/>
                <w:sz w:val="24"/>
                <w:szCs w:val="24"/>
                <w:highlight w:val="none"/>
              </w:rPr>
            </w:pPr>
          </w:p>
        </w:tc>
        <w:tc>
          <w:tcPr>
            <w:tcW w:w="1435" w:type="dxa"/>
            <w:tcBorders>
              <w:left w:val="single" w:color="auto" w:sz="4" w:space="0"/>
            </w:tcBorders>
            <w:noWrap/>
          </w:tcPr>
          <w:p w14:paraId="1CEBA8AD">
            <w:pPr>
              <w:spacing w:line="440" w:lineRule="exact"/>
              <w:rPr>
                <w:rFonts w:ascii="宋体" w:hAnsi="宋体" w:cs="宋体"/>
                <w:sz w:val="24"/>
                <w:szCs w:val="24"/>
                <w:highlight w:val="none"/>
              </w:rPr>
            </w:pPr>
          </w:p>
        </w:tc>
        <w:tc>
          <w:tcPr>
            <w:tcW w:w="2615" w:type="dxa"/>
            <w:gridSpan w:val="2"/>
            <w:tcBorders>
              <w:left w:val="single" w:color="auto" w:sz="4" w:space="0"/>
            </w:tcBorders>
            <w:noWrap/>
          </w:tcPr>
          <w:p w14:paraId="4B922180">
            <w:pPr>
              <w:spacing w:line="440" w:lineRule="exact"/>
              <w:rPr>
                <w:rFonts w:ascii="宋体" w:hAnsi="宋体" w:cs="宋体"/>
                <w:sz w:val="24"/>
                <w:szCs w:val="24"/>
                <w:highlight w:val="none"/>
              </w:rPr>
            </w:pPr>
          </w:p>
        </w:tc>
      </w:tr>
      <w:tr w14:paraId="7AB3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32F4D74A">
            <w:pPr>
              <w:spacing w:line="440" w:lineRule="exact"/>
              <w:rPr>
                <w:rFonts w:ascii="宋体" w:hAnsi="宋体" w:cs="宋体"/>
                <w:sz w:val="24"/>
                <w:szCs w:val="24"/>
                <w:highlight w:val="none"/>
              </w:rPr>
            </w:pPr>
          </w:p>
        </w:tc>
        <w:tc>
          <w:tcPr>
            <w:tcW w:w="3893" w:type="dxa"/>
            <w:gridSpan w:val="4"/>
            <w:tcBorders>
              <w:left w:val="single" w:color="auto" w:sz="4" w:space="0"/>
            </w:tcBorders>
            <w:noWrap/>
          </w:tcPr>
          <w:p w14:paraId="71C5A983">
            <w:pPr>
              <w:spacing w:line="440" w:lineRule="exact"/>
              <w:rPr>
                <w:rFonts w:ascii="宋体" w:hAnsi="宋体" w:cs="宋体"/>
                <w:sz w:val="24"/>
                <w:szCs w:val="24"/>
                <w:highlight w:val="none"/>
              </w:rPr>
            </w:pPr>
          </w:p>
        </w:tc>
        <w:tc>
          <w:tcPr>
            <w:tcW w:w="1435" w:type="dxa"/>
            <w:tcBorders>
              <w:left w:val="single" w:color="auto" w:sz="4" w:space="0"/>
            </w:tcBorders>
            <w:noWrap/>
          </w:tcPr>
          <w:p w14:paraId="2B137655">
            <w:pPr>
              <w:spacing w:line="440" w:lineRule="exact"/>
              <w:rPr>
                <w:rFonts w:ascii="宋体" w:hAnsi="宋体" w:cs="宋体"/>
                <w:sz w:val="24"/>
                <w:szCs w:val="24"/>
                <w:highlight w:val="none"/>
              </w:rPr>
            </w:pPr>
          </w:p>
        </w:tc>
        <w:tc>
          <w:tcPr>
            <w:tcW w:w="2615" w:type="dxa"/>
            <w:gridSpan w:val="2"/>
            <w:tcBorders>
              <w:left w:val="single" w:color="auto" w:sz="4" w:space="0"/>
            </w:tcBorders>
            <w:noWrap/>
          </w:tcPr>
          <w:p w14:paraId="59C989E0">
            <w:pPr>
              <w:spacing w:line="440" w:lineRule="exact"/>
              <w:rPr>
                <w:rFonts w:ascii="宋体" w:hAnsi="宋体" w:cs="宋体"/>
                <w:sz w:val="24"/>
                <w:szCs w:val="24"/>
                <w:highlight w:val="none"/>
              </w:rPr>
            </w:pPr>
          </w:p>
        </w:tc>
      </w:tr>
      <w:tr w14:paraId="3EAD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7B9A4F98">
            <w:pPr>
              <w:spacing w:line="440" w:lineRule="exact"/>
              <w:rPr>
                <w:rFonts w:ascii="宋体" w:hAnsi="宋体" w:cs="宋体"/>
                <w:sz w:val="24"/>
                <w:szCs w:val="24"/>
                <w:highlight w:val="none"/>
              </w:rPr>
            </w:pPr>
          </w:p>
        </w:tc>
        <w:tc>
          <w:tcPr>
            <w:tcW w:w="3893" w:type="dxa"/>
            <w:gridSpan w:val="4"/>
            <w:tcBorders>
              <w:left w:val="single" w:color="auto" w:sz="4" w:space="0"/>
            </w:tcBorders>
            <w:noWrap/>
          </w:tcPr>
          <w:p w14:paraId="59151B64">
            <w:pPr>
              <w:spacing w:line="440" w:lineRule="exact"/>
              <w:rPr>
                <w:rFonts w:ascii="宋体" w:hAnsi="宋体" w:cs="宋体"/>
                <w:sz w:val="24"/>
                <w:szCs w:val="24"/>
                <w:highlight w:val="none"/>
              </w:rPr>
            </w:pPr>
          </w:p>
        </w:tc>
        <w:tc>
          <w:tcPr>
            <w:tcW w:w="1435" w:type="dxa"/>
            <w:tcBorders>
              <w:left w:val="single" w:color="auto" w:sz="4" w:space="0"/>
            </w:tcBorders>
            <w:noWrap/>
          </w:tcPr>
          <w:p w14:paraId="3576D199">
            <w:pPr>
              <w:spacing w:line="440" w:lineRule="exact"/>
              <w:rPr>
                <w:rFonts w:ascii="宋体" w:hAnsi="宋体" w:cs="宋体"/>
                <w:sz w:val="24"/>
                <w:szCs w:val="24"/>
                <w:highlight w:val="none"/>
              </w:rPr>
            </w:pPr>
          </w:p>
        </w:tc>
        <w:tc>
          <w:tcPr>
            <w:tcW w:w="2615" w:type="dxa"/>
            <w:gridSpan w:val="2"/>
            <w:tcBorders>
              <w:left w:val="single" w:color="auto" w:sz="4" w:space="0"/>
            </w:tcBorders>
            <w:noWrap/>
          </w:tcPr>
          <w:p w14:paraId="2484C501">
            <w:pPr>
              <w:spacing w:line="440" w:lineRule="exact"/>
              <w:rPr>
                <w:rFonts w:ascii="宋体" w:hAnsi="宋体" w:cs="宋体"/>
                <w:sz w:val="24"/>
                <w:szCs w:val="24"/>
                <w:highlight w:val="none"/>
              </w:rPr>
            </w:pPr>
          </w:p>
        </w:tc>
      </w:tr>
      <w:tr w14:paraId="545A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4B6B4AEC">
            <w:pPr>
              <w:spacing w:line="440" w:lineRule="exact"/>
              <w:rPr>
                <w:rFonts w:ascii="宋体" w:hAnsi="宋体" w:cs="宋体"/>
                <w:sz w:val="24"/>
                <w:szCs w:val="24"/>
                <w:highlight w:val="none"/>
              </w:rPr>
            </w:pPr>
          </w:p>
        </w:tc>
        <w:tc>
          <w:tcPr>
            <w:tcW w:w="3893" w:type="dxa"/>
            <w:gridSpan w:val="4"/>
            <w:tcBorders>
              <w:left w:val="single" w:color="auto" w:sz="4" w:space="0"/>
            </w:tcBorders>
            <w:noWrap/>
            <w:vAlign w:val="center"/>
          </w:tcPr>
          <w:p w14:paraId="64BFC654">
            <w:pPr>
              <w:spacing w:line="440" w:lineRule="exact"/>
              <w:rPr>
                <w:rFonts w:ascii="宋体" w:hAnsi="宋体" w:cs="宋体"/>
                <w:sz w:val="24"/>
                <w:szCs w:val="24"/>
                <w:highlight w:val="none"/>
              </w:rPr>
            </w:pPr>
          </w:p>
        </w:tc>
        <w:tc>
          <w:tcPr>
            <w:tcW w:w="1435" w:type="dxa"/>
            <w:tcBorders>
              <w:left w:val="single" w:color="auto" w:sz="4" w:space="0"/>
            </w:tcBorders>
            <w:noWrap/>
            <w:vAlign w:val="center"/>
          </w:tcPr>
          <w:p w14:paraId="3C4F12C2">
            <w:pPr>
              <w:spacing w:line="440" w:lineRule="exact"/>
              <w:rPr>
                <w:rFonts w:ascii="宋体" w:hAnsi="宋体" w:cs="宋体"/>
                <w:sz w:val="24"/>
                <w:szCs w:val="24"/>
                <w:highlight w:val="none"/>
              </w:rPr>
            </w:pPr>
          </w:p>
        </w:tc>
        <w:tc>
          <w:tcPr>
            <w:tcW w:w="2615" w:type="dxa"/>
            <w:gridSpan w:val="2"/>
            <w:tcBorders>
              <w:left w:val="single" w:color="auto" w:sz="4" w:space="0"/>
            </w:tcBorders>
            <w:noWrap/>
            <w:vAlign w:val="center"/>
          </w:tcPr>
          <w:p w14:paraId="32EAB3C3">
            <w:pPr>
              <w:spacing w:line="440" w:lineRule="exact"/>
              <w:rPr>
                <w:rFonts w:ascii="宋体" w:hAnsi="宋体" w:cs="宋体"/>
                <w:sz w:val="24"/>
                <w:szCs w:val="24"/>
                <w:highlight w:val="none"/>
              </w:rPr>
            </w:pPr>
          </w:p>
        </w:tc>
      </w:tr>
      <w:tr w14:paraId="2DD9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257A625D">
            <w:pPr>
              <w:spacing w:line="440" w:lineRule="exact"/>
              <w:rPr>
                <w:rFonts w:ascii="宋体" w:hAnsi="宋体" w:cs="宋体"/>
                <w:sz w:val="24"/>
                <w:szCs w:val="24"/>
                <w:highlight w:val="none"/>
              </w:rPr>
            </w:pPr>
          </w:p>
        </w:tc>
        <w:tc>
          <w:tcPr>
            <w:tcW w:w="3893" w:type="dxa"/>
            <w:gridSpan w:val="4"/>
            <w:tcBorders>
              <w:left w:val="single" w:color="auto" w:sz="4" w:space="0"/>
            </w:tcBorders>
            <w:noWrap/>
            <w:vAlign w:val="center"/>
          </w:tcPr>
          <w:p w14:paraId="6E6E56C8">
            <w:pPr>
              <w:spacing w:line="440" w:lineRule="exact"/>
              <w:rPr>
                <w:rFonts w:ascii="宋体" w:hAnsi="宋体" w:cs="宋体"/>
                <w:sz w:val="24"/>
                <w:szCs w:val="24"/>
                <w:highlight w:val="none"/>
              </w:rPr>
            </w:pPr>
          </w:p>
        </w:tc>
        <w:tc>
          <w:tcPr>
            <w:tcW w:w="1435" w:type="dxa"/>
            <w:tcBorders>
              <w:left w:val="single" w:color="auto" w:sz="4" w:space="0"/>
            </w:tcBorders>
            <w:noWrap/>
            <w:vAlign w:val="center"/>
          </w:tcPr>
          <w:p w14:paraId="25886A81">
            <w:pPr>
              <w:spacing w:line="440" w:lineRule="exact"/>
              <w:rPr>
                <w:rFonts w:ascii="宋体" w:hAnsi="宋体" w:cs="宋体"/>
                <w:sz w:val="24"/>
                <w:szCs w:val="24"/>
                <w:highlight w:val="none"/>
              </w:rPr>
            </w:pPr>
          </w:p>
        </w:tc>
        <w:tc>
          <w:tcPr>
            <w:tcW w:w="2615" w:type="dxa"/>
            <w:gridSpan w:val="2"/>
            <w:tcBorders>
              <w:left w:val="single" w:color="auto" w:sz="4" w:space="0"/>
            </w:tcBorders>
            <w:noWrap/>
            <w:vAlign w:val="center"/>
          </w:tcPr>
          <w:p w14:paraId="1A2DCF99">
            <w:pPr>
              <w:spacing w:line="440" w:lineRule="exact"/>
              <w:rPr>
                <w:rFonts w:ascii="宋体" w:hAnsi="宋体" w:cs="宋体"/>
                <w:sz w:val="24"/>
                <w:szCs w:val="24"/>
                <w:highlight w:val="none"/>
              </w:rPr>
            </w:pPr>
          </w:p>
        </w:tc>
      </w:tr>
      <w:tr w14:paraId="6916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6209FE81">
            <w:pPr>
              <w:spacing w:line="440" w:lineRule="exact"/>
              <w:rPr>
                <w:rFonts w:ascii="宋体" w:hAnsi="宋体" w:cs="宋体"/>
                <w:sz w:val="24"/>
                <w:szCs w:val="24"/>
                <w:highlight w:val="none"/>
              </w:rPr>
            </w:pPr>
          </w:p>
        </w:tc>
        <w:tc>
          <w:tcPr>
            <w:tcW w:w="3893" w:type="dxa"/>
            <w:gridSpan w:val="4"/>
            <w:tcBorders>
              <w:left w:val="single" w:color="auto" w:sz="4" w:space="0"/>
            </w:tcBorders>
            <w:noWrap/>
            <w:vAlign w:val="center"/>
          </w:tcPr>
          <w:p w14:paraId="03675924">
            <w:pPr>
              <w:spacing w:line="440" w:lineRule="exact"/>
              <w:rPr>
                <w:rFonts w:ascii="宋体" w:hAnsi="宋体" w:cs="宋体"/>
                <w:sz w:val="24"/>
                <w:szCs w:val="24"/>
                <w:highlight w:val="none"/>
              </w:rPr>
            </w:pPr>
          </w:p>
        </w:tc>
        <w:tc>
          <w:tcPr>
            <w:tcW w:w="1435" w:type="dxa"/>
            <w:tcBorders>
              <w:left w:val="single" w:color="auto" w:sz="4" w:space="0"/>
            </w:tcBorders>
            <w:noWrap/>
            <w:vAlign w:val="center"/>
          </w:tcPr>
          <w:p w14:paraId="72BE9BA0">
            <w:pPr>
              <w:spacing w:line="440" w:lineRule="exact"/>
              <w:rPr>
                <w:rFonts w:ascii="宋体" w:hAnsi="宋体" w:cs="宋体"/>
                <w:sz w:val="24"/>
                <w:szCs w:val="24"/>
                <w:highlight w:val="none"/>
              </w:rPr>
            </w:pPr>
          </w:p>
        </w:tc>
        <w:tc>
          <w:tcPr>
            <w:tcW w:w="2615" w:type="dxa"/>
            <w:gridSpan w:val="2"/>
            <w:tcBorders>
              <w:left w:val="single" w:color="auto" w:sz="4" w:space="0"/>
            </w:tcBorders>
            <w:noWrap/>
            <w:vAlign w:val="center"/>
          </w:tcPr>
          <w:p w14:paraId="778BDDED">
            <w:pPr>
              <w:spacing w:line="440" w:lineRule="exact"/>
              <w:rPr>
                <w:rFonts w:ascii="宋体" w:hAnsi="宋体" w:cs="宋体"/>
                <w:sz w:val="24"/>
                <w:szCs w:val="24"/>
                <w:highlight w:val="none"/>
              </w:rPr>
            </w:pPr>
          </w:p>
        </w:tc>
      </w:tr>
      <w:tr w14:paraId="4DD8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57" w:type="dxa"/>
            <w:gridSpan w:val="2"/>
            <w:noWrap/>
            <w:vAlign w:val="center"/>
          </w:tcPr>
          <w:p w14:paraId="28EFA691">
            <w:pPr>
              <w:spacing w:line="440" w:lineRule="exact"/>
              <w:rPr>
                <w:rFonts w:ascii="宋体" w:hAnsi="宋体" w:cs="宋体"/>
                <w:sz w:val="24"/>
                <w:szCs w:val="24"/>
                <w:highlight w:val="none"/>
              </w:rPr>
            </w:pPr>
          </w:p>
        </w:tc>
        <w:tc>
          <w:tcPr>
            <w:tcW w:w="3893" w:type="dxa"/>
            <w:gridSpan w:val="4"/>
            <w:tcBorders>
              <w:left w:val="single" w:color="auto" w:sz="4" w:space="0"/>
            </w:tcBorders>
            <w:noWrap/>
            <w:vAlign w:val="center"/>
          </w:tcPr>
          <w:p w14:paraId="67E7839A">
            <w:pPr>
              <w:spacing w:line="440" w:lineRule="exact"/>
              <w:rPr>
                <w:rFonts w:ascii="宋体" w:hAnsi="宋体" w:cs="宋体"/>
                <w:sz w:val="24"/>
                <w:szCs w:val="24"/>
                <w:highlight w:val="none"/>
              </w:rPr>
            </w:pPr>
          </w:p>
        </w:tc>
        <w:tc>
          <w:tcPr>
            <w:tcW w:w="1435" w:type="dxa"/>
            <w:tcBorders>
              <w:left w:val="single" w:color="auto" w:sz="4" w:space="0"/>
            </w:tcBorders>
            <w:noWrap/>
            <w:vAlign w:val="center"/>
          </w:tcPr>
          <w:p w14:paraId="3FC70C6D">
            <w:pPr>
              <w:spacing w:line="440" w:lineRule="exact"/>
              <w:rPr>
                <w:rFonts w:ascii="宋体" w:hAnsi="宋体" w:cs="宋体"/>
                <w:sz w:val="24"/>
                <w:szCs w:val="24"/>
                <w:highlight w:val="none"/>
              </w:rPr>
            </w:pPr>
          </w:p>
        </w:tc>
        <w:tc>
          <w:tcPr>
            <w:tcW w:w="2615" w:type="dxa"/>
            <w:gridSpan w:val="2"/>
            <w:tcBorders>
              <w:left w:val="single" w:color="auto" w:sz="4" w:space="0"/>
            </w:tcBorders>
            <w:noWrap/>
            <w:vAlign w:val="center"/>
          </w:tcPr>
          <w:p w14:paraId="2AE6DEEE">
            <w:pPr>
              <w:spacing w:line="440" w:lineRule="exact"/>
              <w:rPr>
                <w:rFonts w:ascii="宋体" w:hAnsi="宋体" w:cs="宋体"/>
                <w:sz w:val="24"/>
                <w:szCs w:val="24"/>
                <w:highlight w:val="none"/>
              </w:rPr>
            </w:pPr>
          </w:p>
        </w:tc>
      </w:tr>
    </w:tbl>
    <w:p w14:paraId="322BCD83">
      <w:pPr>
        <w:spacing w:line="440" w:lineRule="exact"/>
        <w:rPr>
          <w:rFonts w:ascii="宋体" w:hAnsi="宋体" w:cs="宋体"/>
          <w:highlight w:val="none"/>
        </w:rPr>
      </w:pPr>
      <w:bookmarkStart w:id="619" w:name="_Toc352703741"/>
      <w:bookmarkStart w:id="620" w:name="_Toc300835229"/>
    </w:p>
    <w:p w14:paraId="1C652866">
      <w:pPr>
        <w:spacing w:line="440" w:lineRule="exact"/>
        <w:rPr>
          <w:rFonts w:ascii="宋体" w:hAnsi="宋体" w:cs="宋体"/>
          <w:highlight w:val="none"/>
        </w:rPr>
      </w:pPr>
    </w:p>
    <w:p w14:paraId="345DDB05">
      <w:pPr>
        <w:rPr>
          <w:b/>
          <w:bCs/>
          <w:sz w:val="32"/>
          <w:szCs w:val="32"/>
          <w:highlight w:val="none"/>
        </w:rPr>
      </w:pPr>
      <w:r>
        <w:rPr>
          <w:rFonts w:hint="eastAsia"/>
          <w:b/>
          <w:bCs/>
          <w:sz w:val="32"/>
          <w:szCs w:val="32"/>
          <w:highlight w:val="none"/>
        </w:rPr>
        <w:br w:type="page"/>
      </w:r>
    </w:p>
    <w:p w14:paraId="3DB14DEF">
      <w:pPr>
        <w:pStyle w:val="2"/>
        <w:spacing w:line="360" w:lineRule="auto"/>
        <w:jc w:val="center"/>
        <w:outlineLvl w:val="1"/>
        <w:rPr>
          <w:b/>
          <w:bCs/>
          <w:sz w:val="32"/>
          <w:szCs w:val="32"/>
          <w:highlight w:val="none"/>
        </w:rPr>
      </w:pPr>
      <w:bookmarkStart w:id="621" w:name="_Toc21327"/>
      <w:bookmarkStart w:id="622" w:name="_Toc12764"/>
      <w:r>
        <w:rPr>
          <w:rFonts w:hint="eastAsia" w:hAnsi="宋体" w:eastAsia="黑体" w:cs="宋体"/>
          <w:b/>
          <w:sz w:val="32"/>
          <w:szCs w:val="20"/>
          <w:highlight w:val="none"/>
        </w:rPr>
        <w:t>（五）投标人认为需提供的其他材料（格式自拟）</w:t>
      </w:r>
      <w:bookmarkEnd w:id="621"/>
      <w:bookmarkEnd w:id="622"/>
    </w:p>
    <w:p w14:paraId="53B3E996">
      <w:pPr>
        <w:pStyle w:val="84"/>
        <w:spacing w:line="500" w:lineRule="exact"/>
        <w:outlineLvl w:val="0"/>
        <w:rPr>
          <w:b/>
          <w:bCs/>
          <w:sz w:val="28"/>
          <w:szCs w:val="28"/>
          <w:highlight w:val="none"/>
        </w:rPr>
      </w:pPr>
      <w:bookmarkStart w:id="623" w:name="_Toc27546"/>
      <w:bookmarkStart w:id="624" w:name="_Toc23251"/>
      <w:r>
        <w:rPr>
          <w:rFonts w:hint="eastAsia"/>
          <w:b/>
          <w:bCs/>
          <w:sz w:val="28"/>
          <w:szCs w:val="28"/>
          <w:highlight w:val="none"/>
        </w:rPr>
        <w:t>（投标人根据《定标因素表》要求提供其他证明材料或投标人认为需要提供的其他材料）</w:t>
      </w:r>
      <w:bookmarkEnd w:id="623"/>
      <w:bookmarkEnd w:id="624"/>
    </w:p>
    <w:p w14:paraId="3109CCD4">
      <w:pPr>
        <w:pStyle w:val="2"/>
        <w:spacing w:line="360" w:lineRule="auto"/>
        <w:jc w:val="left"/>
        <w:outlineLvl w:val="1"/>
        <w:rPr>
          <w:b/>
          <w:bCs/>
          <w:sz w:val="28"/>
          <w:szCs w:val="28"/>
          <w:highlight w:val="none"/>
        </w:rPr>
      </w:pPr>
    </w:p>
    <w:bookmarkEnd w:id="619"/>
    <w:bookmarkEnd w:id="620"/>
    <w:p w14:paraId="4B877A40">
      <w:pPr>
        <w:rPr>
          <w:rFonts w:ascii="宋体" w:hAnsi="宋体" w:cs="宋体"/>
          <w:highlight w:val="none"/>
        </w:rPr>
      </w:pPr>
    </w:p>
    <w:p w14:paraId="768DE0C2">
      <w:pPr>
        <w:pStyle w:val="2"/>
        <w:spacing w:line="360" w:lineRule="auto"/>
        <w:rPr>
          <w:highlight w:val="none"/>
        </w:rPr>
      </w:pPr>
    </w:p>
    <w:p w14:paraId="063F8A2D">
      <w:pPr>
        <w:rPr>
          <w:highlight w:val="none"/>
        </w:rPr>
      </w:pPr>
    </w:p>
    <w:bookmarkEnd w:id="600"/>
    <w:bookmarkEnd w:id="601"/>
    <w:bookmarkEnd w:id="602"/>
    <w:bookmarkEnd w:id="603"/>
    <w:p w14:paraId="753E7A98">
      <w:pPr>
        <w:rPr>
          <w:rFonts w:ascii="宋体" w:hAnsi="宋体"/>
          <w:sz w:val="28"/>
          <w:szCs w:val="28"/>
          <w:highlight w:val="none"/>
        </w:rPr>
      </w:pPr>
      <w:r>
        <w:rPr>
          <w:rFonts w:ascii="宋体" w:hAnsi="宋体"/>
          <w:sz w:val="28"/>
          <w:szCs w:val="28"/>
          <w:highlight w:val="none"/>
        </w:rPr>
        <w:br w:type="page"/>
      </w:r>
    </w:p>
    <w:p w14:paraId="1497277D">
      <w:pPr>
        <w:pStyle w:val="3"/>
        <w:spacing w:line="240" w:lineRule="auto"/>
        <w:jc w:val="center"/>
        <w:rPr>
          <w:rFonts w:hint="eastAsia" w:ascii="宋体" w:hAnsi="宋体" w:eastAsia="宋体" w:cs="Times New Roman"/>
          <w:b/>
          <w:sz w:val="44"/>
          <w:szCs w:val="20"/>
          <w:highlight w:val="none"/>
        </w:rPr>
      </w:pPr>
      <w:bookmarkStart w:id="625" w:name="_Toc503"/>
      <w:bookmarkStart w:id="626" w:name="_Toc9737"/>
      <w:r>
        <w:rPr>
          <w:rFonts w:hint="eastAsia" w:ascii="宋体" w:hAnsi="宋体" w:eastAsia="宋体" w:cs="Times New Roman"/>
          <w:b/>
          <w:sz w:val="44"/>
          <w:szCs w:val="20"/>
          <w:highlight w:val="none"/>
        </w:rPr>
        <w:t>第</w:t>
      </w:r>
      <w:r>
        <w:rPr>
          <w:rFonts w:hint="eastAsia" w:ascii="宋体" w:hAnsi="宋体" w:eastAsia="宋体" w:cs="Times New Roman"/>
          <w:b/>
          <w:sz w:val="44"/>
          <w:szCs w:val="20"/>
          <w:highlight w:val="none"/>
          <w:lang w:eastAsia="zh-CN"/>
        </w:rPr>
        <w:t>七</w:t>
      </w:r>
      <w:r>
        <w:rPr>
          <w:rFonts w:hint="eastAsia" w:ascii="宋体" w:hAnsi="宋体" w:eastAsia="宋体" w:cs="Times New Roman"/>
          <w:b/>
          <w:sz w:val="44"/>
          <w:szCs w:val="20"/>
          <w:highlight w:val="none"/>
        </w:rPr>
        <w:t>章</w:t>
      </w:r>
      <w:r>
        <w:rPr>
          <w:rFonts w:hint="eastAsia" w:ascii="宋体" w:hAnsi="宋体" w:eastAsia="宋体" w:cs="Times New Roman"/>
          <w:b/>
          <w:sz w:val="44"/>
          <w:szCs w:val="20"/>
          <w:highlight w:val="none"/>
          <w:lang w:val="en-US" w:eastAsia="zh-CN"/>
        </w:rPr>
        <w:t xml:space="preserve"> </w:t>
      </w:r>
      <w:r>
        <w:rPr>
          <w:rFonts w:hint="eastAsia" w:ascii="宋体" w:hAnsi="宋体" w:eastAsia="宋体" w:cs="Times New Roman"/>
          <w:b/>
          <w:sz w:val="44"/>
          <w:szCs w:val="20"/>
          <w:highlight w:val="none"/>
        </w:rPr>
        <w:t xml:space="preserve"> 廉洁承诺书</w:t>
      </w:r>
      <w:bookmarkEnd w:id="625"/>
      <w:bookmarkEnd w:id="626"/>
    </w:p>
    <w:p w14:paraId="07605D3C">
      <w:pPr>
        <w:pStyle w:val="84"/>
        <w:spacing w:line="360" w:lineRule="auto"/>
        <w:ind w:firstLine="560" w:firstLineChars="200"/>
        <w:outlineLvl w:val="0"/>
        <w:rPr>
          <w:rFonts w:hint="eastAsia" w:ascii="宋体" w:hAnsi="宋体" w:eastAsia="宋体" w:cs="宋体"/>
          <w:b w:val="0"/>
          <w:bCs w:val="0"/>
          <w:sz w:val="28"/>
          <w:szCs w:val="28"/>
          <w:highlight w:val="none"/>
        </w:rPr>
      </w:pPr>
    </w:p>
    <w:p w14:paraId="7660D4E7">
      <w:pPr>
        <w:pStyle w:val="84"/>
        <w:spacing w:line="360" w:lineRule="auto"/>
        <w:ind w:firstLine="560" w:firstLineChars="200"/>
        <w:outlineLvl w:val="0"/>
        <w:rPr>
          <w:rFonts w:hint="eastAsia" w:ascii="宋体" w:hAnsi="宋体" w:eastAsia="宋体" w:cs="宋体"/>
          <w:b w:val="0"/>
          <w:bCs w:val="0"/>
          <w:sz w:val="28"/>
          <w:szCs w:val="28"/>
          <w:highlight w:val="none"/>
        </w:rPr>
      </w:pPr>
      <w:bookmarkStart w:id="627" w:name="_Toc29201"/>
      <w:bookmarkStart w:id="628" w:name="_Toc31111"/>
      <w:r>
        <w:rPr>
          <w:rFonts w:hint="eastAsia" w:ascii="宋体" w:hAnsi="宋体" w:eastAsia="宋体" w:cs="宋体"/>
          <w:b w:val="0"/>
          <w:bCs w:val="0"/>
          <w:sz w:val="28"/>
          <w:szCs w:val="28"/>
          <w:highlight w:val="none"/>
        </w:rPr>
        <w:t>廉洁守法经营是</w:t>
      </w:r>
      <w:r>
        <w:rPr>
          <w:rFonts w:hint="eastAsia" w:ascii="宋体" w:hAnsi="宋体" w:eastAsia="宋体" w:cs="宋体"/>
          <w:b w:val="0"/>
          <w:bCs w:val="0"/>
          <w:sz w:val="28"/>
          <w:szCs w:val="28"/>
          <w:highlight w:val="none"/>
          <w:lang w:val="en-US" w:eastAsia="zh-CN"/>
        </w:rPr>
        <w:t>广州广芯封装基板有限公司</w:t>
      </w:r>
      <w:r>
        <w:rPr>
          <w:rFonts w:hint="eastAsia" w:ascii="宋体" w:hAnsi="宋体" w:eastAsia="宋体" w:cs="宋体"/>
          <w:b w:val="0"/>
          <w:bCs w:val="0"/>
          <w:sz w:val="28"/>
          <w:szCs w:val="28"/>
          <w:highlight w:val="none"/>
        </w:rPr>
        <w:t>一贯倡导和奉行的经营理念，我们十分感激贵单位参与</w:t>
      </w:r>
      <w:r>
        <w:rPr>
          <w:rFonts w:hint="eastAsia" w:ascii="宋体" w:hAnsi="宋体" w:eastAsia="宋体" w:cs="宋体"/>
          <w:b w:val="0"/>
          <w:bCs w:val="0"/>
          <w:sz w:val="28"/>
          <w:szCs w:val="28"/>
          <w:highlight w:val="none"/>
          <w:lang w:val="en-US" w:eastAsia="zh-CN"/>
        </w:rPr>
        <w:t>广州广芯封装基板有限公司</w:t>
      </w:r>
      <w:r>
        <w:rPr>
          <w:rFonts w:hint="eastAsia" w:ascii="宋体" w:hAnsi="宋体" w:eastAsia="宋体" w:cs="宋体"/>
          <w:b w:val="0"/>
          <w:bCs w:val="0"/>
          <w:sz w:val="28"/>
          <w:szCs w:val="28"/>
          <w:highlight w:val="none"/>
        </w:rPr>
        <w:t>的建设，同时向各投标单位、中标单位、供应商等合作伙伴郑重承诺：</w:t>
      </w:r>
      <w:bookmarkEnd w:id="627"/>
      <w:bookmarkEnd w:id="628"/>
    </w:p>
    <w:p w14:paraId="6E20E644">
      <w:pPr>
        <w:pStyle w:val="84"/>
        <w:spacing w:line="360" w:lineRule="auto"/>
        <w:outlineLvl w:val="0"/>
        <w:rPr>
          <w:rFonts w:hint="eastAsia" w:ascii="宋体" w:hAnsi="宋体" w:eastAsia="宋体" w:cs="宋体"/>
          <w:b w:val="0"/>
          <w:bCs w:val="0"/>
          <w:sz w:val="28"/>
          <w:szCs w:val="28"/>
          <w:highlight w:val="none"/>
        </w:rPr>
      </w:pPr>
      <w:bookmarkStart w:id="629" w:name="_Toc2400"/>
      <w:bookmarkStart w:id="630" w:name="_Toc21854"/>
      <w:r>
        <w:rPr>
          <w:rFonts w:hint="eastAsia" w:ascii="宋体" w:hAnsi="宋体" w:eastAsia="宋体" w:cs="宋体"/>
          <w:b w:val="0"/>
          <w:bCs w:val="0"/>
          <w:sz w:val="28"/>
          <w:szCs w:val="28"/>
          <w:highlight w:val="none"/>
        </w:rPr>
        <w:t>本公司拒绝回扣、好处费，拒绝礼品、宴请，拒绝合法财务渠道之外的一切交易。</w:t>
      </w:r>
      <w:bookmarkEnd w:id="629"/>
      <w:bookmarkEnd w:id="630"/>
    </w:p>
    <w:p w14:paraId="366C9463">
      <w:pPr>
        <w:pStyle w:val="84"/>
        <w:spacing w:line="360" w:lineRule="auto"/>
        <w:outlineLvl w:val="0"/>
        <w:rPr>
          <w:rFonts w:hint="eastAsia" w:ascii="宋体" w:hAnsi="宋体" w:eastAsia="宋体" w:cs="宋体"/>
          <w:b w:val="0"/>
          <w:bCs w:val="0"/>
          <w:sz w:val="28"/>
          <w:szCs w:val="28"/>
          <w:highlight w:val="none"/>
        </w:rPr>
      </w:pPr>
      <w:bookmarkStart w:id="631" w:name="_Toc26901"/>
      <w:bookmarkStart w:id="632" w:name="_Toc32200"/>
      <w:r>
        <w:rPr>
          <w:rFonts w:hint="eastAsia" w:ascii="宋体" w:hAnsi="宋体" w:eastAsia="宋体" w:cs="宋体"/>
          <w:b w:val="0"/>
          <w:bCs w:val="0"/>
          <w:sz w:val="28"/>
          <w:szCs w:val="28"/>
          <w:highlight w:val="none"/>
        </w:rPr>
        <w:t>希望大家给予支持、配合和监督。</w:t>
      </w:r>
      <w:bookmarkEnd w:id="631"/>
      <w:bookmarkEnd w:id="632"/>
    </w:p>
    <w:p w14:paraId="53B4D56B">
      <w:pPr>
        <w:pStyle w:val="84"/>
        <w:spacing w:line="360" w:lineRule="auto"/>
        <w:outlineLvl w:val="0"/>
        <w:rPr>
          <w:rFonts w:hint="eastAsia" w:ascii="宋体" w:hAnsi="宋体" w:eastAsia="宋体" w:cs="宋体"/>
          <w:b w:val="0"/>
          <w:bCs w:val="0"/>
          <w:sz w:val="28"/>
          <w:szCs w:val="28"/>
          <w:highlight w:val="none"/>
        </w:rPr>
      </w:pPr>
      <w:bookmarkStart w:id="633" w:name="_Toc11237"/>
      <w:bookmarkStart w:id="634" w:name="_Toc11207"/>
      <w:r>
        <w:rPr>
          <w:rFonts w:hint="eastAsia" w:ascii="宋体" w:hAnsi="宋体" w:eastAsia="宋体" w:cs="宋体"/>
          <w:b w:val="0"/>
          <w:bCs w:val="0"/>
          <w:sz w:val="28"/>
          <w:szCs w:val="28"/>
          <w:highlight w:val="none"/>
        </w:rPr>
        <w:t>监督部门举报方式：</w:t>
      </w:r>
      <w:bookmarkEnd w:id="633"/>
      <w:bookmarkEnd w:id="634"/>
    </w:p>
    <w:p w14:paraId="3BC51813">
      <w:pPr>
        <w:pStyle w:val="84"/>
        <w:spacing w:line="360" w:lineRule="auto"/>
        <w:outlineLvl w:val="0"/>
        <w:rPr>
          <w:rFonts w:hint="eastAsia" w:ascii="宋体" w:hAnsi="宋体" w:eastAsia="宋体" w:cs="宋体"/>
          <w:b w:val="0"/>
          <w:bCs w:val="0"/>
          <w:sz w:val="28"/>
          <w:szCs w:val="28"/>
          <w:highlight w:val="none"/>
        </w:rPr>
      </w:pPr>
      <w:bookmarkStart w:id="635" w:name="_Toc1566"/>
      <w:bookmarkStart w:id="636" w:name="_Toc23043"/>
      <w:r>
        <w:rPr>
          <w:rFonts w:hint="eastAsia" w:ascii="宋体" w:hAnsi="宋体" w:eastAsia="宋体" w:cs="宋体"/>
          <w:b w:val="0"/>
          <w:bCs w:val="0"/>
          <w:sz w:val="28"/>
          <w:szCs w:val="28"/>
          <w:highlight w:val="none"/>
        </w:rPr>
        <w:t>邮箱：fawu@scc.com.cn</w:t>
      </w:r>
      <w:bookmarkEnd w:id="635"/>
      <w:bookmarkEnd w:id="636"/>
    </w:p>
    <w:p w14:paraId="3985650B">
      <w:pPr>
        <w:pStyle w:val="84"/>
        <w:spacing w:line="360" w:lineRule="auto"/>
        <w:outlineLvl w:val="0"/>
        <w:rPr>
          <w:rFonts w:hint="eastAsia" w:ascii="宋体" w:hAnsi="宋体" w:eastAsia="宋体" w:cs="宋体"/>
          <w:b w:val="0"/>
          <w:bCs w:val="0"/>
          <w:sz w:val="28"/>
          <w:szCs w:val="28"/>
          <w:highlight w:val="none"/>
        </w:rPr>
      </w:pPr>
    </w:p>
    <w:p w14:paraId="10001D8D">
      <w:pPr>
        <w:pStyle w:val="84"/>
        <w:spacing w:line="360" w:lineRule="auto"/>
        <w:jc w:val="right"/>
        <w:outlineLvl w:val="0"/>
        <w:rPr>
          <w:rFonts w:hint="eastAsia" w:ascii="宋体" w:hAnsi="宋体" w:eastAsia="宋体" w:cs="宋体"/>
          <w:b w:val="0"/>
          <w:bCs w:val="0"/>
          <w:sz w:val="28"/>
          <w:szCs w:val="28"/>
          <w:highlight w:val="none"/>
        </w:rPr>
      </w:pPr>
      <w:bookmarkStart w:id="637" w:name="_Toc22268"/>
      <w:bookmarkStart w:id="638" w:name="_Toc31746"/>
      <w:r>
        <w:rPr>
          <w:rFonts w:hint="eastAsia" w:ascii="宋体" w:hAnsi="宋体" w:eastAsia="宋体" w:cs="宋体"/>
          <w:b w:val="0"/>
          <w:bCs w:val="0"/>
          <w:sz w:val="28"/>
          <w:szCs w:val="28"/>
          <w:highlight w:val="none"/>
          <w:lang w:val="en-US" w:eastAsia="zh-CN"/>
        </w:rPr>
        <w:t>广州广芯封装基板有限公司</w:t>
      </w:r>
      <w:bookmarkEnd w:id="637"/>
      <w:bookmarkEnd w:id="638"/>
    </w:p>
    <w:p w14:paraId="0A2D667B">
      <w:pPr>
        <w:pStyle w:val="84"/>
        <w:spacing w:line="360" w:lineRule="auto"/>
        <w:jc w:val="right"/>
        <w:outlineLvl w:val="0"/>
        <w:rPr>
          <w:rFonts w:hint="eastAsia"/>
          <w:b/>
          <w:bCs/>
          <w:sz w:val="28"/>
          <w:szCs w:val="28"/>
          <w:highlight w:val="none"/>
        </w:rPr>
      </w:pPr>
      <w:bookmarkStart w:id="639" w:name="_Toc1804"/>
      <w:bookmarkStart w:id="640" w:name="_Toc30728"/>
      <w:r>
        <w:rPr>
          <w:rFonts w:hint="eastAsia" w:ascii="宋体" w:hAnsi="宋体" w:eastAsia="宋体" w:cs="宋体"/>
          <w:b w:val="0"/>
          <w:bCs w:val="0"/>
          <w:sz w:val="28"/>
          <w:szCs w:val="28"/>
          <w:highlight w:val="none"/>
        </w:rPr>
        <w:t>2025年11月</w:t>
      </w:r>
      <w:bookmarkEnd w:id="639"/>
      <w:bookmarkEnd w:id="640"/>
    </w:p>
    <w:sectPr>
      <w:headerReference r:id="rId3" w:type="default"/>
      <w:footerReference r:id="rId4" w:type="default"/>
      <w:pgSz w:w="12240" w:h="15840"/>
      <w:pgMar w:top="1417" w:right="1701" w:bottom="1134" w:left="1701" w:header="850" w:footer="85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A691B">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72720"/>
              <wp:effectExtent l="0" t="0" r="0" b="2540"/>
              <wp:wrapNone/>
              <wp:docPr id="1" name="文本框 1"/>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w="15875">
                        <a:noFill/>
                      </a:ln>
                      <a:effectLst/>
                    </wps:spPr>
                    <wps:txbx>
                      <w:txbxContent>
                        <w:p w14:paraId="6D2DE14A">
                          <w:pPr>
                            <w:pStyle w:val="30"/>
                            <w:jc w:val="center"/>
                            <w:rPr>
                              <w:rFonts w:ascii="宋体" w:hAnsi="宋体" w:cs="宋体"/>
                              <w:sz w:val="21"/>
                              <w:szCs w:val="21"/>
                            </w:rPr>
                          </w:pPr>
                          <w:r>
                            <w:rPr>
                              <w:rFonts w:hint="eastAsia" w:ascii="宋体" w:hAnsi="宋体" w:cs="宋体"/>
                              <w:kern w:val="0"/>
                              <w:sz w:val="21"/>
                              <w:szCs w:val="21"/>
                            </w:rPr>
                            <w:fldChar w:fldCharType="begin"/>
                          </w:r>
                          <w:r>
                            <w:rPr>
                              <w:rFonts w:hint="eastAsia" w:ascii="宋体" w:hAnsi="宋体" w:cs="宋体"/>
                              <w:kern w:val="0"/>
                              <w:sz w:val="21"/>
                              <w:szCs w:val="21"/>
                            </w:rPr>
                            <w:instrText xml:space="preserve"> PAGE </w:instrText>
                          </w:r>
                          <w:r>
                            <w:rPr>
                              <w:rFonts w:hint="eastAsia" w:ascii="宋体" w:hAnsi="宋体" w:cs="宋体"/>
                              <w:kern w:val="0"/>
                              <w:sz w:val="21"/>
                              <w:szCs w:val="21"/>
                            </w:rPr>
                            <w:fldChar w:fldCharType="separate"/>
                          </w:r>
                          <w:r>
                            <w:rPr>
                              <w:rFonts w:ascii="宋体" w:hAnsi="宋体" w:cs="宋体"/>
                              <w:kern w:val="0"/>
                              <w:sz w:val="21"/>
                              <w:szCs w:val="21"/>
                            </w:rPr>
                            <w:t>3</w:t>
                          </w:r>
                          <w:r>
                            <w:rPr>
                              <w:rFonts w:hint="eastAsia" w:ascii="宋体" w:hAnsi="宋体" w:cs="宋体"/>
                              <w:kern w:val="0"/>
                              <w:sz w:val="21"/>
                              <w:szCs w:val="21"/>
                            </w:rPr>
                            <w:fldChar w:fldCharType="end"/>
                          </w:r>
                          <w:r>
                            <w:rPr>
                              <w:rFonts w:hint="eastAsia" w:ascii="宋体" w:hAnsi="宋体" w:cs="宋体"/>
                              <w:kern w:val="0"/>
                              <w:sz w:val="21"/>
                              <w:szCs w:val="21"/>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0.55pt;mso-position-horizontal:center;mso-position-horizontal-relative:margin;mso-wrap-style:none;z-index:251659264;mso-width-relative:page;mso-height-relative:page;" filled="f" stroked="f" coordsize="21600,21600" o:gfxdata="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wWRv21AAAAAMBAAAPAAAAAAAA&#10;AAEAIAAAACIAAABkcnMvZG93bnJldi54bWxQSwECFAAUAAAACACHTuJAqX2lqN0BAACvAwAADgAA&#10;AAAAAAABACAAAAAjAQAAZHJzL2Uyb0RvYy54bWxQSwUGAAAAAAYABgBZAQAAcgUAAAAA&#10;">
              <v:fill on="f" focussize="0,0"/>
              <v:stroke on="f" weight="1.25pt"/>
              <v:imagedata o:title=""/>
              <o:lock v:ext="edit" aspectratio="f"/>
              <v:textbox inset="0mm,0mm,0mm,0mm" style="mso-fit-shape-to-text:t;">
                <w:txbxContent>
                  <w:p w14:paraId="6D2DE14A">
                    <w:pPr>
                      <w:pStyle w:val="30"/>
                      <w:jc w:val="center"/>
                      <w:rPr>
                        <w:rFonts w:ascii="宋体" w:hAnsi="宋体" w:cs="宋体"/>
                        <w:sz w:val="21"/>
                        <w:szCs w:val="21"/>
                      </w:rPr>
                    </w:pPr>
                    <w:r>
                      <w:rPr>
                        <w:rFonts w:hint="eastAsia" w:ascii="宋体" w:hAnsi="宋体" w:cs="宋体"/>
                        <w:kern w:val="0"/>
                        <w:sz w:val="21"/>
                        <w:szCs w:val="21"/>
                      </w:rPr>
                      <w:fldChar w:fldCharType="begin"/>
                    </w:r>
                    <w:r>
                      <w:rPr>
                        <w:rFonts w:hint="eastAsia" w:ascii="宋体" w:hAnsi="宋体" w:cs="宋体"/>
                        <w:kern w:val="0"/>
                        <w:sz w:val="21"/>
                        <w:szCs w:val="21"/>
                      </w:rPr>
                      <w:instrText xml:space="preserve"> PAGE </w:instrText>
                    </w:r>
                    <w:r>
                      <w:rPr>
                        <w:rFonts w:hint="eastAsia" w:ascii="宋体" w:hAnsi="宋体" w:cs="宋体"/>
                        <w:kern w:val="0"/>
                        <w:sz w:val="21"/>
                        <w:szCs w:val="21"/>
                      </w:rPr>
                      <w:fldChar w:fldCharType="separate"/>
                    </w:r>
                    <w:r>
                      <w:rPr>
                        <w:rFonts w:ascii="宋体" w:hAnsi="宋体" w:cs="宋体"/>
                        <w:kern w:val="0"/>
                        <w:sz w:val="21"/>
                        <w:szCs w:val="21"/>
                      </w:rPr>
                      <w:t>3</w:t>
                    </w:r>
                    <w:r>
                      <w:rPr>
                        <w:rFonts w:hint="eastAsia" w:ascii="宋体" w:hAnsi="宋体" w:cs="宋体"/>
                        <w:kern w:val="0"/>
                        <w:sz w:val="21"/>
                        <w:szCs w:val="21"/>
                      </w:rPr>
                      <w:fldChar w:fldCharType="end"/>
                    </w:r>
                    <w:r>
                      <w:rPr>
                        <w:rFonts w:hint="eastAsia" w:ascii="宋体" w:hAnsi="宋体" w:cs="宋体"/>
                        <w:kern w:val="0"/>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EAC4">
    <w:pPr>
      <w:pStyle w:val="3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B1DC2"/>
    <w:multiLevelType w:val="singleLevel"/>
    <w:tmpl w:val="A6EB1DC2"/>
    <w:lvl w:ilvl="0" w:tentative="0">
      <w:start w:val="13"/>
      <w:numFmt w:val="chineseCounting"/>
      <w:suff w:val="nothing"/>
      <w:lvlText w:val="%1、"/>
      <w:lvlJc w:val="left"/>
      <w:rPr>
        <w:rFonts w:hint="eastAsia"/>
      </w:rPr>
    </w:lvl>
  </w:abstractNum>
  <w:abstractNum w:abstractNumId="1">
    <w:nsid w:val="ED2095DD"/>
    <w:multiLevelType w:val="singleLevel"/>
    <w:tmpl w:val="ED2095DD"/>
    <w:lvl w:ilvl="0" w:tentative="0">
      <w:start w:val="3"/>
      <w:numFmt w:val="decimal"/>
      <w:lvlText w:val="%1."/>
      <w:lvlJc w:val="left"/>
      <w:pPr>
        <w:tabs>
          <w:tab w:val="left" w:pos="312"/>
        </w:tabs>
      </w:pPr>
    </w:lvl>
  </w:abstractNum>
  <w:abstractNum w:abstractNumId="2">
    <w:nsid w:val="0000001D"/>
    <w:multiLevelType w:val="multilevel"/>
    <w:tmpl w:val="0000001D"/>
    <w:lvl w:ilvl="0" w:tentative="0">
      <w:start w:val="1"/>
      <w:numFmt w:val="decimal"/>
      <w:pStyle w:val="123"/>
      <w:lvlText w:val="%1."/>
      <w:lvlJc w:val="left"/>
      <w:pPr>
        <w:tabs>
          <w:tab w:val="left" w:pos="420"/>
        </w:tabs>
        <w:ind w:left="420"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ZTk4Mzc2ZWJmYWMwNDcxYTU1ZGI4MDkyZDg2ZDcifQ=="/>
  </w:docVars>
  <w:rsids>
    <w:rsidRoot w:val="00172A27"/>
    <w:rsid w:val="00000B56"/>
    <w:rsid w:val="0000261C"/>
    <w:rsid w:val="00002A60"/>
    <w:rsid w:val="00004603"/>
    <w:rsid w:val="00004DA7"/>
    <w:rsid w:val="000055E5"/>
    <w:rsid w:val="00006802"/>
    <w:rsid w:val="00007319"/>
    <w:rsid w:val="000106AE"/>
    <w:rsid w:val="000109BA"/>
    <w:rsid w:val="000113EC"/>
    <w:rsid w:val="00011560"/>
    <w:rsid w:val="00011684"/>
    <w:rsid w:val="00012703"/>
    <w:rsid w:val="0001485E"/>
    <w:rsid w:val="00014DB1"/>
    <w:rsid w:val="0001572D"/>
    <w:rsid w:val="00016D03"/>
    <w:rsid w:val="0001751A"/>
    <w:rsid w:val="00020140"/>
    <w:rsid w:val="00020F53"/>
    <w:rsid w:val="000214EF"/>
    <w:rsid w:val="00021763"/>
    <w:rsid w:val="00021BFE"/>
    <w:rsid w:val="000225C3"/>
    <w:rsid w:val="00022662"/>
    <w:rsid w:val="000240B5"/>
    <w:rsid w:val="00024206"/>
    <w:rsid w:val="00024685"/>
    <w:rsid w:val="00024D77"/>
    <w:rsid w:val="000250D6"/>
    <w:rsid w:val="00025ACC"/>
    <w:rsid w:val="00026171"/>
    <w:rsid w:val="00026AA0"/>
    <w:rsid w:val="00026B40"/>
    <w:rsid w:val="0002793E"/>
    <w:rsid w:val="00027FC6"/>
    <w:rsid w:val="00030469"/>
    <w:rsid w:val="00030736"/>
    <w:rsid w:val="00030804"/>
    <w:rsid w:val="00032288"/>
    <w:rsid w:val="00032762"/>
    <w:rsid w:val="000351AE"/>
    <w:rsid w:val="000351C2"/>
    <w:rsid w:val="00037128"/>
    <w:rsid w:val="00043778"/>
    <w:rsid w:val="00045007"/>
    <w:rsid w:val="00046C42"/>
    <w:rsid w:val="00047BBC"/>
    <w:rsid w:val="00047D8D"/>
    <w:rsid w:val="0005057A"/>
    <w:rsid w:val="000520CE"/>
    <w:rsid w:val="000527A6"/>
    <w:rsid w:val="000545CB"/>
    <w:rsid w:val="00055E20"/>
    <w:rsid w:val="00062431"/>
    <w:rsid w:val="00062AC6"/>
    <w:rsid w:val="00064EA9"/>
    <w:rsid w:val="00065A9E"/>
    <w:rsid w:val="000668F1"/>
    <w:rsid w:val="00067035"/>
    <w:rsid w:val="00070145"/>
    <w:rsid w:val="0007102F"/>
    <w:rsid w:val="00071945"/>
    <w:rsid w:val="0007298C"/>
    <w:rsid w:val="00072F2A"/>
    <w:rsid w:val="00073A9E"/>
    <w:rsid w:val="00075311"/>
    <w:rsid w:val="0007648C"/>
    <w:rsid w:val="0007798B"/>
    <w:rsid w:val="0008132B"/>
    <w:rsid w:val="00081360"/>
    <w:rsid w:val="00081482"/>
    <w:rsid w:val="0008187D"/>
    <w:rsid w:val="0008253E"/>
    <w:rsid w:val="00082A70"/>
    <w:rsid w:val="000838B3"/>
    <w:rsid w:val="00084FC3"/>
    <w:rsid w:val="00085690"/>
    <w:rsid w:val="00087558"/>
    <w:rsid w:val="000905EC"/>
    <w:rsid w:val="00090FED"/>
    <w:rsid w:val="0009240C"/>
    <w:rsid w:val="00093200"/>
    <w:rsid w:val="00094388"/>
    <w:rsid w:val="000943B0"/>
    <w:rsid w:val="00094C66"/>
    <w:rsid w:val="00095CBC"/>
    <w:rsid w:val="00097B3B"/>
    <w:rsid w:val="000A118B"/>
    <w:rsid w:val="000A1262"/>
    <w:rsid w:val="000A287B"/>
    <w:rsid w:val="000A2B6C"/>
    <w:rsid w:val="000A47E5"/>
    <w:rsid w:val="000A4AE1"/>
    <w:rsid w:val="000A5C81"/>
    <w:rsid w:val="000A5C92"/>
    <w:rsid w:val="000A76B3"/>
    <w:rsid w:val="000B09DF"/>
    <w:rsid w:val="000B119E"/>
    <w:rsid w:val="000B1A92"/>
    <w:rsid w:val="000B345A"/>
    <w:rsid w:val="000B6379"/>
    <w:rsid w:val="000B65E2"/>
    <w:rsid w:val="000B676B"/>
    <w:rsid w:val="000B69E2"/>
    <w:rsid w:val="000C0018"/>
    <w:rsid w:val="000C0AF1"/>
    <w:rsid w:val="000C1A9B"/>
    <w:rsid w:val="000C1AC9"/>
    <w:rsid w:val="000C2AB5"/>
    <w:rsid w:val="000C345B"/>
    <w:rsid w:val="000C3D51"/>
    <w:rsid w:val="000C4710"/>
    <w:rsid w:val="000C4924"/>
    <w:rsid w:val="000C6FFB"/>
    <w:rsid w:val="000C7720"/>
    <w:rsid w:val="000C7A74"/>
    <w:rsid w:val="000D204D"/>
    <w:rsid w:val="000D2C4B"/>
    <w:rsid w:val="000D3177"/>
    <w:rsid w:val="000D4336"/>
    <w:rsid w:val="000D49B4"/>
    <w:rsid w:val="000D50E2"/>
    <w:rsid w:val="000D75FB"/>
    <w:rsid w:val="000E08CB"/>
    <w:rsid w:val="000E10B1"/>
    <w:rsid w:val="000E1668"/>
    <w:rsid w:val="000E168C"/>
    <w:rsid w:val="000E205A"/>
    <w:rsid w:val="000E2EFB"/>
    <w:rsid w:val="000E54ED"/>
    <w:rsid w:val="000E5673"/>
    <w:rsid w:val="000E5F67"/>
    <w:rsid w:val="000E63A3"/>
    <w:rsid w:val="000E7256"/>
    <w:rsid w:val="000E7505"/>
    <w:rsid w:val="000E77D1"/>
    <w:rsid w:val="000E792F"/>
    <w:rsid w:val="000F021C"/>
    <w:rsid w:val="000F0A72"/>
    <w:rsid w:val="000F143B"/>
    <w:rsid w:val="000F2186"/>
    <w:rsid w:val="000F2A12"/>
    <w:rsid w:val="000F2ECC"/>
    <w:rsid w:val="000F4077"/>
    <w:rsid w:val="000F44D2"/>
    <w:rsid w:val="000F49F4"/>
    <w:rsid w:val="000F4A44"/>
    <w:rsid w:val="000F5046"/>
    <w:rsid w:val="000F5E14"/>
    <w:rsid w:val="000F73BD"/>
    <w:rsid w:val="001011FC"/>
    <w:rsid w:val="00102618"/>
    <w:rsid w:val="00102BAF"/>
    <w:rsid w:val="00102F0B"/>
    <w:rsid w:val="00105423"/>
    <w:rsid w:val="001119B6"/>
    <w:rsid w:val="00111DA6"/>
    <w:rsid w:val="00112059"/>
    <w:rsid w:val="0011232A"/>
    <w:rsid w:val="001129F5"/>
    <w:rsid w:val="00114A34"/>
    <w:rsid w:val="00115124"/>
    <w:rsid w:val="0011582D"/>
    <w:rsid w:val="00117658"/>
    <w:rsid w:val="00117F0F"/>
    <w:rsid w:val="001209A9"/>
    <w:rsid w:val="001219F2"/>
    <w:rsid w:val="001223CF"/>
    <w:rsid w:val="00122852"/>
    <w:rsid w:val="001236C9"/>
    <w:rsid w:val="00123706"/>
    <w:rsid w:val="00123EDF"/>
    <w:rsid w:val="00124116"/>
    <w:rsid w:val="00124AED"/>
    <w:rsid w:val="00126510"/>
    <w:rsid w:val="0012660F"/>
    <w:rsid w:val="00126D88"/>
    <w:rsid w:val="00126E2B"/>
    <w:rsid w:val="001270CD"/>
    <w:rsid w:val="00127541"/>
    <w:rsid w:val="001276F8"/>
    <w:rsid w:val="00131FF3"/>
    <w:rsid w:val="001335BF"/>
    <w:rsid w:val="001335D9"/>
    <w:rsid w:val="00134701"/>
    <w:rsid w:val="00135FF6"/>
    <w:rsid w:val="00136D67"/>
    <w:rsid w:val="0013766F"/>
    <w:rsid w:val="0014098E"/>
    <w:rsid w:val="00140A44"/>
    <w:rsid w:val="00142058"/>
    <w:rsid w:val="00144947"/>
    <w:rsid w:val="00144EBD"/>
    <w:rsid w:val="00145049"/>
    <w:rsid w:val="001457C2"/>
    <w:rsid w:val="001506DC"/>
    <w:rsid w:val="0015172C"/>
    <w:rsid w:val="00151C38"/>
    <w:rsid w:val="001530C6"/>
    <w:rsid w:val="00153218"/>
    <w:rsid w:val="00154706"/>
    <w:rsid w:val="00157753"/>
    <w:rsid w:val="001667FD"/>
    <w:rsid w:val="0016686C"/>
    <w:rsid w:val="00166A4E"/>
    <w:rsid w:val="00170389"/>
    <w:rsid w:val="0017159D"/>
    <w:rsid w:val="001728B0"/>
    <w:rsid w:val="00172A27"/>
    <w:rsid w:val="00172EB3"/>
    <w:rsid w:val="001735B4"/>
    <w:rsid w:val="00173B36"/>
    <w:rsid w:val="00174751"/>
    <w:rsid w:val="001748A3"/>
    <w:rsid w:val="00182822"/>
    <w:rsid w:val="00182B11"/>
    <w:rsid w:val="001831D5"/>
    <w:rsid w:val="001834D3"/>
    <w:rsid w:val="00183748"/>
    <w:rsid w:val="00183B4A"/>
    <w:rsid w:val="00184F11"/>
    <w:rsid w:val="00185D79"/>
    <w:rsid w:val="00186361"/>
    <w:rsid w:val="00186A85"/>
    <w:rsid w:val="0019161E"/>
    <w:rsid w:val="00193AC3"/>
    <w:rsid w:val="00193C1D"/>
    <w:rsid w:val="00193EF0"/>
    <w:rsid w:val="00194621"/>
    <w:rsid w:val="0019493C"/>
    <w:rsid w:val="00194BAE"/>
    <w:rsid w:val="0019551E"/>
    <w:rsid w:val="001964D6"/>
    <w:rsid w:val="001A067F"/>
    <w:rsid w:val="001A093D"/>
    <w:rsid w:val="001A0CCF"/>
    <w:rsid w:val="001A2E05"/>
    <w:rsid w:val="001A2E74"/>
    <w:rsid w:val="001A304A"/>
    <w:rsid w:val="001A341D"/>
    <w:rsid w:val="001A3AC6"/>
    <w:rsid w:val="001A4491"/>
    <w:rsid w:val="001A4684"/>
    <w:rsid w:val="001A713F"/>
    <w:rsid w:val="001A7435"/>
    <w:rsid w:val="001A7E77"/>
    <w:rsid w:val="001B1289"/>
    <w:rsid w:val="001B174D"/>
    <w:rsid w:val="001B2960"/>
    <w:rsid w:val="001B2DA3"/>
    <w:rsid w:val="001B2F79"/>
    <w:rsid w:val="001B4033"/>
    <w:rsid w:val="001B4065"/>
    <w:rsid w:val="001B5478"/>
    <w:rsid w:val="001B5D40"/>
    <w:rsid w:val="001B6CEE"/>
    <w:rsid w:val="001B7F5B"/>
    <w:rsid w:val="001B7FEF"/>
    <w:rsid w:val="001C122A"/>
    <w:rsid w:val="001C30C7"/>
    <w:rsid w:val="001C39A7"/>
    <w:rsid w:val="001C3B37"/>
    <w:rsid w:val="001C4420"/>
    <w:rsid w:val="001C4A74"/>
    <w:rsid w:val="001C540A"/>
    <w:rsid w:val="001C54F2"/>
    <w:rsid w:val="001D0AD8"/>
    <w:rsid w:val="001D1B41"/>
    <w:rsid w:val="001D1BB6"/>
    <w:rsid w:val="001D398F"/>
    <w:rsid w:val="001D414D"/>
    <w:rsid w:val="001D5C14"/>
    <w:rsid w:val="001E1433"/>
    <w:rsid w:val="001E3FE9"/>
    <w:rsid w:val="001E55FC"/>
    <w:rsid w:val="001E6B93"/>
    <w:rsid w:val="001F0EB6"/>
    <w:rsid w:val="001F0FC2"/>
    <w:rsid w:val="001F1937"/>
    <w:rsid w:val="001F2208"/>
    <w:rsid w:val="001F25D1"/>
    <w:rsid w:val="001F285E"/>
    <w:rsid w:val="001F4134"/>
    <w:rsid w:val="001F415C"/>
    <w:rsid w:val="001F4547"/>
    <w:rsid w:val="001F45EE"/>
    <w:rsid w:val="001F4850"/>
    <w:rsid w:val="001F619D"/>
    <w:rsid w:val="00202BA8"/>
    <w:rsid w:val="00202E8C"/>
    <w:rsid w:val="00203ADF"/>
    <w:rsid w:val="002049E3"/>
    <w:rsid w:val="00204A5C"/>
    <w:rsid w:val="0020545D"/>
    <w:rsid w:val="002065DE"/>
    <w:rsid w:val="00206887"/>
    <w:rsid w:val="00206EDA"/>
    <w:rsid w:val="00207A0B"/>
    <w:rsid w:val="002102FD"/>
    <w:rsid w:val="0021226E"/>
    <w:rsid w:val="00212A53"/>
    <w:rsid w:val="00212E14"/>
    <w:rsid w:val="0021322F"/>
    <w:rsid w:val="00213B90"/>
    <w:rsid w:val="00215AF0"/>
    <w:rsid w:val="00217143"/>
    <w:rsid w:val="002207EA"/>
    <w:rsid w:val="00221119"/>
    <w:rsid w:val="00221F1E"/>
    <w:rsid w:val="00221FAC"/>
    <w:rsid w:val="002229E2"/>
    <w:rsid w:val="0022434B"/>
    <w:rsid w:val="00224E45"/>
    <w:rsid w:val="00226041"/>
    <w:rsid w:val="00226F89"/>
    <w:rsid w:val="00226F8B"/>
    <w:rsid w:val="0022793C"/>
    <w:rsid w:val="00230836"/>
    <w:rsid w:val="002337D9"/>
    <w:rsid w:val="0023398E"/>
    <w:rsid w:val="00234213"/>
    <w:rsid w:val="0023423F"/>
    <w:rsid w:val="0023563A"/>
    <w:rsid w:val="00236FA0"/>
    <w:rsid w:val="002379D4"/>
    <w:rsid w:val="00237A22"/>
    <w:rsid w:val="00237B0E"/>
    <w:rsid w:val="00237F75"/>
    <w:rsid w:val="002400D0"/>
    <w:rsid w:val="00241348"/>
    <w:rsid w:val="00242200"/>
    <w:rsid w:val="002430C2"/>
    <w:rsid w:val="0024369C"/>
    <w:rsid w:val="00244D06"/>
    <w:rsid w:val="0024530F"/>
    <w:rsid w:val="00246A0E"/>
    <w:rsid w:val="00246A31"/>
    <w:rsid w:val="00247B5E"/>
    <w:rsid w:val="002506CC"/>
    <w:rsid w:val="00250B0E"/>
    <w:rsid w:val="00250B40"/>
    <w:rsid w:val="00250B63"/>
    <w:rsid w:val="00250CB7"/>
    <w:rsid w:val="00251A49"/>
    <w:rsid w:val="002521B3"/>
    <w:rsid w:val="0025316D"/>
    <w:rsid w:val="00253832"/>
    <w:rsid w:val="00254609"/>
    <w:rsid w:val="0025460A"/>
    <w:rsid w:val="00254EDC"/>
    <w:rsid w:val="00255D0D"/>
    <w:rsid w:val="002562E4"/>
    <w:rsid w:val="0025646F"/>
    <w:rsid w:val="002564CE"/>
    <w:rsid w:val="00260197"/>
    <w:rsid w:val="00260C77"/>
    <w:rsid w:val="00261352"/>
    <w:rsid w:val="00261480"/>
    <w:rsid w:val="00262223"/>
    <w:rsid w:val="00263F0B"/>
    <w:rsid w:val="00264EB1"/>
    <w:rsid w:val="00265192"/>
    <w:rsid w:val="00270F04"/>
    <w:rsid w:val="00271923"/>
    <w:rsid w:val="00272808"/>
    <w:rsid w:val="0027292C"/>
    <w:rsid w:val="00272A39"/>
    <w:rsid w:val="002735AD"/>
    <w:rsid w:val="00275B6D"/>
    <w:rsid w:val="002762ED"/>
    <w:rsid w:val="00276832"/>
    <w:rsid w:val="00276C71"/>
    <w:rsid w:val="00280A4F"/>
    <w:rsid w:val="00281526"/>
    <w:rsid w:val="00282C8E"/>
    <w:rsid w:val="0028346F"/>
    <w:rsid w:val="002845A0"/>
    <w:rsid w:val="00285406"/>
    <w:rsid w:val="002855A0"/>
    <w:rsid w:val="00287C6E"/>
    <w:rsid w:val="00287CC2"/>
    <w:rsid w:val="00291CF3"/>
    <w:rsid w:val="00292881"/>
    <w:rsid w:val="002933B8"/>
    <w:rsid w:val="00294A20"/>
    <w:rsid w:val="0029511C"/>
    <w:rsid w:val="00296618"/>
    <w:rsid w:val="00297099"/>
    <w:rsid w:val="00297678"/>
    <w:rsid w:val="00297D4D"/>
    <w:rsid w:val="002A1546"/>
    <w:rsid w:val="002A4757"/>
    <w:rsid w:val="002A4926"/>
    <w:rsid w:val="002A521E"/>
    <w:rsid w:val="002A552C"/>
    <w:rsid w:val="002A65ED"/>
    <w:rsid w:val="002A6DC0"/>
    <w:rsid w:val="002A6EE4"/>
    <w:rsid w:val="002B30C2"/>
    <w:rsid w:val="002B3BF7"/>
    <w:rsid w:val="002B3EB9"/>
    <w:rsid w:val="002B4133"/>
    <w:rsid w:val="002B44A7"/>
    <w:rsid w:val="002B5216"/>
    <w:rsid w:val="002B591E"/>
    <w:rsid w:val="002B66ED"/>
    <w:rsid w:val="002B6722"/>
    <w:rsid w:val="002C0C29"/>
    <w:rsid w:val="002C0DD3"/>
    <w:rsid w:val="002C1772"/>
    <w:rsid w:val="002C1C1A"/>
    <w:rsid w:val="002C31DD"/>
    <w:rsid w:val="002C3CD8"/>
    <w:rsid w:val="002C4530"/>
    <w:rsid w:val="002C489A"/>
    <w:rsid w:val="002C636F"/>
    <w:rsid w:val="002C7229"/>
    <w:rsid w:val="002C7B9B"/>
    <w:rsid w:val="002D0877"/>
    <w:rsid w:val="002D13B2"/>
    <w:rsid w:val="002D2B90"/>
    <w:rsid w:val="002D4528"/>
    <w:rsid w:val="002D58F2"/>
    <w:rsid w:val="002D6292"/>
    <w:rsid w:val="002D6F32"/>
    <w:rsid w:val="002D7AA9"/>
    <w:rsid w:val="002D7B78"/>
    <w:rsid w:val="002E1DAC"/>
    <w:rsid w:val="002E6D05"/>
    <w:rsid w:val="002E70E1"/>
    <w:rsid w:val="002F4028"/>
    <w:rsid w:val="002F6CA3"/>
    <w:rsid w:val="002F6D21"/>
    <w:rsid w:val="002F72A0"/>
    <w:rsid w:val="003006A6"/>
    <w:rsid w:val="00300733"/>
    <w:rsid w:val="003008A4"/>
    <w:rsid w:val="00301A6C"/>
    <w:rsid w:val="00301BC6"/>
    <w:rsid w:val="00301EBE"/>
    <w:rsid w:val="0030224A"/>
    <w:rsid w:val="00302993"/>
    <w:rsid w:val="00303653"/>
    <w:rsid w:val="00303B93"/>
    <w:rsid w:val="00304733"/>
    <w:rsid w:val="00304976"/>
    <w:rsid w:val="0030589B"/>
    <w:rsid w:val="00305ECA"/>
    <w:rsid w:val="00305F3A"/>
    <w:rsid w:val="00306555"/>
    <w:rsid w:val="00307AA3"/>
    <w:rsid w:val="0031016B"/>
    <w:rsid w:val="00311256"/>
    <w:rsid w:val="00311324"/>
    <w:rsid w:val="00311BD5"/>
    <w:rsid w:val="003122C4"/>
    <w:rsid w:val="00313660"/>
    <w:rsid w:val="0031412C"/>
    <w:rsid w:val="00314419"/>
    <w:rsid w:val="00314AF6"/>
    <w:rsid w:val="003151A3"/>
    <w:rsid w:val="003160FD"/>
    <w:rsid w:val="0032031D"/>
    <w:rsid w:val="00320F01"/>
    <w:rsid w:val="003214BA"/>
    <w:rsid w:val="00321647"/>
    <w:rsid w:val="00321989"/>
    <w:rsid w:val="00323E45"/>
    <w:rsid w:val="00324178"/>
    <w:rsid w:val="003243EC"/>
    <w:rsid w:val="003244DA"/>
    <w:rsid w:val="003247CD"/>
    <w:rsid w:val="00330D54"/>
    <w:rsid w:val="003325A0"/>
    <w:rsid w:val="00332802"/>
    <w:rsid w:val="00332962"/>
    <w:rsid w:val="003340C8"/>
    <w:rsid w:val="003341B5"/>
    <w:rsid w:val="00334385"/>
    <w:rsid w:val="0033585F"/>
    <w:rsid w:val="00335FCB"/>
    <w:rsid w:val="003362AD"/>
    <w:rsid w:val="00337591"/>
    <w:rsid w:val="00337703"/>
    <w:rsid w:val="003419A7"/>
    <w:rsid w:val="00342011"/>
    <w:rsid w:val="00342688"/>
    <w:rsid w:val="00342B09"/>
    <w:rsid w:val="00343FDF"/>
    <w:rsid w:val="0034440E"/>
    <w:rsid w:val="00344D96"/>
    <w:rsid w:val="00344F5D"/>
    <w:rsid w:val="00345499"/>
    <w:rsid w:val="003470E1"/>
    <w:rsid w:val="003475BD"/>
    <w:rsid w:val="00347899"/>
    <w:rsid w:val="00350F3E"/>
    <w:rsid w:val="0035125A"/>
    <w:rsid w:val="003518D6"/>
    <w:rsid w:val="00352BE0"/>
    <w:rsid w:val="00352FC6"/>
    <w:rsid w:val="00354B7A"/>
    <w:rsid w:val="00355AC2"/>
    <w:rsid w:val="00356080"/>
    <w:rsid w:val="003576A2"/>
    <w:rsid w:val="00360007"/>
    <w:rsid w:val="00362CA2"/>
    <w:rsid w:val="00363072"/>
    <w:rsid w:val="00363965"/>
    <w:rsid w:val="00363966"/>
    <w:rsid w:val="00365359"/>
    <w:rsid w:val="00367F0C"/>
    <w:rsid w:val="0037294E"/>
    <w:rsid w:val="003741B0"/>
    <w:rsid w:val="00374FFA"/>
    <w:rsid w:val="00375481"/>
    <w:rsid w:val="00377513"/>
    <w:rsid w:val="00377894"/>
    <w:rsid w:val="00380B97"/>
    <w:rsid w:val="003819F2"/>
    <w:rsid w:val="0038240C"/>
    <w:rsid w:val="0038245C"/>
    <w:rsid w:val="00382D56"/>
    <w:rsid w:val="0038359A"/>
    <w:rsid w:val="003836B0"/>
    <w:rsid w:val="00386466"/>
    <w:rsid w:val="003865F8"/>
    <w:rsid w:val="00386AA0"/>
    <w:rsid w:val="0038742C"/>
    <w:rsid w:val="00387996"/>
    <w:rsid w:val="003879FB"/>
    <w:rsid w:val="0039048C"/>
    <w:rsid w:val="00391D39"/>
    <w:rsid w:val="00391F03"/>
    <w:rsid w:val="003925EA"/>
    <w:rsid w:val="003937D8"/>
    <w:rsid w:val="0039407B"/>
    <w:rsid w:val="0039566A"/>
    <w:rsid w:val="00396091"/>
    <w:rsid w:val="003979D4"/>
    <w:rsid w:val="003A11D0"/>
    <w:rsid w:val="003A18E7"/>
    <w:rsid w:val="003A2368"/>
    <w:rsid w:val="003A2E53"/>
    <w:rsid w:val="003A4F4E"/>
    <w:rsid w:val="003A593E"/>
    <w:rsid w:val="003A5E9B"/>
    <w:rsid w:val="003A6775"/>
    <w:rsid w:val="003A7C47"/>
    <w:rsid w:val="003B17B0"/>
    <w:rsid w:val="003B1B15"/>
    <w:rsid w:val="003B408F"/>
    <w:rsid w:val="003B62E6"/>
    <w:rsid w:val="003B74D2"/>
    <w:rsid w:val="003B7A5C"/>
    <w:rsid w:val="003C0203"/>
    <w:rsid w:val="003C0D7D"/>
    <w:rsid w:val="003C16E4"/>
    <w:rsid w:val="003C17B5"/>
    <w:rsid w:val="003C19E2"/>
    <w:rsid w:val="003C1B76"/>
    <w:rsid w:val="003C339D"/>
    <w:rsid w:val="003C4858"/>
    <w:rsid w:val="003C5BB3"/>
    <w:rsid w:val="003C69C9"/>
    <w:rsid w:val="003C7F8F"/>
    <w:rsid w:val="003D1170"/>
    <w:rsid w:val="003D1B8E"/>
    <w:rsid w:val="003D1D5F"/>
    <w:rsid w:val="003D2243"/>
    <w:rsid w:val="003D2D72"/>
    <w:rsid w:val="003D36EE"/>
    <w:rsid w:val="003D3F57"/>
    <w:rsid w:val="003D4394"/>
    <w:rsid w:val="003D4C29"/>
    <w:rsid w:val="003D50AB"/>
    <w:rsid w:val="003D5701"/>
    <w:rsid w:val="003D6348"/>
    <w:rsid w:val="003D6C7E"/>
    <w:rsid w:val="003D6E0A"/>
    <w:rsid w:val="003D72DA"/>
    <w:rsid w:val="003E078C"/>
    <w:rsid w:val="003E2DAB"/>
    <w:rsid w:val="003E361B"/>
    <w:rsid w:val="003E71BB"/>
    <w:rsid w:val="003E789E"/>
    <w:rsid w:val="003E7EF2"/>
    <w:rsid w:val="003F13A5"/>
    <w:rsid w:val="003F1823"/>
    <w:rsid w:val="003F29B4"/>
    <w:rsid w:val="003F2D60"/>
    <w:rsid w:val="003F3224"/>
    <w:rsid w:val="003F3518"/>
    <w:rsid w:val="003F3D30"/>
    <w:rsid w:val="003F4218"/>
    <w:rsid w:val="003F504F"/>
    <w:rsid w:val="003F58DC"/>
    <w:rsid w:val="003F5B69"/>
    <w:rsid w:val="003F760E"/>
    <w:rsid w:val="0040121D"/>
    <w:rsid w:val="0040276D"/>
    <w:rsid w:val="00402DA4"/>
    <w:rsid w:val="00402F34"/>
    <w:rsid w:val="0040361B"/>
    <w:rsid w:val="0040556C"/>
    <w:rsid w:val="004064F4"/>
    <w:rsid w:val="00407637"/>
    <w:rsid w:val="004105EF"/>
    <w:rsid w:val="00414074"/>
    <w:rsid w:val="0041516D"/>
    <w:rsid w:val="0041521C"/>
    <w:rsid w:val="0041528A"/>
    <w:rsid w:val="00415A1A"/>
    <w:rsid w:val="00421293"/>
    <w:rsid w:val="00421A9F"/>
    <w:rsid w:val="00422A52"/>
    <w:rsid w:val="004230D0"/>
    <w:rsid w:val="0042326A"/>
    <w:rsid w:val="00423F96"/>
    <w:rsid w:val="004249F9"/>
    <w:rsid w:val="00430056"/>
    <w:rsid w:val="004306FF"/>
    <w:rsid w:val="00431939"/>
    <w:rsid w:val="00431F4F"/>
    <w:rsid w:val="0043220E"/>
    <w:rsid w:val="00432571"/>
    <w:rsid w:val="004334AD"/>
    <w:rsid w:val="0043351E"/>
    <w:rsid w:val="00433676"/>
    <w:rsid w:val="004337DF"/>
    <w:rsid w:val="00436504"/>
    <w:rsid w:val="004366EB"/>
    <w:rsid w:val="00436A3B"/>
    <w:rsid w:val="00436BA8"/>
    <w:rsid w:val="004405C7"/>
    <w:rsid w:val="00441479"/>
    <w:rsid w:val="00441D39"/>
    <w:rsid w:val="00441DD5"/>
    <w:rsid w:val="00442AF8"/>
    <w:rsid w:val="00443D0A"/>
    <w:rsid w:val="00444F53"/>
    <w:rsid w:val="0044514A"/>
    <w:rsid w:val="00445BC7"/>
    <w:rsid w:val="00446D07"/>
    <w:rsid w:val="00447E59"/>
    <w:rsid w:val="004510BC"/>
    <w:rsid w:val="00451551"/>
    <w:rsid w:val="00453255"/>
    <w:rsid w:val="00455981"/>
    <w:rsid w:val="00457DC2"/>
    <w:rsid w:val="00460EF7"/>
    <w:rsid w:val="0046206A"/>
    <w:rsid w:val="00462299"/>
    <w:rsid w:val="00465E37"/>
    <w:rsid w:val="00466339"/>
    <w:rsid w:val="00466534"/>
    <w:rsid w:val="0046780A"/>
    <w:rsid w:val="00467F3C"/>
    <w:rsid w:val="004700AB"/>
    <w:rsid w:val="0047012B"/>
    <w:rsid w:val="004728C2"/>
    <w:rsid w:val="004733D3"/>
    <w:rsid w:val="00473945"/>
    <w:rsid w:val="00475AED"/>
    <w:rsid w:val="00477358"/>
    <w:rsid w:val="00477E47"/>
    <w:rsid w:val="004809EB"/>
    <w:rsid w:val="00481869"/>
    <w:rsid w:val="00481968"/>
    <w:rsid w:val="00482274"/>
    <w:rsid w:val="00482675"/>
    <w:rsid w:val="0048324D"/>
    <w:rsid w:val="004837BE"/>
    <w:rsid w:val="00483B34"/>
    <w:rsid w:val="00484166"/>
    <w:rsid w:val="00485F54"/>
    <w:rsid w:val="00487315"/>
    <w:rsid w:val="00491763"/>
    <w:rsid w:val="00491D96"/>
    <w:rsid w:val="00491E40"/>
    <w:rsid w:val="004922E5"/>
    <w:rsid w:val="00492A1E"/>
    <w:rsid w:val="00492A80"/>
    <w:rsid w:val="00494530"/>
    <w:rsid w:val="00494624"/>
    <w:rsid w:val="00494A5F"/>
    <w:rsid w:val="00495001"/>
    <w:rsid w:val="004956D1"/>
    <w:rsid w:val="0049597A"/>
    <w:rsid w:val="004976F9"/>
    <w:rsid w:val="004977CA"/>
    <w:rsid w:val="004977FD"/>
    <w:rsid w:val="004A0267"/>
    <w:rsid w:val="004A112E"/>
    <w:rsid w:val="004A2B7D"/>
    <w:rsid w:val="004A37F9"/>
    <w:rsid w:val="004A3919"/>
    <w:rsid w:val="004A549A"/>
    <w:rsid w:val="004A605D"/>
    <w:rsid w:val="004A69D8"/>
    <w:rsid w:val="004A76F2"/>
    <w:rsid w:val="004B1FD6"/>
    <w:rsid w:val="004B27A9"/>
    <w:rsid w:val="004B463C"/>
    <w:rsid w:val="004B488C"/>
    <w:rsid w:val="004B4C84"/>
    <w:rsid w:val="004B4DED"/>
    <w:rsid w:val="004B505E"/>
    <w:rsid w:val="004B51E3"/>
    <w:rsid w:val="004B5467"/>
    <w:rsid w:val="004B6736"/>
    <w:rsid w:val="004B6B56"/>
    <w:rsid w:val="004B6ED7"/>
    <w:rsid w:val="004B78CE"/>
    <w:rsid w:val="004B7E42"/>
    <w:rsid w:val="004C12F8"/>
    <w:rsid w:val="004C2BEE"/>
    <w:rsid w:val="004C351C"/>
    <w:rsid w:val="004C4753"/>
    <w:rsid w:val="004C509C"/>
    <w:rsid w:val="004D025B"/>
    <w:rsid w:val="004D0866"/>
    <w:rsid w:val="004D0DD7"/>
    <w:rsid w:val="004D0EAD"/>
    <w:rsid w:val="004D1209"/>
    <w:rsid w:val="004D2ABE"/>
    <w:rsid w:val="004D34EB"/>
    <w:rsid w:val="004D3B6A"/>
    <w:rsid w:val="004D4247"/>
    <w:rsid w:val="004D4BD6"/>
    <w:rsid w:val="004D540F"/>
    <w:rsid w:val="004D6328"/>
    <w:rsid w:val="004D7237"/>
    <w:rsid w:val="004D794D"/>
    <w:rsid w:val="004D7FCB"/>
    <w:rsid w:val="004E0C05"/>
    <w:rsid w:val="004E1098"/>
    <w:rsid w:val="004E2BAD"/>
    <w:rsid w:val="004E3473"/>
    <w:rsid w:val="004E4D4E"/>
    <w:rsid w:val="004E5F03"/>
    <w:rsid w:val="004E618D"/>
    <w:rsid w:val="004E752E"/>
    <w:rsid w:val="004F0052"/>
    <w:rsid w:val="004F0460"/>
    <w:rsid w:val="004F1425"/>
    <w:rsid w:val="004F2BD3"/>
    <w:rsid w:val="004F3309"/>
    <w:rsid w:val="004F3E6D"/>
    <w:rsid w:val="004F4F17"/>
    <w:rsid w:val="004F6169"/>
    <w:rsid w:val="005012F7"/>
    <w:rsid w:val="00501AEF"/>
    <w:rsid w:val="00501B4F"/>
    <w:rsid w:val="005029BC"/>
    <w:rsid w:val="00502CA1"/>
    <w:rsid w:val="005034E3"/>
    <w:rsid w:val="0050669A"/>
    <w:rsid w:val="00506A2D"/>
    <w:rsid w:val="0050739A"/>
    <w:rsid w:val="0050760D"/>
    <w:rsid w:val="005100DC"/>
    <w:rsid w:val="005101D2"/>
    <w:rsid w:val="00511660"/>
    <w:rsid w:val="00511FFD"/>
    <w:rsid w:val="00512A0D"/>
    <w:rsid w:val="00515CE9"/>
    <w:rsid w:val="00515E4E"/>
    <w:rsid w:val="00517CCE"/>
    <w:rsid w:val="00517D83"/>
    <w:rsid w:val="00520706"/>
    <w:rsid w:val="00520746"/>
    <w:rsid w:val="005216F1"/>
    <w:rsid w:val="00521F97"/>
    <w:rsid w:val="005229A0"/>
    <w:rsid w:val="00522D2E"/>
    <w:rsid w:val="00522D50"/>
    <w:rsid w:val="0052426A"/>
    <w:rsid w:val="0052712A"/>
    <w:rsid w:val="00527D92"/>
    <w:rsid w:val="005307FD"/>
    <w:rsid w:val="00530B0B"/>
    <w:rsid w:val="00530F83"/>
    <w:rsid w:val="00531BAF"/>
    <w:rsid w:val="00532FBE"/>
    <w:rsid w:val="005333BF"/>
    <w:rsid w:val="0053355D"/>
    <w:rsid w:val="00533AC9"/>
    <w:rsid w:val="00534E5A"/>
    <w:rsid w:val="0053689C"/>
    <w:rsid w:val="00537781"/>
    <w:rsid w:val="00537C89"/>
    <w:rsid w:val="005409DB"/>
    <w:rsid w:val="00540C70"/>
    <w:rsid w:val="005419F7"/>
    <w:rsid w:val="005426C1"/>
    <w:rsid w:val="00542C62"/>
    <w:rsid w:val="00543F5F"/>
    <w:rsid w:val="005442F3"/>
    <w:rsid w:val="0054553E"/>
    <w:rsid w:val="00545698"/>
    <w:rsid w:val="00545745"/>
    <w:rsid w:val="00546149"/>
    <w:rsid w:val="005461D8"/>
    <w:rsid w:val="0055163A"/>
    <w:rsid w:val="00551696"/>
    <w:rsid w:val="00551A9E"/>
    <w:rsid w:val="00551C64"/>
    <w:rsid w:val="00554347"/>
    <w:rsid w:val="00554840"/>
    <w:rsid w:val="00554AEC"/>
    <w:rsid w:val="00555089"/>
    <w:rsid w:val="00555976"/>
    <w:rsid w:val="005565F1"/>
    <w:rsid w:val="00557E58"/>
    <w:rsid w:val="0056091D"/>
    <w:rsid w:val="00562259"/>
    <w:rsid w:val="005622A9"/>
    <w:rsid w:val="005655BD"/>
    <w:rsid w:val="00565F3C"/>
    <w:rsid w:val="00566997"/>
    <w:rsid w:val="00566B4E"/>
    <w:rsid w:val="005725D3"/>
    <w:rsid w:val="00573B46"/>
    <w:rsid w:val="00573C8F"/>
    <w:rsid w:val="00574014"/>
    <w:rsid w:val="005749AB"/>
    <w:rsid w:val="00576243"/>
    <w:rsid w:val="00576C5E"/>
    <w:rsid w:val="00577C17"/>
    <w:rsid w:val="00580957"/>
    <w:rsid w:val="00581336"/>
    <w:rsid w:val="00581F42"/>
    <w:rsid w:val="0058248B"/>
    <w:rsid w:val="005824FB"/>
    <w:rsid w:val="005827A7"/>
    <w:rsid w:val="00582D85"/>
    <w:rsid w:val="00584876"/>
    <w:rsid w:val="00585B39"/>
    <w:rsid w:val="00586041"/>
    <w:rsid w:val="00586955"/>
    <w:rsid w:val="005872CE"/>
    <w:rsid w:val="0058730F"/>
    <w:rsid w:val="005875F6"/>
    <w:rsid w:val="0058769A"/>
    <w:rsid w:val="0058797C"/>
    <w:rsid w:val="005905E2"/>
    <w:rsid w:val="00591B1C"/>
    <w:rsid w:val="005937C9"/>
    <w:rsid w:val="005955BA"/>
    <w:rsid w:val="0059598D"/>
    <w:rsid w:val="00596536"/>
    <w:rsid w:val="005A0443"/>
    <w:rsid w:val="005A0B59"/>
    <w:rsid w:val="005A0CA3"/>
    <w:rsid w:val="005A230F"/>
    <w:rsid w:val="005A245A"/>
    <w:rsid w:val="005A29DB"/>
    <w:rsid w:val="005A2C7B"/>
    <w:rsid w:val="005A328C"/>
    <w:rsid w:val="005A3AFA"/>
    <w:rsid w:val="005A3DA6"/>
    <w:rsid w:val="005A689F"/>
    <w:rsid w:val="005A7987"/>
    <w:rsid w:val="005B0966"/>
    <w:rsid w:val="005B0F9A"/>
    <w:rsid w:val="005B1A42"/>
    <w:rsid w:val="005B1D03"/>
    <w:rsid w:val="005B1D42"/>
    <w:rsid w:val="005B1DC2"/>
    <w:rsid w:val="005B46BD"/>
    <w:rsid w:val="005B4D4D"/>
    <w:rsid w:val="005B4DB1"/>
    <w:rsid w:val="005B6024"/>
    <w:rsid w:val="005B6D33"/>
    <w:rsid w:val="005C162E"/>
    <w:rsid w:val="005C1B19"/>
    <w:rsid w:val="005C1B88"/>
    <w:rsid w:val="005C25C7"/>
    <w:rsid w:val="005C26F3"/>
    <w:rsid w:val="005C319D"/>
    <w:rsid w:val="005C3259"/>
    <w:rsid w:val="005C379E"/>
    <w:rsid w:val="005C417A"/>
    <w:rsid w:val="005C5E4B"/>
    <w:rsid w:val="005C658D"/>
    <w:rsid w:val="005C77A2"/>
    <w:rsid w:val="005C7FA2"/>
    <w:rsid w:val="005D0F9E"/>
    <w:rsid w:val="005D1B82"/>
    <w:rsid w:val="005D22FC"/>
    <w:rsid w:val="005D2829"/>
    <w:rsid w:val="005D32E0"/>
    <w:rsid w:val="005D3D41"/>
    <w:rsid w:val="005D53CA"/>
    <w:rsid w:val="005D586B"/>
    <w:rsid w:val="005D736F"/>
    <w:rsid w:val="005E209A"/>
    <w:rsid w:val="005E4F70"/>
    <w:rsid w:val="005E593B"/>
    <w:rsid w:val="005E5C95"/>
    <w:rsid w:val="005E6192"/>
    <w:rsid w:val="005E6267"/>
    <w:rsid w:val="005E7457"/>
    <w:rsid w:val="005E7CE8"/>
    <w:rsid w:val="005F1282"/>
    <w:rsid w:val="005F162E"/>
    <w:rsid w:val="005F16C3"/>
    <w:rsid w:val="005F19DE"/>
    <w:rsid w:val="005F204E"/>
    <w:rsid w:val="005F328B"/>
    <w:rsid w:val="005F4644"/>
    <w:rsid w:val="005F5410"/>
    <w:rsid w:val="005F601B"/>
    <w:rsid w:val="005F6547"/>
    <w:rsid w:val="005F74F3"/>
    <w:rsid w:val="006011C3"/>
    <w:rsid w:val="0060161F"/>
    <w:rsid w:val="00601D7A"/>
    <w:rsid w:val="00601E1E"/>
    <w:rsid w:val="00602907"/>
    <w:rsid w:val="00604551"/>
    <w:rsid w:val="00604B7D"/>
    <w:rsid w:val="006055E3"/>
    <w:rsid w:val="00605A28"/>
    <w:rsid w:val="00606510"/>
    <w:rsid w:val="006065D3"/>
    <w:rsid w:val="00610319"/>
    <w:rsid w:val="00610BA9"/>
    <w:rsid w:val="00610DD1"/>
    <w:rsid w:val="00613604"/>
    <w:rsid w:val="0061399D"/>
    <w:rsid w:val="00614E98"/>
    <w:rsid w:val="0061587D"/>
    <w:rsid w:val="00617712"/>
    <w:rsid w:val="00620A89"/>
    <w:rsid w:val="00621F2A"/>
    <w:rsid w:val="0062205A"/>
    <w:rsid w:val="00622822"/>
    <w:rsid w:val="0062295C"/>
    <w:rsid w:val="006234BC"/>
    <w:rsid w:val="00623AD2"/>
    <w:rsid w:val="0062425B"/>
    <w:rsid w:val="00624EBB"/>
    <w:rsid w:val="00625197"/>
    <w:rsid w:val="00625729"/>
    <w:rsid w:val="006259BD"/>
    <w:rsid w:val="00626BCD"/>
    <w:rsid w:val="0062717C"/>
    <w:rsid w:val="00627814"/>
    <w:rsid w:val="00627B16"/>
    <w:rsid w:val="00632B51"/>
    <w:rsid w:val="00633021"/>
    <w:rsid w:val="00633CD9"/>
    <w:rsid w:val="00636962"/>
    <w:rsid w:val="00636EDC"/>
    <w:rsid w:val="00636EE3"/>
    <w:rsid w:val="006410D9"/>
    <w:rsid w:val="00641AD3"/>
    <w:rsid w:val="00641EE5"/>
    <w:rsid w:val="00641FDC"/>
    <w:rsid w:val="00644420"/>
    <w:rsid w:val="0064474B"/>
    <w:rsid w:val="00644C71"/>
    <w:rsid w:val="00645E1A"/>
    <w:rsid w:val="0064622D"/>
    <w:rsid w:val="006462FA"/>
    <w:rsid w:val="00650C82"/>
    <w:rsid w:val="006520A5"/>
    <w:rsid w:val="00653DE0"/>
    <w:rsid w:val="00655172"/>
    <w:rsid w:val="00656C79"/>
    <w:rsid w:val="00657169"/>
    <w:rsid w:val="00657446"/>
    <w:rsid w:val="0065748A"/>
    <w:rsid w:val="006575E3"/>
    <w:rsid w:val="00660744"/>
    <w:rsid w:val="00660AFC"/>
    <w:rsid w:val="00660EBB"/>
    <w:rsid w:val="00661021"/>
    <w:rsid w:val="00661ACD"/>
    <w:rsid w:val="00662890"/>
    <w:rsid w:val="00663629"/>
    <w:rsid w:val="00663CC5"/>
    <w:rsid w:val="00663D25"/>
    <w:rsid w:val="0066472A"/>
    <w:rsid w:val="00665F7D"/>
    <w:rsid w:val="00666A14"/>
    <w:rsid w:val="00670660"/>
    <w:rsid w:val="00670F73"/>
    <w:rsid w:val="00672298"/>
    <w:rsid w:val="00673822"/>
    <w:rsid w:val="00674A6D"/>
    <w:rsid w:val="00674AFC"/>
    <w:rsid w:val="00675032"/>
    <w:rsid w:val="00675C9E"/>
    <w:rsid w:val="00675EAD"/>
    <w:rsid w:val="0067610D"/>
    <w:rsid w:val="00676963"/>
    <w:rsid w:val="00677359"/>
    <w:rsid w:val="00677666"/>
    <w:rsid w:val="00682125"/>
    <w:rsid w:val="006830CD"/>
    <w:rsid w:val="00683165"/>
    <w:rsid w:val="0068435A"/>
    <w:rsid w:val="00684D69"/>
    <w:rsid w:val="00684E55"/>
    <w:rsid w:val="00686AF3"/>
    <w:rsid w:val="006928F3"/>
    <w:rsid w:val="00693A6A"/>
    <w:rsid w:val="00693B0E"/>
    <w:rsid w:val="006952F5"/>
    <w:rsid w:val="00695857"/>
    <w:rsid w:val="00695D76"/>
    <w:rsid w:val="00695FAD"/>
    <w:rsid w:val="006973EE"/>
    <w:rsid w:val="00697CEE"/>
    <w:rsid w:val="006A047B"/>
    <w:rsid w:val="006A0DB3"/>
    <w:rsid w:val="006A350C"/>
    <w:rsid w:val="006A4312"/>
    <w:rsid w:val="006A4857"/>
    <w:rsid w:val="006A5596"/>
    <w:rsid w:val="006A68D0"/>
    <w:rsid w:val="006A73FD"/>
    <w:rsid w:val="006A7706"/>
    <w:rsid w:val="006A7F51"/>
    <w:rsid w:val="006B1BC0"/>
    <w:rsid w:val="006B2087"/>
    <w:rsid w:val="006B3827"/>
    <w:rsid w:val="006B4620"/>
    <w:rsid w:val="006B4ED2"/>
    <w:rsid w:val="006B5EB3"/>
    <w:rsid w:val="006B6285"/>
    <w:rsid w:val="006B6E3B"/>
    <w:rsid w:val="006B7A41"/>
    <w:rsid w:val="006C047A"/>
    <w:rsid w:val="006C0ADC"/>
    <w:rsid w:val="006C11CE"/>
    <w:rsid w:val="006C1246"/>
    <w:rsid w:val="006C1B42"/>
    <w:rsid w:val="006C285C"/>
    <w:rsid w:val="006C3A53"/>
    <w:rsid w:val="006C56C9"/>
    <w:rsid w:val="006C5DA4"/>
    <w:rsid w:val="006C67D7"/>
    <w:rsid w:val="006C7D9A"/>
    <w:rsid w:val="006C7E82"/>
    <w:rsid w:val="006D144F"/>
    <w:rsid w:val="006D567B"/>
    <w:rsid w:val="006D72C7"/>
    <w:rsid w:val="006D771E"/>
    <w:rsid w:val="006E06C6"/>
    <w:rsid w:val="006E0B76"/>
    <w:rsid w:val="006E1437"/>
    <w:rsid w:val="006E1537"/>
    <w:rsid w:val="006E18DB"/>
    <w:rsid w:val="006E1B7C"/>
    <w:rsid w:val="006E1CF0"/>
    <w:rsid w:val="006E2BDC"/>
    <w:rsid w:val="006E2EB3"/>
    <w:rsid w:val="006E3EAB"/>
    <w:rsid w:val="006E4343"/>
    <w:rsid w:val="006E44F8"/>
    <w:rsid w:val="006E4A7F"/>
    <w:rsid w:val="006E4F98"/>
    <w:rsid w:val="006E521B"/>
    <w:rsid w:val="006E5BDD"/>
    <w:rsid w:val="006E798E"/>
    <w:rsid w:val="006F110C"/>
    <w:rsid w:val="006F30B4"/>
    <w:rsid w:val="006F31C3"/>
    <w:rsid w:val="006F3F8C"/>
    <w:rsid w:val="006F46C3"/>
    <w:rsid w:val="006F5377"/>
    <w:rsid w:val="006F6E12"/>
    <w:rsid w:val="006F75DD"/>
    <w:rsid w:val="007009AA"/>
    <w:rsid w:val="00701A84"/>
    <w:rsid w:val="00701F31"/>
    <w:rsid w:val="007026E3"/>
    <w:rsid w:val="007030E8"/>
    <w:rsid w:val="007036C3"/>
    <w:rsid w:val="007045BD"/>
    <w:rsid w:val="007051D4"/>
    <w:rsid w:val="00705859"/>
    <w:rsid w:val="00706041"/>
    <w:rsid w:val="007112CD"/>
    <w:rsid w:val="00711375"/>
    <w:rsid w:val="0071219E"/>
    <w:rsid w:val="00712398"/>
    <w:rsid w:val="007123AF"/>
    <w:rsid w:val="00712A96"/>
    <w:rsid w:val="00713C77"/>
    <w:rsid w:val="0071474D"/>
    <w:rsid w:val="00716280"/>
    <w:rsid w:val="00721056"/>
    <w:rsid w:val="00721F2B"/>
    <w:rsid w:val="00723914"/>
    <w:rsid w:val="00725B88"/>
    <w:rsid w:val="00725C94"/>
    <w:rsid w:val="00726A6C"/>
    <w:rsid w:val="00726B23"/>
    <w:rsid w:val="00726DB7"/>
    <w:rsid w:val="00727E29"/>
    <w:rsid w:val="00730DA6"/>
    <w:rsid w:val="0073129B"/>
    <w:rsid w:val="00732126"/>
    <w:rsid w:val="00732304"/>
    <w:rsid w:val="00733083"/>
    <w:rsid w:val="00733388"/>
    <w:rsid w:val="007342E5"/>
    <w:rsid w:val="007343B9"/>
    <w:rsid w:val="00734B58"/>
    <w:rsid w:val="00734C1B"/>
    <w:rsid w:val="00736CE8"/>
    <w:rsid w:val="007377D1"/>
    <w:rsid w:val="00741F09"/>
    <w:rsid w:val="00742B21"/>
    <w:rsid w:val="00743283"/>
    <w:rsid w:val="007433FD"/>
    <w:rsid w:val="0074397E"/>
    <w:rsid w:val="00744517"/>
    <w:rsid w:val="00745942"/>
    <w:rsid w:val="00746C98"/>
    <w:rsid w:val="00746DE7"/>
    <w:rsid w:val="00746F1A"/>
    <w:rsid w:val="00750137"/>
    <w:rsid w:val="0075115C"/>
    <w:rsid w:val="007525B7"/>
    <w:rsid w:val="00752B19"/>
    <w:rsid w:val="00752BB4"/>
    <w:rsid w:val="007549A9"/>
    <w:rsid w:val="00755157"/>
    <w:rsid w:val="00755C94"/>
    <w:rsid w:val="0075605F"/>
    <w:rsid w:val="0075687C"/>
    <w:rsid w:val="00760472"/>
    <w:rsid w:val="00761E12"/>
    <w:rsid w:val="00766147"/>
    <w:rsid w:val="00766DD4"/>
    <w:rsid w:val="00767246"/>
    <w:rsid w:val="00770518"/>
    <w:rsid w:val="0077087F"/>
    <w:rsid w:val="0077088B"/>
    <w:rsid w:val="00770FF1"/>
    <w:rsid w:val="00771F84"/>
    <w:rsid w:val="007724D2"/>
    <w:rsid w:val="00772E30"/>
    <w:rsid w:val="00776765"/>
    <w:rsid w:val="0077695C"/>
    <w:rsid w:val="007769FC"/>
    <w:rsid w:val="00780304"/>
    <w:rsid w:val="00780470"/>
    <w:rsid w:val="00780A56"/>
    <w:rsid w:val="00785BF9"/>
    <w:rsid w:val="00787DE0"/>
    <w:rsid w:val="00787E4F"/>
    <w:rsid w:val="007908B5"/>
    <w:rsid w:val="00790A94"/>
    <w:rsid w:val="007911B2"/>
    <w:rsid w:val="00793DAE"/>
    <w:rsid w:val="007946C2"/>
    <w:rsid w:val="007951BA"/>
    <w:rsid w:val="007965C5"/>
    <w:rsid w:val="007972F1"/>
    <w:rsid w:val="0079798B"/>
    <w:rsid w:val="00797ACE"/>
    <w:rsid w:val="007A08F7"/>
    <w:rsid w:val="007A0A41"/>
    <w:rsid w:val="007A1416"/>
    <w:rsid w:val="007A159F"/>
    <w:rsid w:val="007A1E5B"/>
    <w:rsid w:val="007A203B"/>
    <w:rsid w:val="007A36C9"/>
    <w:rsid w:val="007A4461"/>
    <w:rsid w:val="007A4CF9"/>
    <w:rsid w:val="007A4E3F"/>
    <w:rsid w:val="007A5188"/>
    <w:rsid w:val="007A6512"/>
    <w:rsid w:val="007A67FD"/>
    <w:rsid w:val="007B0CB2"/>
    <w:rsid w:val="007B239D"/>
    <w:rsid w:val="007B29E3"/>
    <w:rsid w:val="007B2B09"/>
    <w:rsid w:val="007B3449"/>
    <w:rsid w:val="007B3D71"/>
    <w:rsid w:val="007B4108"/>
    <w:rsid w:val="007B435F"/>
    <w:rsid w:val="007B5213"/>
    <w:rsid w:val="007B5790"/>
    <w:rsid w:val="007B5FDA"/>
    <w:rsid w:val="007B7DDF"/>
    <w:rsid w:val="007C07CC"/>
    <w:rsid w:val="007C1C47"/>
    <w:rsid w:val="007C1ED9"/>
    <w:rsid w:val="007C292F"/>
    <w:rsid w:val="007C2D30"/>
    <w:rsid w:val="007C3EA8"/>
    <w:rsid w:val="007C447B"/>
    <w:rsid w:val="007C4B61"/>
    <w:rsid w:val="007C793D"/>
    <w:rsid w:val="007D06C7"/>
    <w:rsid w:val="007D07A2"/>
    <w:rsid w:val="007D16DC"/>
    <w:rsid w:val="007D41F4"/>
    <w:rsid w:val="007D4C26"/>
    <w:rsid w:val="007D4EF4"/>
    <w:rsid w:val="007D5CBB"/>
    <w:rsid w:val="007D60C5"/>
    <w:rsid w:val="007D6572"/>
    <w:rsid w:val="007D7CAA"/>
    <w:rsid w:val="007E0563"/>
    <w:rsid w:val="007E6590"/>
    <w:rsid w:val="007E6CFA"/>
    <w:rsid w:val="007E6FB5"/>
    <w:rsid w:val="007E76B5"/>
    <w:rsid w:val="007E78FD"/>
    <w:rsid w:val="007F33A5"/>
    <w:rsid w:val="007F34D2"/>
    <w:rsid w:val="007F363B"/>
    <w:rsid w:val="007F407D"/>
    <w:rsid w:val="007F50C5"/>
    <w:rsid w:val="007F568B"/>
    <w:rsid w:val="007F5864"/>
    <w:rsid w:val="007F675C"/>
    <w:rsid w:val="007F6A96"/>
    <w:rsid w:val="00800AF7"/>
    <w:rsid w:val="00800F31"/>
    <w:rsid w:val="00801640"/>
    <w:rsid w:val="008016DA"/>
    <w:rsid w:val="00803860"/>
    <w:rsid w:val="00803D1B"/>
    <w:rsid w:val="00804854"/>
    <w:rsid w:val="00804C75"/>
    <w:rsid w:val="00804F04"/>
    <w:rsid w:val="00805A87"/>
    <w:rsid w:val="00805D01"/>
    <w:rsid w:val="0080724A"/>
    <w:rsid w:val="0081155D"/>
    <w:rsid w:val="00811567"/>
    <w:rsid w:val="00814074"/>
    <w:rsid w:val="008141AC"/>
    <w:rsid w:val="00814ACE"/>
    <w:rsid w:val="00815876"/>
    <w:rsid w:val="00815DE7"/>
    <w:rsid w:val="00816182"/>
    <w:rsid w:val="0081785A"/>
    <w:rsid w:val="008215A0"/>
    <w:rsid w:val="00822B05"/>
    <w:rsid w:val="00823971"/>
    <w:rsid w:val="00825170"/>
    <w:rsid w:val="00826534"/>
    <w:rsid w:val="00826784"/>
    <w:rsid w:val="00826C28"/>
    <w:rsid w:val="00827F93"/>
    <w:rsid w:val="0083003E"/>
    <w:rsid w:val="0083097F"/>
    <w:rsid w:val="008309E8"/>
    <w:rsid w:val="00830D14"/>
    <w:rsid w:val="008319EC"/>
    <w:rsid w:val="008321F0"/>
    <w:rsid w:val="00832B54"/>
    <w:rsid w:val="008331F8"/>
    <w:rsid w:val="00833E5B"/>
    <w:rsid w:val="00834D6E"/>
    <w:rsid w:val="0083513D"/>
    <w:rsid w:val="00835825"/>
    <w:rsid w:val="00836317"/>
    <w:rsid w:val="008376D6"/>
    <w:rsid w:val="00840D54"/>
    <w:rsid w:val="00840DB3"/>
    <w:rsid w:val="00840F0E"/>
    <w:rsid w:val="0084183E"/>
    <w:rsid w:val="00842D0A"/>
    <w:rsid w:val="0084316D"/>
    <w:rsid w:val="00844CF6"/>
    <w:rsid w:val="0084602F"/>
    <w:rsid w:val="00847378"/>
    <w:rsid w:val="00847755"/>
    <w:rsid w:val="00847E2F"/>
    <w:rsid w:val="008508EA"/>
    <w:rsid w:val="00851FB3"/>
    <w:rsid w:val="0085267C"/>
    <w:rsid w:val="008557AF"/>
    <w:rsid w:val="008567AE"/>
    <w:rsid w:val="00856C9B"/>
    <w:rsid w:val="008602E0"/>
    <w:rsid w:val="0086125C"/>
    <w:rsid w:val="008622F6"/>
    <w:rsid w:val="008625DD"/>
    <w:rsid w:val="008631FE"/>
    <w:rsid w:val="0086397B"/>
    <w:rsid w:val="008639BD"/>
    <w:rsid w:val="00863F1F"/>
    <w:rsid w:val="00863F6B"/>
    <w:rsid w:val="00865816"/>
    <w:rsid w:val="00865A18"/>
    <w:rsid w:val="00865A39"/>
    <w:rsid w:val="0086722C"/>
    <w:rsid w:val="008707EB"/>
    <w:rsid w:val="00871514"/>
    <w:rsid w:val="008719F7"/>
    <w:rsid w:val="00873DD8"/>
    <w:rsid w:val="00873E39"/>
    <w:rsid w:val="008748DD"/>
    <w:rsid w:val="0087661F"/>
    <w:rsid w:val="00877B50"/>
    <w:rsid w:val="008804FF"/>
    <w:rsid w:val="00880C01"/>
    <w:rsid w:val="00880C4E"/>
    <w:rsid w:val="0088112B"/>
    <w:rsid w:val="00881FBD"/>
    <w:rsid w:val="0088249A"/>
    <w:rsid w:val="00882933"/>
    <w:rsid w:val="00882A6E"/>
    <w:rsid w:val="00884568"/>
    <w:rsid w:val="008846D9"/>
    <w:rsid w:val="0088534C"/>
    <w:rsid w:val="00886D39"/>
    <w:rsid w:val="00891D32"/>
    <w:rsid w:val="00892B48"/>
    <w:rsid w:val="008932B4"/>
    <w:rsid w:val="008936E5"/>
    <w:rsid w:val="008940CB"/>
    <w:rsid w:val="008946EA"/>
    <w:rsid w:val="008948B6"/>
    <w:rsid w:val="008964D9"/>
    <w:rsid w:val="008A0C4A"/>
    <w:rsid w:val="008A215B"/>
    <w:rsid w:val="008A221E"/>
    <w:rsid w:val="008A3781"/>
    <w:rsid w:val="008A4584"/>
    <w:rsid w:val="008A4F8A"/>
    <w:rsid w:val="008A5600"/>
    <w:rsid w:val="008A6265"/>
    <w:rsid w:val="008A7791"/>
    <w:rsid w:val="008B128B"/>
    <w:rsid w:val="008B17F2"/>
    <w:rsid w:val="008B3246"/>
    <w:rsid w:val="008B3A0C"/>
    <w:rsid w:val="008B4958"/>
    <w:rsid w:val="008B6D1A"/>
    <w:rsid w:val="008B6D6F"/>
    <w:rsid w:val="008B779D"/>
    <w:rsid w:val="008B7B1E"/>
    <w:rsid w:val="008C11B1"/>
    <w:rsid w:val="008C42A4"/>
    <w:rsid w:val="008C451E"/>
    <w:rsid w:val="008C479F"/>
    <w:rsid w:val="008C4B94"/>
    <w:rsid w:val="008C4D93"/>
    <w:rsid w:val="008C4FBC"/>
    <w:rsid w:val="008C5D7B"/>
    <w:rsid w:val="008C5DE5"/>
    <w:rsid w:val="008C7832"/>
    <w:rsid w:val="008D03A1"/>
    <w:rsid w:val="008D0EA5"/>
    <w:rsid w:val="008D1879"/>
    <w:rsid w:val="008D2463"/>
    <w:rsid w:val="008D2B4F"/>
    <w:rsid w:val="008D41FB"/>
    <w:rsid w:val="008D43B6"/>
    <w:rsid w:val="008D4DCF"/>
    <w:rsid w:val="008D753E"/>
    <w:rsid w:val="008E0C18"/>
    <w:rsid w:val="008E1387"/>
    <w:rsid w:val="008E17F5"/>
    <w:rsid w:val="008E206A"/>
    <w:rsid w:val="008E2938"/>
    <w:rsid w:val="008E41E0"/>
    <w:rsid w:val="008E4AD8"/>
    <w:rsid w:val="008E5399"/>
    <w:rsid w:val="008E6632"/>
    <w:rsid w:val="008E6766"/>
    <w:rsid w:val="008F1370"/>
    <w:rsid w:val="008F20E6"/>
    <w:rsid w:val="008F28E8"/>
    <w:rsid w:val="008F2DB6"/>
    <w:rsid w:val="008F46B9"/>
    <w:rsid w:val="008F6AF6"/>
    <w:rsid w:val="008F6DF6"/>
    <w:rsid w:val="008F78BF"/>
    <w:rsid w:val="00900455"/>
    <w:rsid w:val="00900ABA"/>
    <w:rsid w:val="00900FA4"/>
    <w:rsid w:val="00900FFC"/>
    <w:rsid w:val="0090152F"/>
    <w:rsid w:val="00905AE6"/>
    <w:rsid w:val="00906163"/>
    <w:rsid w:val="009070F2"/>
    <w:rsid w:val="009102B1"/>
    <w:rsid w:val="009112D5"/>
    <w:rsid w:val="009117AF"/>
    <w:rsid w:val="00913A8F"/>
    <w:rsid w:val="00913BD8"/>
    <w:rsid w:val="00913DA9"/>
    <w:rsid w:val="00913FD1"/>
    <w:rsid w:val="0091476B"/>
    <w:rsid w:val="0091482E"/>
    <w:rsid w:val="00914D8C"/>
    <w:rsid w:val="009150E0"/>
    <w:rsid w:val="00915BD0"/>
    <w:rsid w:val="00916397"/>
    <w:rsid w:val="009165B6"/>
    <w:rsid w:val="00916BB9"/>
    <w:rsid w:val="00917280"/>
    <w:rsid w:val="0091764F"/>
    <w:rsid w:val="009218FD"/>
    <w:rsid w:val="00921EF2"/>
    <w:rsid w:val="00922D1D"/>
    <w:rsid w:val="00923A54"/>
    <w:rsid w:val="00924596"/>
    <w:rsid w:val="0092577B"/>
    <w:rsid w:val="00926831"/>
    <w:rsid w:val="00927B25"/>
    <w:rsid w:val="0093010D"/>
    <w:rsid w:val="00931126"/>
    <w:rsid w:val="009311B2"/>
    <w:rsid w:val="00931BBB"/>
    <w:rsid w:val="009336D5"/>
    <w:rsid w:val="009358E2"/>
    <w:rsid w:val="00936043"/>
    <w:rsid w:val="00936940"/>
    <w:rsid w:val="00936F8B"/>
    <w:rsid w:val="00937163"/>
    <w:rsid w:val="00940CBF"/>
    <w:rsid w:val="00940D5F"/>
    <w:rsid w:val="00940E75"/>
    <w:rsid w:val="00942BA3"/>
    <w:rsid w:val="00942FF5"/>
    <w:rsid w:val="00943B39"/>
    <w:rsid w:val="00943F58"/>
    <w:rsid w:val="0094443B"/>
    <w:rsid w:val="0094469F"/>
    <w:rsid w:val="0094561E"/>
    <w:rsid w:val="00946FE4"/>
    <w:rsid w:val="00947226"/>
    <w:rsid w:val="00947848"/>
    <w:rsid w:val="0094784E"/>
    <w:rsid w:val="009478B6"/>
    <w:rsid w:val="0094793B"/>
    <w:rsid w:val="00950795"/>
    <w:rsid w:val="00950A4D"/>
    <w:rsid w:val="009513DE"/>
    <w:rsid w:val="009522E0"/>
    <w:rsid w:val="009531D4"/>
    <w:rsid w:val="0095367A"/>
    <w:rsid w:val="00953D09"/>
    <w:rsid w:val="00954401"/>
    <w:rsid w:val="0095527C"/>
    <w:rsid w:val="00955FF7"/>
    <w:rsid w:val="00956336"/>
    <w:rsid w:val="00956DBA"/>
    <w:rsid w:val="00956DCC"/>
    <w:rsid w:val="0095717E"/>
    <w:rsid w:val="009571BE"/>
    <w:rsid w:val="00957D2A"/>
    <w:rsid w:val="0096197F"/>
    <w:rsid w:val="00964057"/>
    <w:rsid w:val="00964882"/>
    <w:rsid w:val="00964999"/>
    <w:rsid w:val="00964BFB"/>
    <w:rsid w:val="00965593"/>
    <w:rsid w:val="00967161"/>
    <w:rsid w:val="009678EF"/>
    <w:rsid w:val="00967A3B"/>
    <w:rsid w:val="009713A0"/>
    <w:rsid w:val="00972361"/>
    <w:rsid w:val="00972737"/>
    <w:rsid w:val="00972764"/>
    <w:rsid w:val="009727B4"/>
    <w:rsid w:val="00972D10"/>
    <w:rsid w:val="0097599B"/>
    <w:rsid w:val="009763A1"/>
    <w:rsid w:val="00976894"/>
    <w:rsid w:val="0098095B"/>
    <w:rsid w:val="00981293"/>
    <w:rsid w:val="009812B2"/>
    <w:rsid w:val="009816BB"/>
    <w:rsid w:val="0098332A"/>
    <w:rsid w:val="00983476"/>
    <w:rsid w:val="00984168"/>
    <w:rsid w:val="009841D2"/>
    <w:rsid w:val="009845A0"/>
    <w:rsid w:val="0098472D"/>
    <w:rsid w:val="0098473F"/>
    <w:rsid w:val="00984E29"/>
    <w:rsid w:val="0098548A"/>
    <w:rsid w:val="009857A5"/>
    <w:rsid w:val="00985B61"/>
    <w:rsid w:val="009864D2"/>
    <w:rsid w:val="00986EC3"/>
    <w:rsid w:val="009874CD"/>
    <w:rsid w:val="0098760F"/>
    <w:rsid w:val="00987946"/>
    <w:rsid w:val="00990D37"/>
    <w:rsid w:val="009914DB"/>
    <w:rsid w:val="00993DD3"/>
    <w:rsid w:val="00995C8F"/>
    <w:rsid w:val="0099765D"/>
    <w:rsid w:val="00997DBB"/>
    <w:rsid w:val="009A0419"/>
    <w:rsid w:val="009A21F7"/>
    <w:rsid w:val="009A24A1"/>
    <w:rsid w:val="009A6828"/>
    <w:rsid w:val="009A682E"/>
    <w:rsid w:val="009A77FB"/>
    <w:rsid w:val="009B005A"/>
    <w:rsid w:val="009B115E"/>
    <w:rsid w:val="009B29E3"/>
    <w:rsid w:val="009B46E3"/>
    <w:rsid w:val="009B53DD"/>
    <w:rsid w:val="009B54E6"/>
    <w:rsid w:val="009B57BD"/>
    <w:rsid w:val="009B5AC0"/>
    <w:rsid w:val="009B6A7A"/>
    <w:rsid w:val="009C0579"/>
    <w:rsid w:val="009C0DC1"/>
    <w:rsid w:val="009C2700"/>
    <w:rsid w:val="009C2F1C"/>
    <w:rsid w:val="009C390B"/>
    <w:rsid w:val="009C409D"/>
    <w:rsid w:val="009C42F0"/>
    <w:rsid w:val="009C54A4"/>
    <w:rsid w:val="009C5D2B"/>
    <w:rsid w:val="009C608D"/>
    <w:rsid w:val="009D0589"/>
    <w:rsid w:val="009D0A6C"/>
    <w:rsid w:val="009D0E76"/>
    <w:rsid w:val="009D0EB0"/>
    <w:rsid w:val="009D0F98"/>
    <w:rsid w:val="009D38D1"/>
    <w:rsid w:val="009D3F99"/>
    <w:rsid w:val="009E1407"/>
    <w:rsid w:val="009E20DB"/>
    <w:rsid w:val="009E280D"/>
    <w:rsid w:val="009E28DC"/>
    <w:rsid w:val="009E2C44"/>
    <w:rsid w:val="009E31DA"/>
    <w:rsid w:val="009E3CF4"/>
    <w:rsid w:val="009E3F4F"/>
    <w:rsid w:val="009E4354"/>
    <w:rsid w:val="009E4449"/>
    <w:rsid w:val="009E77CE"/>
    <w:rsid w:val="009F1AC6"/>
    <w:rsid w:val="009F30AA"/>
    <w:rsid w:val="009F39D9"/>
    <w:rsid w:val="009F3D52"/>
    <w:rsid w:val="009F46DE"/>
    <w:rsid w:val="009F58D6"/>
    <w:rsid w:val="009F5CFC"/>
    <w:rsid w:val="009F7053"/>
    <w:rsid w:val="00A00218"/>
    <w:rsid w:val="00A00586"/>
    <w:rsid w:val="00A00B02"/>
    <w:rsid w:val="00A01041"/>
    <w:rsid w:val="00A013E6"/>
    <w:rsid w:val="00A0204F"/>
    <w:rsid w:val="00A02DC3"/>
    <w:rsid w:val="00A03AF9"/>
    <w:rsid w:val="00A057B3"/>
    <w:rsid w:val="00A05978"/>
    <w:rsid w:val="00A059CF"/>
    <w:rsid w:val="00A064C0"/>
    <w:rsid w:val="00A067C0"/>
    <w:rsid w:val="00A07166"/>
    <w:rsid w:val="00A0759E"/>
    <w:rsid w:val="00A1079F"/>
    <w:rsid w:val="00A10A26"/>
    <w:rsid w:val="00A10D4C"/>
    <w:rsid w:val="00A12588"/>
    <w:rsid w:val="00A12E63"/>
    <w:rsid w:val="00A14067"/>
    <w:rsid w:val="00A14161"/>
    <w:rsid w:val="00A161A9"/>
    <w:rsid w:val="00A17C0C"/>
    <w:rsid w:val="00A20C87"/>
    <w:rsid w:val="00A214E6"/>
    <w:rsid w:val="00A21F26"/>
    <w:rsid w:val="00A236AA"/>
    <w:rsid w:val="00A239C4"/>
    <w:rsid w:val="00A24AE5"/>
    <w:rsid w:val="00A26987"/>
    <w:rsid w:val="00A27041"/>
    <w:rsid w:val="00A2705E"/>
    <w:rsid w:val="00A27544"/>
    <w:rsid w:val="00A27AD2"/>
    <w:rsid w:val="00A27FC5"/>
    <w:rsid w:val="00A31D81"/>
    <w:rsid w:val="00A31E31"/>
    <w:rsid w:val="00A31FBE"/>
    <w:rsid w:val="00A32FE4"/>
    <w:rsid w:val="00A33EF4"/>
    <w:rsid w:val="00A34367"/>
    <w:rsid w:val="00A355B3"/>
    <w:rsid w:val="00A3571C"/>
    <w:rsid w:val="00A37284"/>
    <w:rsid w:val="00A40975"/>
    <w:rsid w:val="00A40B09"/>
    <w:rsid w:val="00A40E53"/>
    <w:rsid w:val="00A41FD2"/>
    <w:rsid w:val="00A443E0"/>
    <w:rsid w:val="00A47F7A"/>
    <w:rsid w:val="00A51D94"/>
    <w:rsid w:val="00A51E2E"/>
    <w:rsid w:val="00A53C1E"/>
    <w:rsid w:val="00A53CEA"/>
    <w:rsid w:val="00A549E2"/>
    <w:rsid w:val="00A54A28"/>
    <w:rsid w:val="00A57970"/>
    <w:rsid w:val="00A57A63"/>
    <w:rsid w:val="00A6216F"/>
    <w:rsid w:val="00A62D74"/>
    <w:rsid w:val="00A64CF3"/>
    <w:rsid w:val="00A64CFB"/>
    <w:rsid w:val="00A660F9"/>
    <w:rsid w:val="00A7044F"/>
    <w:rsid w:val="00A7108D"/>
    <w:rsid w:val="00A710DF"/>
    <w:rsid w:val="00A71467"/>
    <w:rsid w:val="00A71821"/>
    <w:rsid w:val="00A71C6A"/>
    <w:rsid w:val="00A74B5E"/>
    <w:rsid w:val="00A752BC"/>
    <w:rsid w:val="00A75A0E"/>
    <w:rsid w:val="00A75AAB"/>
    <w:rsid w:val="00A76D8F"/>
    <w:rsid w:val="00A77068"/>
    <w:rsid w:val="00A77434"/>
    <w:rsid w:val="00A777D8"/>
    <w:rsid w:val="00A77C2A"/>
    <w:rsid w:val="00A802F6"/>
    <w:rsid w:val="00A80521"/>
    <w:rsid w:val="00A8150A"/>
    <w:rsid w:val="00A83315"/>
    <w:rsid w:val="00A83523"/>
    <w:rsid w:val="00A8366F"/>
    <w:rsid w:val="00A83DC5"/>
    <w:rsid w:val="00A83DE4"/>
    <w:rsid w:val="00A83FD8"/>
    <w:rsid w:val="00A8455C"/>
    <w:rsid w:val="00A84C2F"/>
    <w:rsid w:val="00A86BC1"/>
    <w:rsid w:val="00A909F4"/>
    <w:rsid w:val="00A90FFC"/>
    <w:rsid w:val="00A91A12"/>
    <w:rsid w:val="00A92362"/>
    <w:rsid w:val="00A92D0F"/>
    <w:rsid w:val="00A92DDF"/>
    <w:rsid w:val="00A93CEE"/>
    <w:rsid w:val="00A9490F"/>
    <w:rsid w:val="00A95DBF"/>
    <w:rsid w:val="00A97ECB"/>
    <w:rsid w:val="00AA0676"/>
    <w:rsid w:val="00AA273F"/>
    <w:rsid w:val="00AA5798"/>
    <w:rsid w:val="00AA6A61"/>
    <w:rsid w:val="00AA74C2"/>
    <w:rsid w:val="00AA77E6"/>
    <w:rsid w:val="00AA7D1C"/>
    <w:rsid w:val="00AB069B"/>
    <w:rsid w:val="00AB1247"/>
    <w:rsid w:val="00AB134A"/>
    <w:rsid w:val="00AB22FD"/>
    <w:rsid w:val="00AB249C"/>
    <w:rsid w:val="00AB2E17"/>
    <w:rsid w:val="00AB3141"/>
    <w:rsid w:val="00AB3F3C"/>
    <w:rsid w:val="00AB4DA8"/>
    <w:rsid w:val="00AB4FA9"/>
    <w:rsid w:val="00AB53F6"/>
    <w:rsid w:val="00AB5EF7"/>
    <w:rsid w:val="00AB609D"/>
    <w:rsid w:val="00AB66B8"/>
    <w:rsid w:val="00AB6EDE"/>
    <w:rsid w:val="00AB74F6"/>
    <w:rsid w:val="00AB7C45"/>
    <w:rsid w:val="00AC09B6"/>
    <w:rsid w:val="00AC12CA"/>
    <w:rsid w:val="00AC2268"/>
    <w:rsid w:val="00AC3363"/>
    <w:rsid w:val="00AC3B84"/>
    <w:rsid w:val="00AC3E69"/>
    <w:rsid w:val="00AC487F"/>
    <w:rsid w:val="00AC6253"/>
    <w:rsid w:val="00AC719F"/>
    <w:rsid w:val="00AD0E44"/>
    <w:rsid w:val="00AD4728"/>
    <w:rsid w:val="00AD4B19"/>
    <w:rsid w:val="00AD4C93"/>
    <w:rsid w:val="00AD5508"/>
    <w:rsid w:val="00AD746E"/>
    <w:rsid w:val="00AD75D8"/>
    <w:rsid w:val="00AD7CAC"/>
    <w:rsid w:val="00AD7DE4"/>
    <w:rsid w:val="00AE1A84"/>
    <w:rsid w:val="00AE2B32"/>
    <w:rsid w:val="00AE3D01"/>
    <w:rsid w:val="00AE4747"/>
    <w:rsid w:val="00AE4FC4"/>
    <w:rsid w:val="00AE5260"/>
    <w:rsid w:val="00AE5CF7"/>
    <w:rsid w:val="00AE5EAC"/>
    <w:rsid w:val="00AE67B6"/>
    <w:rsid w:val="00AE6861"/>
    <w:rsid w:val="00AE6902"/>
    <w:rsid w:val="00AE71CF"/>
    <w:rsid w:val="00AF0289"/>
    <w:rsid w:val="00AF08A4"/>
    <w:rsid w:val="00AF0D29"/>
    <w:rsid w:val="00AF17DC"/>
    <w:rsid w:val="00AF2F12"/>
    <w:rsid w:val="00AF3442"/>
    <w:rsid w:val="00AF3762"/>
    <w:rsid w:val="00AF49A0"/>
    <w:rsid w:val="00AF5D13"/>
    <w:rsid w:val="00AF6DD3"/>
    <w:rsid w:val="00AF7736"/>
    <w:rsid w:val="00AF782A"/>
    <w:rsid w:val="00AF7CFA"/>
    <w:rsid w:val="00B0104C"/>
    <w:rsid w:val="00B01A0B"/>
    <w:rsid w:val="00B01CD0"/>
    <w:rsid w:val="00B031A6"/>
    <w:rsid w:val="00B03B08"/>
    <w:rsid w:val="00B04B21"/>
    <w:rsid w:val="00B04DB9"/>
    <w:rsid w:val="00B05EB7"/>
    <w:rsid w:val="00B06086"/>
    <w:rsid w:val="00B0641E"/>
    <w:rsid w:val="00B07759"/>
    <w:rsid w:val="00B10AB8"/>
    <w:rsid w:val="00B128CB"/>
    <w:rsid w:val="00B12FB2"/>
    <w:rsid w:val="00B14A65"/>
    <w:rsid w:val="00B161CE"/>
    <w:rsid w:val="00B17226"/>
    <w:rsid w:val="00B1739F"/>
    <w:rsid w:val="00B2037B"/>
    <w:rsid w:val="00B20435"/>
    <w:rsid w:val="00B20689"/>
    <w:rsid w:val="00B216AE"/>
    <w:rsid w:val="00B2193F"/>
    <w:rsid w:val="00B22D70"/>
    <w:rsid w:val="00B253DD"/>
    <w:rsid w:val="00B258D8"/>
    <w:rsid w:val="00B25DE3"/>
    <w:rsid w:val="00B26048"/>
    <w:rsid w:val="00B27C5E"/>
    <w:rsid w:val="00B306D8"/>
    <w:rsid w:val="00B30F59"/>
    <w:rsid w:val="00B32120"/>
    <w:rsid w:val="00B3233C"/>
    <w:rsid w:val="00B34169"/>
    <w:rsid w:val="00B3442D"/>
    <w:rsid w:val="00B34D4C"/>
    <w:rsid w:val="00B34FC1"/>
    <w:rsid w:val="00B361FF"/>
    <w:rsid w:val="00B40AC5"/>
    <w:rsid w:val="00B40DB4"/>
    <w:rsid w:val="00B41E4A"/>
    <w:rsid w:val="00B41F6B"/>
    <w:rsid w:val="00B42C68"/>
    <w:rsid w:val="00B43529"/>
    <w:rsid w:val="00B45726"/>
    <w:rsid w:val="00B45828"/>
    <w:rsid w:val="00B46FEF"/>
    <w:rsid w:val="00B470E5"/>
    <w:rsid w:val="00B4722B"/>
    <w:rsid w:val="00B47646"/>
    <w:rsid w:val="00B47B86"/>
    <w:rsid w:val="00B50BCD"/>
    <w:rsid w:val="00B50E10"/>
    <w:rsid w:val="00B50E37"/>
    <w:rsid w:val="00B516BC"/>
    <w:rsid w:val="00B517BC"/>
    <w:rsid w:val="00B51807"/>
    <w:rsid w:val="00B51936"/>
    <w:rsid w:val="00B51D11"/>
    <w:rsid w:val="00B52066"/>
    <w:rsid w:val="00B52304"/>
    <w:rsid w:val="00B52358"/>
    <w:rsid w:val="00B53724"/>
    <w:rsid w:val="00B538C4"/>
    <w:rsid w:val="00B5565F"/>
    <w:rsid w:val="00B568D1"/>
    <w:rsid w:val="00B56F9E"/>
    <w:rsid w:val="00B57049"/>
    <w:rsid w:val="00B57DBB"/>
    <w:rsid w:val="00B6040F"/>
    <w:rsid w:val="00B60D18"/>
    <w:rsid w:val="00B60E79"/>
    <w:rsid w:val="00B6264C"/>
    <w:rsid w:val="00B63793"/>
    <w:rsid w:val="00B63C7B"/>
    <w:rsid w:val="00B65B8E"/>
    <w:rsid w:val="00B70939"/>
    <w:rsid w:val="00B70AB4"/>
    <w:rsid w:val="00B718FB"/>
    <w:rsid w:val="00B729FB"/>
    <w:rsid w:val="00B74242"/>
    <w:rsid w:val="00B752A8"/>
    <w:rsid w:val="00B754DD"/>
    <w:rsid w:val="00B756FD"/>
    <w:rsid w:val="00B759AD"/>
    <w:rsid w:val="00B76B0D"/>
    <w:rsid w:val="00B76EAC"/>
    <w:rsid w:val="00B77DCB"/>
    <w:rsid w:val="00B80B5A"/>
    <w:rsid w:val="00B82CF7"/>
    <w:rsid w:val="00B82E6C"/>
    <w:rsid w:val="00B8318E"/>
    <w:rsid w:val="00B83298"/>
    <w:rsid w:val="00B83E5B"/>
    <w:rsid w:val="00B840FF"/>
    <w:rsid w:val="00B84A8B"/>
    <w:rsid w:val="00B84AD5"/>
    <w:rsid w:val="00B84BA7"/>
    <w:rsid w:val="00B850F5"/>
    <w:rsid w:val="00B8570F"/>
    <w:rsid w:val="00B86E23"/>
    <w:rsid w:val="00B86F2F"/>
    <w:rsid w:val="00B87737"/>
    <w:rsid w:val="00B87855"/>
    <w:rsid w:val="00B8792A"/>
    <w:rsid w:val="00B87E24"/>
    <w:rsid w:val="00B916D6"/>
    <w:rsid w:val="00B91C97"/>
    <w:rsid w:val="00B923D8"/>
    <w:rsid w:val="00B924CB"/>
    <w:rsid w:val="00B92C19"/>
    <w:rsid w:val="00B94166"/>
    <w:rsid w:val="00B958DA"/>
    <w:rsid w:val="00B95D05"/>
    <w:rsid w:val="00B9606C"/>
    <w:rsid w:val="00B96D11"/>
    <w:rsid w:val="00B97AB6"/>
    <w:rsid w:val="00B97DF1"/>
    <w:rsid w:val="00B97E9D"/>
    <w:rsid w:val="00BA1742"/>
    <w:rsid w:val="00BA29E5"/>
    <w:rsid w:val="00BA2D2D"/>
    <w:rsid w:val="00BA35A1"/>
    <w:rsid w:val="00BA40DC"/>
    <w:rsid w:val="00BA4A15"/>
    <w:rsid w:val="00BA6A1E"/>
    <w:rsid w:val="00BA779B"/>
    <w:rsid w:val="00BB12EC"/>
    <w:rsid w:val="00BB14E3"/>
    <w:rsid w:val="00BB156E"/>
    <w:rsid w:val="00BB167E"/>
    <w:rsid w:val="00BB184C"/>
    <w:rsid w:val="00BB20AB"/>
    <w:rsid w:val="00BB4C07"/>
    <w:rsid w:val="00BB6955"/>
    <w:rsid w:val="00BC31D7"/>
    <w:rsid w:val="00BC475D"/>
    <w:rsid w:val="00BC5B66"/>
    <w:rsid w:val="00BC6182"/>
    <w:rsid w:val="00BC7BDB"/>
    <w:rsid w:val="00BD0888"/>
    <w:rsid w:val="00BD0E92"/>
    <w:rsid w:val="00BD16CC"/>
    <w:rsid w:val="00BD2382"/>
    <w:rsid w:val="00BD389F"/>
    <w:rsid w:val="00BD38A7"/>
    <w:rsid w:val="00BD3F81"/>
    <w:rsid w:val="00BD4251"/>
    <w:rsid w:val="00BD4CB1"/>
    <w:rsid w:val="00BD4D58"/>
    <w:rsid w:val="00BD4F10"/>
    <w:rsid w:val="00BD5130"/>
    <w:rsid w:val="00BD5685"/>
    <w:rsid w:val="00BD56F4"/>
    <w:rsid w:val="00BD58EC"/>
    <w:rsid w:val="00BD6AE4"/>
    <w:rsid w:val="00BD6C5E"/>
    <w:rsid w:val="00BD7122"/>
    <w:rsid w:val="00BD7527"/>
    <w:rsid w:val="00BD79C4"/>
    <w:rsid w:val="00BE0628"/>
    <w:rsid w:val="00BE11E1"/>
    <w:rsid w:val="00BE1564"/>
    <w:rsid w:val="00BE17E4"/>
    <w:rsid w:val="00BE1F3A"/>
    <w:rsid w:val="00BE1F7A"/>
    <w:rsid w:val="00BE40A3"/>
    <w:rsid w:val="00BE5002"/>
    <w:rsid w:val="00BE52C6"/>
    <w:rsid w:val="00BE6138"/>
    <w:rsid w:val="00BE6BE1"/>
    <w:rsid w:val="00BF1014"/>
    <w:rsid w:val="00BF1EA6"/>
    <w:rsid w:val="00BF1F32"/>
    <w:rsid w:val="00BF3487"/>
    <w:rsid w:val="00BF3C2B"/>
    <w:rsid w:val="00BF4EBD"/>
    <w:rsid w:val="00BF4F39"/>
    <w:rsid w:val="00BF5005"/>
    <w:rsid w:val="00BF6789"/>
    <w:rsid w:val="00BF71A8"/>
    <w:rsid w:val="00BF7CA8"/>
    <w:rsid w:val="00C000E6"/>
    <w:rsid w:val="00C007BC"/>
    <w:rsid w:val="00C018FE"/>
    <w:rsid w:val="00C02ECF"/>
    <w:rsid w:val="00C04D6B"/>
    <w:rsid w:val="00C04F57"/>
    <w:rsid w:val="00C06252"/>
    <w:rsid w:val="00C062CA"/>
    <w:rsid w:val="00C10A53"/>
    <w:rsid w:val="00C114E1"/>
    <w:rsid w:val="00C11B1A"/>
    <w:rsid w:val="00C12447"/>
    <w:rsid w:val="00C136A3"/>
    <w:rsid w:val="00C137B7"/>
    <w:rsid w:val="00C142D3"/>
    <w:rsid w:val="00C15196"/>
    <w:rsid w:val="00C1558A"/>
    <w:rsid w:val="00C15A17"/>
    <w:rsid w:val="00C16717"/>
    <w:rsid w:val="00C16E65"/>
    <w:rsid w:val="00C175E8"/>
    <w:rsid w:val="00C22324"/>
    <w:rsid w:val="00C23328"/>
    <w:rsid w:val="00C234AD"/>
    <w:rsid w:val="00C24458"/>
    <w:rsid w:val="00C2451E"/>
    <w:rsid w:val="00C24695"/>
    <w:rsid w:val="00C25167"/>
    <w:rsid w:val="00C26986"/>
    <w:rsid w:val="00C26BD7"/>
    <w:rsid w:val="00C273D4"/>
    <w:rsid w:val="00C27890"/>
    <w:rsid w:val="00C30FF5"/>
    <w:rsid w:val="00C33549"/>
    <w:rsid w:val="00C338AF"/>
    <w:rsid w:val="00C33ADF"/>
    <w:rsid w:val="00C36E71"/>
    <w:rsid w:val="00C36F9D"/>
    <w:rsid w:val="00C409F2"/>
    <w:rsid w:val="00C40EFF"/>
    <w:rsid w:val="00C426BD"/>
    <w:rsid w:val="00C427EF"/>
    <w:rsid w:val="00C4498C"/>
    <w:rsid w:val="00C455DC"/>
    <w:rsid w:val="00C46569"/>
    <w:rsid w:val="00C465CD"/>
    <w:rsid w:val="00C46AD6"/>
    <w:rsid w:val="00C473A5"/>
    <w:rsid w:val="00C47EFF"/>
    <w:rsid w:val="00C50F27"/>
    <w:rsid w:val="00C52432"/>
    <w:rsid w:val="00C53861"/>
    <w:rsid w:val="00C53AA6"/>
    <w:rsid w:val="00C53DCB"/>
    <w:rsid w:val="00C55458"/>
    <w:rsid w:val="00C55A31"/>
    <w:rsid w:val="00C55FDC"/>
    <w:rsid w:val="00C561A1"/>
    <w:rsid w:val="00C57185"/>
    <w:rsid w:val="00C575DC"/>
    <w:rsid w:val="00C60031"/>
    <w:rsid w:val="00C60374"/>
    <w:rsid w:val="00C60A20"/>
    <w:rsid w:val="00C61B39"/>
    <w:rsid w:val="00C650E2"/>
    <w:rsid w:val="00C656FD"/>
    <w:rsid w:val="00C65F10"/>
    <w:rsid w:val="00C66CD5"/>
    <w:rsid w:val="00C7157A"/>
    <w:rsid w:val="00C738A5"/>
    <w:rsid w:val="00C740CD"/>
    <w:rsid w:val="00C74CE6"/>
    <w:rsid w:val="00C750F1"/>
    <w:rsid w:val="00C75439"/>
    <w:rsid w:val="00C75CB4"/>
    <w:rsid w:val="00C75D0D"/>
    <w:rsid w:val="00C76152"/>
    <w:rsid w:val="00C77695"/>
    <w:rsid w:val="00C776FC"/>
    <w:rsid w:val="00C77D07"/>
    <w:rsid w:val="00C8014F"/>
    <w:rsid w:val="00C8145F"/>
    <w:rsid w:val="00C8182A"/>
    <w:rsid w:val="00C81ABC"/>
    <w:rsid w:val="00C8459E"/>
    <w:rsid w:val="00C85444"/>
    <w:rsid w:val="00C854C6"/>
    <w:rsid w:val="00C87499"/>
    <w:rsid w:val="00C87D83"/>
    <w:rsid w:val="00C913DA"/>
    <w:rsid w:val="00C91FE6"/>
    <w:rsid w:val="00C9312C"/>
    <w:rsid w:val="00C936C7"/>
    <w:rsid w:val="00C95151"/>
    <w:rsid w:val="00C97537"/>
    <w:rsid w:val="00C975F0"/>
    <w:rsid w:val="00C97B27"/>
    <w:rsid w:val="00C97FB4"/>
    <w:rsid w:val="00CA039A"/>
    <w:rsid w:val="00CA0A07"/>
    <w:rsid w:val="00CA1260"/>
    <w:rsid w:val="00CA2106"/>
    <w:rsid w:val="00CA4107"/>
    <w:rsid w:val="00CA4761"/>
    <w:rsid w:val="00CA54D2"/>
    <w:rsid w:val="00CA6029"/>
    <w:rsid w:val="00CB1CFE"/>
    <w:rsid w:val="00CB2000"/>
    <w:rsid w:val="00CB48A6"/>
    <w:rsid w:val="00CB621C"/>
    <w:rsid w:val="00CB6371"/>
    <w:rsid w:val="00CB684E"/>
    <w:rsid w:val="00CB74F5"/>
    <w:rsid w:val="00CC02F2"/>
    <w:rsid w:val="00CC10AF"/>
    <w:rsid w:val="00CC1569"/>
    <w:rsid w:val="00CC3289"/>
    <w:rsid w:val="00CC3746"/>
    <w:rsid w:val="00CC3C36"/>
    <w:rsid w:val="00CC4FF5"/>
    <w:rsid w:val="00CC5C32"/>
    <w:rsid w:val="00CC6621"/>
    <w:rsid w:val="00CC69FA"/>
    <w:rsid w:val="00CC6A46"/>
    <w:rsid w:val="00CC6B34"/>
    <w:rsid w:val="00CC7C07"/>
    <w:rsid w:val="00CD09B4"/>
    <w:rsid w:val="00CD0E2D"/>
    <w:rsid w:val="00CD14E9"/>
    <w:rsid w:val="00CD235A"/>
    <w:rsid w:val="00CD38C7"/>
    <w:rsid w:val="00CD4661"/>
    <w:rsid w:val="00CD5446"/>
    <w:rsid w:val="00CD6EE8"/>
    <w:rsid w:val="00CD737F"/>
    <w:rsid w:val="00CD7773"/>
    <w:rsid w:val="00CE211C"/>
    <w:rsid w:val="00CE2AE1"/>
    <w:rsid w:val="00CE363D"/>
    <w:rsid w:val="00CE3C51"/>
    <w:rsid w:val="00CE691B"/>
    <w:rsid w:val="00CE6C96"/>
    <w:rsid w:val="00CE78B9"/>
    <w:rsid w:val="00CE78DD"/>
    <w:rsid w:val="00CE78E4"/>
    <w:rsid w:val="00CE7E27"/>
    <w:rsid w:val="00CF0367"/>
    <w:rsid w:val="00CF0FFC"/>
    <w:rsid w:val="00CF1A27"/>
    <w:rsid w:val="00CF237E"/>
    <w:rsid w:val="00CF24BB"/>
    <w:rsid w:val="00CF48A1"/>
    <w:rsid w:val="00CF4CDC"/>
    <w:rsid w:val="00CF4D9F"/>
    <w:rsid w:val="00CF5CD9"/>
    <w:rsid w:val="00CF67F1"/>
    <w:rsid w:val="00CF73F2"/>
    <w:rsid w:val="00CF7486"/>
    <w:rsid w:val="00CF7772"/>
    <w:rsid w:val="00D00DAC"/>
    <w:rsid w:val="00D01E73"/>
    <w:rsid w:val="00D02EC1"/>
    <w:rsid w:val="00D0314D"/>
    <w:rsid w:val="00D03A85"/>
    <w:rsid w:val="00D04E4E"/>
    <w:rsid w:val="00D05D5C"/>
    <w:rsid w:val="00D05F0E"/>
    <w:rsid w:val="00D0693F"/>
    <w:rsid w:val="00D1028B"/>
    <w:rsid w:val="00D11074"/>
    <w:rsid w:val="00D12612"/>
    <w:rsid w:val="00D13DA8"/>
    <w:rsid w:val="00D13E49"/>
    <w:rsid w:val="00D14C32"/>
    <w:rsid w:val="00D164E8"/>
    <w:rsid w:val="00D17618"/>
    <w:rsid w:val="00D17F26"/>
    <w:rsid w:val="00D20931"/>
    <w:rsid w:val="00D2120A"/>
    <w:rsid w:val="00D21D38"/>
    <w:rsid w:val="00D24844"/>
    <w:rsid w:val="00D26006"/>
    <w:rsid w:val="00D2665C"/>
    <w:rsid w:val="00D30DE7"/>
    <w:rsid w:val="00D31A22"/>
    <w:rsid w:val="00D32320"/>
    <w:rsid w:val="00D32C1E"/>
    <w:rsid w:val="00D32CD6"/>
    <w:rsid w:val="00D355AF"/>
    <w:rsid w:val="00D367F7"/>
    <w:rsid w:val="00D37527"/>
    <w:rsid w:val="00D378B4"/>
    <w:rsid w:val="00D4185E"/>
    <w:rsid w:val="00D41BB6"/>
    <w:rsid w:val="00D4242F"/>
    <w:rsid w:val="00D424F4"/>
    <w:rsid w:val="00D42CA3"/>
    <w:rsid w:val="00D4316F"/>
    <w:rsid w:val="00D44563"/>
    <w:rsid w:val="00D5132E"/>
    <w:rsid w:val="00D532A0"/>
    <w:rsid w:val="00D5337D"/>
    <w:rsid w:val="00D53670"/>
    <w:rsid w:val="00D538D9"/>
    <w:rsid w:val="00D54455"/>
    <w:rsid w:val="00D55740"/>
    <w:rsid w:val="00D57DAA"/>
    <w:rsid w:val="00D57F85"/>
    <w:rsid w:val="00D613F7"/>
    <w:rsid w:val="00D6190A"/>
    <w:rsid w:val="00D61E00"/>
    <w:rsid w:val="00D61F1F"/>
    <w:rsid w:val="00D63500"/>
    <w:rsid w:val="00D63B31"/>
    <w:rsid w:val="00D640F5"/>
    <w:rsid w:val="00D6563F"/>
    <w:rsid w:val="00D661CF"/>
    <w:rsid w:val="00D66F5E"/>
    <w:rsid w:val="00D67254"/>
    <w:rsid w:val="00D6771B"/>
    <w:rsid w:val="00D67C13"/>
    <w:rsid w:val="00D67DC9"/>
    <w:rsid w:val="00D70137"/>
    <w:rsid w:val="00D70B9C"/>
    <w:rsid w:val="00D711AF"/>
    <w:rsid w:val="00D71664"/>
    <w:rsid w:val="00D7199F"/>
    <w:rsid w:val="00D71AF2"/>
    <w:rsid w:val="00D732FA"/>
    <w:rsid w:val="00D73671"/>
    <w:rsid w:val="00D74914"/>
    <w:rsid w:val="00D75633"/>
    <w:rsid w:val="00D75821"/>
    <w:rsid w:val="00D763A3"/>
    <w:rsid w:val="00D7651E"/>
    <w:rsid w:val="00D765FC"/>
    <w:rsid w:val="00D769A5"/>
    <w:rsid w:val="00D77DDB"/>
    <w:rsid w:val="00D80AC9"/>
    <w:rsid w:val="00D80CDC"/>
    <w:rsid w:val="00D821D1"/>
    <w:rsid w:val="00D8220D"/>
    <w:rsid w:val="00D8264B"/>
    <w:rsid w:val="00D827A7"/>
    <w:rsid w:val="00D82B53"/>
    <w:rsid w:val="00D83964"/>
    <w:rsid w:val="00D83D70"/>
    <w:rsid w:val="00D861CD"/>
    <w:rsid w:val="00D870B4"/>
    <w:rsid w:val="00D8763F"/>
    <w:rsid w:val="00D8767F"/>
    <w:rsid w:val="00D879E6"/>
    <w:rsid w:val="00D9028D"/>
    <w:rsid w:val="00D90DFF"/>
    <w:rsid w:val="00D90E2B"/>
    <w:rsid w:val="00D90E59"/>
    <w:rsid w:val="00D91990"/>
    <w:rsid w:val="00D91F21"/>
    <w:rsid w:val="00D92205"/>
    <w:rsid w:val="00D935CD"/>
    <w:rsid w:val="00D9377C"/>
    <w:rsid w:val="00D94273"/>
    <w:rsid w:val="00D944A0"/>
    <w:rsid w:val="00D946E9"/>
    <w:rsid w:val="00D9480A"/>
    <w:rsid w:val="00D95BB3"/>
    <w:rsid w:val="00D9680C"/>
    <w:rsid w:val="00D968A1"/>
    <w:rsid w:val="00D969B9"/>
    <w:rsid w:val="00D976DF"/>
    <w:rsid w:val="00DA1D6D"/>
    <w:rsid w:val="00DA3C2E"/>
    <w:rsid w:val="00DA3C81"/>
    <w:rsid w:val="00DA40A7"/>
    <w:rsid w:val="00DA47F3"/>
    <w:rsid w:val="00DA63B9"/>
    <w:rsid w:val="00DA7EB6"/>
    <w:rsid w:val="00DB1859"/>
    <w:rsid w:val="00DB2502"/>
    <w:rsid w:val="00DB3262"/>
    <w:rsid w:val="00DB442A"/>
    <w:rsid w:val="00DB45CC"/>
    <w:rsid w:val="00DB521C"/>
    <w:rsid w:val="00DB74BA"/>
    <w:rsid w:val="00DB7E05"/>
    <w:rsid w:val="00DB7E41"/>
    <w:rsid w:val="00DC01BD"/>
    <w:rsid w:val="00DC1BF6"/>
    <w:rsid w:val="00DC29ED"/>
    <w:rsid w:val="00DC3A4D"/>
    <w:rsid w:val="00DC4FA6"/>
    <w:rsid w:val="00DC500F"/>
    <w:rsid w:val="00DC76AE"/>
    <w:rsid w:val="00DD0B44"/>
    <w:rsid w:val="00DD1543"/>
    <w:rsid w:val="00DD230C"/>
    <w:rsid w:val="00DD2358"/>
    <w:rsid w:val="00DD3673"/>
    <w:rsid w:val="00DD48FD"/>
    <w:rsid w:val="00DD6663"/>
    <w:rsid w:val="00DD70E1"/>
    <w:rsid w:val="00DD7714"/>
    <w:rsid w:val="00DD7D1C"/>
    <w:rsid w:val="00DE0C34"/>
    <w:rsid w:val="00DE1006"/>
    <w:rsid w:val="00DE160D"/>
    <w:rsid w:val="00DE1B4B"/>
    <w:rsid w:val="00DE27A7"/>
    <w:rsid w:val="00DE2824"/>
    <w:rsid w:val="00DE2DF3"/>
    <w:rsid w:val="00DE2F53"/>
    <w:rsid w:val="00DE3A72"/>
    <w:rsid w:val="00DE3B31"/>
    <w:rsid w:val="00DE55B4"/>
    <w:rsid w:val="00DE6B22"/>
    <w:rsid w:val="00DE6EE9"/>
    <w:rsid w:val="00DE7014"/>
    <w:rsid w:val="00DE74C8"/>
    <w:rsid w:val="00DF02D8"/>
    <w:rsid w:val="00DF0541"/>
    <w:rsid w:val="00DF09BF"/>
    <w:rsid w:val="00DF291B"/>
    <w:rsid w:val="00DF736C"/>
    <w:rsid w:val="00DF7414"/>
    <w:rsid w:val="00E00B48"/>
    <w:rsid w:val="00E00C77"/>
    <w:rsid w:val="00E027DB"/>
    <w:rsid w:val="00E02DBA"/>
    <w:rsid w:val="00E030EE"/>
    <w:rsid w:val="00E03E8B"/>
    <w:rsid w:val="00E04FB3"/>
    <w:rsid w:val="00E05073"/>
    <w:rsid w:val="00E0723B"/>
    <w:rsid w:val="00E108C3"/>
    <w:rsid w:val="00E10B33"/>
    <w:rsid w:val="00E11C55"/>
    <w:rsid w:val="00E11F03"/>
    <w:rsid w:val="00E120B9"/>
    <w:rsid w:val="00E12705"/>
    <w:rsid w:val="00E12A19"/>
    <w:rsid w:val="00E1307E"/>
    <w:rsid w:val="00E133E9"/>
    <w:rsid w:val="00E13480"/>
    <w:rsid w:val="00E13758"/>
    <w:rsid w:val="00E13799"/>
    <w:rsid w:val="00E148F3"/>
    <w:rsid w:val="00E151DA"/>
    <w:rsid w:val="00E15382"/>
    <w:rsid w:val="00E16F7C"/>
    <w:rsid w:val="00E20944"/>
    <w:rsid w:val="00E21BC2"/>
    <w:rsid w:val="00E21E67"/>
    <w:rsid w:val="00E22239"/>
    <w:rsid w:val="00E223B0"/>
    <w:rsid w:val="00E224DE"/>
    <w:rsid w:val="00E238A2"/>
    <w:rsid w:val="00E23E12"/>
    <w:rsid w:val="00E24B7F"/>
    <w:rsid w:val="00E24E4A"/>
    <w:rsid w:val="00E25120"/>
    <w:rsid w:val="00E26A6B"/>
    <w:rsid w:val="00E27844"/>
    <w:rsid w:val="00E3243B"/>
    <w:rsid w:val="00E32E58"/>
    <w:rsid w:val="00E335D8"/>
    <w:rsid w:val="00E33707"/>
    <w:rsid w:val="00E33791"/>
    <w:rsid w:val="00E33837"/>
    <w:rsid w:val="00E338E0"/>
    <w:rsid w:val="00E33E35"/>
    <w:rsid w:val="00E34005"/>
    <w:rsid w:val="00E347FA"/>
    <w:rsid w:val="00E350D7"/>
    <w:rsid w:val="00E3512D"/>
    <w:rsid w:val="00E35B31"/>
    <w:rsid w:val="00E36C7B"/>
    <w:rsid w:val="00E36C84"/>
    <w:rsid w:val="00E413AB"/>
    <w:rsid w:val="00E4170E"/>
    <w:rsid w:val="00E41A9E"/>
    <w:rsid w:val="00E43274"/>
    <w:rsid w:val="00E4665E"/>
    <w:rsid w:val="00E46893"/>
    <w:rsid w:val="00E50AC1"/>
    <w:rsid w:val="00E516F4"/>
    <w:rsid w:val="00E52985"/>
    <w:rsid w:val="00E53F38"/>
    <w:rsid w:val="00E544D8"/>
    <w:rsid w:val="00E548E0"/>
    <w:rsid w:val="00E5508D"/>
    <w:rsid w:val="00E57028"/>
    <w:rsid w:val="00E60C82"/>
    <w:rsid w:val="00E61190"/>
    <w:rsid w:val="00E63282"/>
    <w:rsid w:val="00E63DBE"/>
    <w:rsid w:val="00E63FE9"/>
    <w:rsid w:val="00E64E71"/>
    <w:rsid w:val="00E65017"/>
    <w:rsid w:val="00E66EDF"/>
    <w:rsid w:val="00E6738C"/>
    <w:rsid w:val="00E673C4"/>
    <w:rsid w:val="00E678D3"/>
    <w:rsid w:val="00E70263"/>
    <w:rsid w:val="00E70644"/>
    <w:rsid w:val="00E7159D"/>
    <w:rsid w:val="00E72036"/>
    <w:rsid w:val="00E73E35"/>
    <w:rsid w:val="00E740D3"/>
    <w:rsid w:val="00E766BD"/>
    <w:rsid w:val="00E7776F"/>
    <w:rsid w:val="00E80553"/>
    <w:rsid w:val="00E807BA"/>
    <w:rsid w:val="00E80F7E"/>
    <w:rsid w:val="00E8164C"/>
    <w:rsid w:val="00E824B5"/>
    <w:rsid w:val="00E82B5F"/>
    <w:rsid w:val="00E82D3E"/>
    <w:rsid w:val="00E83210"/>
    <w:rsid w:val="00E83931"/>
    <w:rsid w:val="00E854D1"/>
    <w:rsid w:val="00E86C37"/>
    <w:rsid w:val="00E90D94"/>
    <w:rsid w:val="00E91219"/>
    <w:rsid w:val="00E91F69"/>
    <w:rsid w:val="00E92D69"/>
    <w:rsid w:val="00E92E2B"/>
    <w:rsid w:val="00E93B4E"/>
    <w:rsid w:val="00E945AD"/>
    <w:rsid w:val="00E95194"/>
    <w:rsid w:val="00E95A14"/>
    <w:rsid w:val="00E96F65"/>
    <w:rsid w:val="00E97C94"/>
    <w:rsid w:val="00EA099C"/>
    <w:rsid w:val="00EA10DE"/>
    <w:rsid w:val="00EA1FDA"/>
    <w:rsid w:val="00EA29E0"/>
    <w:rsid w:val="00EA3034"/>
    <w:rsid w:val="00EA49B8"/>
    <w:rsid w:val="00EA52D5"/>
    <w:rsid w:val="00EA5BBB"/>
    <w:rsid w:val="00EA5EC8"/>
    <w:rsid w:val="00EA6A83"/>
    <w:rsid w:val="00EB10A7"/>
    <w:rsid w:val="00EB2328"/>
    <w:rsid w:val="00EB2DE1"/>
    <w:rsid w:val="00EB33CE"/>
    <w:rsid w:val="00EB37FC"/>
    <w:rsid w:val="00EB4439"/>
    <w:rsid w:val="00EB48A2"/>
    <w:rsid w:val="00EB6634"/>
    <w:rsid w:val="00EB6DE7"/>
    <w:rsid w:val="00EB71F5"/>
    <w:rsid w:val="00EC0AE0"/>
    <w:rsid w:val="00EC0BB7"/>
    <w:rsid w:val="00EC3F00"/>
    <w:rsid w:val="00EC43AA"/>
    <w:rsid w:val="00EC6890"/>
    <w:rsid w:val="00EC72A4"/>
    <w:rsid w:val="00ED1D25"/>
    <w:rsid w:val="00ED694A"/>
    <w:rsid w:val="00ED6C13"/>
    <w:rsid w:val="00ED76D9"/>
    <w:rsid w:val="00ED7949"/>
    <w:rsid w:val="00EE0225"/>
    <w:rsid w:val="00EE0DDA"/>
    <w:rsid w:val="00EE2A51"/>
    <w:rsid w:val="00EE2F4D"/>
    <w:rsid w:val="00EE3F53"/>
    <w:rsid w:val="00EE4722"/>
    <w:rsid w:val="00EE4AD4"/>
    <w:rsid w:val="00EE5409"/>
    <w:rsid w:val="00EE5CAF"/>
    <w:rsid w:val="00EF4BA3"/>
    <w:rsid w:val="00EF590D"/>
    <w:rsid w:val="00EF6324"/>
    <w:rsid w:val="00EF71FF"/>
    <w:rsid w:val="00EF7CA9"/>
    <w:rsid w:val="00F00607"/>
    <w:rsid w:val="00F01F8C"/>
    <w:rsid w:val="00F02295"/>
    <w:rsid w:val="00F02850"/>
    <w:rsid w:val="00F02D08"/>
    <w:rsid w:val="00F046BE"/>
    <w:rsid w:val="00F060A4"/>
    <w:rsid w:val="00F060F2"/>
    <w:rsid w:val="00F06124"/>
    <w:rsid w:val="00F071F3"/>
    <w:rsid w:val="00F07523"/>
    <w:rsid w:val="00F07A75"/>
    <w:rsid w:val="00F10710"/>
    <w:rsid w:val="00F127F3"/>
    <w:rsid w:val="00F12BF7"/>
    <w:rsid w:val="00F12CBF"/>
    <w:rsid w:val="00F1326E"/>
    <w:rsid w:val="00F13626"/>
    <w:rsid w:val="00F155B4"/>
    <w:rsid w:val="00F15D39"/>
    <w:rsid w:val="00F16B10"/>
    <w:rsid w:val="00F2227B"/>
    <w:rsid w:val="00F22598"/>
    <w:rsid w:val="00F231AB"/>
    <w:rsid w:val="00F24BB1"/>
    <w:rsid w:val="00F27476"/>
    <w:rsid w:val="00F27C51"/>
    <w:rsid w:val="00F304EE"/>
    <w:rsid w:val="00F31887"/>
    <w:rsid w:val="00F31E20"/>
    <w:rsid w:val="00F331FA"/>
    <w:rsid w:val="00F341AE"/>
    <w:rsid w:val="00F34AA1"/>
    <w:rsid w:val="00F35671"/>
    <w:rsid w:val="00F35A86"/>
    <w:rsid w:val="00F35B7D"/>
    <w:rsid w:val="00F36FAB"/>
    <w:rsid w:val="00F370F1"/>
    <w:rsid w:val="00F3737E"/>
    <w:rsid w:val="00F37F90"/>
    <w:rsid w:val="00F400C4"/>
    <w:rsid w:val="00F40538"/>
    <w:rsid w:val="00F405D8"/>
    <w:rsid w:val="00F416BD"/>
    <w:rsid w:val="00F41CA3"/>
    <w:rsid w:val="00F41E90"/>
    <w:rsid w:val="00F43005"/>
    <w:rsid w:val="00F456C4"/>
    <w:rsid w:val="00F46B42"/>
    <w:rsid w:val="00F4710F"/>
    <w:rsid w:val="00F47F02"/>
    <w:rsid w:val="00F51932"/>
    <w:rsid w:val="00F52EF0"/>
    <w:rsid w:val="00F53A81"/>
    <w:rsid w:val="00F54426"/>
    <w:rsid w:val="00F54732"/>
    <w:rsid w:val="00F5644B"/>
    <w:rsid w:val="00F566DB"/>
    <w:rsid w:val="00F56D63"/>
    <w:rsid w:val="00F57D8D"/>
    <w:rsid w:val="00F60014"/>
    <w:rsid w:val="00F60E88"/>
    <w:rsid w:val="00F60EA0"/>
    <w:rsid w:val="00F62568"/>
    <w:rsid w:val="00F63946"/>
    <w:rsid w:val="00F651D6"/>
    <w:rsid w:val="00F66AD8"/>
    <w:rsid w:val="00F725CC"/>
    <w:rsid w:val="00F72BA3"/>
    <w:rsid w:val="00F7329D"/>
    <w:rsid w:val="00F73AD7"/>
    <w:rsid w:val="00F73B29"/>
    <w:rsid w:val="00F73FB6"/>
    <w:rsid w:val="00F757F6"/>
    <w:rsid w:val="00F7595F"/>
    <w:rsid w:val="00F765D1"/>
    <w:rsid w:val="00F7741C"/>
    <w:rsid w:val="00F80B00"/>
    <w:rsid w:val="00F80C2E"/>
    <w:rsid w:val="00F80DB2"/>
    <w:rsid w:val="00F81097"/>
    <w:rsid w:val="00F8152D"/>
    <w:rsid w:val="00F823B7"/>
    <w:rsid w:val="00F82B69"/>
    <w:rsid w:val="00F84E09"/>
    <w:rsid w:val="00F85631"/>
    <w:rsid w:val="00F86321"/>
    <w:rsid w:val="00F86FC2"/>
    <w:rsid w:val="00F91188"/>
    <w:rsid w:val="00F914CB"/>
    <w:rsid w:val="00F91819"/>
    <w:rsid w:val="00F9546C"/>
    <w:rsid w:val="00F96CCD"/>
    <w:rsid w:val="00F96CF9"/>
    <w:rsid w:val="00F974A1"/>
    <w:rsid w:val="00F97B5E"/>
    <w:rsid w:val="00F97B72"/>
    <w:rsid w:val="00FA0C6D"/>
    <w:rsid w:val="00FA0CA0"/>
    <w:rsid w:val="00FA0F93"/>
    <w:rsid w:val="00FA10A8"/>
    <w:rsid w:val="00FA1111"/>
    <w:rsid w:val="00FA1427"/>
    <w:rsid w:val="00FA26C8"/>
    <w:rsid w:val="00FA2DB5"/>
    <w:rsid w:val="00FA32DD"/>
    <w:rsid w:val="00FA45BA"/>
    <w:rsid w:val="00FA4829"/>
    <w:rsid w:val="00FA4BED"/>
    <w:rsid w:val="00FA5296"/>
    <w:rsid w:val="00FA670E"/>
    <w:rsid w:val="00FA6C76"/>
    <w:rsid w:val="00FA7086"/>
    <w:rsid w:val="00FA7211"/>
    <w:rsid w:val="00FB0FB5"/>
    <w:rsid w:val="00FB184E"/>
    <w:rsid w:val="00FB1F93"/>
    <w:rsid w:val="00FB2A35"/>
    <w:rsid w:val="00FB324A"/>
    <w:rsid w:val="00FB3267"/>
    <w:rsid w:val="00FB48DF"/>
    <w:rsid w:val="00FB54DB"/>
    <w:rsid w:val="00FB5972"/>
    <w:rsid w:val="00FB632F"/>
    <w:rsid w:val="00FB748F"/>
    <w:rsid w:val="00FC0963"/>
    <w:rsid w:val="00FC2AB9"/>
    <w:rsid w:val="00FC369C"/>
    <w:rsid w:val="00FC3BAF"/>
    <w:rsid w:val="00FC5824"/>
    <w:rsid w:val="00FC5AFE"/>
    <w:rsid w:val="00FC5D22"/>
    <w:rsid w:val="00FC6002"/>
    <w:rsid w:val="00FD01BA"/>
    <w:rsid w:val="00FD0CA5"/>
    <w:rsid w:val="00FD17BA"/>
    <w:rsid w:val="00FD4012"/>
    <w:rsid w:val="00FD5A0C"/>
    <w:rsid w:val="00FD606E"/>
    <w:rsid w:val="00FD7B75"/>
    <w:rsid w:val="00FE1195"/>
    <w:rsid w:val="00FE1868"/>
    <w:rsid w:val="00FE1F9B"/>
    <w:rsid w:val="00FE20F3"/>
    <w:rsid w:val="00FE45E5"/>
    <w:rsid w:val="00FE4D45"/>
    <w:rsid w:val="00FE5279"/>
    <w:rsid w:val="00FE5412"/>
    <w:rsid w:val="00FE6874"/>
    <w:rsid w:val="00FE6ACC"/>
    <w:rsid w:val="00FE7064"/>
    <w:rsid w:val="00FE71EC"/>
    <w:rsid w:val="00FF0084"/>
    <w:rsid w:val="00FF05FE"/>
    <w:rsid w:val="00FF094D"/>
    <w:rsid w:val="00FF1F88"/>
    <w:rsid w:val="00FF3315"/>
    <w:rsid w:val="00FF3336"/>
    <w:rsid w:val="00FF4840"/>
    <w:rsid w:val="00FF4F25"/>
    <w:rsid w:val="00FF5A7C"/>
    <w:rsid w:val="00FF5F77"/>
    <w:rsid w:val="00FF6B57"/>
    <w:rsid w:val="00FF7F91"/>
    <w:rsid w:val="0107437C"/>
    <w:rsid w:val="01254ECA"/>
    <w:rsid w:val="01311D17"/>
    <w:rsid w:val="013A1E5D"/>
    <w:rsid w:val="01B036EA"/>
    <w:rsid w:val="01DA2D06"/>
    <w:rsid w:val="0293726D"/>
    <w:rsid w:val="02BA55A5"/>
    <w:rsid w:val="03130EE3"/>
    <w:rsid w:val="03187A90"/>
    <w:rsid w:val="032D2B4E"/>
    <w:rsid w:val="035B792A"/>
    <w:rsid w:val="03F2214E"/>
    <w:rsid w:val="042E5D0C"/>
    <w:rsid w:val="04C45905"/>
    <w:rsid w:val="04F55751"/>
    <w:rsid w:val="0573248A"/>
    <w:rsid w:val="06CE68DF"/>
    <w:rsid w:val="079C35FC"/>
    <w:rsid w:val="07DB0BF3"/>
    <w:rsid w:val="082171DA"/>
    <w:rsid w:val="08C53285"/>
    <w:rsid w:val="092A6705"/>
    <w:rsid w:val="09395F3E"/>
    <w:rsid w:val="0A694F0D"/>
    <w:rsid w:val="0B9A267C"/>
    <w:rsid w:val="0CA60FE3"/>
    <w:rsid w:val="0CF74215"/>
    <w:rsid w:val="0D120409"/>
    <w:rsid w:val="0D2964EB"/>
    <w:rsid w:val="0D35413B"/>
    <w:rsid w:val="0D3F493B"/>
    <w:rsid w:val="0D510EE5"/>
    <w:rsid w:val="0D5D1C86"/>
    <w:rsid w:val="0E1135B8"/>
    <w:rsid w:val="0E4760BD"/>
    <w:rsid w:val="0E4D5CB6"/>
    <w:rsid w:val="0E8465F4"/>
    <w:rsid w:val="0E927B6D"/>
    <w:rsid w:val="0EB50EEF"/>
    <w:rsid w:val="0EDE4455"/>
    <w:rsid w:val="0EF22AE4"/>
    <w:rsid w:val="0F0F4736"/>
    <w:rsid w:val="104058F1"/>
    <w:rsid w:val="10635C65"/>
    <w:rsid w:val="107A50A7"/>
    <w:rsid w:val="10D82889"/>
    <w:rsid w:val="111C68ED"/>
    <w:rsid w:val="11313AFF"/>
    <w:rsid w:val="114C494B"/>
    <w:rsid w:val="114E4E24"/>
    <w:rsid w:val="11567CCE"/>
    <w:rsid w:val="12515F59"/>
    <w:rsid w:val="12F42BCB"/>
    <w:rsid w:val="13332891"/>
    <w:rsid w:val="13BC6BE3"/>
    <w:rsid w:val="141C411B"/>
    <w:rsid w:val="148176FD"/>
    <w:rsid w:val="15B31457"/>
    <w:rsid w:val="16034057"/>
    <w:rsid w:val="16111176"/>
    <w:rsid w:val="16D46F0E"/>
    <w:rsid w:val="17A54C03"/>
    <w:rsid w:val="18747F74"/>
    <w:rsid w:val="19A33895"/>
    <w:rsid w:val="1A006D57"/>
    <w:rsid w:val="1A9F789A"/>
    <w:rsid w:val="1AD8547C"/>
    <w:rsid w:val="1B86447A"/>
    <w:rsid w:val="1BF34341"/>
    <w:rsid w:val="1CC35FBB"/>
    <w:rsid w:val="1CD27CDB"/>
    <w:rsid w:val="1CE343B6"/>
    <w:rsid w:val="1D306ECF"/>
    <w:rsid w:val="1DF37C19"/>
    <w:rsid w:val="1E5B61CE"/>
    <w:rsid w:val="1E820121"/>
    <w:rsid w:val="1E8967F2"/>
    <w:rsid w:val="1F330C9F"/>
    <w:rsid w:val="1F5D484A"/>
    <w:rsid w:val="200911CE"/>
    <w:rsid w:val="209B1450"/>
    <w:rsid w:val="21843F56"/>
    <w:rsid w:val="2200200E"/>
    <w:rsid w:val="224A51CD"/>
    <w:rsid w:val="22BF327D"/>
    <w:rsid w:val="22E82C0E"/>
    <w:rsid w:val="233B239E"/>
    <w:rsid w:val="23C768B6"/>
    <w:rsid w:val="24574B93"/>
    <w:rsid w:val="24595AE5"/>
    <w:rsid w:val="24644151"/>
    <w:rsid w:val="24963A82"/>
    <w:rsid w:val="24D3646B"/>
    <w:rsid w:val="24D43B61"/>
    <w:rsid w:val="24D773EC"/>
    <w:rsid w:val="25453918"/>
    <w:rsid w:val="25AE2BE5"/>
    <w:rsid w:val="25DE3B0A"/>
    <w:rsid w:val="264B6B28"/>
    <w:rsid w:val="2660783A"/>
    <w:rsid w:val="26861129"/>
    <w:rsid w:val="26EE4083"/>
    <w:rsid w:val="279A7D67"/>
    <w:rsid w:val="28086284"/>
    <w:rsid w:val="282A2387"/>
    <w:rsid w:val="286F7C76"/>
    <w:rsid w:val="289059BF"/>
    <w:rsid w:val="289A025A"/>
    <w:rsid w:val="28A24F1B"/>
    <w:rsid w:val="29E00C91"/>
    <w:rsid w:val="2AD95CCC"/>
    <w:rsid w:val="2B080EDD"/>
    <w:rsid w:val="2B204686"/>
    <w:rsid w:val="2B34492F"/>
    <w:rsid w:val="2C1B7E68"/>
    <w:rsid w:val="2C334600"/>
    <w:rsid w:val="2C7874B1"/>
    <w:rsid w:val="2D442B46"/>
    <w:rsid w:val="2E5F4781"/>
    <w:rsid w:val="2EED2E72"/>
    <w:rsid w:val="2EFF2447"/>
    <w:rsid w:val="2F741EBF"/>
    <w:rsid w:val="2FE858D3"/>
    <w:rsid w:val="2FED0C50"/>
    <w:rsid w:val="302B06D5"/>
    <w:rsid w:val="30782B12"/>
    <w:rsid w:val="30FB318D"/>
    <w:rsid w:val="31241BDB"/>
    <w:rsid w:val="31472444"/>
    <w:rsid w:val="31542911"/>
    <w:rsid w:val="31602619"/>
    <w:rsid w:val="31942F80"/>
    <w:rsid w:val="31BF654C"/>
    <w:rsid w:val="31DC5421"/>
    <w:rsid w:val="32AD5A98"/>
    <w:rsid w:val="32B34905"/>
    <w:rsid w:val="32C04775"/>
    <w:rsid w:val="32CF0E49"/>
    <w:rsid w:val="32F0499C"/>
    <w:rsid w:val="336A405C"/>
    <w:rsid w:val="342D1890"/>
    <w:rsid w:val="3509137F"/>
    <w:rsid w:val="35125609"/>
    <w:rsid w:val="35341D68"/>
    <w:rsid w:val="35D030A4"/>
    <w:rsid w:val="36016248"/>
    <w:rsid w:val="36435A6D"/>
    <w:rsid w:val="364C317E"/>
    <w:rsid w:val="36F7289A"/>
    <w:rsid w:val="37AF3B54"/>
    <w:rsid w:val="37D1071F"/>
    <w:rsid w:val="380926DD"/>
    <w:rsid w:val="38172D49"/>
    <w:rsid w:val="386C75FF"/>
    <w:rsid w:val="390C013F"/>
    <w:rsid w:val="39537F6D"/>
    <w:rsid w:val="39927D28"/>
    <w:rsid w:val="39A93E39"/>
    <w:rsid w:val="3A611754"/>
    <w:rsid w:val="3A8328DC"/>
    <w:rsid w:val="3B5419A7"/>
    <w:rsid w:val="3C6D73A0"/>
    <w:rsid w:val="3C853F1C"/>
    <w:rsid w:val="3CBD5B44"/>
    <w:rsid w:val="3CCD6091"/>
    <w:rsid w:val="3CCD6E91"/>
    <w:rsid w:val="3CF11D7F"/>
    <w:rsid w:val="3CF27791"/>
    <w:rsid w:val="3CFA45ED"/>
    <w:rsid w:val="3D460A34"/>
    <w:rsid w:val="3DBB165A"/>
    <w:rsid w:val="3DDF2859"/>
    <w:rsid w:val="40AE33B4"/>
    <w:rsid w:val="41A93EC6"/>
    <w:rsid w:val="425F11B5"/>
    <w:rsid w:val="42A6221F"/>
    <w:rsid w:val="42B01854"/>
    <w:rsid w:val="42F67A0B"/>
    <w:rsid w:val="43000B49"/>
    <w:rsid w:val="43286A88"/>
    <w:rsid w:val="434B0908"/>
    <w:rsid w:val="44065E25"/>
    <w:rsid w:val="446A581C"/>
    <w:rsid w:val="44882094"/>
    <w:rsid w:val="454669E0"/>
    <w:rsid w:val="454D1E82"/>
    <w:rsid w:val="455216EC"/>
    <w:rsid w:val="45856D49"/>
    <w:rsid w:val="45E56F44"/>
    <w:rsid w:val="45F52C70"/>
    <w:rsid w:val="46307AEF"/>
    <w:rsid w:val="4666084B"/>
    <w:rsid w:val="46A634F2"/>
    <w:rsid w:val="46F641CE"/>
    <w:rsid w:val="48510BD3"/>
    <w:rsid w:val="48F607C2"/>
    <w:rsid w:val="49DA3CC0"/>
    <w:rsid w:val="4A0E55F8"/>
    <w:rsid w:val="4AE02F6B"/>
    <w:rsid w:val="4C091B3D"/>
    <w:rsid w:val="4C441290"/>
    <w:rsid w:val="4CF35C20"/>
    <w:rsid w:val="4D787807"/>
    <w:rsid w:val="4E3E4542"/>
    <w:rsid w:val="4E9F661C"/>
    <w:rsid w:val="4F4449E8"/>
    <w:rsid w:val="4FA75A56"/>
    <w:rsid w:val="4FD50F25"/>
    <w:rsid w:val="50654544"/>
    <w:rsid w:val="50780A41"/>
    <w:rsid w:val="5125254A"/>
    <w:rsid w:val="51C2188B"/>
    <w:rsid w:val="51EA0BE8"/>
    <w:rsid w:val="52FA6CC9"/>
    <w:rsid w:val="538D31E9"/>
    <w:rsid w:val="53BC3A52"/>
    <w:rsid w:val="54025A89"/>
    <w:rsid w:val="54826A36"/>
    <w:rsid w:val="55217F03"/>
    <w:rsid w:val="5522652A"/>
    <w:rsid w:val="553045F8"/>
    <w:rsid w:val="55543D00"/>
    <w:rsid w:val="559B4C77"/>
    <w:rsid w:val="55CA71B9"/>
    <w:rsid w:val="561741E7"/>
    <w:rsid w:val="5686086F"/>
    <w:rsid w:val="56EB59B9"/>
    <w:rsid w:val="58240BF2"/>
    <w:rsid w:val="582D7E30"/>
    <w:rsid w:val="583A1153"/>
    <w:rsid w:val="58C85C32"/>
    <w:rsid w:val="58D942C0"/>
    <w:rsid w:val="594453FD"/>
    <w:rsid w:val="5A322B4A"/>
    <w:rsid w:val="5A4F06DB"/>
    <w:rsid w:val="5A9B5FA0"/>
    <w:rsid w:val="5B1909C7"/>
    <w:rsid w:val="5B4F7D05"/>
    <w:rsid w:val="5C4C698F"/>
    <w:rsid w:val="5DAB5B74"/>
    <w:rsid w:val="5E8E6FD6"/>
    <w:rsid w:val="5EAB13CA"/>
    <w:rsid w:val="5EB81FFB"/>
    <w:rsid w:val="5F77006F"/>
    <w:rsid w:val="5F7B6651"/>
    <w:rsid w:val="5F944039"/>
    <w:rsid w:val="5F9C3975"/>
    <w:rsid w:val="5FF81F73"/>
    <w:rsid w:val="607F1367"/>
    <w:rsid w:val="60ED7350"/>
    <w:rsid w:val="60F6452F"/>
    <w:rsid w:val="60FC5E3D"/>
    <w:rsid w:val="61305953"/>
    <w:rsid w:val="61CF3D40"/>
    <w:rsid w:val="61F63CD3"/>
    <w:rsid w:val="61F72785"/>
    <w:rsid w:val="62406DE0"/>
    <w:rsid w:val="626F3413"/>
    <w:rsid w:val="62E27B38"/>
    <w:rsid w:val="63BF66E8"/>
    <w:rsid w:val="64135E04"/>
    <w:rsid w:val="6477313A"/>
    <w:rsid w:val="648A69ED"/>
    <w:rsid w:val="64B44545"/>
    <w:rsid w:val="64B67BE7"/>
    <w:rsid w:val="6507299C"/>
    <w:rsid w:val="659E643A"/>
    <w:rsid w:val="665D601E"/>
    <w:rsid w:val="668E706F"/>
    <w:rsid w:val="669B4986"/>
    <w:rsid w:val="66C16C0E"/>
    <w:rsid w:val="67717BBE"/>
    <w:rsid w:val="67E332A1"/>
    <w:rsid w:val="680C4BBE"/>
    <w:rsid w:val="685F3F6A"/>
    <w:rsid w:val="68717D68"/>
    <w:rsid w:val="68E563A4"/>
    <w:rsid w:val="693B4EA8"/>
    <w:rsid w:val="69BB533F"/>
    <w:rsid w:val="69CC731C"/>
    <w:rsid w:val="6A851B00"/>
    <w:rsid w:val="6B937D00"/>
    <w:rsid w:val="6C2361B3"/>
    <w:rsid w:val="6CCB00A5"/>
    <w:rsid w:val="6D27495E"/>
    <w:rsid w:val="6DEB5A94"/>
    <w:rsid w:val="6EAD7848"/>
    <w:rsid w:val="6EC679C7"/>
    <w:rsid w:val="6EC9494F"/>
    <w:rsid w:val="6FC8087F"/>
    <w:rsid w:val="70052E70"/>
    <w:rsid w:val="70354DAC"/>
    <w:rsid w:val="70D00FBA"/>
    <w:rsid w:val="715B1235"/>
    <w:rsid w:val="720F4108"/>
    <w:rsid w:val="72290770"/>
    <w:rsid w:val="724E32D1"/>
    <w:rsid w:val="736B56E0"/>
    <w:rsid w:val="737A5C66"/>
    <w:rsid w:val="74C20FAC"/>
    <w:rsid w:val="74ED140B"/>
    <w:rsid w:val="75F479B7"/>
    <w:rsid w:val="762D2658"/>
    <w:rsid w:val="76472C11"/>
    <w:rsid w:val="76684159"/>
    <w:rsid w:val="76EE3581"/>
    <w:rsid w:val="770E6AAE"/>
    <w:rsid w:val="77264AC1"/>
    <w:rsid w:val="77BC5572"/>
    <w:rsid w:val="78411E39"/>
    <w:rsid w:val="78E404CD"/>
    <w:rsid w:val="7A2613F7"/>
    <w:rsid w:val="7AFB28FA"/>
    <w:rsid w:val="7B1562E1"/>
    <w:rsid w:val="7CD018B5"/>
    <w:rsid w:val="7CD75B94"/>
    <w:rsid w:val="7CDE0391"/>
    <w:rsid w:val="7D8C7219"/>
    <w:rsid w:val="7E18194B"/>
    <w:rsid w:val="7E9B3045"/>
    <w:rsid w:val="7EF46F04"/>
    <w:rsid w:val="7F634ACD"/>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8"/>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59"/>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0"/>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62"/>
    <w:qFormat/>
    <w:uiPriority w:val="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63"/>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link w:val="64"/>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0">
    <w:name w:val="heading 8"/>
    <w:basedOn w:val="1"/>
    <w:next w:val="1"/>
    <w:link w:val="65"/>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66"/>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2"/>
    <w:qFormat/>
    <w:uiPriority w:val="0"/>
    <w:rPr>
      <w:rFonts w:ascii="宋体"/>
    </w:rPr>
  </w:style>
  <w:style w:type="paragraph" w:styleId="12">
    <w:name w:val="toc 7"/>
    <w:basedOn w:val="1"/>
    <w:next w:val="1"/>
    <w:qFormat/>
    <w:uiPriority w:val="39"/>
    <w:pPr>
      <w:ind w:left="1200" w:leftChars="1200"/>
    </w:pPr>
  </w:style>
  <w:style w:type="paragraph" w:styleId="13">
    <w:name w:val="Note Heading"/>
    <w:basedOn w:val="1"/>
    <w:next w:val="1"/>
    <w:qFormat/>
    <w:uiPriority w:val="0"/>
    <w:pPr>
      <w:snapToGrid w:val="0"/>
      <w:spacing w:before="120" w:after="120" w:line="320" w:lineRule="exact"/>
      <w:ind w:firstLine="413" w:firstLineChars="200"/>
    </w:pPr>
    <w:rPr>
      <w:rFonts w:ascii="宋体" w:hAnsi="宋体"/>
      <w:b/>
      <w:color w:val="000000"/>
    </w:rPr>
  </w:style>
  <w:style w:type="paragraph" w:styleId="14">
    <w:name w:val="Normal Indent"/>
    <w:basedOn w:val="1"/>
    <w:next w:val="1"/>
    <w:link w:val="67"/>
    <w:qFormat/>
    <w:uiPriority w:val="0"/>
    <w:pPr>
      <w:ind w:firstLine="420"/>
    </w:pPr>
  </w:style>
  <w:style w:type="paragraph" w:styleId="15">
    <w:name w:val="index 5"/>
    <w:basedOn w:val="1"/>
    <w:next w:val="1"/>
    <w:qFormat/>
    <w:uiPriority w:val="0"/>
    <w:pPr>
      <w:ind w:left="1680"/>
    </w:pPr>
  </w:style>
  <w:style w:type="paragraph" w:styleId="16">
    <w:name w:val="Document Map"/>
    <w:basedOn w:val="1"/>
    <w:link w:val="68"/>
    <w:qFormat/>
    <w:uiPriority w:val="99"/>
    <w:rPr>
      <w:rFonts w:ascii="宋体"/>
      <w:sz w:val="18"/>
      <w:szCs w:val="18"/>
    </w:rPr>
  </w:style>
  <w:style w:type="paragraph" w:styleId="17">
    <w:name w:val="toa heading"/>
    <w:basedOn w:val="1"/>
    <w:next w:val="1"/>
    <w:qFormat/>
    <w:uiPriority w:val="0"/>
    <w:pPr>
      <w:spacing w:before="120"/>
    </w:pPr>
    <w:rPr>
      <w:rFonts w:ascii="Arial" w:hAnsi="Arial"/>
    </w:rPr>
  </w:style>
  <w:style w:type="paragraph" w:styleId="18">
    <w:name w:val="annotation text"/>
    <w:basedOn w:val="1"/>
    <w:link w:val="69"/>
    <w:qFormat/>
    <w:uiPriority w:val="0"/>
    <w:pPr>
      <w:jc w:val="left"/>
    </w:pPr>
    <w:rPr>
      <w:rFonts w:ascii="Times New Roman" w:hAnsi="Times New Roman"/>
      <w:szCs w:val="20"/>
    </w:rPr>
  </w:style>
  <w:style w:type="paragraph" w:styleId="19">
    <w:name w:val="Body Text 3"/>
    <w:basedOn w:val="1"/>
    <w:link w:val="70"/>
    <w:qFormat/>
    <w:uiPriority w:val="0"/>
    <w:rPr>
      <w:rFonts w:ascii="宋体"/>
      <w:sz w:val="24"/>
      <w:szCs w:val="20"/>
    </w:rPr>
  </w:style>
  <w:style w:type="paragraph" w:styleId="20">
    <w:name w:val="Body Text"/>
    <w:basedOn w:val="1"/>
    <w:next w:val="21"/>
    <w:link w:val="71"/>
    <w:unhideWhenUsed/>
    <w:qFormat/>
    <w:uiPriority w:val="0"/>
    <w:pPr>
      <w:spacing w:after="120"/>
    </w:pPr>
    <w:rPr>
      <w:rFonts w:ascii="Times New Roman" w:hAnsi="Times New Roman"/>
      <w:szCs w:val="20"/>
    </w:rPr>
  </w:style>
  <w:style w:type="paragraph" w:styleId="21">
    <w:name w:val="Subtitle"/>
    <w:basedOn w:val="1"/>
    <w:next w:val="1"/>
    <w:link w:val="78"/>
    <w:qFormat/>
    <w:uiPriority w:val="11"/>
    <w:pPr>
      <w:spacing w:before="240" w:after="60" w:line="312" w:lineRule="auto"/>
      <w:jc w:val="center"/>
      <w:outlineLvl w:val="1"/>
    </w:pPr>
    <w:rPr>
      <w:rFonts w:ascii="Calibri Light" w:hAnsi="Calibri Light"/>
      <w:b/>
      <w:bCs/>
      <w:kern w:val="28"/>
      <w:sz w:val="32"/>
      <w:szCs w:val="32"/>
    </w:rPr>
  </w:style>
  <w:style w:type="paragraph" w:styleId="22">
    <w:name w:val="Body Text Indent"/>
    <w:basedOn w:val="1"/>
    <w:next w:val="23"/>
    <w:link w:val="57"/>
    <w:qFormat/>
    <w:uiPriority w:val="0"/>
    <w:pPr>
      <w:spacing w:after="120"/>
      <w:ind w:left="420" w:leftChars="200"/>
    </w:pPr>
    <w:rPr>
      <w:rFonts w:ascii="Times New Roman" w:hAnsi="Times New Roman"/>
      <w:szCs w:val="20"/>
    </w:rPr>
  </w:style>
  <w:style w:type="paragraph" w:styleId="23">
    <w:name w:val="envelope return"/>
    <w:basedOn w:val="1"/>
    <w:qFormat/>
    <w:uiPriority w:val="0"/>
    <w:pPr>
      <w:snapToGrid w:val="0"/>
    </w:pPr>
    <w:rPr>
      <w:rFonts w:ascii="Arial" w:hAnsi="Arial"/>
      <w:szCs w:val="24"/>
    </w:rPr>
  </w:style>
  <w:style w:type="paragraph" w:styleId="24">
    <w:name w:val="toc 5"/>
    <w:basedOn w:val="1"/>
    <w:next w:val="1"/>
    <w:qFormat/>
    <w:uiPriority w:val="39"/>
    <w:pPr>
      <w:ind w:left="800" w:leftChars="800"/>
    </w:pPr>
  </w:style>
  <w:style w:type="paragraph" w:styleId="25">
    <w:name w:val="toc 3"/>
    <w:basedOn w:val="1"/>
    <w:next w:val="1"/>
    <w:qFormat/>
    <w:uiPriority w:val="0"/>
    <w:pPr>
      <w:ind w:left="400" w:leftChars="400"/>
    </w:pPr>
  </w:style>
  <w:style w:type="paragraph" w:styleId="26">
    <w:name w:val="toc 8"/>
    <w:basedOn w:val="1"/>
    <w:next w:val="1"/>
    <w:qFormat/>
    <w:uiPriority w:val="39"/>
    <w:pPr>
      <w:ind w:left="1400" w:leftChars="1400"/>
    </w:pPr>
  </w:style>
  <w:style w:type="paragraph" w:styleId="27">
    <w:name w:val="Date"/>
    <w:basedOn w:val="1"/>
    <w:next w:val="1"/>
    <w:link w:val="73"/>
    <w:qFormat/>
    <w:uiPriority w:val="0"/>
    <w:pPr>
      <w:ind w:left="2500" w:leftChars="2500"/>
    </w:pPr>
    <w:rPr>
      <w:rFonts w:ascii="Times New Roman" w:hAnsi="Times New Roman"/>
      <w:szCs w:val="20"/>
    </w:rPr>
  </w:style>
  <w:style w:type="paragraph" w:styleId="28">
    <w:name w:val="Body Text Indent 2"/>
    <w:basedOn w:val="1"/>
    <w:link w:val="74"/>
    <w:unhideWhenUsed/>
    <w:qFormat/>
    <w:uiPriority w:val="0"/>
    <w:pPr>
      <w:spacing w:after="120" w:line="480" w:lineRule="auto"/>
      <w:ind w:left="420" w:leftChars="200"/>
    </w:pPr>
  </w:style>
  <w:style w:type="paragraph" w:styleId="29">
    <w:name w:val="Balloon Text"/>
    <w:basedOn w:val="1"/>
    <w:link w:val="75"/>
    <w:qFormat/>
    <w:uiPriority w:val="0"/>
    <w:rPr>
      <w:rFonts w:ascii="Times New Roman" w:hAnsi="Times New Roman"/>
      <w:sz w:val="18"/>
      <w:szCs w:val="20"/>
    </w:rPr>
  </w:style>
  <w:style w:type="paragraph" w:styleId="30">
    <w:name w:val="footer"/>
    <w:basedOn w:val="1"/>
    <w:link w:val="76"/>
    <w:qFormat/>
    <w:uiPriority w:val="99"/>
    <w:pPr>
      <w:tabs>
        <w:tab w:val="center" w:pos="4153"/>
        <w:tab w:val="right" w:pos="8306"/>
      </w:tabs>
      <w:snapToGrid w:val="0"/>
      <w:jc w:val="left"/>
    </w:pPr>
    <w:rPr>
      <w:sz w:val="18"/>
    </w:rPr>
  </w:style>
  <w:style w:type="paragraph" w:styleId="31">
    <w:name w:val="header"/>
    <w:basedOn w:val="1"/>
    <w:link w:val="77"/>
    <w:qFormat/>
    <w:uiPriority w:val="99"/>
    <w:pPr>
      <w:tabs>
        <w:tab w:val="center" w:pos="4153"/>
        <w:tab w:val="right" w:pos="8306"/>
      </w:tabs>
      <w:snapToGrid w:val="0"/>
    </w:pPr>
    <w:rPr>
      <w:rFonts w:ascii="Times New Roman" w:hAnsi="Times New Roman"/>
      <w:sz w:val="18"/>
      <w:szCs w:val="20"/>
    </w:rPr>
  </w:style>
  <w:style w:type="paragraph" w:styleId="32">
    <w:name w:val="toc 1"/>
    <w:basedOn w:val="1"/>
    <w:next w:val="1"/>
    <w:qFormat/>
    <w:uiPriority w:val="0"/>
  </w:style>
  <w:style w:type="paragraph" w:styleId="33">
    <w:name w:val="toc 4"/>
    <w:basedOn w:val="1"/>
    <w:next w:val="1"/>
    <w:qFormat/>
    <w:uiPriority w:val="39"/>
    <w:pPr>
      <w:ind w:left="600" w:leftChars="600"/>
    </w:pPr>
  </w:style>
  <w:style w:type="paragraph" w:styleId="34">
    <w:name w:val="toc 6"/>
    <w:basedOn w:val="1"/>
    <w:next w:val="1"/>
    <w:qFormat/>
    <w:uiPriority w:val="39"/>
    <w:pPr>
      <w:ind w:left="1000" w:leftChars="1000"/>
    </w:pPr>
  </w:style>
  <w:style w:type="paragraph" w:styleId="35">
    <w:name w:val="List 5"/>
    <w:basedOn w:val="1"/>
    <w:qFormat/>
    <w:uiPriority w:val="0"/>
    <w:pPr>
      <w:spacing w:line="360" w:lineRule="auto"/>
      <w:ind w:left="2100" w:hanging="420"/>
      <w:jc w:val="left"/>
    </w:pPr>
    <w:rPr>
      <w:rFonts w:ascii="Times New Roman" w:hAnsi="Times New Roman"/>
      <w:sz w:val="24"/>
      <w:szCs w:val="20"/>
    </w:rPr>
  </w:style>
  <w:style w:type="paragraph" w:styleId="36">
    <w:name w:val="Body Text Indent 3"/>
    <w:basedOn w:val="1"/>
    <w:link w:val="79"/>
    <w:qFormat/>
    <w:uiPriority w:val="0"/>
    <w:pPr>
      <w:spacing w:after="120"/>
      <w:ind w:left="200" w:leftChars="200"/>
    </w:pPr>
    <w:rPr>
      <w:sz w:val="16"/>
      <w:szCs w:val="16"/>
    </w:rPr>
  </w:style>
  <w:style w:type="paragraph" w:styleId="37">
    <w:name w:val="toc 2"/>
    <w:basedOn w:val="1"/>
    <w:next w:val="1"/>
    <w:qFormat/>
    <w:uiPriority w:val="0"/>
    <w:pPr>
      <w:ind w:left="200" w:leftChars="200"/>
    </w:pPr>
  </w:style>
  <w:style w:type="paragraph" w:styleId="38">
    <w:name w:val="toc 9"/>
    <w:basedOn w:val="1"/>
    <w:next w:val="1"/>
    <w:qFormat/>
    <w:uiPriority w:val="39"/>
    <w:pPr>
      <w:ind w:left="1600" w:leftChars="1600"/>
    </w:pPr>
  </w:style>
  <w:style w:type="paragraph" w:styleId="39">
    <w:name w:val="Body Text 2"/>
    <w:basedOn w:val="1"/>
    <w:link w:val="80"/>
    <w:qFormat/>
    <w:uiPriority w:val="0"/>
    <w:pPr>
      <w:spacing w:after="120" w:line="480" w:lineRule="auto"/>
      <w:jc w:val="left"/>
    </w:pPr>
    <w:rPr>
      <w:rFonts w:ascii="Times New Roman" w:hAnsi="Times New Roman"/>
      <w:sz w:val="24"/>
      <w:szCs w:val="24"/>
    </w:rPr>
  </w:style>
  <w:style w:type="paragraph" w:styleId="40">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41">
    <w:name w:val="index 1"/>
    <w:basedOn w:val="1"/>
    <w:next w:val="1"/>
    <w:qFormat/>
    <w:uiPriority w:val="0"/>
    <w:pPr>
      <w:spacing w:line="220" w:lineRule="exact"/>
      <w:jc w:val="center"/>
    </w:pPr>
    <w:rPr>
      <w:rFonts w:ascii="FangSong_GB2312" w:hAnsi="Times New Roman" w:eastAsia="FangSong_GB2312"/>
      <w:szCs w:val="21"/>
    </w:rPr>
  </w:style>
  <w:style w:type="paragraph" w:styleId="42">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8"/>
    <w:next w:val="18"/>
    <w:link w:val="82"/>
    <w:qFormat/>
    <w:uiPriority w:val="0"/>
  </w:style>
  <w:style w:type="paragraph" w:styleId="44">
    <w:name w:val="Body Text First Indent"/>
    <w:basedOn w:val="20"/>
    <w:link w:val="83"/>
    <w:qFormat/>
    <w:uiPriority w:val="99"/>
    <w:pPr>
      <w:spacing w:line="312" w:lineRule="auto"/>
      <w:ind w:firstLine="420"/>
    </w:pPr>
    <w:rPr>
      <w:szCs w:val="24"/>
    </w:rPr>
  </w:style>
  <w:style w:type="paragraph" w:styleId="45">
    <w:name w:val="Body Text First Indent 2"/>
    <w:basedOn w:val="22"/>
    <w:next w:val="1"/>
    <w:qFormat/>
    <w:uiPriority w:val="0"/>
    <w:pPr>
      <w:ind w:firstLine="420"/>
    </w:pPr>
    <w:rPr>
      <w:sz w:val="20"/>
    </w:rPr>
  </w:style>
  <w:style w:type="table" w:styleId="47">
    <w:name w:val="Table Grid"/>
    <w:basedOn w:val="4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qFormat/>
    <w:uiPriority w:val="0"/>
  </w:style>
  <w:style w:type="character" w:styleId="51">
    <w:name w:val="Emphasis"/>
    <w:qFormat/>
    <w:uiPriority w:val="20"/>
    <w:rPr>
      <w:i/>
      <w:iCs/>
    </w:rPr>
  </w:style>
  <w:style w:type="character" w:styleId="52">
    <w:name w:val="Hyperlink"/>
    <w:qFormat/>
    <w:uiPriority w:val="0"/>
    <w:rPr>
      <w:color w:val="0000FF"/>
      <w:u w:val="single"/>
    </w:rPr>
  </w:style>
  <w:style w:type="character" w:styleId="53">
    <w:name w:val="annotation reference"/>
    <w:qFormat/>
    <w:uiPriority w:val="0"/>
    <w:rPr>
      <w:sz w:val="21"/>
    </w:rPr>
  </w:style>
  <w:style w:type="character" w:styleId="54">
    <w:name w:val="footnote reference"/>
    <w:qFormat/>
    <w:uiPriority w:val="0"/>
    <w:rPr>
      <w:vertAlign w:val="superscript"/>
    </w:rPr>
  </w:style>
  <w:style w:type="paragraph" w:customStyle="1" w:styleId="55">
    <w:name w:val="样式1"/>
    <w:basedOn w:val="1"/>
    <w:link w:val="102"/>
    <w:qFormat/>
    <w:uiPriority w:val="0"/>
    <w:pPr>
      <w:spacing w:line="360" w:lineRule="auto"/>
      <w:ind w:firstLine="420" w:firstLineChars="200"/>
    </w:pPr>
    <w:rPr>
      <w:rFonts w:ascii="宋体" w:hAnsi="宋体"/>
      <w:szCs w:val="21"/>
    </w:rPr>
  </w:style>
  <w:style w:type="paragraph" w:customStyle="1" w:styleId="56">
    <w:name w:val="Plain Text1"/>
    <w:basedOn w:val="1"/>
    <w:qFormat/>
    <w:uiPriority w:val="0"/>
    <w:rPr>
      <w:rFonts w:ascii="Courier New" w:hAnsi="Courier New" w:eastAsia="KaiTi_GB2312"/>
    </w:rPr>
  </w:style>
  <w:style w:type="character" w:customStyle="1" w:styleId="57">
    <w:name w:val="正文文本缩进 字符"/>
    <w:link w:val="22"/>
    <w:qFormat/>
    <w:uiPriority w:val="0"/>
    <w:rPr>
      <w:rFonts w:eastAsia="宋体"/>
      <w:kern w:val="2"/>
      <w:sz w:val="21"/>
    </w:rPr>
  </w:style>
  <w:style w:type="character" w:customStyle="1" w:styleId="58">
    <w:name w:val="标题 1 字符"/>
    <w:link w:val="3"/>
    <w:qFormat/>
    <w:uiPriority w:val="0"/>
    <w:rPr>
      <w:rFonts w:eastAsia="宋体"/>
      <w:b/>
      <w:kern w:val="44"/>
      <w:sz w:val="44"/>
    </w:rPr>
  </w:style>
  <w:style w:type="character" w:customStyle="1" w:styleId="59">
    <w:name w:val="标题 2 字符"/>
    <w:link w:val="4"/>
    <w:qFormat/>
    <w:uiPriority w:val="0"/>
    <w:rPr>
      <w:rFonts w:ascii="Arial" w:hAnsi="Arial" w:eastAsia="黑体"/>
      <w:b/>
      <w:kern w:val="2"/>
      <w:sz w:val="32"/>
    </w:rPr>
  </w:style>
  <w:style w:type="character" w:customStyle="1" w:styleId="60">
    <w:name w:val="标题 3 字符"/>
    <w:link w:val="5"/>
    <w:qFormat/>
    <w:uiPriority w:val="0"/>
    <w:rPr>
      <w:rFonts w:ascii="黑体" w:hAnsi="Calibri" w:eastAsia="黑体"/>
      <w:kern w:val="2"/>
      <w:sz w:val="28"/>
    </w:rPr>
  </w:style>
  <w:style w:type="character" w:customStyle="1" w:styleId="61">
    <w:name w:val="标题 4 字符"/>
    <w:link w:val="6"/>
    <w:qFormat/>
    <w:uiPriority w:val="0"/>
    <w:rPr>
      <w:rFonts w:ascii="Arial" w:hAnsi="Arial" w:eastAsia="黑体"/>
      <w:b/>
      <w:bCs/>
      <w:kern w:val="2"/>
      <w:sz w:val="28"/>
      <w:szCs w:val="28"/>
    </w:rPr>
  </w:style>
  <w:style w:type="character" w:customStyle="1" w:styleId="62">
    <w:name w:val="标题 5 字符"/>
    <w:link w:val="7"/>
    <w:semiHidden/>
    <w:qFormat/>
    <w:uiPriority w:val="9"/>
    <w:rPr>
      <w:rFonts w:eastAsia="宋体"/>
      <w:b/>
      <w:bCs/>
      <w:kern w:val="2"/>
      <w:sz w:val="28"/>
      <w:szCs w:val="28"/>
    </w:rPr>
  </w:style>
  <w:style w:type="character" w:customStyle="1" w:styleId="63">
    <w:name w:val="标题 6 字符"/>
    <w:link w:val="8"/>
    <w:qFormat/>
    <w:uiPriority w:val="0"/>
    <w:rPr>
      <w:rFonts w:ascii="Arial" w:hAnsi="Arial" w:eastAsia="黑体"/>
      <w:b/>
      <w:bCs/>
      <w:sz w:val="24"/>
    </w:rPr>
  </w:style>
  <w:style w:type="character" w:customStyle="1" w:styleId="64">
    <w:name w:val="标题 7 字符"/>
    <w:link w:val="9"/>
    <w:qFormat/>
    <w:uiPriority w:val="0"/>
    <w:rPr>
      <w:rFonts w:eastAsia="宋体"/>
      <w:b/>
      <w:bCs/>
      <w:sz w:val="24"/>
    </w:rPr>
  </w:style>
  <w:style w:type="character" w:customStyle="1" w:styleId="65">
    <w:name w:val="标题 8 字符"/>
    <w:link w:val="10"/>
    <w:qFormat/>
    <w:uiPriority w:val="0"/>
    <w:rPr>
      <w:rFonts w:ascii="Arial" w:hAnsi="Arial" w:eastAsia="黑体"/>
      <w:sz w:val="24"/>
    </w:rPr>
  </w:style>
  <w:style w:type="character" w:customStyle="1" w:styleId="66">
    <w:name w:val="标题 9 字符"/>
    <w:link w:val="11"/>
    <w:qFormat/>
    <w:uiPriority w:val="0"/>
    <w:rPr>
      <w:rFonts w:ascii="Arial" w:hAnsi="Arial" w:eastAsia="黑体"/>
      <w:sz w:val="21"/>
      <w:szCs w:val="21"/>
    </w:rPr>
  </w:style>
  <w:style w:type="character" w:customStyle="1" w:styleId="67">
    <w:name w:val="正文缩进 字符"/>
    <w:link w:val="14"/>
    <w:qFormat/>
    <w:uiPriority w:val="0"/>
    <w:rPr>
      <w:rFonts w:ascii="Calibri" w:hAnsi="Calibri" w:eastAsia="宋体"/>
      <w:kern w:val="2"/>
      <w:sz w:val="21"/>
      <w:szCs w:val="22"/>
    </w:rPr>
  </w:style>
  <w:style w:type="character" w:customStyle="1" w:styleId="68">
    <w:name w:val="文档结构图 字符1"/>
    <w:link w:val="16"/>
    <w:qFormat/>
    <w:uiPriority w:val="99"/>
    <w:rPr>
      <w:rFonts w:ascii="宋体" w:hAnsi="Calibri" w:eastAsia="宋体" w:cs="宋体"/>
      <w:kern w:val="2"/>
      <w:sz w:val="18"/>
      <w:szCs w:val="18"/>
    </w:rPr>
  </w:style>
  <w:style w:type="character" w:customStyle="1" w:styleId="69">
    <w:name w:val="批注文字 字符"/>
    <w:link w:val="18"/>
    <w:qFormat/>
    <w:uiPriority w:val="0"/>
    <w:rPr>
      <w:rFonts w:eastAsia="宋体"/>
      <w:kern w:val="2"/>
      <w:sz w:val="21"/>
    </w:rPr>
  </w:style>
  <w:style w:type="character" w:customStyle="1" w:styleId="70">
    <w:name w:val="正文文本 3 字符1"/>
    <w:link w:val="19"/>
    <w:qFormat/>
    <w:uiPriority w:val="0"/>
    <w:rPr>
      <w:rFonts w:ascii="宋体" w:hAnsi="Calibri" w:eastAsia="宋体"/>
      <w:kern w:val="2"/>
      <w:sz w:val="24"/>
    </w:rPr>
  </w:style>
  <w:style w:type="character" w:customStyle="1" w:styleId="71">
    <w:name w:val="正文文本 字符"/>
    <w:link w:val="20"/>
    <w:qFormat/>
    <w:uiPriority w:val="0"/>
    <w:rPr>
      <w:rFonts w:eastAsia="宋体"/>
      <w:kern w:val="2"/>
      <w:sz w:val="21"/>
    </w:rPr>
  </w:style>
  <w:style w:type="character" w:customStyle="1" w:styleId="72">
    <w:name w:val="纯文本 字符"/>
    <w:link w:val="2"/>
    <w:qFormat/>
    <w:uiPriority w:val="0"/>
    <w:rPr>
      <w:rFonts w:ascii="宋体" w:hAnsi="Calibri" w:eastAsia="宋体"/>
      <w:kern w:val="2"/>
      <w:sz w:val="21"/>
      <w:szCs w:val="22"/>
    </w:rPr>
  </w:style>
  <w:style w:type="character" w:customStyle="1" w:styleId="73">
    <w:name w:val="日期 字符"/>
    <w:link w:val="27"/>
    <w:qFormat/>
    <w:uiPriority w:val="0"/>
    <w:rPr>
      <w:rFonts w:eastAsia="宋体"/>
      <w:kern w:val="2"/>
      <w:sz w:val="21"/>
    </w:rPr>
  </w:style>
  <w:style w:type="character" w:customStyle="1" w:styleId="74">
    <w:name w:val="正文文本缩进 2 字符"/>
    <w:link w:val="28"/>
    <w:qFormat/>
    <w:uiPriority w:val="0"/>
    <w:rPr>
      <w:rFonts w:ascii="Calibri" w:hAnsi="Calibri" w:eastAsia="宋体"/>
      <w:kern w:val="2"/>
      <w:sz w:val="21"/>
      <w:szCs w:val="22"/>
    </w:rPr>
  </w:style>
  <w:style w:type="character" w:customStyle="1" w:styleId="75">
    <w:name w:val="批注框文本 字符"/>
    <w:link w:val="29"/>
    <w:qFormat/>
    <w:uiPriority w:val="0"/>
    <w:rPr>
      <w:rFonts w:eastAsia="宋体"/>
      <w:kern w:val="2"/>
      <w:sz w:val="18"/>
    </w:rPr>
  </w:style>
  <w:style w:type="character" w:customStyle="1" w:styleId="76">
    <w:name w:val="页脚 字符"/>
    <w:link w:val="30"/>
    <w:qFormat/>
    <w:uiPriority w:val="99"/>
    <w:rPr>
      <w:rFonts w:ascii="Calibri" w:hAnsi="Calibri" w:eastAsia="宋体"/>
      <w:kern w:val="2"/>
      <w:sz w:val="18"/>
      <w:szCs w:val="22"/>
    </w:rPr>
  </w:style>
  <w:style w:type="character" w:customStyle="1" w:styleId="77">
    <w:name w:val="页眉 字符"/>
    <w:link w:val="31"/>
    <w:qFormat/>
    <w:uiPriority w:val="99"/>
    <w:rPr>
      <w:rFonts w:eastAsia="宋体"/>
      <w:kern w:val="2"/>
      <w:sz w:val="18"/>
    </w:rPr>
  </w:style>
  <w:style w:type="character" w:customStyle="1" w:styleId="78">
    <w:name w:val="副标题 字符"/>
    <w:link w:val="21"/>
    <w:qFormat/>
    <w:uiPriority w:val="11"/>
    <w:rPr>
      <w:rFonts w:ascii="Calibri Light" w:hAnsi="Calibri Light" w:eastAsia="宋体" w:cs="Times New Roman"/>
      <w:b/>
      <w:bCs/>
      <w:kern w:val="28"/>
      <w:sz w:val="32"/>
      <w:szCs w:val="32"/>
    </w:rPr>
  </w:style>
  <w:style w:type="character" w:customStyle="1" w:styleId="79">
    <w:name w:val="正文文本缩进 3 字符"/>
    <w:link w:val="36"/>
    <w:qFormat/>
    <w:uiPriority w:val="0"/>
    <w:rPr>
      <w:rFonts w:ascii="Calibri" w:hAnsi="Calibri" w:eastAsia="宋体"/>
      <w:kern w:val="2"/>
      <w:sz w:val="16"/>
      <w:szCs w:val="16"/>
    </w:rPr>
  </w:style>
  <w:style w:type="character" w:customStyle="1" w:styleId="80">
    <w:name w:val="正文文本 2 字符"/>
    <w:link w:val="39"/>
    <w:qFormat/>
    <w:uiPriority w:val="0"/>
    <w:rPr>
      <w:rFonts w:eastAsia="宋体"/>
      <w:kern w:val="2"/>
      <w:sz w:val="24"/>
      <w:szCs w:val="24"/>
    </w:rPr>
  </w:style>
  <w:style w:type="character" w:customStyle="1" w:styleId="81">
    <w:name w:val="标题 字符"/>
    <w:link w:val="42"/>
    <w:qFormat/>
    <w:uiPriority w:val="0"/>
    <w:rPr>
      <w:rFonts w:ascii="Arial" w:hAnsi="Arial" w:eastAsia="宋体"/>
      <w:b/>
      <w:sz w:val="32"/>
    </w:rPr>
  </w:style>
  <w:style w:type="character" w:customStyle="1" w:styleId="82">
    <w:name w:val="批注主题 字符"/>
    <w:link w:val="43"/>
    <w:qFormat/>
    <w:uiPriority w:val="0"/>
    <w:rPr>
      <w:rFonts w:eastAsia="宋体"/>
      <w:kern w:val="2"/>
      <w:sz w:val="21"/>
    </w:rPr>
  </w:style>
  <w:style w:type="character" w:customStyle="1" w:styleId="83">
    <w:name w:val="正文文本首行缩进 字符"/>
    <w:link w:val="44"/>
    <w:qFormat/>
    <w:uiPriority w:val="99"/>
    <w:rPr>
      <w:rFonts w:eastAsia="宋体"/>
      <w:kern w:val="2"/>
      <w:sz w:val="21"/>
      <w:szCs w:val="24"/>
      <w:lang w:val="en-US" w:eastAsia="zh-CN" w:bidi="ar-SA"/>
    </w:rPr>
  </w:style>
  <w:style w:type="paragraph" w:customStyle="1" w:styleId="84">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85">
    <w:name w:val="style_kwd"/>
    <w:qFormat/>
    <w:uiPriority w:val="0"/>
  </w:style>
  <w:style w:type="character" w:customStyle="1" w:styleId="86">
    <w:name w:val="批注文字 Char1"/>
    <w:qFormat/>
    <w:uiPriority w:val="0"/>
    <w:rPr>
      <w:rFonts w:ascii="Times New Roman" w:hAnsi="Times New Roman" w:eastAsia="宋体" w:cs="Times New Roman"/>
      <w:sz w:val="20"/>
      <w:szCs w:val="20"/>
      <w:lang w:bidi="ar-SA"/>
    </w:rPr>
  </w:style>
  <w:style w:type="character" w:customStyle="1" w:styleId="87">
    <w:name w:val="Comment Text Char"/>
    <w:qFormat/>
    <w:uiPriority w:val="0"/>
  </w:style>
  <w:style w:type="paragraph" w:customStyle="1" w:styleId="88">
    <w:name w:val="修订1"/>
    <w:qFormat/>
    <w:uiPriority w:val="99"/>
    <w:rPr>
      <w:rFonts w:ascii="Times New Roman" w:hAnsi="Times New Roman" w:eastAsia="宋体" w:cs="Times New Roman"/>
      <w:kern w:val="2"/>
      <w:sz w:val="21"/>
      <w:lang w:val="en-US" w:eastAsia="zh-CN" w:bidi="ar-SA"/>
    </w:rPr>
  </w:style>
  <w:style w:type="paragraph" w:customStyle="1" w:styleId="89">
    <w:name w:val="_Style 23"/>
    <w:basedOn w:val="1"/>
    <w:qFormat/>
    <w:uiPriority w:val="0"/>
    <w:pPr>
      <w:widowControl/>
      <w:spacing w:after="160" w:line="240" w:lineRule="exact"/>
      <w:jc w:val="left"/>
    </w:pPr>
  </w:style>
  <w:style w:type="paragraph" w:customStyle="1" w:styleId="90">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91">
    <w:name w:val="font161"/>
    <w:qFormat/>
    <w:uiPriority w:val="0"/>
    <w:rPr>
      <w:b/>
      <w:bCs/>
      <w:sz w:val="32"/>
      <w:szCs w:val="32"/>
    </w:rPr>
  </w:style>
  <w:style w:type="character" w:customStyle="1" w:styleId="92">
    <w:name w:val="正文文本 Char"/>
    <w:qFormat/>
    <w:uiPriority w:val="0"/>
    <w:rPr>
      <w:rFonts w:eastAsia="宋体"/>
      <w:kern w:val="2"/>
      <w:sz w:val="21"/>
      <w:szCs w:val="24"/>
      <w:lang w:val="en-US" w:eastAsia="zh-CN" w:bidi="ar-SA"/>
    </w:rPr>
  </w:style>
  <w:style w:type="paragraph" w:customStyle="1" w:styleId="93">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4">
    <w:name w:val="Char"/>
    <w:basedOn w:val="1"/>
    <w:qFormat/>
    <w:uiPriority w:val="0"/>
    <w:pPr>
      <w:widowControl/>
      <w:spacing w:after="160" w:line="240" w:lineRule="exact"/>
      <w:jc w:val="left"/>
    </w:pPr>
    <w:rPr>
      <w:rFonts w:ascii="Verdana" w:hAnsi="Verdana"/>
      <w:kern w:val="0"/>
      <w:sz w:val="20"/>
      <w:szCs w:val="20"/>
      <w:lang w:eastAsia="en-US"/>
    </w:rPr>
  </w:style>
  <w:style w:type="paragraph" w:styleId="95">
    <w:name w:val="List Paragraph"/>
    <w:basedOn w:val="1"/>
    <w:qFormat/>
    <w:uiPriority w:val="34"/>
    <w:pPr>
      <w:ind w:firstLine="420" w:firstLineChars="200"/>
    </w:pPr>
  </w:style>
  <w:style w:type="character" w:customStyle="1" w:styleId="96">
    <w:name w:val="正文首行缩进 Char1"/>
    <w:qFormat/>
    <w:uiPriority w:val="99"/>
    <w:rPr>
      <w:rFonts w:eastAsia="宋体"/>
      <w:kern w:val="2"/>
      <w:sz w:val="21"/>
    </w:rPr>
  </w:style>
  <w:style w:type="paragraph" w:customStyle="1" w:styleId="97">
    <w:name w:val="我的正文"/>
    <w:basedOn w:val="1"/>
    <w:qFormat/>
    <w:uiPriority w:val="0"/>
    <w:rPr>
      <w:rFonts w:ascii="宋体" w:hAnsi="宋体"/>
      <w:sz w:val="24"/>
      <w:szCs w:val="24"/>
    </w:rPr>
  </w:style>
  <w:style w:type="paragraph" w:customStyle="1" w:styleId="9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99">
    <w:name w:val="样式2"/>
    <w:basedOn w:val="5"/>
    <w:qFormat/>
    <w:uiPriority w:val="0"/>
    <w:pPr>
      <w:spacing w:line="415" w:lineRule="auto"/>
      <w:ind w:firstLine="137"/>
    </w:pPr>
    <w:rPr>
      <w:rFonts w:hAnsi="Times New Roman"/>
      <w:bCs/>
      <w:i/>
      <w:szCs w:val="28"/>
    </w:rPr>
  </w:style>
  <w:style w:type="paragraph" w:customStyle="1" w:styleId="100">
    <w:name w:val="Char1"/>
    <w:basedOn w:val="1"/>
    <w:qFormat/>
    <w:uiPriority w:val="0"/>
    <w:pPr>
      <w:tabs>
        <w:tab w:val="left" w:pos="360"/>
      </w:tabs>
    </w:pPr>
    <w:rPr>
      <w:rFonts w:ascii="Times New Roman" w:hAnsi="Times New Roman"/>
      <w:sz w:val="24"/>
      <w:szCs w:val="20"/>
    </w:rPr>
  </w:style>
  <w:style w:type="paragraph" w:customStyle="1" w:styleId="101">
    <w:name w:val="修订11"/>
    <w:qFormat/>
    <w:uiPriority w:val="0"/>
    <w:rPr>
      <w:rFonts w:ascii="Times New Roman" w:hAnsi="Times New Roman" w:eastAsia="宋体" w:cs="Times New Roman"/>
      <w:kern w:val="2"/>
      <w:sz w:val="21"/>
      <w:szCs w:val="24"/>
      <w:lang w:val="en-US" w:eastAsia="zh-CN" w:bidi="ar-SA"/>
    </w:rPr>
  </w:style>
  <w:style w:type="character" w:customStyle="1" w:styleId="102">
    <w:name w:val="样式1 Char"/>
    <w:link w:val="55"/>
    <w:qFormat/>
    <w:uiPriority w:val="0"/>
    <w:rPr>
      <w:rFonts w:ascii="宋体" w:hAnsi="宋体" w:eastAsia="宋体"/>
      <w:kern w:val="2"/>
      <w:sz w:val="21"/>
      <w:szCs w:val="21"/>
    </w:rPr>
  </w:style>
  <w:style w:type="paragraph" w:customStyle="1" w:styleId="103">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105">
    <w:name w:val="样式 标题 3 + (中文) 黑体 小四 非加粗 段前: 7.8 磅 段后: 0 磅 行距: 固定值 20 磅"/>
    <w:basedOn w:val="5"/>
    <w:qFormat/>
    <w:uiPriority w:val="0"/>
    <w:pPr>
      <w:spacing w:before="0" w:after="0" w:line="400" w:lineRule="exact"/>
      <w:ind w:firstLine="137"/>
    </w:pPr>
    <w:rPr>
      <w:rFonts w:hAnsi="Times New Roman" w:cs="宋体"/>
      <w:sz w:val="24"/>
    </w:rPr>
  </w:style>
  <w:style w:type="paragraph" w:customStyle="1" w:styleId="106">
    <w:name w:val="1"/>
    <w:basedOn w:val="1"/>
    <w:qFormat/>
    <w:uiPriority w:val="0"/>
    <w:rPr>
      <w:rFonts w:ascii="Times New Roman" w:hAnsi="Times New Roman"/>
      <w:szCs w:val="20"/>
    </w:rPr>
  </w:style>
  <w:style w:type="paragraph" w:customStyle="1" w:styleId="107">
    <w:name w:val="表格"/>
    <w:basedOn w:val="1"/>
    <w:qFormat/>
    <w:uiPriority w:val="0"/>
    <w:pPr>
      <w:jc w:val="center"/>
      <w:textAlignment w:val="center"/>
    </w:pPr>
    <w:rPr>
      <w:rFonts w:ascii="华文细黑" w:hAnsi="华文细黑"/>
      <w:kern w:val="0"/>
      <w:szCs w:val="20"/>
    </w:rPr>
  </w:style>
  <w:style w:type="paragraph" w:customStyle="1" w:styleId="108">
    <w:name w:val="修订2"/>
    <w:qFormat/>
    <w:uiPriority w:val="0"/>
    <w:rPr>
      <w:rFonts w:ascii="Times New Roman" w:hAnsi="Times New Roman" w:eastAsia="宋体" w:cs="Times New Roman"/>
      <w:kern w:val="2"/>
      <w:sz w:val="21"/>
      <w:szCs w:val="24"/>
      <w:lang w:val="en-US" w:eastAsia="zh-CN" w:bidi="ar-SA"/>
    </w:rPr>
  </w:style>
  <w:style w:type="paragraph" w:customStyle="1" w:styleId="109">
    <w:name w:val="公文正文"/>
    <w:qFormat/>
    <w:uiPriority w:val="0"/>
    <w:pPr>
      <w:widowControl w:val="0"/>
      <w:spacing w:line="360" w:lineRule="auto"/>
      <w:ind w:firstLine="629"/>
      <w:jc w:val="both"/>
    </w:pPr>
    <w:rPr>
      <w:rFonts w:ascii="FangSong_GB2312" w:hAnsi="Calisto MT" w:eastAsia="FangSong_GB2312" w:cs="Times New Roman"/>
      <w:color w:val="000000"/>
      <w:sz w:val="32"/>
      <w:lang w:val="en-US" w:eastAsia="zh-CN" w:bidi="ar-SA"/>
    </w:rPr>
  </w:style>
  <w:style w:type="paragraph" w:customStyle="1" w:styleId="110">
    <w:name w:val="Table Paragraph"/>
    <w:basedOn w:val="1"/>
    <w:unhideWhenUsed/>
    <w:qFormat/>
    <w:uiPriority w:val="99"/>
    <w:pPr>
      <w:widowControl/>
    </w:pPr>
    <w:rPr>
      <w:rFonts w:hint="eastAsia" w:ascii="Times New Roman" w:hAnsi="Times New Roman"/>
      <w:szCs w:val="20"/>
    </w:rPr>
  </w:style>
  <w:style w:type="paragraph" w:customStyle="1" w:styleId="111">
    <w:name w:val="表中"/>
    <w:basedOn w:val="1"/>
    <w:qFormat/>
    <w:uiPriority w:val="0"/>
    <w:pPr>
      <w:adjustRightInd w:val="0"/>
      <w:spacing w:line="360" w:lineRule="atLeast"/>
      <w:jc w:val="center"/>
      <w:textAlignment w:val="baseline"/>
    </w:pPr>
    <w:rPr>
      <w:rFonts w:ascii="Times New Roman" w:hAnsi="Times New Roman"/>
      <w:kern w:val="0"/>
      <w:szCs w:val="20"/>
    </w:rPr>
  </w:style>
  <w:style w:type="character" w:customStyle="1" w:styleId="112">
    <w:name w:val="文一 Char"/>
    <w:link w:val="113"/>
    <w:qFormat/>
    <w:locked/>
    <w:uiPriority w:val="0"/>
    <w:rPr>
      <w:spacing w:val="4"/>
      <w:sz w:val="24"/>
      <w:szCs w:val="24"/>
    </w:rPr>
  </w:style>
  <w:style w:type="paragraph" w:customStyle="1" w:styleId="113">
    <w:name w:val="文一"/>
    <w:basedOn w:val="1"/>
    <w:link w:val="112"/>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114">
    <w:name w:val="文二"/>
    <w:basedOn w:val="1"/>
    <w:qFormat/>
    <w:uiPriority w:val="0"/>
    <w:pPr>
      <w:jc w:val="left"/>
    </w:pPr>
    <w:rPr>
      <w:rFonts w:ascii="宋体" w:hAnsi="宋体"/>
      <w:szCs w:val="21"/>
    </w:rPr>
  </w:style>
  <w:style w:type="paragraph" w:customStyle="1" w:styleId="115">
    <w:name w:val="TOC 标题11"/>
    <w:basedOn w:val="3"/>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116">
    <w:name w:val="文档结构图 字符"/>
    <w:qFormat/>
    <w:uiPriority w:val="99"/>
    <w:rPr>
      <w:kern w:val="2"/>
      <w:sz w:val="21"/>
      <w:szCs w:val="24"/>
      <w:shd w:val="clear" w:color="auto" w:fill="000080"/>
    </w:rPr>
  </w:style>
  <w:style w:type="character" w:customStyle="1" w:styleId="117">
    <w:name w:val="正文文本 3 字符"/>
    <w:qFormat/>
    <w:uiPriority w:val="0"/>
    <w:rPr>
      <w:kern w:val="2"/>
      <w:sz w:val="16"/>
      <w:szCs w:val="16"/>
    </w:rPr>
  </w:style>
  <w:style w:type="paragraph" w:customStyle="1" w:styleId="118">
    <w:name w:val="p0"/>
    <w:basedOn w:val="1"/>
    <w:qFormat/>
    <w:uiPriority w:val="0"/>
    <w:pPr>
      <w:widowControl/>
      <w:spacing w:line="360" w:lineRule="auto"/>
      <w:jc w:val="left"/>
    </w:pPr>
    <w:rPr>
      <w:rFonts w:ascii="Times New Roman" w:hAnsi="Times New Roman"/>
      <w:kern w:val="0"/>
      <w:sz w:val="24"/>
      <w:szCs w:val="21"/>
    </w:rPr>
  </w:style>
  <w:style w:type="paragraph" w:customStyle="1" w:styleId="119">
    <w:name w:val="目录文字"/>
    <w:basedOn w:val="1"/>
    <w:qFormat/>
    <w:uiPriority w:val="0"/>
    <w:pPr>
      <w:widowControl/>
      <w:spacing w:line="480" w:lineRule="auto"/>
      <w:jc w:val="left"/>
    </w:pPr>
    <w:rPr>
      <w:rFonts w:ascii="宋体" w:hAnsi="宋体"/>
      <w:kern w:val="0"/>
      <w:sz w:val="24"/>
      <w:szCs w:val="20"/>
    </w:rPr>
  </w:style>
  <w:style w:type="paragraph" w:customStyle="1" w:styleId="120">
    <w:name w:val="charchar20"/>
    <w:basedOn w:val="1"/>
    <w:qFormat/>
    <w:uiPriority w:val="0"/>
    <w:pPr>
      <w:widowControl/>
      <w:spacing w:after="160" w:line="240" w:lineRule="atLeast"/>
      <w:jc w:val="left"/>
    </w:pPr>
    <w:rPr>
      <w:rFonts w:ascii="Verdana" w:hAnsi="Verdana" w:cs="宋体"/>
      <w:kern w:val="0"/>
      <w:sz w:val="24"/>
      <w:szCs w:val="24"/>
    </w:rPr>
  </w:style>
  <w:style w:type="character" w:customStyle="1" w:styleId="121">
    <w:name w:val="纯文本 Char1"/>
    <w:semiHidden/>
    <w:qFormat/>
    <w:uiPriority w:val="99"/>
    <w:rPr>
      <w:rFonts w:ascii="宋体" w:hAnsi="Courier New" w:eastAsia="宋体" w:cs="Courier New"/>
      <w:szCs w:val="21"/>
    </w:rPr>
  </w:style>
  <w:style w:type="paragraph" w:customStyle="1" w:styleId="122">
    <w:name w:val="text"/>
    <w:basedOn w:val="1"/>
    <w:qFormat/>
    <w:uiPriority w:val="0"/>
    <w:pPr>
      <w:widowControl/>
      <w:spacing w:before="100" w:beforeAutospacing="1" w:after="100" w:afterAutospacing="1" w:line="312" w:lineRule="auto"/>
      <w:jc w:val="left"/>
    </w:pPr>
    <w:rPr>
      <w:rFonts w:ascii="ˎ̥" w:hAnsi="ˎ̥" w:cs="宋体"/>
      <w:color w:val="333333"/>
      <w:kern w:val="0"/>
      <w:sz w:val="18"/>
      <w:szCs w:val="18"/>
    </w:rPr>
  </w:style>
  <w:style w:type="paragraph" w:customStyle="1" w:styleId="123">
    <w:name w:val="自定义标题１"/>
    <w:basedOn w:val="5"/>
    <w:qFormat/>
    <w:uiPriority w:val="0"/>
    <w:pPr>
      <w:numPr>
        <w:ilvl w:val="0"/>
        <w:numId w:val="1"/>
      </w:numPr>
      <w:spacing w:before="100" w:beforeAutospacing="1" w:after="100" w:afterAutospacing="1" w:line="240" w:lineRule="auto"/>
      <w:ind w:firstLine="0" w:firstLineChars="0"/>
    </w:pPr>
    <w:rPr>
      <w:rFonts w:ascii="Times New Roman" w:hAnsi="Times New Roman" w:eastAsia="宋体"/>
      <w:bCs/>
      <w:sz w:val="24"/>
      <w:szCs w:val="32"/>
    </w:rPr>
  </w:style>
  <w:style w:type="paragraph" w:customStyle="1" w:styleId="124">
    <w:name w:val="Char Char2"/>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25">
    <w:name w:val="a"/>
    <w:basedOn w:val="1"/>
    <w:qFormat/>
    <w:uiPriority w:val="0"/>
    <w:pPr>
      <w:widowControl/>
      <w:spacing w:line="480" w:lineRule="auto"/>
      <w:jc w:val="left"/>
    </w:pPr>
    <w:rPr>
      <w:rFonts w:ascii="宋体" w:hAnsi="宋体" w:cs="宋体"/>
      <w:kern w:val="0"/>
      <w:sz w:val="24"/>
      <w:szCs w:val="24"/>
    </w:rPr>
  </w:style>
  <w:style w:type="paragraph" w:customStyle="1" w:styleId="126">
    <w:name w:val="charchar2"/>
    <w:basedOn w:val="1"/>
    <w:qFormat/>
    <w:uiPriority w:val="0"/>
    <w:pPr>
      <w:widowControl/>
      <w:spacing w:after="160" w:line="240" w:lineRule="atLeast"/>
      <w:jc w:val="left"/>
    </w:pPr>
    <w:rPr>
      <w:rFonts w:ascii="Verdana" w:hAnsi="Verdana" w:cs="宋体"/>
      <w:kern w:val="0"/>
      <w:sz w:val="24"/>
      <w:szCs w:val="24"/>
    </w:rPr>
  </w:style>
  <w:style w:type="paragraph" w:customStyle="1" w:styleId="127">
    <w:name w:val="副标题1"/>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customStyle="1" w:styleId="128">
    <w:name w:val="Char Char Char Char Char Char Char Char Char Char Char Char Char Char Char Char Char Char Char"/>
    <w:basedOn w:val="1"/>
    <w:qFormat/>
    <w:uiPriority w:val="0"/>
    <w:pPr>
      <w:widowControl/>
      <w:spacing w:after="160" w:line="240" w:lineRule="exact"/>
      <w:jc w:val="left"/>
    </w:pPr>
    <w:rPr>
      <w:rFonts w:ascii="宋体" w:hAnsi="宋体"/>
      <w:sz w:val="28"/>
      <w:szCs w:val="20"/>
    </w:rPr>
  </w:style>
  <w:style w:type="table" w:customStyle="1" w:styleId="129">
    <w:name w:val="网格型1"/>
    <w:basedOn w:val="4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0">
    <w:name w:val="副标题 Char1"/>
    <w:qFormat/>
    <w:uiPriority w:val="0"/>
    <w:rPr>
      <w:rFonts w:ascii="Cambria" w:hAnsi="Cambria" w:eastAsia="宋体" w:cs="Times New Roman"/>
      <w:b/>
      <w:bCs/>
      <w:kern w:val="28"/>
      <w:sz w:val="32"/>
      <w:szCs w:val="32"/>
    </w:rPr>
  </w:style>
  <w:style w:type="character" w:customStyle="1" w:styleId="131">
    <w:name w:val="批注文字 字符1"/>
    <w:qFormat/>
    <w:uiPriority w:val="0"/>
    <w:rPr>
      <w:kern w:val="2"/>
      <w:sz w:val="21"/>
      <w:szCs w:val="24"/>
    </w:rPr>
  </w:style>
  <w:style w:type="character" w:customStyle="1" w:styleId="132">
    <w:name w:val="批注文字 Char"/>
    <w:qFormat/>
    <w:uiPriority w:val="0"/>
    <w:rPr>
      <w:kern w:val="2"/>
      <w:sz w:val="21"/>
    </w:rPr>
  </w:style>
  <w:style w:type="paragraph" w:customStyle="1" w:styleId="133">
    <w:name w:val="字元 字元 Char Char Char Char"/>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134">
    <w:name w:val="章节二"/>
    <w:basedOn w:val="1"/>
    <w:next w:val="1"/>
    <w:qFormat/>
    <w:uiPriority w:val="0"/>
    <w:pPr>
      <w:topLinePunct/>
      <w:adjustRightInd w:val="0"/>
      <w:snapToGrid w:val="0"/>
      <w:spacing w:beforeLines="50" w:afterLines="50"/>
      <w:jc w:val="center"/>
      <w:outlineLvl w:val="1"/>
    </w:pPr>
    <w:rPr>
      <w:rFonts w:eastAsia="黑体" w:cs="Calibri"/>
      <w:b/>
      <w:spacing w:val="4"/>
      <w:kern w:val="0"/>
      <w:sz w:val="30"/>
      <w:szCs w:val="30"/>
    </w:rPr>
  </w:style>
  <w:style w:type="paragraph" w:customStyle="1" w:styleId="135">
    <w:name w:val="WPSOffice手动目录 1"/>
    <w:qFormat/>
    <w:uiPriority w:val="0"/>
    <w:rPr>
      <w:rFonts w:ascii="Times New Roman" w:hAnsi="Times New Roman" w:eastAsia="宋体" w:cs="Times New Roman"/>
      <w:lang w:val="en-US" w:eastAsia="zh-CN" w:bidi="ar-SA"/>
    </w:rPr>
  </w:style>
  <w:style w:type="paragraph" w:customStyle="1" w:styleId="136">
    <w:name w:val="正文文本 31"/>
    <w:basedOn w:val="1"/>
    <w:qFormat/>
    <w:uiPriority w:val="0"/>
    <w:rPr>
      <w:rFonts w:ascii="宋体"/>
      <w:sz w:val="24"/>
      <w:szCs w:val="20"/>
    </w:rPr>
  </w:style>
  <w:style w:type="paragraph" w:customStyle="1" w:styleId="137">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138">
    <w:name w:val="修订3"/>
    <w:unhideWhenUsed/>
    <w:qFormat/>
    <w:uiPriority w:val="99"/>
    <w:rPr>
      <w:rFonts w:ascii="Calibri" w:hAnsi="Calibri" w:eastAsia="宋体" w:cs="Times New Roman"/>
      <w:kern w:val="2"/>
      <w:sz w:val="21"/>
      <w:szCs w:val="22"/>
      <w:lang w:val="en-US" w:eastAsia="zh-CN" w:bidi="ar-SA"/>
    </w:rPr>
  </w:style>
  <w:style w:type="paragraph" w:customStyle="1" w:styleId="139">
    <w:name w:val="样式 宋体 行距: 1.5 倍行距"/>
    <w:basedOn w:val="1"/>
    <w:qFormat/>
    <w:uiPriority w:val="0"/>
    <w:pPr>
      <w:jc w:val="center"/>
    </w:pPr>
    <w:rPr>
      <w:b/>
    </w:rPr>
  </w:style>
  <w:style w:type="paragraph" w:styleId="140">
    <w:name w:val="No Spacing"/>
    <w:qFormat/>
    <w:uiPriority w:val="1"/>
    <w:pPr>
      <w:widowControl w:val="0"/>
      <w:jc w:val="both"/>
    </w:pPr>
    <w:rPr>
      <w:rFonts w:ascii="Times New Roman" w:hAnsi="Times New Roman"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3971E-43F4-4EFA-B04A-B89F09A65DC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59</Pages>
  <Words>21704</Words>
  <Characters>22880</Characters>
  <Lines>291</Lines>
  <Paragraphs>82</Paragraphs>
  <TotalTime>23</TotalTime>
  <ScaleCrop>false</ScaleCrop>
  <LinksUpToDate>false</LinksUpToDate>
  <CharactersWithSpaces>23207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2025-01-10T11:11:00Z</dcterms:created>
  <dc:creator>袁静</dc:creator>
  <cp:lastModifiedBy>1</cp:lastModifiedBy>
  <cp:lastPrinted>2025-01-16T09:10:00Z</cp:lastPrinted>
  <dcterms:modified xsi:type="dcterms:W3CDTF">2025-11-24T09:26:27Z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79F690D823644D918293F97D26D5CC65_13</vt:lpwstr>
  </property>
  <property fmtid="{D5CDD505-2E9C-101B-9397-08002B2CF9AE}" pid="4" name="KSOTemplateDocerSaveRecord">
    <vt:lpwstr>eyJoZGlkIjoiZjg3MWUwMmZkYjYxMmRjYzJlMDAzZDVhNzNmNzM5MjkiLCJ1c2VySWQiOiIxOTI5NDk1MDIifQ==</vt:lpwstr>
  </property>
</Properties>
</file>