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50E97">
      <w:pPr>
        <w:pStyle w:val="16"/>
      </w:pPr>
    </w:p>
    <w:p w14:paraId="77094811"/>
    <w:p w14:paraId="6267695A"/>
    <w:p w14:paraId="6E388CE3">
      <w:pPr>
        <w:pStyle w:val="22"/>
        <w:jc w:val="center"/>
        <w:rPr>
          <w:rFonts w:hint="eastAsia" w:hAnsi="宋体" w:eastAsia="宋体"/>
          <w:b/>
          <w:sz w:val="48"/>
          <w:szCs w:val="48"/>
        </w:rPr>
      </w:pPr>
      <w:r>
        <w:rPr>
          <w:rFonts w:hint="eastAsia" w:hAnsi="宋体" w:eastAsia="宋体"/>
          <w:b/>
          <w:sz w:val="48"/>
          <w:szCs w:val="48"/>
        </w:rPr>
        <w:t>南沙交投先进智造园</w:t>
      </w:r>
      <w:r>
        <w:rPr>
          <w:rFonts w:hint="eastAsia" w:hAnsi="宋体" w:eastAsia="宋体"/>
          <w:b/>
          <w:sz w:val="48"/>
          <w:szCs w:val="48"/>
          <w:lang w:val="en-US" w:eastAsia="zh-CN"/>
        </w:rPr>
        <w:t>一期</w:t>
      </w:r>
      <w:r>
        <w:rPr>
          <w:rFonts w:hint="eastAsia" w:hAnsi="宋体" w:eastAsia="宋体"/>
          <w:b/>
          <w:sz w:val="48"/>
          <w:szCs w:val="48"/>
        </w:rPr>
        <w:t>项目</w:t>
      </w:r>
    </w:p>
    <w:p w14:paraId="7F64286D">
      <w:pPr>
        <w:pStyle w:val="22"/>
        <w:jc w:val="center"/>
        <w:rPr>
          <w:rFonts w:hAnsi="宋体"/>
          <w:b/>
          <w:sz w:val="52"/>
          <w:szCs w:val="52"/>
        </w:rPr>
      </w:pPr>
      <w:r>
        <w:rPr>
          <w:rFonts w:hint="eastAsia" w:hAnsi="宋体"/>
          <w:b/>
          <w:sz w:val="48"/>
          <w:szCs w:val="48"/>
        </w:rPr>
        <w:t>全过程造价咨询服务</w:t>
      </w:r>
    </w:p>
    <w:p w14:paraId="564F34C6">
      <w:pPr>
        <w:pStyle w:val="22"/>
        <w:rPr>
          <w:rFonts w:hAnsi="宋体"/>
          <w:b/>
          <w:sz w:val="40"/>
          <w:szCs w:val="40"/>
        </w:rPr>
      </w:pPr>
    </w:p>
    <w:p w14:paraId="4A6A25B8">
      <w:pPr>
        <w:pStyle w:val="22"/>
        <w:rPr>
          <w:rFonts w:hAnsi="宋体"/>
          <w:b/>
          <w:sz w:val="40"/>
          <w:szCs w:val="40"/>
        </w:rPr>
      </w:pPr>
    </w:p>
    <w:p w14:paraId="2F6F84B8">
      <w:pPr>
        <w:pStyle w:val="22"/>
      </w:pPr>
    </w:p>
    <w:p w14:paraId="432A9B94">
      <w:pPr>
        <w:spacing w:line="360" w:lineRule="auto"/>
        <w:jc w:val="center"/>
        <w:rPr>
          <w:rFonts w:hint="eastAsia" w:ascii="宋体" w:hAnsi="宋体"/>
          <w:b/>
          <w:sz w:val="72"/>
          <w:szCs w:val="72"/>
        </w:rPr>
      </w:pPr>
      <w:r>
        <w:rPr>
          <w:rFonts w:hint="eastAsia" w:ascii="宋体" w:hAnsi="宋体"/>
          <w:b/>
          <w:sz w:val="72"/>
          <w:szCs w:val="72"/>
        </w:rPr>
        <w:t>合同文件</w:t>
      </w:r>
    </w:p>
    <w:p w14:paraId="248FE197">
      <w:pPr>
        <w:pStyle w:val="22"/>
      </w:pPr>
    </w:p>
    <w:p w14:paraId="39483397">
      <w:pPr>
        <w:pStyle w:val="16"/>
      </w:pPr>
    </w:p>
    <w:p w14:paraId="6D3AC9AA">
      <w:pPr>
        <w:spacing w:before="120" w:after="120" w:line="360" w:lineRule="auto"/>
        <w:ind w:firstLine="2240" w:firstLineChars="800"/>
        <w:rPr>
          <w:rFonts w:hint="eastAsia" w:ascii="宋体" w:hAnsi="宋体"/>
          <w:b/>
          <w:snapToGrid w:val="0"/>
          <w:kern w:val="0"/>
          <w:sz w:val="28"/>
          <w:szCs w:val="28"/>
        </w:rPr>
      </w:pPr>
      <w:r>
        <w:rPr>
          <w:rFonts w:hint="eastAsia" w:ascii="宋体" w:hAnsi="宋体" w:cs="宋体"/>
          <w:sz w:val="28"/>
          <w:szCs w:val="28"/>
        </w:rPr>
        <w:t xml:space="preserve">合同编号： </w:t>
      </w:r>
    </w:p>
    <w:p w14:paraId="2980FDBF">
      <w:pPr>
        <w:adjustRightInd w:val="0"/>
        <w:snapToGrid w:val="0"/>
        <w:spacing w:line="360" w:lineRule="auto"/>
        <w:jc w:val="center"/>
        <w:rPr>
          <w:rFonts w:hint="eastAsia" w:ascii="宋体" w:hAnsi="宋体" w:cs="宋体"/>
          <w:b/>
          <w:sz w:val="32"/>
          <w:szCs w:val="28"/>
        </w:rPr>
      </w:pPr>
    </w:p>
    <w:p w14:paraId="5552D7E7">
      <w:pPr>
        <w:adjustRightInd w:val="0"/>
        <w:snapToGrid w:val="0"/>
        <w:spacing w:line="360" w:lineRule="auto"/>
        <w:jc w:val="center"/>
        <w:rPr>
          <w:rFonts w:hint="eastAsia" w:ascii="宋体" w:hAnsi="宋体" w:cs="宋体"/>
          <w:b/>
          <w:sz w:val="32"/>
          <w:szCs w:val="28"/>
        </w:rPr>
      </w:pPr>
    </w:p>
    <w:p w14:paraId="476BF39E">
      <w:pPr>
        <w:pStyle w:val="22"/>
        <w:rPr>
          <w:rFonts w:eastAsia="宋体"/>
        </w:rPr>
      </w:pPr>
    </w:p>
    <w:p w14:paraId="23F0EFDB">
      <w:pPr>
        <w:pStyle w:val="22"/>
        <w:rPr>
          <w:rFonts w:eastAsia="宋体"/>
        </w:rPr>
      </w:pPr>
    </w:p>
    <w:p w14:paraId="0B0B77A7">
      <w:pPr>
        <w:pStyle w:val="16"/>
      </w:pPr>
    </w:p>
    <w:p w14:paraId="4A54A8D6">
      <w:pPr>
        <w:pStyle w:val="16"/>
      </w:pPr>
    </w:p>
    <w:p w14:paraId="34781CF0">
      <w:pPr>
        <w:adjustRightInd w:val="0"/>
        <w:snapToGrid w:val="0"/>
        <w:spacing w:line="360" w:lineRule="auto"/>
        <w:ind w:firstLine="1807" w:firstLineChars="600"/>
        <w:rPr>
          <w:sz w:val="30"/>
          <w:szCs w:val="30"/>
        </w:rPr>
      </w:pPr>
      <w:r>
        <w:rPr>
          <w:rFonts w:hint="eastAsia" w:ascii="宋体" w:hAnsi="宋体" w:cs="宋体"/>
          <w:b/>
          <w:sz w:val="30"/>
          <w:szCs w:val="30"/>
        </w:rPr>
        <w:t>甲方：广州南沙交投产业园开发有限公司</w:t>
      </w:r>
    </w:p>
    <w:p w14:paraId="6AAF75BC">
      <w:pPr>
        <w:adjustRightInd w:val="0"/>
        <w:snapToGrid w:val="0"/>
        <w:spacing w:line="360" w:lineRule="auto"/>
        <w:ind w:firstLine="1187" w:firstLineChars="394"/>
        <w:rPr>
          <w:rFonts w:hint="eastAsia" w:ascii="宋体" w:hAnsi="宋体"/>
          <w:b/>
          <w:snapToGrid w:val="0"/>
          <w:kern w:val="0"/>
          <w:sz w:val="30"/>
          <w:szCs w:val="30"/>
        </w:rPr>
      </w:pPr>
    </w:p>
    <w:p w14:paraId="601D6C52">
      <w:pPr>
        <w:adjustRightInd w:val="0"/>
        <w:snapToGrid w:val="0"/>
        <w:spacing w:line="360" w:lineRule="auto"/>
        <w:ind w:firstLine="1789" w:firstLineChars="594"/>
        <w:rPr>
          <w:rFonts w:hint="eastAsia" w:ascii="宋体" w:hAnsi="宋体" w:cs="宋体"/>
          <w:b/>
          <w:sz w:val="30"/>
          <w:szCs w:val="30"/>
          <w:u w:val="single"/>
        </w:rPr>
      </w:pPr>
      <w:r>
        <w:rPr>
          <w:rFonts w:hint="eastAsia" w:ascii="宋体" w:hAnsi="宋体"/>
          <w:b/>
          <w:snapToGrid w:val="0"/>
          <w:kern w:val="0"/>
          <w:sz w:val="30"/>
          <w:szCs w:val="30"/>
        </w:rPr>
        <w:t xml:space="preserve">乙方：                       </w:t>
      </w:r>
    </w:p>
    <w:p w14:paraId="68862650">
      <w:pPr>
        <w:adjustRightInd w:val="0"/>
        <w:snapToGrid w:val="0"/>
        <w:spacing w:line="360" w:lineRule="auto"/>
        <w:rPr>
          <w:rFonts w:hint="eastAsia" w:ascii="宋体" w:hAnsi="宋体" w:cs="宋体"/>
          <w:b/>
          <w:sz w:val="32"/>
          <w:szCs w:val="28"/>
          <w:u w:val="single"/>
        </w:rPr>
      </w:pPr>
    </w:p>
    <w:p w14:paraId="236F1C7C">
      <w:pPr>
        <w:adjustRightInd w:val="0"/>
        <w:snapToGrid w:val="0"/>
        <w:spacing w:line="360" w:lineRule="auto"/>
        <w:rPr>
          <w:rFonts w:hint="eastAsia" w:ascii="宋体" w:hAnsi="宋体" w:cs="宋体"/>
          <w:b/>
          <w:sz w:val="32"/>
          <w:szCs w:val="28"/>
          <w:u w:val="single"/>
        </w:rPr>
      </w:pPr>
    </w:p>
    <w:p w14:paraId="0B850391">
      <w:pPr>
        <w:pStyle w:val="22"/>
        <w:rPr>
          <w:rFonts w:eastAsia="宋体"/>
        </w:rPr>
      </w:pPr>
    </w:p>
    <w:p w14:paraId="7B626FD9">
      <w:pPr>
        <w:pStyle w:val="22"/>
        <w:rPr>
          <w:rFonts w:eastAsia="宋体"/>
        </w:rPr>
      </w:pPr>
    </w:p>
    <w:p w14:paraId="730004FB">
      <w:pPr>
        <w:pStyle w:val="22"/>
        <w:rPr>
          <w:rFonts w:eastAsia="宋体"/>
        </w:rPr>
      </w:pPr>
    </w:p>
    <w:p w14:paraId="494E6CFB">
      <w:pPr>
        <w:pStyle w:val="97"/>
        <w:spacing w:line="360" w:lineRule="auto"/>
        <w:rPr>
          <w:rFonts w:hint="eastAsia" w:ascii="宋体" w:hAnsi="宋体"/>
          <w:color w:val="auto"/>
          <w:sz w:val="28"/>
          <w:szCs w:val="28"/>
          <w:lang w:val="zh-CN"/>
        </w:rPr>
      </w:pPr>
    </w:p>
    <w:p w14:paraId="500DED28">
      <w:pPr>
        <w:pStyle w:val="97"/>
        <w:spacing w:line="360" w:lineRule="auto"/>
        <w:rPr>
          <w:rFonts w:hint="eastAsia" w:ascii="宋体" w:hAnsi="宋体"/>
          <w:color w:val="auto"/>
          <w:sz w:val="28"/>
          <w:szCs w:val="28"/>
          <w:lang w:val="zh-CN"/>
        </w:rPr>
      </w:pPr>
    </w:p>
    <w:p w14:paraId="7AD630E3">
      <w:pPr>
        <w:pStyle w:val="97"/>
        <w:spacing w:line="360" w:lineRule="auto"/>
        <w:rPr>
          <w:rFonts w:hint="eastAsia" w:ascii="宋体" w:hAnsi="宋体"/>
          <w:color w:val="auto"/>
          <w:sz w:val="28"/>
          <w:szCs w:val="28"/>
          <w:lang w:val="zh-CN"/>
        </w:rPr>
      </w:pPr>
    </w:p>
    <w:p w14:paraId="2034C14E">
      <w:pPr>
        <w:pStyle w:val="97"/>
        <w:spacing w:line="360" w:lineRule="auto"/>
        <w:rPr>
          <w:rFonts w:hint="eastAsia" w:ascii="宋体" w:hAnsi="宋体"/>
          <w:color w:val="auto"/>
          <w:sz w:val="28"/>
          <w:szCs w:val="28"/>
          <w:lang w:val="zh-CN"/>
        </w:rPr>
      </w:pPr>
    </w:p>
    <w:p w14:paraId="5505AF2B">
      <w:pPr>
        <w:pStyle w:val="97"/>
        <w:spacing w:line="360" w:lineRule="auto"/>
        <w:rPr>
          <w:rFonts w:hint="eastAsia" w:ascii="宋体" w:hAnsi="宋体"/>
          <w:color w:val="auto"/>
          <w:sz w:val="28"/>
          <w:szCs w:val="28"/>
          <w:lang w:val="zh-CN"/>
        </w:rPr>
      </w:pPr>
    </w:p>
    <w:p w14:paraId="1948603B">
      <w:pPr>
        <w:pStyle w:val="97"/>
        <w:spacing w:line="360" w:lineRule="auto"/>
        <w:rPr>
          <w:rFonts w:hint="eastAsia" w:ascii="宋体" w:hAnsi="宋体"/>
          <w:color w:val="auto"/>
          <w:sz w:val="28"/>
          <w:szCs w:val="28"/>
          <w:lang w:val="zh-CN"/>
        </w:rPr>
      </w:pPr>
    </w:p>
    <w:p w14:paraId="6475760A">
      <w:pPr>
        <w:pStyle w:val="97"/>
        <w:spacing w:line="360" w:lineRule="auto"/>
        <w:rPr>
          <w:rFonts w:hint="eastAsia" w:ascii="宋体" w:hAnsi="宋体"/>
          <w:color w:val="auto"/>
          <w:sz w:val="28"/>
          <w:szCs w:val="28"/>
          <w:lang w:val="zh-CN"/>
        </w:rPr>
      </w:pPr>
    </w:p>
    <w:p w14:paraId="652A2FE5">
      <w:pPr>
        <w:pStyle w:val="97"/>
        <w:spacing w:line="360" w:lineRule="auto"/>
        <w:rPr>
          <w:rFonts w:hint="eastAsia" w:ascii="宋体" w:hAnsi="宋体"/>
          <w:color w:val="auto"/>
          <w:sz w:val="28"/>
          <w:szCs w:val="28"/>
          <w:lang w:val="zh-CN"/>
        </w:rPr>
      </w:pPr>
    </w:p>
    <w:p w14:paraId="67CD5A14">
      <w:pPr>
        <w:pStyle w:val="97"/>
        <w:spacing w:line="360" w:lineRule="auto"/>
        <w:rPr>
          <w:rFonts w:hint="eastAsia" w:ascii="宋体" w:hAnsi="宋体"/>
          <w:color w:val="auto"/>
          <w:sz w:val="28"/>
          <w:szCs w:val="28"/>
          <w:lang w:val="zh-CN"/>
        </w:rPr>
      </w:pPr>
    </w:p>
    <w:p w14:paraId="4CCD7474">
      <w:pPr>
        <w:pStyle w:val="97"/>
        <w:spacing w:line="360" w:lineRule="auto"/>
        <w:rPr>
          <w:rFonts w:hint="eastAsia" w:ascii="宋体" w:hAnsi="宋体"/>
          <w:color w:val="auto"/>
          <w:sz w:val="28"/>
          <w:szCs w:val="28"/>
          <w:lang w:val="zh-CN"/>
        </w:rPr>
      </w:pPr>
    </w:p>
    <w:p w14:paraId="7B3451D6">
      <w:pPr>
        <w:pStyle w:val="97"/>
        <w:spacing w:line="360" w:lineRule="auto"/>
        <w:rPr>
          <w:rFonts w:hint="eastAsia" w:ascii="宋体" w:hAnsi="宋体"/>
          <w:color w:val="auto"/>
          <w:sz w:val="28"/>
          <w:szCs w:val="28"/>
          <w:lang w:val="zh-CN"/>
        </w:rPr>
      </w:pPr>
    </w:p>
    <w:p w14:paraId="011C8418">
      <w:pPr>
        <w:pStyle w:val="97"/>
        <w:spacing w:line="360" w:lineRule="auto"/>
        <w:rPr>
          <w:rFonts w:hint="eastAsia" w:ascii="宋体" w:hAnsi="宋体"/>
          <w:color w:val="auto"/>
          <w:sz w:val="28"/>
          <w:szCs w:val="28"/>
          <w:lang w:val="zh-CN"/>
        </w:rPr>
      </w:pPr>
    </w:p>
    <w:p w14:paraId="29C9A9B9">
      <w:pPr>
        <w:pStyle w:val="97"/>
        <w:spacing w:line="360" w:lineRule="auto"/>
        <w:rPr>
          <w:rFonts w:hint="eastAsia" w:ascii="宋体" w:hAnsi="宋体"/>
          <w:color w:val="auto"/>
          <w:sz w:val="28"/>
          <w:szCs w:val="28"/>
          <w:lang w:val="zh-CN"/>
        </w:rPr>
      </w:pPr>
    </w:p>
    <w:p w14:paraId="597B28E4">
      <w:pPr>
        <w:pStyle w:val="97"/>
        <w:spacing w:line="360" w:lineRule="auto"/>
        <w:rPr>
          <w:rFonts w:hint="eastAsia" w:ascii="宋体" w:hAnsi="宋体"/>
          <w:color w:val="auto"/>
          <w:sz w:val="28"/>
          <w:szCs w:val="28"/>
          <w:lang w:val="zh-CN"/>
        </w:rPr>
      </w:pPr>
    </w:p>
    <w:p w14:paraId="11BBDB9A">
      <w:pPr>
        <w:rPr>
          <w:lang w:val="zh-CN"/>
        </w:rPr>
      </w:pPr>
    </w:p>
    <w:p w14:paraId="45A164CC">
      <w:pPr>
        <w:pStyle w:val="22"/>
        <w:rPr>
          <w:lang w:val="zh-CN"/>
        </w:rPr>
      </w:pPr>
    </w:p>
    <w:p w14:paraId="01E4FABF">
      <w:pPr>
        <w:pStyle w:val="22"/>
        <w:rPr>
          <w:lang w:val="zh-CN"/>
        </w:rPr>
      </w:pPr>
    </w:p>
    <w:p w14:paraId="7E6584DD">
      <w:pPr>
        <w:pStyle w:val="22"/>
        <w:rPr>
          <w:lang w:val="zh-CN"/>
        </w:rPr>
      </w:pPr>
    </w:p>
    <w:p w14:paraId="5ACB1CF5">
      <w:pPr>
        <w:pStyle w:val="22"/>
        <w:rPr>
          <w:lang w:val="zh-CN"/>
        </w:rPr>
      </w:pPr>
    </w:p>
    <w:p w14:paraId="3975F305">
      <w:pPr>
        <w:pStyle w:val="22"/>
        <w:rPr>
          <w:lang w:val="zh-CN"/>
        </w:rPr>
      </w:pPr>
    </w:p>
    <w:p w14:paraId="3C377B76">
      <w:pPr>
        <w:rPr>
          <w:lang w:val="zh-CN"/>
        </w:rPr>
      </w:pPr>
    </w:p>
    <w:p w14:paraId="4A35ABCB">
      <w:pPr>
        <w:pStyle w:val="97"/>
        <w:spacing w:line="360" w:lineRule="auto"/>
        <w:jc w:val="center"/>
        <w:rPr>
          <w:rFonts w:hint="eastAsia" w:ascii="宋体" w:hAnsi="宋体"/>
          <w:color w:val="auto"/>
          <w:sz w:val="28"/>
          <w:szCs w:val="28"/>
        </w:rPr>
      </w:pPr>
      <w:r>
        <w:rPr>
          <w:rFonts w:hint="eastAsia" w:ascii="宋体" w:hAnsi="宋体"/>
          <w:color w:val="auto"/>
          <w:sz w:val="28"/>
          <w:szCs w:val="28"/>
          <w:lang w:val="zh-CN"/>
        </w:rPr>
        <w:t>目录</w:t>
      </w:r>
    </w:p>
    <w:p w14:paraId="417293BD">
      <w:pPr>
        <w:pStyle w:val="30"/>
        <w:tabs>
          <w:tab w:val="right" w:leader="dot" w:pos="8912"/>
        </w:tabs>
      </w:pPr>
      <w:r>
        <w:rPr>
          <w:rFonts w:ascii="宋体" w:hAnsi="宋体"/>
          <w:sz w:val="24"/>
        </w:rPr>
        <w:fldChar w:fldCharType="begin"/>
      </w:r>
      <w:r>
        <w:rPr>
          <w:rFonts w:ascii="宋体" w:hAnsi="宋体"/>
          <w:sz w:val="24"/>
        </w:rPr>
        <w:instrText xml:space="preserve"> TOC \h \z \t "</w:instrText>
      </w:r>
      <w:r>
        <w:rPr>
          <w:rFonts w:hint="eastAsia" w:ascii="宋体" w:hAnsi="宋体"/>
          <w:sz w:val="24"/>
        </w:rPr>
        <w:instrText xml:space="preserve">标题</w:instrText>
      </w:r>
      <w:r>
        <w:rPr>
          <w:rFonts w:ascii="宋体" w:hAnsi="宋体"/>
          <w:sz w:val="24"/>
        </w:rPr>
        <w:instrText xml:space="preserve"> 1,2,</w:instrText>
      </w:r>
      <w:r>
        <w:rPr>
          <w:rFonts w:hint="eastAsia" w:ascii="宋体" w:hAnsi="宋体"/>
          <w:sz w:val="24"/>
        </w:rPr>
        <w:instrText xml:space="preserve">标题</w:instrText>
      </w:r>
      <w:r>
        <w:rPr>
          <w:rFonts w:ascii="宋体" w:hAnsi="宋体"/>
          <w:sz w:val="24"/>
        </w:rPr>
        <w:instrText xml:space="preserve">,1"</w:instrText>
      </w:r>
      <w:r>
        <w:rPr>
          <w:rFonts w:ascii="宋体" w:hAnsi="宋体"/>
          <w:sz w:val="24"/>
        </w:rPr>
        <w:fldChar w:fldCharType="separate"/>
      </w:r>
      <w:r>
        <w:fldChar w:fldCharType="begin"/>
      </w:r>
      <w:r>
        <w:instrText xml:space="preserve"> HYPERLINK \l "_Toc7751" </w:instrText>
      </w:r>
      <w:r>
        <w:fldChar w:fldCharType="separate"/>
      </w:r>
      <w:r>
        <w:rPr>
          <w:rFonts w:hint="eastAsia" w:ascii="宋体" w:hAnsi="宋体"/>
        </w:rPr>
        <w:t>第一部分</w:t>
      </w:r>
      <w:r>
        <w:rPr>
          <w:rFonts w:ascii="宋体" w:hAnsi="宋体"/>
        </w:rPr>
        <w:t xml:space="preserve"> </w:t>
      </w:r>
      <w:r>
        <w:rPr>
          <w:rFonts w:hint="eastAsia" w:ascii="宋体" w:hAnsi="宋体"/>
        </w:rPr>
        <w:t>合同协议书</w:t>
      </w:r>
      <w:r>
        <w:tab/>
      </w:r>
      <w:r>
        <w:fldChar w:fldCharType="begin"/>
      </w:r>
      <w:r>
        <w:instrText xml:space="preserve"> PAGEREF _Toc7751 </w:instrText>
      </w:r>
      <w:r>
        <w:fldChar w:fldCharType="separate"/>
      </w:r>
      <w:r>
        <w:t>1</w:t>
      </w:r>
      <w:r>
        <w:fldChar w:fldCharType="end"/>
      </w:r>
      <w:r>
        <w:fldChar w:fldCharType="end"/>
      </w:r>
    </w:p>
    <w:p w14:paraId="3EAAA99C">
      <w:pPr>
        <w:pStyle w:val="30"/>
        <w:tabs>
          <w:tab w:val="right" w:leader="dot" w:pos="8912"/>
        </w:tabs>
      </w:pPr>
      <w:r>
        <w:fldChar w:fldCharType="begin"/>
      </w:r>
      <w:r>
        <w:instrText xml:space="preserve"> HYPERLINK \l "_Toc1139" </w:instrText>
      </w:r>
      <w:r>
        <w:fldChar w:fldCharType="separate"/>
      </w:r>
      <w:r>
        <w:rPr>
          <w:rFonts w:hint="eastAsia" w:ascii="宋体" w:hAnsi="宋体"/>
          <w:snapToGrid w:val="0"/>
        </w:rPr>
        <w:t>第二部分 合同附件</w:t>
      </w:r>
      <w:r>
        <w:tab/>
      </w:r>
      <w:r>
        <w:fldChar w:fldCharType="begin"/>
      </w:r>
      <w:r>
        <w:instrText xml:space="preserve"> PAGEREF _Toc1139 </w:instrText>
      </w:r>
      <w:r>
        <w:fldChar w:fldCharType="separate"/>
      </w:r>
      <w:r>
        <w:t>14</w:t>
      </w:r>
      <w:r>
        <w:fldChar w:fldCharType="end"/>
      </w:r>
      <w:r>
        <w:fldChar w:fldCharType="end"/>
      </w:r>
    </w:p>
    <w:p w14:paraId="7F66D966">
      <w:pPr>
        <w:pStyle w:val="34"/>
        <w:tabs>
          <w:tab w:val="right" w:leader="dot" w:pos="8912"/>
        </w:tabs>
        <w:spacing w:line="360" w:lineRule="auto"/>
        <w:rPr>
          <w:rFonts w:hint="eastAsia" w:ascii="宋体" w:hAnsi="宋体"/>
        </w:rPr>
      </w:pPr>
      <w:r>
        <w:rPr>
          <w:rFonts w:ascii="宋体" w:hAnsi="宋体"/>
          <w:sz w:val="24"/>
        </w:rPr>
        <w:fldChar w:fldCharType="end"/>
      </w:r>
    </w:p>
    <w:p w14:paraId="476163FC">
      <w:pPr>
        <w:pStyle w:val="22"/>
        <w:tabs>
          <w:tab w:val="left" w:pos="4002"/>
        </w:tabs>
        <w:spacing w:line="360" w:lineRule="auto"/>
        <w:rPr>
          <w:rFonts w:hAnsi="宋体"/>
          <w:sz w:val="24"/>
        </w:rPr>
      </w:pPr>
      <w:r>
        <w:rPr>
          <w:rFonts w:hAnsi="宋体"/>
          <w:sz w:val="24"/>
        </w:rPr>
        <w:tab/>
      </w:r>
    </w:p>
    <w:p w14:paraId="3724D6A6">
      <w:pPr>
        <w:spacing w:line="360" w:lineRule="auto"/>
        <w:rPr>
          <w:rFonts w:hint="eastAsia" w:hAnsi="宋体"/>
          <w:sz w:val="24"/>
        </w:rPr>
      </w:pPr>
    </w:p>
    <w:p w14:paraId="137D5BB2">
      <w:pPr>
        <w:spacing w:line="360" w:lineRule="auto"/>
        <w:rPr>
          <w:rFonts w:hint="eastAsia" w:hAnsi="宋体"/>
          <w:sz w:val="24"/>
        </w:rPr>
      </w:pPr>
    </w:p>
    <w:p w14:paraId="0A1C031B">
      <w:pPr>
        <w:spacing w:line="360" w:lineRule="auto"/>
        <w:rPr>
          <w:rFonts w:hint="eastAsia" w:hAnsi="宋体"/>
          <w:sz w:val="24"/>
        </w:rPr>
      </w:pPr>
    </w:p>
    <w:p w14:paraId="7F0C8F64">
      <w:pPr>
        <w:spacing w:line="360" w:lineRule="auto"/>
        <w:jc w:val="center"/>
        <w:rPr>
          <w:rFonts w:hint="eastAsia" w:hAnsi="宋体"/>
          <w:sz w:val="24"/>
        </w:rPr>
      </w:pPr>
    </w:p>
    <w:p w14:paraId="04970208">
      <w:pPr>
        <w:tabs>
          <w:tab w:val="center" w:pos="4456"/>
        </w:tabs>
        <w:spacing w:line="360" w:lineRule="auto"/>
        <w:rPr>
          <w:rFonts w:ascii="宋体" w:hAnsi="宋体" w:eastAsia="Times New Roman"/>
          <w:sz w:val="24"/>
          <w:szCs w:val="20"/>
        </w:rPr>
        <w:sectPr>
          <w:pgSz w:w="11906" w:h="16838"/>
          <w:pgMar w:top="1531" w:right="1463" w:bottom="1531" w:left="1531" w:header="851" w:footer="992" w:gutter="0"/>
          <w:cols w:space="720" w:num="1"/>
          <w:docGrid w:linePitch="312" w:charSpace="0"/>
        </w:sectPr>
      </w:pPr>
    </w:p>
    <w:p w14:paraId="33D836E2">
      <w:pPr>
        <w:pStyle w:val="38"/>
        <w:spacing w:line="360" w:lineRule="auto"/>
        <w:rPr>
          <w:rFonts w:hint="eastAsia" w:ascii="宋体" w:hAnsi="宋体"/>
        </w:rPr>
      </w:pPr>
      <w:bookmarkStart w:id="0" w:name="_Toc15926"/>
      <w:bookmarkStart w:id="1" w:name="_Toc10705"/>
      <w:bookmarkStart w:id="2" w:name="_Toc30024"/>
      <w:bookmarkStart w:id="3" w:name="_Toc7751"/>
      <w:bookmarkStart w:id="4" w:name="_Toc8721560"/>
      <w:r>
        <w:rPr>
          <w:rFonts w:hint="eastAsia" w:ascii="宋体" w:hAnsi="宋体"/>
        </w:rPr>
        <w:t>第一部分</w:t>
      </w:r>
      <w:r>
        <w:rPr>
          <w:rFonts w:ascii="宋体" w:hAnsi="宋体"/>
        </w:rPr>
        <w:t xml:space="preserve"> </w:t>
      </w:r>
      <w:r>
        <w:rPr>
          <w:rFonts w:hint="eastAsia" w:ascii="宋体" w:hAnsi="宋体"/>
        </w:rPr>
        <w:t>合同协议书</w:t>
      </w:r>
      <w:bookmarkEnd w:id="0"/>
      <w:bookmarkEnd w:id="1"/>
      <w:bookmarkEnd w:id="2"/>
      <w:bookmarkEnd w:id="3"/>
      <w:bookmarkEnd w:id="4"/>
    </w:p>
    <w:p w14:paraId="28298C34">
      <w:pPr>
        <w:pStyle w:val="22"/>
        <w:spacing w:line="360" w:lineRule="auto"/>
        <w:rPr>
          <w:rFonts w:hint="eastAsia" w:hAnsi="宋体" w:eastAsia="宋体"/>
          <w:sz w:val="24"/>
          <w:u w:val="single"/>
        </w:rPr>
      </w:pPr>
      <w:r>
        <w:rPr>
          <w:rFonts w:hAnsi="宋体" w:eastAsia="宋体"/>
          <w:sz w:val="24"/>
        </w:rPr>
        <w:t>甲方：</w:t>
      </w:r>
      <w:r>
        <w:rPr>
          <w:rFonts w:hint="eastAsia" w:hAnsi="宋体" w:eastAsia="宋体"/>
          <w:sz w:val="24"/>
          <w:u w:val="single"/>
        </w:rPr>
        <w:t>广州南沙交投产业园开发有限公司</w:t>
      </w:r>
    </w:p>
    <w:p w14:paraId="1ED2A27D">
      <w:pPr>
        <w:spacing w:line="360" w:lineRule="auto"/>
        <w:rPr>
          <w:rFonts w:hint="eastAsia" w:ascii="宋体" w:hAnsi="宋体"/>
          <w:sz w:val="24"/>
          <w:szCs w:val="20"/>
          <w:u w:val="single"/>
        </w:rPr>
      </w:pPr>
      <w:r>
        <w:rPr>
          <w:rFonts w:hint="eastAsia" w:ascii="宋体" w:hAnsi="宋体"/>
          <w:sz w:val="24"/>
        </w:rPr>
        <w:t>乙方</w:t>
      </w:r>
      <w:r>
        <w:rPr>
          <w:rFonts w:ascii="宋体" w:hAnsi="宋体"/>
          <w:sz w:val="24"/>
        </w:rPr>
        <w:t>：</w:t>
      </w:r>
      <w:r>
        <w:rPr>
          <w:rFonts w:hint="eastAsia" w:ascii="宋体" w:hAnsi="宋体"/>
          <w:sz w:val="24"/>
          <w:u w:val="single"/>
        </w:rPr>
        <w:t xml:space="preserve">                            </w:t>
      </w:r>
    </w:p>
    <w:p w14:paraId="3E34A390">
      <w:pPr>
        <w:adjustRightInd w:val="0"/>
        <w:snapToGrid w:val="0"/>
        <w:spacing w:before="120" w:beforeLines="50" w:line="360" w:lineRule="auto"/>
        <w:ind w:firstLine="480" w:firstLineChars="200"/>
        <w:jc w:val="left"/>
        <w:rPr>
          <w:rFonts w:hint="eastAsia" w:ascii="宋体" w:hAnsi="宋体"/>
          <w:sz w:val="24"/>
          <w:szCs w:val="20"/>
          <w:u w:val="single"/>
        </w:rPr>
      </w:pPr>
    </w:p>
    <w:p w14:paraId="628041DC">
      <w:pPr>
        <w:tabs>
          <w:tab w:val="left" w:pos="7513"/>
        </w:tabs>
        <w:spacing w:line="360" w:lineRule="auto"/>
        <w:ind w:firstLine="480" w:firstLineChars="200"/>
        <w:rPr>
          <w:rFonts w:hint="eastAsia" w:ascii="宋体" w:hAnsi="宋体" w:cs="宋体"/>
          <w:bCs/>
          <w:sz w:val="24"/>
          <w:u w:val="single"/>
        </w:rPr>
      </w:pPr>
      <w:r>
        <w:rPr>
          <w:rFonts w:hint="eastAsia" w:ascii="宋体" w:hAnsi="宋体"/>
          <w:sz w:val="24"/>
        </w:rPr>
        <w:t>经公开招标确定乙方</w:t>
      </w:r>
      <w:r>
        <w:rPr>
          <w:rFonts w:hint="eastAsia" w:ascii="宋体" w:hAnsi="宋体"/>
          <w:sz w:val="24"/>
          <w:u w:val="single"/>
        </w:rPr>
        <w:t xml:space="preserve">          </w:t>
      </w:r>
      <w:r>
        <w:rPr>
          <w:rFonts w:hint="eastAsia" w:ascii="宋体" w:hAnsi="宋体"/>
          <w:sz w:val="24"/>
        </w:rPr>
        <w:t>为</w:t>
      </w:r>
      <w:r>
        <w:rPr>
          <w:rFonts w:hint="eastAsia" w:ascii="宋体" w:hAnsi="宋体"/>
          <w:sz w:val="24"/>
          <w:u w:val="single"/>
        </w:rPr>
        <w:t xml:space="preserve"> </w:t>
      </w:r>
      <w:r>
        <w:rPr>
          <w:rFonts w:hint="eastAsia" w:ascii="宋体" w:hAnsi="宋体"/>
          <w:sz w:val="24"/>
          <w:u w:val="single"/>
          <w:lang w:eastAsia="zh-CN"/>
        </w:rPr>
        <w:t>南沙交投先进智造园一期项目全过程造价咨询服务</w:t>
      </w:r>
      <w:r>
        <w:rPr>
          <w:rFonts w:hint="eastAsia" w:ascii="宋体" w:hAnsi="宋体"/>
          <w:sz w:val="24"/>
        </w:rPr>
        <w:t>的中标单位（中标通知书编号：            ）。根据《中华人民共和国民法典》、《中华人民共和国招标投标法》及相关法律、行政法规，遵循平等、自愿、公平和诚信原则，合同双方就</w:t>
      </w:r>
      <w:r>
        <w:rPr>
          <w:rFonts w:hint="eastAsia" w:ascii="宋体" w:hAnsi="宋体"/>
          <w:sz w:val="24"/>
          <w:lang w:eastAsia="zh-CN"/>
        </w:rPr>
        <w:t>南沙交投先进智造园一期项目全过程造价咨询服务</w:t>
      </w:r>
      <w:r>
        <w:rPr>
          <w:rFonts w:hint="eastAsia" w:ascii="宋体" w:hAnsi="宋体"/>
          <w:sz w:val="24"/>
        </w:rPr>
        <w:t>事宜经协商一致，订立本合同。</w:t>
      </w:r>
    </w:p>
    <w:p w14:paraId="0680A8D0">
      <w:pPr>
        <w:pStyle w:val="99"/>
        <w:rPr>
          <w:rFonts w:hint="eastAsia"/>
          <w:kern w:val="2"/>
          <w:szCs w:val="24"/>
        </w:rPr>
      </w:pPr>
      <w:r>
        <w:rPr>
          <w:rFonts w:hint="eastAsia"/>
        </w:rPr>
        <w:t>第一条　甲方委托乙方的工程规模、工作内容和要求</w:t>
      </w:r>
    </w:p>
    <w:p w14:paraId="3B03BCD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rPr>
        <w:t>（一）</w:t>
      </w:r>
      <w:r>
        <w:rPr>
          <w:rFonts w:hint="eastAsia" w:ascii="宋体" w:hAnsi="宋体"/>
          <w:sz w:val="24"/>
        </w:rPr>
        <w:t>工程规模：</w:t>
      </w:r>
      <w:r>
        <w:rPr>
          <w:rFonts w:hint="eastAsia" w:ascii="宋体" w:hAnsi="宋体" w:eastAsia="宋体" w:cs="宋体"/>
          <w:color w:val="auto"/>
          <w:kern w:val="2"/>
          <w:sz w:val="24"/>
          <w:szCs w:val="24"/>
          <w:highlight w:val="none"/>
          <w:u w:val="single"/>
          <w:lang w:val="en-US" w:eastAsia="zh-CN" w:bidi="ar"/>
        </w:rPr>
        <w:t>项目总用地面积76175平方米，暂定总建筑面积210680平方米，</w:t>
      </w:r>
      <w:r>
        <w:rPr>
          <w:rFonts w:hint="eastAsia" w:ascii="宋体" w:hAnsi="宋体" w:cs="宋体"/>
          <w:color w:val="auto"/>
          <w:kern w:val="2"/>
          <w:sz w:val="24"/>
          <w:szCs w:val="24"/>
          <w:highlight w:val="none"/>
          <w:u w:val="single"/>
          <w:lang w:val="en-US" w:eastAsia="zh-CN" w:bidi="ar"/>
        </w:rPr>
        <w:t>本次招标范围为一期，</w:t>
      </w:r>
      <w:r>
        <w:rPr>
          <w:rFonts w:hint="eastAsia" w:ascii="宋体" w:hAnsi="宋体" w:eastAsia="宋体" w:cs="宋体"/>
          <w:color w:val="auto"/>
          <w:kern w:val="2"/>
          <w:sz w:val="24"/>
          <w:szCs w:val="24"/>
          <w:highlight w:val="none"/>
          <w:u w:val="single"/>
          <w:lang w:val="en-US" w:eastAsia="zh-CN" w:bidi="ar"/>
        </w:rPr>
        <w:t>一期建筑面积约60000平方米</w:t>
      </w:r>
      <w:r>
        <w:rPr>
          <w:rFonts w:hint="eastAsia" w:ascii="宋体" w:hAnsi="宋体" w:cs="宋体"/>
          <w:color w:val="auto"/>
          <w:sz w:val="24"/>
          <w:highlight w:val="none"/>
          <w:lang w:eastAsia="zh-CN"/>
        </w:rPr>
        <w:t>。</w:t>
      </w:r>
      <w:r>
        <w:rPr>
          <w:rFonts w:hint="eastAsia" w:ascii="宋体" w:hAnsi="宋体" w:cs="宋体"/>
          <w:color w:val="auto"/>
          <w:sz w:val="24"/>
          <w:highlight w:val="none"/>
        </w:rPr>
        <w:t>以上建筑面积均为暂估，可允许适当调整</w:t>
      </w:r>
      <w:r>
        <w:rPr>
          <w:rFonts w:hint="eastAsia" w:ascii="宋体" w:hAnsi="宋体" w:cs="宋体"/>
          <w:color w:val="auto"/>
          <w:sz w:val="24"/>
          <w:highlight w:val="none"/>
          <w:lang w:eastAsia="zh-CN"/>
        </w:rPr>
        <w:t>。</w:t>
      </w:r>
      <w:r>
        <w:rPr>
          <w:rFonts w:hint="eastAsia" w:ascii="宋体" w:hAnsi="宋体" w:cs="宋体"/>
          <w:b/>
          <w:bCs/>
          <w:color w:val="auto"/>
          <w:sz w:val="24"/>
          <w:highlight w:val="none"/>
          <w:u w:val="single"/>
          <w:lang w:val="en-US" w:eastAsia="zh-CN"/>
        </w:rPr>
        <w:t>甲方</w:t>
      </w:r>
      <w:r>
        <w:rPr>
          <w:rFonts w:hint="eastAsia" w:ascii="宋体" w:hAnsi="宋体" w:cs="宋体"/>
          <w:b/>
          <w:bCs/>
          <w:color w:val="auto"/>
          <w:sz w:val="24"/>
          <w:highlight w:val="none"/>
          <w:u w:val="single"/>
        </w:rPr>
        <w:t>暂未正式取得本项目部分地块的土地使用权</w:t>
      </w:r>
      <w:r>
        <w:rPr>
          <w:rFonts w:hint="eastAsia" w:ascii="宋体" w:hAnsi="宋体" w:cs="宋体"/>
          <w:b/>
          <w:bCs/>
          <w:color w:val="auto"/>
          <w:sz w:val="24"/>
          <w:highlight w:val="none"/>
          <w:u w:val="single"/>
          <w:lang w:val="en-US" w:eastAsia="zh-CN"/>
        </w:rPr>
        <w:t>,本项目的实际总用地面积、总建筑面积及本项目一期的实际用地面积、建筑面积等</w:t>
      </w:r>
      <w:r>
        <w:rPr>
          <w:rFonts w:hint="eastAsia" w:ascii="宋体" w:hAnsi="宋体" w:cs="宋体"/>
          <w:b/>
          <w:bCs/>
          <w:color w:val="auto"/>
          <w:sz w:val="24"/>
          <w:highlight w:val="none"/>
          <w:u w:val="single"/>
        </w:rPr>
        <w:t>以政府部门规划批复为准，建设具体内容以</w:t>
      </w:r>
      <w:r>
        <w:rPr>
          <w:rFonts w:hint="eastAsia" w:ascii="宋体" w:hAnsi="宋体" w:cs="宋体"/>
          <w:b/>
          <w:bCs/>
          <w:color w:val="auto"/>
          <w:sz w:val="24"/>
          <w:highlight w:val="none"/>
          <w:u w:val="single"/>
          <w:lang w:val="en-US" w:eastAsia="zh-CN"/>
        </w:rPr>
        <w:t>甲方</w:t>
      </w:r>
      <w:r>
        <w:rPr>
          <w:rFonts w:hint="eastAsia" w:ascii="宋体" w:hAnsi="宋体" w:cs="宋体"/>
          <w:b/>
          <w:bCs/>
          <w:color w:val="auto"/>
          <w:sz w:val="24"/>
          <w:highlight w:val="none"/>
          <w:u w:val="single"/>
        </w:rPr>
        <w:t>最终确定为准。</w:t>
      </w:r>
      <w:r>
        <w:rPr>
          <w:rFonts w:hint="eastAsia" w:ascii="宋体" w:hAnsi="宋体" w:cs="宋体"/>
          <w:b/>
          <w:bCs/>
          <w:color w:val="auto"/>
          <w:sz w:val="24"/>
          <w:highlight w:val="none"/>
          <w:u w:val="single"/>
          <w:lang w:val="en-US" w:eastAsia="zh-CN"/>
        </w:rPr>
        <w:t>乙方对此已充分知悉并同意按本项目一期实际用地面积、建筑面积及甲方最终确定的建设内容提供本合同项下的服务。</w:t>
      </w:r>
    </w:p>
    <w:p w14:paraId="2BA46626">
      <w:pPr>
        <w:keepNext w:val="0"/>
        <w:keepLines w:val="0"/>
        <w:pageBreakBefore w:val="0"/>
        <w:widowControl/>
        <w:tabs>
          <w:tab w:val="left" w:pos="9140"/>
        </w:tabs>
        <w:kinsoku/>
        <w:wordWrap/>
        <w:overflowPunct/>
        <w:topLinePunct w:val="0"/>
        <w:autoSpaceDE/>
        <w:autoSpaceDN/>
        <w:bidi w:val="0"/>
        <w:adjustRightInd/>
        <w:snapToGrid/>
        <w:spacing w:line="360" w:lineRule="auto"/>
        <w:ind w:right="-20" w:firstLine="482" w:firstLineChars="200"/>
        <w:textAlignment w:val="auto"/>
        <w:rPr>
          <w:rFonts w:hint="eastAsia" w:ascii="宋体" w:hAnsi="宋体" w:cs="宋体"/>
          <w:b/>
          <w:bCs/>
          <w:sz w:val="24"/>
          <w:u w:val="single"/>
          <w:lang w:bidi="ar"/>
        </w:rPr>
      </w:pPr>
      <w:r>
        <w:rPr>
          <w:rFonts w:hint="eastAsia" w:ascii="宋体" w:hAnsi="宋体" w:cs="宋体"/>
          <w:b/>
          <w:bCs/>
          <w:sz w:val="24"/>
          <w:u w:val="single"/>
          <w:lang w:bidi="ar"/>
        </w:rPr>
        <w:t>根据本项目</w:t>
      </w:r>
      <w:r>
        <w:rPr>
          <w:rFonts w:hint="eastAsia" w:ascii="宋体" w:hAnsi="宋体" w:cs="宋体"/>
          <w:b/>
          <w:bCs/>
          <w:color w:val="auto"/>
          <w:sz w:val="24"/>
          <w:highlight w:val="none"/>
          <w:u w:val="single"/>
          <w:lang w:val="en-US" w:eastAsia="zh-CN" w:bidi="ar"/>
        </w:rPr>
        <w:t>土地使用权出让手续具体办理情况及本项目</w:t>
      </w:r>
      <w:r>
        <w:rPr>
          <w:rFonts w:hint="eastAsia" w:ascii="宋体" w:hAnsi="宋体" w:cs="宋体"/>
          <w:b/>
          <w:bCs/>
          <w:sz w:val="24"/>
          <w:u w:val="single"/>
          <w:lang w:bidi="ar"/>
        </w:rPr>
        <w:t>规划实施的具体情况，如遇该项目的投资规模、结构形式、项目名称或者造价等发生调整，也可能会新增或减少、甚至取消部分工</w:t>
      </w:r>
      <w:r>
        <w:rPr>
          <w:rFonts w:hint="eastAsia" w:ascii="宋体" w:hAnsi="宋体" w:cs="宋体"/>
          <w:b/>
          <w:bCs/>
          <w:sz w:val="24"/>
          <w:u w:val="single"/>
          <w:lang w:val="en-US" w:eastAsia="zh-CN" w:bidi="ar"/>
        </w:rPr>
        <w:t>作</w:t>
      </w:r>
      <w:r>
        <w:rPr>
          <w:rFonts w:hint="eastAsia" w:ascii="宋体" w:hAnsi="宋体" w:eastAsia="宋体" w:cs="宋体"/>
          <w:b/>
          <w:bCs/>
          <w:color w:val="auto"/>
          <w:sz w:val="24"/>
          <w:highlight w:val="none"/>
          <w:u w:val="single"/>
          <w:lang w:eastAsia="zh-CN" w:bidi="ar"/>
        </w:rPr>
        <w:t>（</w:t>
      </w:r>
      <w:r>
        <w:rPr>
          <w:rFonts w:hint="eastAsia" w:ascii="宋体" w:hAnsi="宋体" w:eastAsia="宋体" w:cs="宋体"/>
          <w:b/>
          <w:bCs/>
          <w:color w:val="auto"/>
          <w:sz w:val="24"/>
          <w:highlight w:val="none"/>
          <w:u w:val="single"/>
          <w:lang w:val="en-US" w:eastAsia="zh-CN" w:bidi="ar"/>
        </w:rPr>
        <w:t>包括</w:t>
      </w:r>
      <w:r>
        <w:rPr>
          <w:rFonts w:hint="eastAsia" w:ascii="宋体" w:hAnsi="宋体" w:cs="宋体"/>
          <w:b/>
          <w:bCs/>
          <w:color w:val="auto"/>
          <w:sz w:val="24"/>
          <w:highlight w:val="none"/>
          <w:u w:val="single"/>
          <w:lang w:val="en-US" w:eastAsia="zh-CN" w:bidi="ar"/>
        </w:rPr>
        <w:t>但不限于甲方未取得土地使用权的部分等</w:t>
      </w:r>
      <w:r>
        <w:rPr>
          <w:rFonts w:hint="eastAsia" w:ascii="宋体" w:hAnsi="宋体" w:eastAsia="宋体" w:cs="宋体"/>
          <w:b/>
          <w:bCs/>
          <w:color w:val="auto"/>
          <w:sz w:val="24"/>
          <w:highlight w:val="none"/>
          <w:u w:val="single"/>
          <w:lang w:val="en-US" w:eastAsia="zh-CN" w:bidi="ar"/>
        </w:rPr>
        <w:t>）</w:t>
      </w:r>
      <w:r>
        <w:rPr>
          <w:rFonts w:hint="eastAsia" w:ascii="宋体" w:hAnsi="宋体" w:cs="宋体"/>
          <w:b/>
          <w:bCs/>
          <w:color w:val="auto"/>
          <w:sz w:val="24"/>
          <w:highlight w:val="none"/>
          <w:u w:val="single"/>
          <w:lang w:val="en-US" w:eastAsia="zh-CN" w:bidi="ar"/>
        </w:rPr>
        <w:t>或延长、缩短服务期</w:t>
      </w:r>
      <w:r>
        <w:rPr>
          <w:rFonts w:hint="eastAsia" w:ascii="宋体" w:hAnsi="宋体" w:cs="宋体"/>
          <w:b/>
          <w:bCs/>
          <w:sz w:val="24"/>
          <w:u w:val="single"/>
          <w:lang w:bidi="ar"/>
        </w:rPr>
        <w:t>，乙方已充分理解此风险并无条件接受</w:t>
      </w:r>
      <w:r>
        <w:rPr>
          <w:rFonts w:hint="eastAsia" w:ascii="宋体" w:hAnsi="宋体" w:cs="宋体"/>
          <w:b/>
          <w:bCs/>
          <w:color w:val="auto"/>
          <w:sz w:val="24"/>
          <w:highlight w:val="none"/>
          <w:u w:val="single"/>
          <w:lang w:val="en-US" w:eastAsia="zh-CN" w:bidi="ar"/>
        </w:rPr>
        <w:t>根据项目的具体情况配合甲方提供相应的服务，</w:t>
      </w:r>
      <w:r>
        <w:rPr>
          <w:rFonts w:hint="eastAsia" w:ascii="宋体" w:hAnsi="宋体" w:cs="宋体"/>
          <w:b/>
          <w:bCs/>
          <w:sz w:val="24"/>
          <w:u w:val="single"/>
          <w:lang w:bidi="ar"/>
        </w:rPr>
        <w:t>同意放弃据此向甲方索赔或追究违约责任，且中标下浮率固定不变。如遇政策变化或不可抗力取消该全部工程、或因甲方与第三方已签订的合作项目被终止、或因前期土地未落实导致该项目取消，则本合同自行失效，乙方已充分知悉此风险，并且同意放弃向甲方索赔或追究违约责任的权利。</w:t>
      </w:r>
    </w:p>
    <w:p w14:paraId="7CF7FDEF">
      <w:pPr>
        <w:widowControl/>
        <w:tabs>
          <w:tab w:val="left" w:pos="9140"/>
        </w:tabs>
        <w:spacing w:line="360" w:lineRule="auto"/>
        <w:ind w:right="-20" w:firstLine="482" w:firstLineChars="200"/>
        <w:rPr>
          <w:rFonts w:hint="eastAsia" w:ascii="宋体" w:hAnsi="宋体" w:cs="宋体"/>
          <w:b/>
          <w:bCs/>
          <w:sz w:val="24"/>
          <w:u w:val="single"/>
          <w:lang w:bidi="ar"/>
        </w:rPr>
      </w:pPr>
      <w:r>
        <w:rPr>
          <w:rFonts w:hint="eastAsia" w:ascii="宋体" w:hAnsi="宋体" w:cs="宋体"/>
          <w:b/>
          <w:bCs/>
          <w:sz w:val="24"/>
          <w:u w:val="single"/>
          <w:lang w:bidi="ar"/>
        </w:rPr>
        <w:t>乙方确认并知悉，本项目的全部或部分工程需根据相关第三方主体的需求进行定制化建设，因此本项目的全部或部分工程的设计施工工作可能需根据甲方以及相关第三方主体要求进行分期设计施工。在此情况下，乙方同意将根据本项目分期设计施工的实际情况提供相应造价咨询服务，按照本合同约定进行结算。</w:t>
      </w:r>
    </w:p>
    <w:p w14:paraId="54EAD2B4">
      <w:pPr>
        <w:widowControl/>
        <w:shd w:val="clear" w:color="auto" w:fill="FFFFFF"/>
        <w:adjustRightInd w:val="0"/>
        <w:snapToGrid w:val="0"/>
        <w:spacing w:line="360" w:lineRule="auto"/>
        <w:ind w:firstLine="480" w:firstLineChars="200"/>
        <w:jc w:val="left"/>
        <w:rPr>
          <w:rFonts w:ascii="宋体"/>
          <w:sz w:val="24"/>
        </w:rPr>
      </w:pPr>
      <w:r>
        <w:rPr>
          <w:rFonts w:hint="eastAsia" w:ascii="宋体"/>
          <w:sz w:val="24"/>
        </w:rPr>
        <w:t>（二）工作内容</w:t>
      </w:r>
    </w:p>
    <w:p w14:paraId="7871F6B8">
      <w:pPr>
        <w:spacing w:line="360" w:lineRule="auto"/>
        <w:ind w:firstLine="480" w:firstLineChars="200"/>
      </w:pPr>
      <w:r>
        <w:rPr>
          <w:rFonts w:hint="eastAsia" w:ascii="宋体" w:hAnsi="宋体"/>
          <w:kern w:val="0"/>
          <w:sz w:val="24"/>
        </w:rPr>
        <w:t>服务范围：</w:t>
      </w:r>
      <w:r>
        <w:rPr>
          <w:rFonts w:hint="eastAsia" w:ascii="宋体" w:hAnsi="宋体"/>
          <w:kern w:val="0"/>
          <w:sz w:val="24"/>
          <w:shd w:val="clear" w:color="auto" w:fill="FFFFFF"/>
        </w:rPr>
        <w:t>乙方工作的内容包括但不限于</w:t>
      </w:r>
      <w:r>
        <w:rPr>
          <w:rFonts w:hint="eastAsia" w:ascii="宋体" w:hAnsi="宋体" w:cs="宋体"/>
          <w:bCs/>
          <w:sz w:val="24"/>
          <w:u w:val="single"/>
        </w:rPr>
        <w:t xml:space="preserve"> </w:t>
      </w:r>
      <w:r>
        <w:rPr>
          <w:rFonts w:hint="eastAsia" w:ascii="宋体" w:hAnsi="宋体" w:cs="宋体"/>
          <w:bCs/>
          <w:sz w:val="24"/>
          <w:u w:val="single"/>
          <w:lang w:eastAsia="zh-CN"/>
        </w:rPr>
        <w:t>南沙交投先进智造园一期项目全过程造价咨询服务</w:t>
      </w:r>
      <w:r>
        <w:rPr>
          <w:rFonts w:hint="eastAsia" w:ascii="宋体" w:hAnsi="宋体"/>
          <w:sz w:val="24"/>
          <w:u w:val="single"/>
        </w:rPr>
        <w:t>的</w:t>
      </w:r>
      <w:bookmarkStart w:id="29" w:name="_GoBack"/>
      <w:bookmarkEnd w:id="29"/>
      <w:r>
        <w:rPr>
          <w:rFonts w:hint="eastAsia" w:ascii="宋体" w:hAnsi="宋体"/>
          <w:kern w:val="0"/>
          <w:sz w:val="24"/>
          <w:shd w:val="clear" w:color="auto" w:fill="FFFFFF"/>
        </w:rPr>
        <w:t>设计阶段、招标阶段、施工阶段、结（决）算阶段等</w:t>
      </w:r>
      <w:r>
        <w:rPr>
          <w:rFonts w:ascii="宋体" w:hAnsi="宋体"/>
          <w:kern w:val="0"/>
          <w:sz w:val="24"/>
          <w:shd w:val="clear" w:color="auto" w:fill="FFFFFF"/>
        </w:rPr>
        <w:t>造价咨询</w:t>
      </w:r>
      <w:r>
        <w:rPr>
          <w:rFonts w:hint="eastAsia" w:ascii="宋体" w:hAnsi="宋体"/>
          <w:kern w:val="0"/>
          <w:sz w:val="24"/>
          <w:shd w:val="clear" w:color="auto" w:fill="FFFFFF"/>
        </w:rPr>
        <w:t>全</w:t>
      </w:r>
      <w:r>
        <w:rPr>
          <w:rFonts w:ascii="宋体" w:hAnsi="宋体"/>
          <w:kern w:val="0"/>
          <w:sz w:val="24"/>
          <w:shd w:val="clear" w:color="auto" w:fill="FFFFFF"/>
        </w:rPr>
        <w:t>过程投资控制工作</w:t>
      </w:r>
      <w:r>
        <w:rPr>
          <w:rFonts w:hint="eastAsia" w:ascii="宋体" w:hAnsi="宋体"/>
          <w:kern w:val="0"/>
          <w:sz w:val="24"/>
          <w:shd w:val="clear" w:color="auto" w:fill="FFFFFF"/>
        </w:rPr>
        <w:t>，如纳入年度审计项目计划，须配合审计部门完成相关审计工作（甲方保留调整工作范围和内容的权利）</w:t>
      </w:r>
      <w:r>
        <w:rPr>
          <w:rFonts w:ascii="宋体" w:hAnsi="宋体"/>
          <w:kern w:val="0"/>
          <w:sz w:val="24"/>
          <w:shd w:val="clear" w:color="auto" w:fill="FFFFFF"/>
        </w:rPr>
        <w:t>。</w:t>
      </w:r>
      <w:r>
        <w:rPr>
          <w:rFonts w:hint="eastAsia" w:ascii="宋体" w:hAnsi="宋体"/>
          <w:kern w:val="0"/>
          <w:sz w:val="24"/>
          <w:shd w:val="clear" w:color="auto" w:fill="FFFFFF"/>
        </w:rPr>
        <w:t>配合发包人按要求完成本项目投资类可行性研究报告编制（该费用不另行计算）。</w:t>
      </w:r>
    </w:p>
    <w:tbl>
      <w:tblPr>
        <w:tblStyle w:val="40"/>
        <w:tblW w:w="0" w:type="auto"/>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671"/>
        <w:gridCol w:w="675"/>
        <w:gridCol w:w="8125"/>
      </w:tblGrid>
      <w:tr w14:paraId="5C67775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671"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02922202">
            <w:pPr>
              <w:widowControl/>
              <w:shd w:val="solid" w:color="FFFFFF" w:fill="auto"/>
              <w:autoSpaceDN w:val="0"/>
              <w:snapToGrid w:val="0"/>
              <w:spacing w:line="360" w:lineRule="auto"/>
              <w:jc w:val="center"/>
              <w:rPr>
                <w:rFonts w:hint="eastAsia" w:ascii="宋体" w:hAnsi="宋体"/>
                <w:szCs w:val="32"/>
                <w:shd w:val="clear" w:color="auto" w:fill="FFFFFF"/>
              </w:rPr>
            </w:pPr>
            <w:bookmarkStart w:id="5" w:name="_Hlk515238365"/>
            <w:r>
              <w:rPr>
                <w:rFonts w:ascii="宋体" w:hAnsi="宋体"/>
                <w:kern w:val="0"/>
                <w:szCs w:val="32"/>
                <w:shd w:val="clear" w:color="auto" w:fill="FFFFFF"/>
              </w:rPr>
              <w:t>序号</w:t>
            </w:r>
          </w:p>
        </w:tc>
        <w:tc>
          <w:tcPr>
            <w:tcW w:w="675"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24A8FF97">
            <w:pPr>
              <w:widowControl/>
              <w:shd w:val="solid" w:color="FFFFFF" w:fill="auto"/>
              <w:autoSpaceDN w:val="0"/>
              <w:snapToGrid w:val="0"/>
              <w:spacing w:line="360" w:lineRule="auto"/>
              <w:jc w:val="center"/>
              <w:rPr>
                <w:rFonts w:hint="eastAsia" w:ascii="宋体" w:hAnsi="宋体"/>
                <w:szCs w:val="32"/>
                <w:shd w:val="clear" w:color="auto" w:fill="FFFFFF"/>
              </w:rPr>
            </w:pPr>
            <w:r>
              <w:rPr>
                <w:rFonts w:ascii="宋体" w:hAnsi="宋体"/>
                <w:kern w:val="0"/>
                <w:szCs w:val="32"/>
                <w:shd w:val="clear" w:color="auto" w:fill="FFFFFF"/>
              </w:rPr>
              <w:t>阶段</w:t>
            </w:r>
          </w:p>
        </w:tc>
        <w:tc>
          <w:tcPr>
            <w:tcW w:w="8125"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515C2F76">
            <w:pPr>
              <w:widowControl/>
              <w:shd w:val="solid" w:color="FFFFFF" w:fill="auto"/>
              <w:autoSpaceDN w:val="0"/>
              <w:snapToGrid w:val="0"/>
              <w:spacing w:line="360" w:lineRule="auto"/>
              <w:jc w:val="center"/>
              <w:rPr>
                <w:rFonts w:hint="eastAsia" w:ascii="宋体" w:hAnsi="宋体"/>
                <w:szCs w:val="32"/>
                <w:shd w:val="clear" w:color="auto" w:fill="FFFFFF"/>
              </w:rPr>
            </w:pPr>
            <w:r>
              <w:rPr>
                <w:rFonts w:ascii="宋体" w:hAnsi="宋体"/>
                <w:kern w:val="0"/>
                <w:szCs w:val="32"/>
                <w:shd w:val="clear" w:color="auto" w:fill="FFFFFF"/>
              </w:rPr>
              <w:t>工作内容</w:t>
            </w:r>
          </w:p>
        </w:tc>
      </w:tr>
      <w:tr w14:paraId="68410E6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127" w:hRule="atLeast"/>
          <w:jc w:val="center"/>
        </w:trPr>
        <w:tc>
          <w:tcPr>
            <w:tcW w:w="671"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63090036">
            <w:pPr>
              <w:widowControl/>
              <w:shd w:val="solid" w:color="FFFFFF" w:fill="auto"/>
              <w:autoSpaceDN w:val="0"/>
              <w:snapToGrid w:val="0"/>
              <w:spacing w:line="360" w:lineRule="auto"/>
              <w:jc w:val="center"/>
              <w:rPr>
                <w:rFonts w:hint="eastAsia" w:ascii="宋体" w:hAnsi="宋体"/>
                <w:szCs w:val="32"/>
                <w:shd w:val="clear" w:color="auto" w:fill="FFFFFF"/>
              </w:rPr>
            </w:pPr>
            <w:r>
              <w:rPr>
                <w:rFonts w:hint="eastAsia" w:ascii="宋体" w:hAnsi="宋体"/>
                <w:kern w:val="0"/>
                <w:szCs w:val="32"/>
                <w:shd w:val="clear" w:color="auto" w:fill="FFFFFF"/>
              </w:rPr>
              <w:t>1</w:t>
            </w:r>
          </w:p>
        </w:tc>
        <w:tc>
          <w:tcPr>
            <w:tcW w:w="675"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60BB5024">
            <w:pPr>
              <w:widowControl/>
              <w:shd w:val="solid" w:color="FFFFFF" w:fill="auto"/>
              <w:autoSpaceDN w:val="0"/>
              <w:snapToGrid w:val="0"/>
              <w:spacing w:line="360" w:lineRule="auto"/>
              <w:jc w:val="center"/>
              <w:rPr>
                <w:rFonts w:hint="eastAsia" w:ascii="宋体" w:hAnsi="宋体"/>
                <w:szCs w:val="32"/>
                <w:shd w:val="clear" w:color="auto" w:fill="FFFFFF"/>
              </w:rPr>
            </w:pPr>
            <w:r>
              <w:rPr>
                <w:rFonts w:ascii="宋体" w:hAnsi="宋体"/>
                <w:kern w:val="0"/>
                <w:szCs w:val="32"/>
                <w:shd w:val="clear" w:color="auto" w:fill="FFFFFF"/>
              </w:rPr>
              <w:t>设计阶段</w:t>
            </w:r>
          </w:p>
        </w:tc>
        <w:tc>
          <w:tcPr>
            <w:tcW w:w="8125"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tcPr>
          <w:p w14:paraId="37463A5E">
            <w:pPr>
              <w:widowControl/>
              <w:shd w:val="solid" w:color="FFFFFF" w:fill="auto"/>
              <w:autoSpaceDN w:val="0"/>
              <w:snapToGrid w:val="0"/>
              <w:spacing w:line="360" w:lineRule="auto"/>
              <w:rPr>
                <w:rFonts w:hint="eastAsia" w:ascii="宋体" w:hAnsi="宋体"/>
                <w:kern w:val="0"/>
                <w:szCs w:val="32"/>
                <w:shd w:val="clear" w:color="auto" w:fill="FFFFFF"/>
              </w:rPr>
            </w:pPr>
            <w:r>
              <w:rPr>
                <w:rFonts w:ascii="宋体" w:hAnsi="宋体"/>
                <w:kern w:val="0"/>
                <w:szCs w:val="32"/>
                <w:shd w:val="clear" w:color="auto" w:fill="FFFFFF"/>
              </w:rPr>
              <w:t>1.</w:t>
            </w:r>
            <w:r>
              <w:rPr>
                <w:rFonts w:hint="eastAsia" w:ascii="宋体" w:hAnsi="宋体"/>
                <w:kern w:val="0"/>
                <w:szCs w:val="32"/>
                <w:shd w:val="clear" w:color="auto" w:fill="FFFFFF"/>
              </w:rPr>
              <w:t>按项目的投资控制目标对设计方案或图纸提出限额设计要求和优化设计意见，合理控制工程投资；编制、审核设计概算，并负责与有审核权限的部门的对数工作，</w:t>
            </w:r>
            <w:r>
              <w:rPr>
                <w:rFonts w:ascii="宋体" w:hAnsi="宋体"/>
                <w:kern w:val="0"/>
                <w:szCs w:val="32"/>
                <w:shd w:val="clear" w:color="auto" w:fill="FFFFFF"/>
              </w:rPr>
              <w:t>完成初步设计概算</w:t>
            </w:r>
            <w:r>
              <w:rPr>
                <w:rFonts w:hint="eastAsia" w:ascii="宋体" w:hAnsi="宋体"/>
                <w:kern w:val="0"/>
                <w:szCs w:val="32"/>
                <w:shd w:val="clear" w:color="auto" w:fill="FFFFFF"/>
              </w:rPr>
              <w:t>有审核权限的单位评审工作</w:t>
            </w:r>
            <w:r>
              <w:rPr>
                <w:rFonts w:ascii="宋体" w:hAnsi="宋体"/>
                <w:kern w:val="0"/>
                <w:szCs w:val="32"/>
                <w:shd w:val="clear" w:color="auto" w:fill="FFFFFF"/>
              </w:rPr>
              <w:t>。</w:t>
            </w:r>
          </w:p>
          <w:p w14:paraId="16190FE9">
            <w:pPr>
              <w:widowControl/>
              <w:shd w:val="solid" w:color="FFFFFF" w:fill="auto"/>
              <w:autoSpaceDN w:val="0"/>
              <w:snapToGrid w:val="0"/>
              <w:spacing w:line="360" w:lineRule="auto"/>
              <w:rPr>
                <w:rFonts w:hint="eastAsia" w:ascii="宋体" w:hAnsi="宋体"/>
                <w:kern w:val="0"/>
                <w:szCs w:val="32"/>
                <w:shd w:val="clear" w:color="auto" w:fill="FFFFFF"/>
              </w:rPr>
            </w:pPr>
            <w:r>
              <w:rPr>
                <w:rFonts w:ascii="宋体" w:hAnsi="宋体"/>
                <w:kern w:val="0"/>
                <w:szCs w:val="32"/>
                <w:shd w:val="clear" w:color="auto" w:fill="FFFFFF"/>
              </w:rPr>
              <w:t>2.负责根据批准的设计概算，提出工程项目的各专业工程和各阶段造价限额指标。</w:t>
            </w:r>
          </w:p>
          <w:p w14:paraId="57F42AF3">
            <w:pPr>
              <w:widowControl/>
              <w:shd w:val="solid" w:color="FFFFFF" w:fill="auto"/>
              <w:autoSpaceDN w:val="0"/>
              <w:snapToGrid w:val="0"/>
              <w:spacing w:line="360" w:lineRule="auto"/>
              <w:rPr>
                <w:rFonts w:hint="eastAsia" w:ascii="宋体" w:hAnsi="宋体"/>
                <w:kern w:val="0"/>
                <w:szCs w:val="32"/>
                <w:shd w:val="clear" w:color="auto" w:fill="FFFFFF"/>
              </w:rPr>
            </w:pPr>
            <w:r>
              <w:rPr>
                <w:rFonts w:ascii="宋体" w:hAnsi="宋体"/>
                <w:kern w:val="0"/>
                <w:szCs w:val="32"/>
                <w:shd w:val="clear" w:color="auto" w:fill="FFFFFF"/>
              </w:rPr>
              <w:t>3.负责对设计中采用的主材、设备等提供市场信息，进行方案比较，提出优化建议。</w:t>
            </w:r>
          </w:p>
          <w:p w14:paraId="1720359F">
            <w:pPr>
              <w:widowControl/>
              <w:shd w:val="solid" w:color="FFFFFF" w:fill="auto"/>
              <w:autoSpaceDN w:val="0"/>
              <w:snapToGrid w:val="0"/>
              <w:spacing w:line="360" w:lineRule="auto"/>
              <w:rPr>
                <w:rFonts w:hint="eastAsia" w:ascii="宋体" w:hAnsi="宋体"/>
                <w:kern w:val="0"/>
                <w:szCs w:val="32"/>
                <w:shd w:val="clear" w:color="auto" w:fill="FFFFFF"/>
              </w:rPr>
            </w:pPr>
            <w:r>
              <w:rPr>
                <w:rFonts w:ascii="宋体" w:hAnsi="宋体"/>
                <w:kern w:val="0"/>
                <w:szCs w:val="32"/>
                <w:shd w:val="clear" w:color="auto" w:fill="FFFFFF"/>
              </w:rPr>
              <w:t>4.负责</w:t>
            </w:r>
            <w:r>
              <w:rPr>
                <w:rFonts w:hint="eastAsia" w:ascii="宋体" w:hAnsi="宋体"/>
                <w:kern w:val="0"/>
                <w:szCs w:val="32"/>
                <w:shd w:val="clear" w:color="auto" w:fill="FFFFFF"/>
              </w:rPr>
              <w:t>编制施工图预算（含设计图纸修改后调整相应预算），按时提交编制报告、调整意见及合理化建议，并负责与有审核权限部门的对数工作，完成施工图预算有审核权限的单位评审工作。</w:t>
            </w:r>
          </w:p>
          <w:p w14:paraId="3D50348E">
            <w:pPr>
              <w:widowControl/>
              <w:shd w:val="solid" w:color="FFFFFF" w:fill="auto"/>
              <w:autoSpaceDN w:val="0"/>
              <w:snapToGrid w:val="0"/>
              <w:spacing w:line="360" w:lineRule="auto"/>
              <w:rPr>
                <w:rFonts w:hint="eastAsia" w:ascii="宋体" w:hAnsi="宋体"/>
                <w:kern w:val="0"/>
                <w:szCs w:val="32"/>
                <w:shd w:val="clear" w:color="auto" w:fill="FFFFFF"/>
              </w:rPr>
            </w:pPr>
            <w:r>
              <w:rPr>
                <w:rFonts w:ascii="宋体" w:hAnsi="宋体"/>
                <w:kern w:val="0"/>
                <w:szCs w:val="32"/>
                <w:shd w:val="clear" w:color="auto" w:fill="FFFFFF"/>
              </w:rPr>
              <w:t>5.负责参加设计方案论证会议、工程图纸会审、变更论证等专题会，提出造价专业意见。</w:t>
            </w:r>
          </w:p>
          <w:p w14:paraId="62043D2C">
            <w:pPr>
              <w:widowControl/>
              <w:shd w:val="solid" w:color="FFFFFF" w:fill="auto"/>
              <w:autoSpaceDN w:val="0"/>
              <w:snapToGrid w:val="0"/>
              <w:spacing w:line="360" w:lineRule="auto"/>
              <w:rPr>
                <w:rFonts w:hint="eastAsia" w:ascii="宋体" w:hAnsi="宋体"/>
                <w:kern w:val="0"/>
                <w:szCs w:val="32"/>
                <w:shd w:val="clear" w:color="auto" w:fill="FFFFFF"/>
              </w:rPr>
            </w:pPr>
            <w:r>
              <w:rPr>
                <w:rFonts w:ascii="宋体" w:hAnsi="宋体"/>
                <w:kern w:val="0"/>
                <w:szCs w:val="32"/>
                <w:shd w:val="clear" w:color="auto" w:fill="FFFFFF"/>
              </w:rPr>
              <w:t>6.根据确定的设计方案编制详细的工程成本预测和资金流量预测分析，以作为进度和成本控制的目标；随设计的深入定期分析工程成本、定期修正资金流量预测。</w:t>
            </w:r>
          </w:p>
          <w:p w14:paraId="48C8780C">
            <w:pPr>
              <w:widowControl/>
              <w:shd w:val="solid" w:color="FFFFFF" w:fill="auto"/>
              <w:autoSpaceDN w:val="0"/>
              <w:snapToGrid w:val="0"/>
              <w:spacing w:line="360" w:lineRule="auto"/>
              <w:rPr>
                <w:rFonts w:hint="eastAsia" w:ascii="宋体" w:hAnsi="宋体"/>
                <w:kern w:val="0"/>
                <w:szCs w:val="32"/>
                <w:shd w:val="clear" w:color="auto" w:fill="FFFFFF"/>
              </w:rPr>
            </w:pPr>
            <w:r>
              <w:rPr>
                <w:rFonts w:ascii="宋体" w:hAnsi="宋体"/>
                <w:kern w:val="0"/>
                <w:szCs w:val="32"/>
                <w:shd w:val="clear" w:color="auto" w:fill="FFFFFF"/>
              </w:rPr>
              <w:t>7.负责按甲方要求编制清单计价模式等各类造价管理文件。</w:t>
            </w:r>
          </w:p>
        </w:tc>
      </w:tr>
      <w:tr w14:paraId="0AEFC8F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671"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1B00C774">
            <w:pPr>
              <w:widowControl/>
              <w:shd w:val="solid" w:color="FFFFFF" w:fill="auto"/>
              <w:autoSpaceDN w:val="0"/>
              <w:snapToGrid w:val="0"/>
              <w:spacing w:line="360" w:lineRule="auto"/>
              <w:jc w:val="center"/>
              <w:rPr>
                <w:rFonts w:hint="eastAsia" w:ascii="宋体" w:hAnsi="宋体"/>
                <w:szCs w:val="32"/>
                <w:shd w:val="clear" w:color="auto" w:fill="FFFFFF"/>
              </w:rPr>
            </w:pPr>
            <w:r>
              <w:rPr>
                <w:rFonts w:hint="eastAsia" w:ascii="宋体" w:hAnsi="宋体"/>
                <w:kern w:val="0"/>
                <w:szCs w:val="32"/>
                <w:shd w:val="clear" w:color="auto" w:fill="FFFFFF"/>
              </w:rPr>
              <w:t>2</w:t>
            </w:r>
          </w:p>
        </w:tc>
        <w:tc>
          <w:tcPr>
            <w:tcW w:w="675"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2AF0492D">
            <w:pPr>
              <w:widowControl/>
              <w:shd w:val="solid" w:color="FFFFFF" w:fill="auto"/>
              <w:autoSpaceDN w:val="0"/>
              <w:snapToGrid w:val="0"/>
              <w:spacing w:line="360" w:lineRule="auto"/>
              <w:jc w:val="center"/>
              <w:rPr>
                <w:rFonts w:hint="eastAsia" w:ascii="宋体" w:hAnsi="宋体"/>
                <w:szCs w:val="32"/>
                <w:shd w:val="clear" w:color="auto" w:fill="FFFFFF"/>
              </w:rPr>
            </w:pPr>
            <w:r>
              <w:rPr>
                <w:rFonts w:ascii="宋体" w:hAnsi="宋体"/>
                <w:kern w:val="0"/>
                <w:szCs w:val="32"/>
                <w:shd w:val="clear" w:color="auto" w:fill="FFFFFF"/>
              </w:rPr>
              <w:t>招标阶段</w:t>
            </w:r>
          </w:p>
        </w:tc>
        <w:tc>
          <w:tcPr>
            <w:tcW w:w="8125"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09D16B95">
            <w:pPr>
              <w:widowControl/>
              <w:shd w:val="solid" w:color="FFFFFF" w:fill="auto"/>
              <w:autoSpaceDN w:val="0"/>
              <w:snapToGrid w:val="0"/>
              <w:spacing w:line="360" w:lineRule="auto"/>
              <w:rPr>
                <w:rFonts w:hint="eastAsia" w:ascii="宋体" w:hAnsi="宋体"/>
                <w:kern w:val="0"/>
                <w:szCs w:val="32"/>
                <w:shd w:val="clear" w:color="auto" w:fill="FFFFFF"/>
              </w:rPr>
            </w:pPr>
            <w:r>
              <w:rPr>
                <w:rFonts w:ascii="宋体" w:hAnsi="宋体"/>
                <w:kern w:val="0"/>
                <w:szCs w:val="32"/>
                <w:shd w:val="clear" w:color="auto" w:fill="FFFFFF"/>
              </w:rPr>
              <w:t>1.</w:t>
            </w:r>
            <w:r>
              <w:rPr>
                <w:rFonts w:hint="eastAsia" w:ascii="宋体" w:hAnsi="宋体"/>
                <w:kern w:val="0"/>
                <w:szCs w:val="32"/>
                <w:shd w:val="clear" w:color="auto" w:fill="FFFFFF"/>
              </w:rPr>
              <w:t>负责按甲方要求编制各类造价管理文件，进行市场调查、询价或建议价。</w:t>
            </w:r>
          </w:p>
          <w:p w14:paraId="3E36C5AE">
            <w:pPr>
              <w:widowControl/>
              <w:shd w:val="solid" w:color="FFFFFF" w:fill="auto"/>
              <w:autoSpaceDN w:val="0"/>
              <w:snapToGrid w:val="0"/>
              <w:spacing w:line="360" w:lineRule="auto"/>
              <w:rPr>
                <w:rFonts w:hint="eastAsia" w:ascii="宋体" w:hAnsi="宋体"/>
                <w:kern w:val="0"/>
                <w:szCs w:val="32"/>
                <w:shd w:val="clear" w:color="auto" w:fill="FFFFFF"/>
              </w:rPr>
            </w:pPr>
            <w:r>
              <w:rPr>
                <w:rFonts w:ascii="宋体" w:hAnsi="宋体"/>
                <w:kern w:val="0"/>
                <w:szCs w:val="32"/>
                <w:shd w:val="clear" w:color="auto" w:fill="FFFFFF"/>
              </w:rPr>
              <w:t>2.</w:t>
            </w:r>
            <w:r>
              <w:rPr>
                <w:rFonts w:hint="eastAsia" w:ascii="宋体" w:hAnsi="宋体"/>
                <w:kern w:val="0"/>
                <w:szCs w:val="32"/>
                <w:shd w:val="clear" w:color="auto" w:fill="FFFFFF"/>
              </w:rPr>
              <w:t>负责根据项目的标段划分方案，包括各标段工程承包内容、界面，按甲方要求编制工程量清单、招标控制价，对合同方式和可能存在的风险因素及解决办法等提出合理化建议供甲方参考。办理造价部门的招标控制价备案。</w:t>
            </w:r>
          </w:p>
          <w:p w14:paraId="605673B4">
            <w:pPr>
              <w:widowControl/>
              <w:shd w:val="solid" w:color="FFFFFF" w:fill="auto"/>
              <w:autoSpaceDN w:val="0"/>
              <w:snapToGrid w:val="0"/>
              <w:spacing w:line="360" w:lineRule="auto"/>
              <w:rPr>
                <w:rFonts w:hint="eastAsia" w:ascii="宋体" w:hAnsi="宋体"/>
                <w:kern w:val="0"/>
                <w:szCs w:val="32"/>
                <w:shd w:val="clear" w:color="auto" w:fill="FFFFFF"/>
              </w:rPr>
            </w:pPr>
            <w:r>
              <w:rPr>
                <w:rFonts w:ascii="宋体" w:hAnsi="宋体"/>
                <w:kern w:val="0"/>
                <w:szCs w:val="32"/>
                <w:shd w:val="clear" w:color="auto" w:fill="FFFFFF"/>
              </w:rPr>
              <w:t xml:space="preserve">3. </w:t>
            </w:r>
            <w:r>
              <w:rPr>
                <w:rFonts w:hint="eastAsia" w:ascii="宋体" w:hAnsi="宋体"/>
                <w:kern w:val="0"/>
                <w:szCs w:val="32"/>
                <w:shd w:val="clear" w:color="auto" w:fill="FFFFFF"/>
              </w:rPr>
              <w:t>负责根据设计单位的图纸及技术规范、用户需求书编制设备、材料询价或采购清单。</w:t>
            </w:r>
          </w:p>
          <w:p w14:paraId="78E7EDEC">
            <w:pPr>
              <w:widowControl/>
              <w:shd w:val="solid" w:color="FFFFFF" w:fill="auto"/>
              <w:autoSpaceDN w:val="0"/>
              <w:snapToGrid w:val="0"/>
              <w:spacing w:line="360" w:lineRule="auto"/>
              <w:rPr>
                <w:rFonts w:hint="eastAsia" w:ascii="宋体" w:hAnsi="宋体"/>
                <w:kern w:val="0"/>
                <w:szCs w:val="32"/>
                <w:shd w:val="clear" w:color="auto" w:fill="FFFFFF"/>
              </w:rPr>
            </w:pPr>
            <w:r>
              <w:rPr>
                <w:rFonts w:ascii="宋体" w:hAnsi="宋体"/>
                <w:kern w:val="0"/>
                <w:szCs w:val="32"/>
                <w:shd w:val="clear" w:color="auto" w:fill="FFFFFF"/>
              </w:rPr>
              <w:t xml:space="preserve">4. </w:t>
            </w:r>
            <w:r>
              <w:rPr>
                <w:rFonts w:hint="eastAsia" w:ascii="宋体" w:hAnsi="宋体"/>
                <w:kern w:val="0"/>
                <w:szCs w:val="32"/>
                <w:shd w:val="clear" w:color="auto" w:fill="FFFFFF"/>
              </w:rPr>
              <w:t>负责对中标人的经济标文件或报价书等进行分析和汇总，形成造价咨询报告。</w:t>
            </w:r>
          </w:p>
          <w:p w14:paraId="6E8F2F2C">
            <w:pPr>
              <w:widowControl/>
              <w:shd w:val="solid" w:color="FFFFFF" w:fill="auto"/>
              <w:autoSpaceDN w:val="0"/>
              <w:snapToGrid w:val="0"/>
              <w:spacing w:line="360" w:lineRule="auto"/>
              <w:rPr>
                <w:rFonts w:hint="eastAsia" w:ascii="宋体" w:hAnsi="宋体"/>
                <w:kern w:val="0"/>
                <w:szCs w:val="32"/>
                <w:shd w:val="clear" w:color="auto" w:fill="FFFFFF"/>
              </w:rPr>
            </w:pPr>
            <w:r>
              <w:rPr>
                <w:rFonts w:ascii="宋体" w:hAnsi="宋体"/>
                <w:kern w:val="0"/>
                <w:szCs w:val="32"/>
                <w:shd w:val="clear" w:color="auto" w:fill="FFFFFF"/>
              </w:rPr>
              <w:t>5．负责材料检测及各专业检测清单的询价、预算和控制价编制工作。</w:t>
            </w:r>
          </w:p>
          <w:p w14:paraId="12054D86">
            <w:pPr>
              <w:widowControl/>
              <w:shd w:val="solid" w:color="FFFFFF" w:fill="auto"/>
              <w:autoSpaceDN w:val="0"/>
              <w:snapToGrid w:val="0"/>
              <w:spacing w:line="360" w:lineRule="auto"/>
              <w:rPr>
                <w:rFonts w:hint="eastAsia" w:ascii="宋体" w:hAnsi="宋体"/>
                <w:kern w:val="0"/>
                <w:szCs w:val="32"/>
                <w:shd w:val="clear" w:color="auto" w:fill="FFFFFF"/>
              </w:rPr>
            </w:pPr>
            <w:r>
              <w:rPr>
                <w:rFonts w:ascii="宋体" w:hAnsi="宋体"/>
                <w:kern w:val="0"/>
                <w:szCs w:val="32"/>
                <w:shd w:val="clear" w:color="auto" w:fill="FFFFFF"/>
              </w:rPr>
              <w:t xml:space="preserve">6. </w:t>
            </w:r>
            <w:r>
              <w:rPr>
                <w:rFonts w:hint="eastAsia" w:ascii="宋体" w:hAnsi="宋体"/>
                <w:kern w:val="0"/>
                <w:szCs w:val="32"/>
                <w:shd w:val="clear" w:color="auto" w:fill="FFFFFF"/>
              </w:rPr>
              <w:t>负责建设全过程的工程、设备、服务类等招标预算、控制价编制和审核工作。</w:t>
            </w:r>
          </w:p>
        </w:tc>
      </w:tr>
      <w:tr w14:paraId="792D0A1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671"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2E4B97A5">
            <w:pPr>
              <w:widowControl/>
              <w:shd w:val="solid" w:color="FFFFFF" w:fill="auto"/>
              <w:autoSpaceDN w:val="0"/>
              <w:snapToGrid w:val="0"/>
              <w:spacing w:line="360" w:lineRule="auto"/>
              <w:jc w:val="center"/>
              <w:rPr>
                <w:rFonts w:hint="eastAsia" w:ascii="宋体" w:hAnsi="宋体"/>
                <w:szCs w:val="32"/>
                <w:shd w:val="clear" w:color="auto" w:fill="FFFFFF"/>
              </w:rPr>
            </w:pPr>
            <w:r>
              <w:rPr>
                <w:rFonts w:hint="eastAsia" w:ascii="宋体" w:hAnsi="宋体"/>
                <w:kern w:val="0"/>
                <w:szCs w:val="32"/>
                <w:shd w:val="clear" w:color="auto" w:fill="FFFFFF"/>
              </w:rPr>
              <w:t>3</w:t>
            </w:r>
          </w:p>
        </w:tc>
        <w:tc>
          <w:tcPr>
            <w:tcW w:w="675"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06AF580A">
            <w:pPr>
              <w:widowControl/>
              <w:shd w:val="solid" w:color="FFFFFF" w:fill="auto"/>
              <w:autoSpaceDN w:val="0"/>
              <w:snapToGrid w:val="0"/>
              <w:spacing w:line="360" w:lineRule="auto"/>
              <w:jc w:val="center"/>
              <w:rPr>
                <w:rFonts w:hint="eastAsia" w:ascii="宋体" w:hAnsi="宋体"/>
                <w:szCs w:val="32"/>
                <w:shd w:val="clear" w:color="auto" w:fill="FFFFFF"/>
              </w:rPr>
            </w:pPr>
            <w:r>
              <w:rPr>
                <w:rFonts w:ascii="宋体" w:hAnsi="宋体"/>
                <w:kern w:val="0"/>
                <w:szCs w:val="32"/>
                <w:shd w:val="clear" w:color="auto" w:fill="FFFFFF"/>
              </w:rPr>
              <w:t>施工阶段</w:t>
            </w:r>
          </w:p>
        </w:tc>
        <w:tc>
          <w:tcPr>
            <w:tcW w:w="8125"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39AF0162">
            <w:pPr>
              <w:widowControl/>
              <w:shd w:val="solid" w:color="FFFFFF" w:fill="auto"/>
              <w:autoSpaceDN w:val="0"/>
              <w:snapToGrid w:val="0"/>
              <w:spacing w:line="360" w:lineRule="auto"/>
              <w:rPr>
                <w:rFonts w:hint="eastAsia" w:ascii="宋体" w:hAnsi="宋体"/>
                <w:kern w:val="0"/>
                <w:szCs w:val="32"/>
                <w:shd w:val="clear" w:color="auto" w:fill="FFFFFF"/>
              </w:rPr>
            </w:pPr>
            <w:r>
              <w:rPr>
                <w:rFonts w:ascii="宋体" w:hAnsi="宋体"/>
                <w:kern w:val="0"/>
                <w:szCs w:val="32"/>
                <w:shd w:val="clear" w:color="auto" w:fill="FFFFFF"/>
              </w:rPr>
              <w:t>1</w:t>
            </w:r>
            <w:r>
              <w:rPr>
                <w:rFonts w:hint="eastAsia" w:ascii="宋体" w:hAnsi="宋体"/>
                <w:kern w:val="0"/>
                <w:szCs w:val="32"/>
                <w:shd w:val="clear" w:color="auto" w:fill="FFFFFF"/>
              </w:rPr>
              <w:t>．负责按甲方要求编制各类造价管理文件，包括修正EPC合同价工作、工程变更程序、工程款支付程序等。</w:t>
            </w:r>
          </w:p>
          <w:p w14:paraId="2AA94A9C">
            <w:pPr>
              <w:widowControl/>
              <w:shd w:val="solid" w:color="FFFFFF" w:fill="auto"/>
              <w:autoSpaceDN w:val="0"/>
              <w:snapToGrid w:val="0"/>
              <w:spacing w:line="360" w:lineRule="auto"/>
              <w:rPr>
                <w:rFonts w:hint="eastAsia" w:ascii="宋体" w:hAnsi="宋体"/>
                <w:kern w:val="0"/>
                <w:szCs w:val="32"/>
                <w:shd w:val="clear" w:color="auto" w:fill="FFFFFF"/>
              </w:rPr>
            </w:pPr>
            <w:r>
              <w:rPr>
                <w:rFonts w:ascii="宋体" w:hAnsi="宋体"/>
                <w:kern w:val="0"/>
                <w:szCs w:val="32"/>
                <w:shd w:val="clear" w:color="auto" w:fill="FFFFFF"/>
              </w:rPr>
              <w:t>2.制定项目总体投资进度计划，根据实际进度与每月实际投资和计划投资作分析比较，分析成本超支的原因和修正项目投资进度计划。</w:t>
            </w:r>
          </w:p>
          <w:p w14:paraId="7778B675">
            <w:pPr>
              <w:widowControl/>
              <w:shd w:val="solid" w:color="FFFFFF" w:fill="auto"/>
              <w:autoSpaceDN w:val="0"/>
              <w:snapToGrid w:val="0"/>
              <w:spacing w:line="360" w:lineRule="auto"/>
              <w:rPr>
                <w:rFonts w:hint="eastAsia" w:ascii="宋体" w:hAnsi="宋体"/>
                <w:kern w:val="0"/>
                <w:szCs w:val="32"/>
                <w:shd w:val="clear" w:color="auto" w:fill="FFFFFF"/>
              </w:rPr>
            </w:pPr>
            <w:r>
              <w:rPr>
                <w:rFonts w:ascii="宋体" w:hAnsi="宋体"/>
                <w:kern w:val="0"/>
                <w:szCs w:val="32"/>
                <w:shd w:val="clear" w:color="auto" w:fill="FFFFFF"/>
              </w:rPr>
              <w:t>3.负责施工过程造价控制（含编制方案及实施计划），负责编制、审查工程量清单量差变更、工程变更、各类工程和服务预算，审核工程量与进度款，</w:t>
            </w:r>
            <w:r>
              <w:rPr>
                <w:rFonts w:hint="eastAsia" w:ascii="宋体" w:hAnsi="宋体"/>
                <w:kern w:val="0"/>
                <w:szCs w:val="32"/>
                <w:shd w:val="clear" w:color="auto" w:fill="FFFFFF"/>
              </w:rPr>
              <w:t>自收到甲方通知之日起</w:t>
            </w:r>
            <w:r>
              <w:rPr>
                <w:rFonts w:ascii="宋体" w:hAnsi="宋体"/>
                <w:kern w:val="0"/>
                <w:szCs w:val="32"/>
                <w:shd w:val="clear" w:color="auto" w:fill="FFFFFF"/>
              </w:rPr>
              <w:t>7个</w:t>
            </w:r>
            <w:r>
              <w:rPr>
                <w:rFonts w:hint="eastAsia" w:ascii="宋体" w:hAnsi="宋体"/>
                <w:kern w:val="0"/>
                <w:szCs w:val="32"/>
                <w:shd w:val="clear" w:color="auto" w:fill="FFFFFF"/>
              </w:rPr>
              <w:t>日历天内完成。</w:t>
            </w:r>
          </w:p>
          <w:p w14:paraId="585B08C7">
            <w:pPr>
              <w:widowControl/>
              <w:shd w:val="solid" w:color="FFFFFF" w:fill="auto"/>
              <w:autoSpaceDN w:val="0"/>
              <w:snapToGrid w:val="0"/>
              <w:spacing w:line="360" w:lineRule="auto"/>
              <w:rPr>
                <w:rFonts w:hint="eastAsia" w:ascii="宋体" w:hAnsi="宋体"/>
                <w:kern w:val="0"/>
                <w:szCs w:val="32"/>
                <w:shd w:val="clear" w:color="auto" w:fill="FFFFFF"/>
              </w:rPr>
            </w:pPr>
            <w:r>
              <w:rPr>
                <w:rFonts w:ascii="宋体" w:hAnsi="宋体"/>
                <w:kern w:val="0"/>
                <w:szCs w:val="32"/>
                <w:shd w:val="clear" w:color="auto" w:fill="FFFFFF"/>
              </w:rPr>
              <w:t>4.负责协助第三方的合同索赔处理，参加合同变更谈判，负责处理合同变更，维护甲方的合法权益。</w:t>
            </w:r>
          </w:p>
          <w:p w14:paraId="0F371831">
            <w:pPr>
              <w:widowControl/>
              <w:shd w:val="solid" w:color="FFFFFF" w:fill="auto"/>
              <w:autoSpaceDN w:val="0"/>
              <w:snapToGrid w:val="0"/>
              <w:spacing w:line="360" w:lineRule="auto"/>
              <w:rPr>
                <w:rFonts w:hint="eastAsia" w:ascii="宋体" w:hAnsi="宋体"/>
                <w:kern w:val="0"/>
                <w:szCs w:val="32"/>
                <w:shd w:val="clear" w:color="auto" w:fill="FFFFFF"/>
              </w:rPr>
            </w:pPr>
            <w:r>
              <w:rPr>
                <w:rFonts w:ascii="宋体" w:hAnsi="宋体"/>
                <w:kern w:val="0"/>
                <w:szCs w:val="32"/>
                <w:shd w:val="clear" w:color="auto" w:fill="FFFFFF"/>
              </w:rPr>
              <w:t>5.负责建立合同台账、</w:t>
            </w:r>
            <w:r>
              <w:rPr>
                <w:rFonts w:hint="eastAsia" w:ascii="宋体" w:hAnsi="宋体"/>
                <w:kern w:val="0"/>
                <w:szCs w:val="32"/>
                <w:shd w:val="clear" w:color="auto" w:fill="FFFFFF"/>
              </w:rPr>
              <w:t>支付台账、工程变更管理台账（按变更原因分类）、签证台账、动态投资台账，负责每个季度月底前提交工程项目整体结算价预估分析、动态成本（须与目标成本对比分析偏差原因及解决方案）。</w:t>
            </w:r>
          </w:p>
          <w:p w14:paraId="46B42ABB">
            <w:pPr>
              <w:widowControl/>
              <w:shd w:val="solid" w:color="FFFFFF" w:fill="auto"/>
              <w:autoSpaceDN w:val="0"/>
              <w:snapToGrid w:val="0"/>
              <w:spacing w:line="360" w:lineRule="auto"/>
              <w:rPr>
                <w:rFonts w:hint="eastAsia" w:ascii="宋体" w:hAnsi="宋体"/>
                <w:kern w:val="0"/>
                <w:szCs w:val="32"/>
                <w:shd w:val="clear" w:color="auto" w:fill="FFFFFF"/>
              </w:rPr>
            </w:pPr>
            <w:r>
              <w:rPr>
                <w:rFonts w:ascii="宋体" w:hAnsi="宋体"/>
                <w:kern w:val="0"/>
                <w:szCs w:val="32"/>
                <w:shd w:val="clear" w:color="auto" w:fill="FFFFFF"/>
              </w:rPr>
              <w:t>6.负责定期召开造价控制会议，集中会审现场签证、工程变更的工程量和造价预算，确认变更价款。负责每月</w:t>
            </w:r>
            <w:r>
              <w:rPr>
                <w:rFonts w:ascii="宋体" w:hAnsi="宋体"/>
                <w:kern w:val="0"/>
                <w:szCs w:val="32"/>
                <w:u w:val="single"/>
                <w:shd w:val="clear" w:color="auto" w:fill="FFFFFF"/>
              </w:rPr>
              <w:t>5</w:t>
            </w:r>
            <w:r>
              <w:rPr>
                <w:rFonts w:ascii="宋体" w:hAnsi="宋体"/>
                <w:kern w:val="0"/>
                <w:szCs w:val="32"/>
                <w:shd w:val="clear" w:color="auto" w:fill="FFFFFF"/>
              </w:rPr>
              <w:t>号前提交工程变更（包括：图纸会审、图纸修改、工程洽商等）对造价影响分析，及成本控制报告。</w:t>
            </w:r>
          </w:p>
          <w:p w14:paraId="52544C8A">
            <w:pPr>
              <w:widowControl/>
              <w:shd w:val="solid" w:color="FFFFFF" w:fill="auto"/>
              <w:autoSpaceDN w:val="0"/>
              <w:snapToGrid w:val="0"/>
              <w:spacing w:line="360" w:lineRule="auto"/>
              <w:rPr>
                <w:rFonts w:hint="eastAsia" w:ascii="宋体" w:hAnsi="宋体"/>
                <w:kern w:val="0"/>
                <w:szCs w:val="32"/>
                <w:shd w:val="clear" w:color="auto" w:fill="FFFFFF"/>
              </w:rPr>
            </w:pPr>
            <w:r>
              <w:rPr>
                <w:rFonts w:ascii="宋体" w:hAnsi="宋体"/>
                <w:kern w:val="0"/>
                <w:szCs w:val="32"/>
                <w:shd w:val="clear" w:color="auto" w:fill="FFFFFF"/>
              </w:rPr>
              <w:t>7.发生现场签证时，须与工程部、工程监理、施工单位一起进行工程</w:t>
            </w:r>
            <w:r>
              <w:rPr>
                <w:rFonts w:hint="eastAsia" w:ascii="宋体" w:hAnsi="宋体"/>
                <w:kern w:val="0"/>
                <w:szCs w:val="32"/>
                <w:shd w:val="clear" w:color="auto" w:fill="FFFFFF"/>
              </w:rPr>
              <w:t>量现场核查，各方签认后作为签证依据。</w:t>
            </w:r>
          </w:p>
          <w:p w14:paraId="3CFA95A3">
            <w:pPr>
              <w:widowControl/>
              <w:shd w:val="solid" w:color="FFFFFF" w:fill="auto"/>
              <w:autoSpaceDN w:val="0"/>
              <w:snapToGrid w:val="0"/>
              <w:spacing w:line="360" w:lineRule="auto"/>
              <w:rPr>
                <w:rFonts w:hint="eastAsia" w:ascii="宋体" w:hAnsi="宋体"/>
                <w:kern w:val="0"/>
                <w:szCs w:val="32"/>
                <w:shd w:val="clear" w:color="auto" w:fill="FFFFFF"/>
              </w:rPr>
            </w:pPr>
            <w:r>
              <w:rPr>
                <w:rFonts w:ascii="宋体" w:hAnsi="宋体"/>
                <w:kern w:val="0"/>
                <w:szCs w:val="32"/>
                <w:shd w:val="clear" w:color="auto" w:fill="FFFFFF"/>
              </w:rPr>
              <w:t>8.负责定期收集和整理有关设备材料的市场价格动态信息，对施工方案、材料选用提供成本控制建议。每月提交人工机械主材设备价格造价影响分析。</w:t>
            </w:r>
          </w:p>
        </w:tc>
      </w:tr>
      <w:tr w14:paraId="4D742EA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671"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08FE124B">
            <w:pPr>
              <w:widowControl/>
              <w:shd w:val="solid" w:color="FFFFFF" w:fill="auto"/>
              <w:autoSpaceDN w:val="0"/>
              <w:snapToGrid w:val="0"/>
              <w:spacing w:line="360" w:lineRule="auto"/>
              <w:rPr>
                <w:rFonts w:hint="eastAsia" w:ascii="宋体" w:hAnsi="宋体"/>
                <w:szCs w:val="32"/>
                <w:shd w:val="clear" w:color="auto" w:fill="FFFFFF"/>
              </w:rPr>
            </w:pPr>
            <w:r>
              <w:rPr>
                <w:rFonts w:hint="eastAsia" w:ascii="宋体" w:hAnsi="宋体"/>
                <w:kern w:val="0"/>
                <w:szCs w:val="32"/>
                <w:shd w:val="clear" w:color="auto" w:fill="FFFFFF"/>
              </w:rPr>
              <w:t>4</w:t>
            </w:r>
          </w:p>
        </w:tc>
        <w:tc>
          <w:tcPr>
            <w:tcW w:w="675"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33A9EA79">
            <w:pPr>
              <w:widowControl/>
              <w:shd w:val="solid" w:color="FFFFFF" w:fill="auto"/>
              <w:autoSpaceDN w:val="0"/>
              <w:snapToGrid w:val="0"/>
              <w:spacing w:line="360" w:lineRule="auto"/>
              <w:rPr>
                <w:rFonts w:hint="eastAsia" w:ascii="宋体" w:hAnsi="宋体"/>
                <w:szCs w:val="32"/>
                <w:shd w:val="clear" w:color="auto" w:fill="FFFFFF"/>
              </w:rPr>
            </w:pPr>
            <w:r>
              <w:rPr>
                <w:rFonts w:ascii="宋体" w:hAnsi="宋体"/>
                <w:kern w:val="0"/>
                <w:szCs w:val="32"/>
                <w:shd w:val="clear" w:color="auto" w:fill="FFFFFF"/>
              </w:rPr>
              <w:t>结（决）算阶段</w:t>
            </w:r>
          </w:p>
        </w:tc>
        <w:tc>
          <w:tcPr>
            <w:tcW w:w="8125"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745CFA96">
            <w:pPr>
              <w:widowControl/>
              <w:shd w:val="solid" w:color="FFFFFF" w:fill="auto"/>
              <w:autoSpaceDN w:val="0"/>
              <w:snapToGrid w:val="0"/>
              <w:spacing w:line="360" w:lineRule="auto"/>
              <w:rPr>
                <w:rFonts w:hint="eastAsia" w:ascii="宋体" w:hAnsi="宋体"/>
                <w:kern w:val="0"/>
                <w:szCs w:val="32"/>
                <w:shd w:val="clear" w:color="auto" w:fill="FFFFFF"/>
              </w:rPr>
            </w:pPr>
            <w:r>
              <w:rPr>
                <w:rFonts w:ascii="宋体" w:hAnsi="宋体"/>
                <w:kern w:val="0"/>
                <w:szCs w:val="32"/>
                <w:shd w:val="clear" w:color="auto" w:fill="FFFFFF"/>
              </w:rPr>
              <w:t>1.</w:t>
            </w:r>
            <w:r>
              <w:rPr>
                <w:rFonts w:hint="eastAsia" w:ascii="宋体" w:hAnsi="宋体"/>
                <w:kern w:val="0"/>
                <w:szCs w:val="32"/>
                <w:shd w:val="clear" w:color="auto" w:fill="FFFFFF"/>
              </w:rPr>
              <w:t>负责按甲方要求编制结算管理文件，开展工程结算编制、审核工作，并与各承包单位对数，自收到甲方通知之日起</w:t>
            </w:r>
            <w:r>
              <w:rPr>
                <w:rFonts w:ascii="宋体" w:hAnsi="宋体"/>
                <w:kern w:val="0"/>
                <w:szCs w:val="32"/>
                <w:shd w:val="clear" w:color="auto" w:fill="FFFFFF"/>
              </w:rPr>
              <w:t>10-30</w:t>
            </w:r>
            <w:r>
              <w:rPr>
                <w:rFonts w:hint="eastAsia" w:ascii="宋体" w:hAnsi="宋体"/>
                <w:kern w:val="0"/>
                <w:szCs w:val="32"/>
                <w:shd w:val="clear" w:color="auto" w:fill="FFFFFF"/>
              </w:rPr>
              <w:t>个工作日内出具结算审核报告。</w:t>
            </w:r>
          </w:p>
          <w:p w14:paraId="57E9C350">
            <w:pPr>
              <w:widowControl/>
              <w:shd w:val="solid" w:color="FFFFFF" w:fill="auto"/>
              <w:autoSpaceDN w:val="0"/>
              <w:snapToGrid w:val="0"/>
              <w:spacing w:line="360" w:lineRule="auto"/>
              <w:rPr>
                <w:rFonts w:hint="eastAsia" w:ascii="宋体" w:hAnsi="宋体"/>
                <w:kern w:val="0"/>
                <w:szCs w:val="32"/>
                <w:shd w:val="clear" w:color="auto" w:fill="FFFFFF"/>
              </w:rPr>
            </w:pPr>
            <w:r>
              <w:rPr>
                <w:rFonts w:ascii="宋体" w:hAnsi="宋体"/>
                <w:kern w:val="0"/>
                <w:szCs w:val="32"/>
                <w:shd w:val="clear" w:color="auto" w:fill="FFFFFF"/>
              </w:rPr>
              <w:t>2.负责收集和整理结算依据资料，收集有关工程费用方面的签证资料，核对单据并及时归档。</w:t>
            </w:r>
          </w:p>
          <w:p w14:paraId="35FBF6B8">
            <w:pPr>
              <w:widowControl/>
              <w:shd w:val="solid" w:color="FFFFFF" w:fill="auto"/>
              <w:autoSpaceDN w:val="0"/>
              <w:snapToGrid w:val="0"/>
              <w:spacing w:line="360" w:lineRule="auto"/>
              <w:rPr>
                <w:rFonts w:hint="eastAsia" w:ascii="宋体" w:hAnsi="宋体"/>
                <w:kern w:val="0"/>
                <w:szCs w:val="32"/>
                <w:shd w:val="clear" w:color="auto" w:fill="FFFFFF"/>
              </w:rPr>
            </w:pPr>
            <w:r>
              <w:rPr>
                <w:rFonts w:ascii="宋体" w:hAnsi="宋体"/>
                <w:kern w:val="0"/>
                <w:szCs w:val="32"/>
                <w:shd w:val="clear" w:color="auto" w:fill="FFFFFF"/>
              </w:rPr>
              <w:t>3.审核其他费用，出具审价报告。</w:t>
            </w:r>
          </w:p>
          <w:p w14:paraId="4DB8F4A2">
            <w:pPr>
              <w:widowControl/>
              <w:shd w:val="solid" w:color="FFFFFF" w:fill="auto"/>
              <w:autoSpaceDN w:val="0"/>
              <w:snapToGrid w:val="0"/>
              <w:spacing w:line="360" w:lineRule="auto"/>
              <w:rPr>
                <w:rFonts w:hint="eastAsia" w:ascii="宋体" w:hAnsi="宋体"/>
                <w:kern w:val="0"/>
                <w:szCs w:val="32"/>
                <w:shd w:val="clear" w:color="auto" w:fill="FFFFFF"/>
              </w:rPr>
            </w:pPr>
            <w:r>
              <w:rPr>
                <w:rFonts w:ascii="宋体" w:hAnsi="宋体"/>
                <w:kern w:val="0"/>
                <w:szCs w:val="32"/>
                <w:shd w:val="clear" w:color="auto" w:fill="FFFFFF"/>
              </w:rPr>
              <w:t>4.负责建立结算台账，编制结算计划。</w:t>
            </w:r>
          </w:p>
          <w:p w14:paraId="23765D7B">
            <w:pPr>
              <w:widowControl/>
              <w:shd w:val="solid" w:color="FFFFFF" w:fill="auto"/>
              <w:autoSpaceDN w:val="0"/>
              <w:snapToGrid w:val="0"/>
              <w:spacing w:line="360" w:lineRule="auto"/>
              <w:rPr>
                <w:rFonts w:hint="eastAsia" w:ascii="宋体" w:hAnsi="宋体"/>
                <w:kern w:val="0"/>
                <w:szCs w:val="32"/>
                <w:shd w:val="clear" w:color="auto" w:fill="FFFFFF"/>
              </w:rPr>
            </w:pPr>
            <w:r>
              <w:rPr>
                <w:rFonts w:ascii="宋体" w:hAnsi="宋体"/>
                <w:kern w:val="0"/>
                <w:szCs w:val="32"/>
                <w:shd w:val="clear" w:color="auto" w:fill="FFFFFF"/>
              </w:rPr>
              <w:t>5.配合建设单位实施决算工作。</w:t>
            </w:r>
          </w:p>
        </w:tc>
      </w:tr>
      <w:tr w14:paraId="31437B6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671"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25F23B9A">
            <w:pPr>
              <w:widowControl/>
              <w:shd w:val="solid" w:color="FFFFFF" w:fill="auto"/>
              <w:autoSpaceDN w:val="0"/>
              <w:snapToGrid w:val="0"/>
              <w:spacing w:line="360" w:lineRule="auto"/>
              <w:rPr>
                <w:rFonts w:hint="eastAsia" w:ascii="宋体" w:hAnsi="宋体"/>
                <w:szCs w:val="32"/>
                <w:shd w:val="clear" w:color="auto" w:fill="FFFFFF"/>
              </w:rPr>
            </w:pPr>
            <w:r>
              <w:rPr>
                <w:rFonts w:hint="eastAsia" w:ascii="宋体" w:hAnsi="宋体"/>
                <w:kern w:val="0"/>
                <w:szCs w:val="32"/>
                <w:shd w:val="clear" w:color="auto" w:fill="FFFFFF"/>
              </w:rPr>
              <w:t>5</w:t>
            </w:r>
          </w:p>
        </w:tc>
        <w:tc>
          <w:tcPr>
            <w:tcW w:w="675"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266D5B5B">
            <w:pPr>
              <w:widowControl/>
              <w:shd w:val="solid" w:color="FFFFFF" w:fill="auto"/>
              <w:autoSpaceDN w:val="0"/>
              <w:snapToGrid w:val="0"/>
              <w:spacing w:line="360" w:lineRule="auto"/>
              <w:rPr>
                <w:rFonts w:hint="eastAsia" w:ascii="宋体" w:hAnsi="宋体"/>
                <w:szCs w:val="32"/>
                <w:shd w:val="clear" w:color="auto" w:fill="FFFFFF"/>
              </w:rPr>
            </w:pPr>
            <w:r>
              <w:rPr>
                <w:rFonts w:ascii="宋体" w:hAnsi="宋体"/>
                <w:kern w:val="0"/>
                <w:szCs w:val="32"/>
                <w:shd w:val="clear" w:color="auto" w:fill="FFFFFF"/>
              </w:rPr>
              <w:t>其他</w:t>
            </w:r>
          </w:p>
        </w:tc>
        <w:tc>
          <w:tcPr>
            <w:tcW w:w="8125"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44AE7C08">
            <w:pPr>
              <w:widowControl/>
              <w:shd w:val="solid" w:color="FFFFFF" w:fill="auto"/>
              <w:autoSpaceDN w:val="0"/>
              <w:snapToGrid w:val="0"/>
              <w:spacing w:line="360" w:lineRule="auto"/>
              <w:rPr>
                <w:rFonts w:hint="eastAsia" w:ascii="宋体" w:hAnsi="宋体"/>
                <w:szCs w:val="32"/>
                <w:shd w:val="clear" w:color="auto" w:fill="FFFFFF"/>
              </w:rPr>
            </w:pPr>
            <w:r>
              <w:rPr>
                <w:rFonts w:ascii="宋体" w:hAnsi="宋体"/>
                <w:kern w:val="0"/>
                <w:szCs w:val="32"/>
                <w:shd w:val="clear" w:color="auto" w:fill="FFFFFF"/>
              </w:rPr>
              <w:t>1.负责组织</w:t>
            </w:r>
            <w:r>
              <w:rPr>
                <w:rFonts w:hint="eastAsia" w:ascii="宋体" w:hAnsi="宋体"/>
                <w:kern w:val="0"/>
                <w:szCs w:val="32"/>
                <w:shd w:val="clear" w:color="auto" w:fill="FFFFFF"/>
              </w:rPr>
              <w:t>或参加</w:t>
            </w:r>
            <w:r>
              <w:rPr>
                <w:rFonts w:ascii="宋体" w:hAnsi="宋体"/>
                <w:kern w:val="0"/>
                <w:szCs w:val="32"/>
                <w:shd w:val="clear" w:color="auto" w:fill="FFFFFF"/>
              </w:rPr>
              <w:t>相关造价控制评审</w:t>
            </w:r>
            <w:r>
              <w:rPr>
                <w:rFonts w:hint="eastAsia" w:ascii="宋体" w:hAnsi="宋体"/>
                <w:kern w:val="0"/>
                <w:szCs w:val="32"/>
                <w:shd w:val="clear" w:color="auto" w:fill="FFFFFF"/>
              </w:rPr>
              <w:t>、变更专题等</w:t>
            </w:r>
            <w:r>
              <w:rPr>
                <w:rFonts w:ascii="宋体" w:hAnsi="宋体"/>
                <w:kern w:val="0"/>
                <w:szCs w:val="32"/>
                <w:shd w:val="clear" w:color="auto" w:fill="FFFFFF"/>
              </w:rPr>
              <w:t>会议，包括邀请相应的经济专家</w:t>
            </w:r>
            <w:r>
              <w:rPr>
                <w:rFonts w:hint="eastAsia" w:ascii="宋体" w:hAnsi="宋体"/>
                <w:kern w:val="0"/>
                <w:szCs w:val="32"/>
                <w:shd w:val="clear" w:color="auto" w:fill="FFFFFF"/>
              </w:rPr>
              <w:t>参加会议</w:t>
            </w:r>
            <w:r>
              <w:rPr>
                <w:rFonts w:ascii="宋体" w:hAnsi="宋体"/>
                <w:kern w:val="0"/>
                <w:szCs w:val="32"/>
                <w:shd w:val="clear" w:color="auto" w:fill="FFFFFF"/>
              </w:rPr>
              <w:t>。</w:t>
            </w:r>
          </w:p>
          <w:p w14:paraId="3E309310">
            <w:pPr>
              <w:widowControl/>
              <w:shd w:val="solid" w:color="FFFFFF" w:fill="auto"/>
              <w:autoSpaceDN w:val="0"/>
              <w:snapToGrid w:val="0"/>
              <w:spacing w:line="360" w:lineRule="auto"/>
              <w:rPr>
                <w:rFonts w:hint="eastAsia" w:ascii="宋体" w:hAnsi="宋体"/>
                <w:kern w:val="0"/>
                <w:szCs w:val="32"/>
                <w:shd w:val="clear" w:color="auto" w:fill="FFFFFF"/>
              </w:rPr>
            </w:pPr>
            <w:r>
              <w:rPr>
                <w:rFonts w:ascii="宋体" w:hAnsi="宋体"/>
                <w:kern w:val="0"/>
                <w:szCs w:val="32"/>
                <w:shd w:val="clear" w:color="auto" w:fill="FFFFFF"/>
              </w:rPr>
              <w:t>2.视情况邀请高级经济顾问对造价问题进行咨询把关。</w:t>
            </w:r>
          </w:p>
          <w:p w14:paraId="60A0B5E4">
            <w:pPr>
              <w:widowControl/>
              <w:shd w:val="solid" w:color="FFFFFF" w:fill="auto"/>
              <w:autoSpaceDN w:val="0"/>
              <w:snapToGrid w:val="0"/>
              <w:spacing w:line="360" w:lineRule="auto"/>
              <w:rPr>
                <w:rFonts w:hint="eastAsia" w:ascii="宋体" w:hAnsi="宋体"/>
                <w:kern w:val="0"/>
                <w:szCs w:val="32"/>
                <w:shd w:val="clear" w:color="auto" w:fill="FFFFFF"/>
              </w:rPr>
            </w:pPr>
            <w:r>
              <w:rPr>
                <w:rFonts w:ascii="宋体" w:hAnsi="宋体"/>
                <w:kern w:val="0"/>
                <w:szCs w:val="32"/>
                <w:shd w:val="clear" w:color="auto" w:fill="FFFFFF"/>
              </w:rPr>
              <w:t>3.征地拆迁、管线、绿化迁移及其他相关的造价审核工作。</w:t>
            </w:r>
          </w:p>
          <w:p w14:paraId="5739B038">
            <w:pPr>
              <w:widowControl/>
              <w:shd w:val="solid" w:color="FFFFFF" w:fill="auto"/>
              <w:autoSpaceDN w:val="0"/>
              <w:snapToGrid w:val="0"/>
              <w:spacing w:line="360" w:lineRule="auto"/>
              <w:rPr>
                <w:rFonts w:hint="eastAsia" w:ascii="宋体" w:hAnsi="宋体"/>
                <w:kern w:val="0"/>
                <w:szCs w:val="32"/>
                <w:shd w:val="clear" w:color="auto" w:fill="FFFFFF"/>
              </w:rPr>
            </w:pPr>
            <w:r>
              <w:rPr>
                <w:rFonts w:ascii="宋体" w:hAnsi="宋体"/>
                <w:kern w:val="0"/>
                <w:szCs w:val="32"/>
                <w:shd w:val="clear" w:color="auto" w:fill="FFFFFF"/>
              </w:rPr>
              <w:t>4.如纳入年度审计项目计划，须配合审计部门完成相关审计工作。</w:t>
            </w:r>
          </w:p>
          <w:p w14:paraId="6AC85BFB">
            <w:pPr>
              <w:widowControl/>
              <w:shd w:val="solid" w:color="FFFFFF" w:fill="auto"/>
              <w:autoSpaceDN w:val="0"/>
              <w:snapToGrid w:val="0"/>
              <w:spacing w:line="360" w:lineRule="auto"/>
              <w:rPr>
                <w:rFonts w:hint="eastAsia" w:ascii="宋体" w:hAnsi="宋体"/>
                <w:kern w:val="0"/>
                <w:szCs w:val="32"/>
                <w:shd w:val="clear" w:color="auto" w:fill="FFFFFF"/>
              </w:rPr>
            </w:pPr>
            <w:r>
              <w:rPr>
                <w:rFonts w:ascii="宋体" w:hAnsi="宋体"/>
                <w:kern w:val="0"/>
                <w:szCs w:val="32"/>
                <w:shd w:val="clear" w:color="auto" w:fill="FFFFFF"/>
              </w:rPr>
              <w:t>5.</w:t>
            </w:r>
            <w:r>
              <w:rPr>
                <w:rFonts w:hint="eastAsia" w:ascii="宋体" w:hAnsi="宋体"/>
                <w:kern w:val="0"/>
                <w:szCs w:val="32"/>
                <w:shd w:val="clear" w:color="auto" w:fill="FFFFFF"/>
              </w:rPr>
              <w:t>编制项目各阶段（估算、概算、预算、结算等）成本分析和总结报告，完成</w:t>
            </w:r>
            <w:r>
              <w:rPr>
                <w:rFonts w:ascii="宋体" w:hAnsi="宋体"/>
                <w:kern w:val="0"/>
                <w:szCs w:val="32"/>
                <w:shd w:val="clear" w:color="auto" w:fill="FFFFFF"/>
              </w:rPr>
              <w:t>甲方安排的其他造价管理工作。</w:t>
            </w:r>
          </w:p>
        </w:tc>
      </w:tr>
      <w:bookmarkEnd w:id="5"/>
    </w:tbl>
    <w:p w14:paraId="5702E8D8">
      <w:pPr>
        <w:spacing w:line="360" w:lineRule="auto"/>
        <w:rPr>
          <w:rFonts w:hint="eastAsia" w:ascii="宋体" w:hAnsi="宋体"/>
          <w:sz w:val="24"/>
        </w:rPr>
      </w:pPr>
    </w:p>
    <w:p w14:paraId="15137F99">
      <w:pPr>
        <w:pStyle w:val="76"/>
        <w:spacing w:after="0" w:line="360" w:lineRule="auto"/>
        <w:ind w:firstLine="482" w:firstLineChars="200"/>
        <w:jc w:val="left"/>
        <w:rPr>
          <w:rFonts w:hint="eastAsia" w:ascii="宋体" w:eastAsia="宋体"/>
          <w:kern w:val="2"/>
          <w:sz w:val="24"/>
          <w:szCs w:val="24"/>
        </w:rPr>
      </w:pPr>
      <w:r>
        <w:rPr>
          <w:rFonts w:hint="eastAsia" w:ascii="宋体" w:eastAsia="宋体"/>
          <w:kern w:val="2"/>
          <w:sz w:val="24"/>
          <w:szCs w:val="24"/>
        </w:rPr>
        <w:t>（三）乙方工作要求</w:t>
      </w:r>
    </w:p>
    <w:p w14:paraId="59AA5C36">
      <w:pPr>
        <w:spacing w:line="360" w:lineRule="auto"/>
        <w:ind w:firstLine="480" w:firstLineChars="200"/>
        <w:rPr>
          <w:rFonts w:hint="eastAsia" w:ascii="宋体" w:hAnsi="宋体"/>
          <w:sz w:val="24"/>
        </w:rPr>
      </w:pPr>
      <w:r>
        <w:rPr>
          <w:rFonts w:hint="eastAsia" w:ascii="宋体" w:hAnsi="宋体"/>
          <w:sz w:val="24"/>
        </w:rPr>
        <w:t>（</w:t>
      </w:r>
      <w:r>
        <w:rPr>
          <w:rFonts w:ascii="宋体" w:hAnsi="宋体"/>
          <w:sz w:val="24"/>
        </w:rPr>
        <w:t>1）按照本合同及项目工作要求做好各项工作，按时、按质量要求向甲方提交工作成果，直接对甲方负责。</w:t>
      </w:r>
    </w:p>
    <w:p w14:paraId="19A7A5E5">
      <w:pPr>
        <w:spacing w:line="360" w:lineRule="auto"/>
        <w:ind w:firstLine="480" w:firstLineChars="200"/>
        <w:rPr>
          <w:rFonts w:hint="eastAsia" w:ascii="宋体" w:hAnsi="宋体"/>
          <w:sz w:val="24"/>
        </w:rPr>
      </w:pPr>
      <w:r>
        <w:rPr>
          <w:rFonts w:hint="eastAsia" w:ascii="宋体" w:hAnsi="宋体"/>
          <w:sz w:val="24"/>
        </w:rPr>
        <w:t>（</w:t>
      </w:r>
      <w:r>
        <w:rPr>
          <w:rFonts w:ascii="宋体" w:hAnsi="宋体"/>
          <w:sz w:val="24"/>
        </w:rPr>
        <w:t>2）</w:t>
      </w:r>
      <w:r>
        <w:rPr>
          <w:rFonts w:hint="eastAsia" w:ascii="宋体" w:hAnsi="宋体"/>
          <w:sz w:val="24"/>
        </w:rPr>
        <w:t>提供的造价咨询服务符合《建设工程造价咨询规范》及其他法律、行政法规、部门规章、地方性法规、地方政府规章、其他规范性文件和国家标准的规定。乙方</w:t>
      </w:r>
      <w:r>
        <w:rPr>
          <w:rFonts w:ascii="宋体" w:hAnsi="宋体"/>
          <w:sz w:val="24"/>
        </w:rPr>
        <w:t>对本工程造价咨询的结论和质量负责</w:t>
      </w:r>
      <w:r>
        <w:rPr>
          <w:rFonts w:hint="eastAsia" w:ascii="宋体" w:hAnsi="宋体"/>
          <w:sz w:val="24"/>
        </w:rPr>
        <w:t>，并确保能够通过政府部门的评审（如需）</w:t>
      </w:r>
      <w:r>
        <w:rPr>
          <w:rFonts w:ascii="宋体" w:hAnsi="宋体"/>
          <w:sz w:val="24"/>
        </w:rPr>
        <w:t>。</w:t>
      </w:r>
    </w:p>
    <w:p w14:paraId="079A573E">
      <w:pPr>
        <w:spacing w:line="360" w:lineRule="auto"/>
        <w:ind w:firstLine="480" w:firstLineChars="200"/>
        <w:rPr>
          <w:rFonts w:hint="eastAsia" w:ascii="宋体" w:hAnsi="宋体"/>
          <w:sz w:val="24"/>
        </w:rPr>
      </w:pPr>
      <w:r>
        <w:rPr>
          <w:rFonts w:hint="eastAsia" w:ascii="宋体" w:hAnsi="宋体"/>
          <w:sz w:val="24"/>
        </w:rPr>
        <w:t>（</w:t>
      </w:r>
      <w:r>
        <w:rPr>
          <w:rFonts w:ascii="宋体" w:hAnsi="宋体"/>
          <w:sz w:val="24"/>
        </w:rPr>
        <w:t>3）向甲方提交的工作成果须为书面形式，并须得到甲方的书面认可，但甲方不对其认可的造价咨询质量负责</w:t>
      </w:r>
      <w:r>
        <w:rPr>
          <w:rFonts w:hint="eastAsia" w:ascii="宋体" w:hAnsi="宋体"/>
          <w:sz w:val="24"/>
        </w:rPr>
        <w:t>，若事后被发现出现计算错误或其他错误导致甲方经济损失，乙方应全额赔偿甲方。</w:t>
      </w:r>
    </w:p>
    <w:p w14:paraId="245E46E9">
      <w:pPr>
        <w:spacing w:line="360" w:lineRule="auto"/>
        <w:ind w:firstLine="480" w:firstLineChars="200"/>
        <w:rPr>
          <w:rFonts w:hint="eastAsia" w:ascii="宋体" w:hAnsi="宋体"/>
          <w:sz w:val="24"/>
        </w:rPr>
      </w:pPr>
      <w:r>
        <w:rPr>
          <w:rFonts w:hint="eastAsia" w:ascii="宋体" w:hAnsi="宋体"/>
          <w:sz w:val="24"/>
        </w:rPr>
        <w:t>（</w:t>
      </w:r>
      <w:r>
        <w:rPr>
          <w:rFonts w:ascii="宋体" w:hAnsi="宋体"/>
          <w:sz w:val="24"/>
        </w:rPr>
        <w:t>4）乙方不得</w:t>
      </w:r>
      <w:r>
        <w:rPr>
          <w:rFonts w:hint="eastAsia" w:ascii="宋体" w:hAnsi="宋体"/>
          <w:sz w:val="24"/>
        </w:rPr>
        <w:t>做出其他有损甲方和甲方利益的行为。</w:t>
      </w:r>
    </w:p>
    <w:p w14:paraId="5011FD66">
      <w:pPr>
        <w:spacing w:line="360" w:lineRule="auto"/>
        <w:ind w:firstLine="480" w:firstLineChars="200"/>
        <w:rPr>
          <w:rFonts w:hint="eastAsia" w:ascii="宋体" w:hAnsi="宋体"/>
          <w:sz w:val="24"/>
        </w:rPr>
      </w:pPr>
      <w:r>
        <w:rPr>
          <w:rFonts w:hint="eastAsia" w:ascii="宋体" w:hAnsi="宋体"/>
          <w:sz w:val="24"/>
        </w:rPr>
        <w:t>（</w:t>
      </w:r>
      <w:r>
        <w:rPr>
          <w:rFonts w:ascii="宋体" w:hAnsi="宋体"/>
          <w:sz w:val="24"/>
        </w:rPr>
        <w:t>5）按照甲方项目工作进度的安排，保证咨询人员按时到位。应</w:t>
      </w:r>
      <w:r>
        <w:rPr>
          <w:rFonts w:hint="eastAsia" w:ascii="宋体" w:hAnsi="宋体"/>
          <w:sz w:val="24"/>
        </w:rPr>
        <w:t>甲方</w:t>
      </w:r>
      <w:r>
        <w:rPr>
          <w:rFonts w:ascii="宋体" w:hAnsi="宋体"/>
          <w:sz w:val="24"/>
        </w:rPr>
        <w:t>的要求委派</w:t>
      </w:r>
      <w:r>
        <w:rPr>
          <w:rFonts w:hint="eastAsia" w:ascii="宋体" w:hAnsi="宋体"/>
          <w:sz w:val="24"/>
        </w:rPr>
        <w:t>不少于2</w:t>
      </w:r>
      <w:r>
        <w:rPr>
          <w:rFonts w:ascii="宋体" w:hAnsi="宋体"/>
          <w:sz w:val="24"/>
        </w:rPr>
        <w:t>名造价</w:t>
      </w:r>
      <w:r>
        <w:rPr>
          <w:rFonts w:hint="eastAsia" w:ascii="宋体" w:hAnsi="宋体"/>
          <w:sz w:val="24"/>
        </w:rPr>
        <w:t>工程师</w:t>
      </w:r>
      <w:r>
        <w:rPr>
          <w:rFonts w:ascii="宋体" w:hAnsi="宋体"/>
          <w:sz w:val="24"/>
        </w:rPr>
        <w:t>常驻</w:t>
      </w:r>
      <w:r>
        <w:rPr>
          <w:rFonts w:hint="eastAsia" w:ascii="宋体" w:hAnsi="宋体"/>
          <w:sz w:val="24"/>
        </w:rPr>
        <w:t>甲方</w:t>
      </w:r>
      <w:r>
        <w:rPr>
          <w:rFonts w:ascii="宋体" w:hAnsi="宋体"/>
          <w:sz w:val="24"/>
        </w:rPr>
        <w:t>负责工程造价咨询协调工作</w:t>
      </w:r>
      <w:r>
        <w:rPr>
          <w:rFonts w:hint="eastAsia" w:ascii="宋体" w:hAnsi="宋体"/>
          <w:sz w:val="24"/>
        </w:rPr>
        <w:t>；根据甲方的要求更换所委派的造价工程师</w:t>
      </w:r>
      <w:r>
        <w:rPr>
          <w:rFonts w:ascii="宋体" w:hAnsi="宋体"/>
          <w:sz w:val="24"/>
        </w:rPr>
        <w:t>。</w:t>
      </w:r>
      <w:r>
        <w:rPr>
          <w:rFonts w:hint="eastAsia" w:ascii="宋体" w:hAnsi="宋体"/>
          <w:sz w:val="24"/>
        </w:rPr>
        <w:t>未经甲方书面确认，乙方不得随意更换常驻甲方负责工程造价咨询协调工作的造价工程师。</w:t>
      </w:r>
    </w:p>
    <w:p w14:paraId="354FE43C">
      <w:pPr>
        <w:spacing w:line="360" w:lineRule="auto"/>
        <w:ind w:firstLine="480" w:firstLineChars="200"/>
        <w:rPr>
          <w:rFonts w:hint="eastAsia" w:ascii="宋体" w:hAnsi="宋体"/>
          <w:sz w:val="24"/>
        </w:rPr>
      </w:pPr>
      <w:r>
        <w:rPr>
          <w:rFonts w:hint="eastAsia" w:ascii="宋体" w:hAnsi="宋体"/>
          <w:sz w:val="24"/>
        </w:rPr>
        <w:t>（</w:t>
      </w:r>
      <w:r>
        <w:rPr>
          <w:rFonts w:ascii="宋体" w:hAnsi="宋体"/>
          <w:sz w:val="24"/>
        </w:rPr>
        <w:t>6）负责对造价咨询报告的内容及结论提供答疑。对甲方及</w:t>
      </w:r>
      <w:r>
        <w:rPr>
          <w:rFonts w:hint="eastAsia" w:ascii="宋体" w:hAnsi="宋体"/>
          <w:sz w:val="24"/>
        </w:rPr>
        <w:t>有审核权限的单位</w:t>
      </w:r>
      <w:r>
        <w:rPr>
          <w:rFonts w:ascii="宋体" w:hAnsi="宋体"/>
          <w:sz w:val="24"/>
        </w:rPr>
        <w:t>评审相关部门所提出的问题不能及时核对或答复，导致合同不能全部或部分履行，乙方应承担</w:t>
      </w:r>
      <w:r>
        <w:rPr>
          <w:rFonts w:hint="eastAsia" w:ascii="宋体" w:hAnsi="宋体"/>
          <w:sz w:val="24"/>
        </w:rPr>
        <w:t>违约</w:t>
      </w:r>
      <w:r>
        <w:rPr>
          <w:rFonts w:ascii="宋体" w:hAnsi="宋体"/>
          <w:sz w:val="24"/>
        </w:rPr>
        <w:t>责任。</w:t>
      </w:r>
    </w:p>
    <w:p w14:paraId="528A1675">
      <w:pPr>
        <w:spacing w:line="360" w:lineRule="auto"/>
        <w:ind w:firstLine="480" w:firstLineChars="200"/>
        <w:rPr>
          <w:rFonts w:hint="eastAsia" w:ascii="宋体" w:hAnsi="宋体"/>
          <w:sz w:val="24"/>
        </w:rPr>
      </w:pPr>
      <w:r>
        <w:rPr>
          <w:rFonts w:hint="eastAsia" w:ascii="宋体" w:hAnsi="宋体"/>
          <w:sz w:val="24"/>
        </w:rPr>
        <w:t>（</w:t>
      </w:r>
      <w:r>
        <w:rPr>
          <w:rFonts w:ascii="宋体" w:hAnsi="宋体"/>
          <w:sz w:val="24"/>
        </w:rPr>
        <w:t>7）应秉公办事，不得利用其造价咨询的身份进行不正当活动</w:t>
      </w:r>
      <w:r>
        <w:rPr>
          <w:rFonts w:hint="eastAsia" w:ascii="宋体" w:hAnsi="宋体"/>
          <w:sz w:val="24"/>
        </w:rPr>
        <w:t>，</w:t>
      </w:r>
      <w:r>
        <w:rPr>
          <w:rFonts w:ascii="宋体" w:hAnsi="宋体"/>
          <w:sz w:val="24"/>
        </w:rPr>
        <w:t>侵害甲方利益，一经发现，</w:t>
      </w:r>
      <w:r>
        <w:rPr>
          <w:rFonts w:hint="eastAsia" w:ascii="宋体" w:hAnsi="宋体"/>
          <w:sz w:val="24"/>
        </w:rPr>
        <w:t>视为严重</w:t>
      </w:r>
      <w:r>
        <w:rPr>
          <w:rFonts w:ascii="宋体" w:hAnsi="宋体"/>
          <w:sz w:val="24"/>
        </w:rPr>
        <w:t>违约行为，甲方有权解除合同，并追究</w:t>
      </w:r>
      <w:r>
        <w:rPr>
          <w:rFonts w:hint="eastAsia" w:ascii="宋体" w:hAnsi="宋体"/>
          <w:sz w:val="24"/>
        </w:rPr>
        <w:t>乙方</w:t>
      </w:r>
      <w:r>
        <w:rPr>
          <w:rFonts w:ascii="宋体" w:hAnsi="宋体"/>
          <w:sz w:val="24"/>
        </w:rPr>
        <w:t>违约责任。</w:t>
      </w:r>
    </w:p>
    <w:p w14:paraId="5E3D5C87">
      <w:pPr>
        <w:spacing w:line="360" w:lineRule="auto"/>
        <w:ind w:firstLine="480" w:firstLineChars="200"/>
        <w:rPr>
          <w:rFonts w:hint="eastAsia" w:ascii="宋体" w:hAnsi="宋体"/>
          <w:sz w:val="24"/>
        </w:rPr>
      </w:pPr>
      <w:r>
        <w:rPr>
          <w:rFonts w:hint="eastAsia" w:ascii="宋体" w:hAnsi="宋体"/>
          <w:sz w:val="24"/>
        </w:rPr>
        <w:t>（</w:t>
      </w:r>
      <w:r>
        <w:rPr>
          <w:rFonts w:ascii="宋体" w:hAnsi="宋体"/>
          <w:sz w:val="24"/>
        </w:rPr>
        <w:t>8）提供的造价咨询成果能通过招标及</w:t>
      </w:r>
      <w:r>
        <w:rPr>
          <w:rFonts w:hint="eastAsia" w:ascii="宋体" w:hAnsi="宋体"/>
          <w:sz w:val="24"/>
        </w:rPr>
        <w:t>有审核权限的单位</w:t>
      </w:r>
      <w:r>
        <w:rPr>
          <w:rFonts w:ascii="宋体" w:hAnsi="宋体"/>
          <w:sz w:val="24"/>
        </w:rPr>
        <w:t>评审的相应规范要求。</w:t>
      </w:r>
    </w:p>
    <w:p w14:paraId="640B2155">
      <w:pPr>
        <w:spacing w:line="360" w:lineRule="auto"/>
        <w:ind w:firstLine="480"/>
        <w:rPr>
          <w:rFonts w:hint="eastAsia" w:ascii="宋体" w:hAnsi="宋体"/>
          <w:sz w:val="24"/>
        </w:rPr>
      </w:pPr>
      <w:r>
        <w:rPr>
          <w:rFonts w:hint="eastAsia" w:ascii="宋体" w:hAnsi="宋体"/>
          <w:sz w:val="24"/>
        </w:rPr>
        <w:t>（</w:t>
      </w:r>
      <w:r>
        <w:rPr>
          <w:rFonts w:ascii="宋体" w:hAnsi="宋体"/>
          <w:sz w:val="24"/>
        </w:rPr>
        <w:t>9）提供与工程造价咨询业务有关的资料，包括承担本合同业务的专业人员名单、咨询工作计划等，并按合同专用条件中约定的范围实施咨询业务。</w:t>
      </w:r>
    </w:p>
    <w:p w14:paraId="407BC035">
      <w:pPr>
        <w:spacing w:line="360" w:lineRule="auto"/>
        <w:ind w:firstLine="480" w:firstLineChars="200"/>
        <w:rPr>
          <w:rFonts w:hint="eastAsia" w:ascii="宋体" w:hAnsi="宋体"/>
          <w:sz w:val="24"/>
        </w:rPr>
      </w:pPr>
      <w:r>
        <w:rPr>
          <w:rFonts w:hint="eastAsia" w:ascii="宋体" w:hAnsi="宋体"/>
          <w:sz w:val="24"/>
        </w:rPr>
        <w:t>（</w:t>
      </w:r>
      <w:r>
        <w:rPr>
          <w:rFonts w:ascii="宋体" w:hAnsi="宋体"/>
          <w:sz w:val="24"/>
        </w:rPr>
        <w:t>10）在履行合同期间或合同规定期限内，不得泄露与本合同规定业务活动有关的保密资料</w:t>
      </w:r>
      <w:r>
        <w:rPr>
          <w:rFonts w:hint="eastAsia" w:ascii="宋体" w:hAnsi="宋体"/>
          <w:sz w:val="24"/>
        </w:rPr>
        <w:t>与保密信息</w:t>
      </w:r>
      <w:r>
        <w:rPr>
          <w:rFonts w:ascii="宋体" w:hAnsi="宋体"/>
          <w:sz w:val="24"/>
        </w:rPr>
        <w:t>。</w:t>
      </w:r>
    </w:p>
    <w:p w14:paraId="3D9412EF">
      <w:pPr>
        <w:pStyle w:val="99"/>
        <w:rPr>
          <w:rFonts w:hint="eastAsia"/>
          <w:b w:val="0"/>
          <w:bCs w:val="0"/>
        </w:rPr>
      </w:pPr>
      <w:r>
        <w:rPr>
          <w:rFonts w:hint="eastAsia"/>
        </w:rPr>
        <w:t>第二条　甲方义务</w:t>
      </w:r>
    </w:p>
    <w:p w14:paraId="20C9F090">
      <w:pPr>
        <w:pStyle w:val="18"/>
        <w:adjustRightInd w:val="0"/>
        <w:snapToGrid w:val="0"/>
        <w:spacing w:line="360" w:lineRule="auto"/>
        <w:ind w:left="0" w:leftChars="0" w:firstLine="480" w:firstLineChars="200"/>
        <w:rPr>
          <w:rFonts w:hint="eastAsia" w:ascii="宋体" w:hAnsi="宋体"/>
          <w:sz w:val="24"/>
          <w:szCs w:val="24"/>
        </w:rPr>
      </w:pPr>
      <w:r>
        <w:rPr>
          <w:rFonts w:hint="eastAsia" w:ascii="宋体" w:hAnsi="宋体"/>
          <w:sz w:val="24"/>
        </w:rPr>
        <w:t>（一）甲方指定</w:t>
      </w:r>
      <w:r>
        <w:rPr>
          <w:rFonts w:hint="eastAsia" w:ascii="宋体" w:hAnsi="宋体"/>
          <w:sz w:val="24"/>
          <w:u w:val="single"/>
        </w:rPr>
        <w:t xml:space="preserve">     </w:t>
      </w:r>
      <w:r>
        <w:rPr>
          <w:rFonts w:hint="eastAsia" w:ascii="宋体" w:hAnsi="宋体"/>
          <w:sz w:val="24"/>
        </w:rPr>
        <w:t>为甲方项目联系人，联系电话：</w:t>
      </w:r>
      <w:r>
        <w:rPr>
          <w:rFonts w:hint="eastAsia" w:ascii="宋体" w:hAnsi="宋体"/>
          <w:sz w:val="24"/>
          <w:u w:val="single"/>
        </w:rPr>
        <w:t xml:space="preserve">   </w:t>
      </w:r>
      <w:r>
        <w:rPr>
          <w:rFonts w:ascii="宋体" w:hAnsi="宋体"/>
          <w:sz w:val="24"/>
        </w:rPr>
        <w:t>，</w:t>
      </w:r>
      <w:r>
        <w:rPr>
          <w:rFonts w:hint="eastAsia" w:ascii="宋体" w:hAnsi="宋体"/>
          <w:sz w:val="24"/>
        </w:rPr>
        <w:t>邮箱：</w:t>
      </w:r>
      <w:r>
        <w:rPr>
          <w:rFonts w:hint="eastAsia" w:ascii="宋体" w:hAnsi="宋体"/>
          <w:sz w:val="24"/>
          <w:u w:val="single"/>
        </w:rPr>
        <w:t xml:space="preserve">    </w:t>
      </w:r>
      <w:r>
        <w:rPr>
          <w:rFonts w:hint="eastAsia" w:ascii="宋体" w:hAnsi="宋体"/>
          <w:sz w:val="24"/>
        </w:rPr>
        <w:t>，负责</w:t>
      </w:r>
      <w:r>
        <w:rPr>
          <w:rFonts w:hint="eastAsia" w:ascii="宋体" w:hAnsi="宋体"/>
          <w:sz w:val="24"/>
          <w:u w:val="single"/>
        </w:rPr>
        <w:t>本项目工作事项的联络沟</w:t>
      </w:r>
      <w:r>
        <w:rPr>
          <w:rFonts w:ascii="宋体" w:hAnsi="宋体"/>
          <w:sz w:val="24"/>
          <w:szCs w:val="24"/>
          <w:u w:val="single"/>
        </w:rPr>
        <w:t>通</w:t>
      </w:r>
      <w:r>
        <w:rPr>
          <w:rFonts w:ascii="宋体" w:hAnsi="宋体"/>
          <w:sz w:val="24"/>
          <w:szCs w:val="24"/>
        </w:rPr>
        <w:t>。</w:t>
      </w:r>
    </w:p>
    <w:p w14:paraId="69668D77">
      <w:pPr>
        <w:pStyle w:val="18"/>
        <w:adjustRightInd w:val="0"/>
        <w:snapToGrid w:val="0"/>
        <w:spacing w:line="360" w:lineRule="auto"/>
        <w:ind w:left="0" w:leftChars="0" w:firstLine="480" w:firstLineChars="200"/>
        <w:rPr>
          <w:rFonts w:hint="eastAsia" w:ascii="宋体" w:hAnsi="宋体"/>
          <w:sz w:val="24"/>
          <w:szCs w:val="24"/>
        </w:rPr>
      </w:pPr>
      <w:r>
        <w:rPr>
          <w:rFonts w:ascii="宋体" w:hAnsi="宋体"/>
          <w:sz w:val="24"/>
          <w:szCs w:val="24"/>
        </w:rPr>
        <w:t>若甲方需变更项目联系人，应及时以书面形式通知乙方。</w:t>
      </w:r>
    </w:p>
    <w:p w14:paraId="165E0666">
      <w:pPr>
        <w:pStyle w:val="18"/>
        <w:adjustRightInd w:val="0"/>
        <w:snapToGrid w:val="0"/>
        <w:spacing w:line="360" w:lineRule="auto"/>
        <w:ind w:left="0" w:leftChars="0" w:firstLine="480" w:firstLineChars="200"/>
        <w:rPr>
          <w:rFonts w:hint="eastAsia" w:ascii="宋体" w:hAnsi="宋体"/>
          <w:sz w:val="24"/>
        </w:rPr>
      </w:pPr>
      <w:r>
        <w:rPr>
          <w:rFonts w:hint="eastAsia" w:ascii="宋体" w:hAnsi="宋体"/>
          <w:sz w:val="24"/>
        </w:rPr>
        <w:t>（二）甲方应当向乙方提供以下协作事项：</w:t>
      </w:r>
    </w:p>
    <w:p w14:paraId="5170B7F6">
      <w:pPr>
        <w:pStyle w:val="18"/>
        <w:adjustRightInd w:val="0"/>
        <w:snapToGrid w:val="0"/>
        <w:spacing w:line="360" w:lineRule="auto"/>
        <w:ind w:left="0" w:leftChars="0" w:firstLine="480" w:firstLineChars="200"/>
        <w:rPr>
          <w:rFonts w:hint="eastAsia" w:ascii="宋体" w:hAnsi="宋体"/>
          <w:sz w:val="24"/>
        </w:rPr>
      </w:pPr>
      <w:r>
        <w:rPr>
          <w:rFonts w:ascii="宋体" w:hAnsi="宋体"/>
          <w:sz w:val="24"/>
        </w:rPr>
        <w:t>1</w:t>
      </w:r>
      <w:r>
        <w:rPr>
          <w:rFonts w:hint="eastAsia" w:ascii="宋体" w:hAnsi="宋体"/>
          <w:sz w:val="24"/>
        </w:rPr>
        <w:t>、提供相关资料</w:t>
      </w:r>
    </w:p>
    <w:p w14:paraId="71354774">
      <w:pPr>
        <w:pStyle w:val="18"/>
        <w:adjustRightInd w:val="0"/>
        <w:snapToGrid w:val="0"/>
        <w:spacing w:line="360" w:lineRule="auto"/>
        <w:ind w:left="0" w:leftChars="0" w:firstLine="480" w:firstLineChars="200"/>
        <w:rPr>
          <w:rFonts w:hint="eastAsia" w:ascii="宋体" w:hAnsi="宋体"/>
          <w:bCs/>
          <w:snapToGrid w:val="0"/>
          <w:kern w:val="0"/>
          <w:sz w:val="24"/>
        </w:rPr>
      </w:pPr>
      <w:r>
        <w:rPr>
          <w:rFonts w:hint="eastAsia" w:ascii="宋体" w:hAnsi="宋体"/>
          <w:bCs/>
          <w:snapToGrid w:val="0"/>
          <w:kern w:val="0"/>
          <w:sz w:val="24"/>
        </w:rPr>
        <w:t>根据乙方提供的书面资料清单，向乙方提供本工程造价咨询业务应具备的相关工程前期资料。</w:t>
      </w:r>
    </w:p>
    <w:p w14:paraId="32DF266F">
      <w:pPr>
        <w:pStyle w:val="18"/>
        <w:adjustRightInd w:val="0"/>
        <w:snapToGrid w:val="0"/>
        <w:spacing w:line="360" w:lineRule="auto"/>
        <w:ind w:left="0" w:leftChars="0" w:firstLine="480" w:firstLineChars="200"/>
        <w:rPr>
          <w:rFonts w:hint="eastAsia" w:ascii="宋体" w:hAnsi="宋体"/>
          <w:sz w:val="24"/>
        </w:rPr>
      </w:pPr>
      <w:r>
        <w:rPr>
          <w:rFonts w:ascii="宋体" w:hAnsi="宋体"/>
          <w:sz w:val="24"/>
        </w:rPr>
        <w:t>2</w:t>
      </w:r>
      <w:r>
        <w:rPr>
          <w:rFonts w:hint="eastAsia" w:ascii="宋体" w:hAnsi="宋体"/>
          <w:sz w:val="24"/>
        </w:rPr>
        <w:t>、</w:t>
      </w:r>
      <w:r>
        <w:rPr>
          <w:rFonts w:ascii="宋体" w:hAnsi="宋体"/>
          <w:sz w:val="24"/>
        </w:rPr>
        <w:t>提供工作条件</w:t>
      </w:r>
    </w:p>
    <w:p w14:paraId="5F063A0D">
      <w:pPr>
        <w:pStyle w:val="18"/>
        <w:adjustRightInd w:val="0"/>
        <w:snapToGrid w:val="0"/>
        <w:spacing w:line="360" w:lineRule="auto"/>
        <w:ind w:left="0" w:leftChars="0" w:firstLine="480" w:firstLineChars="200"/>
        <w:rPr>
          <w:rFonts w:hint="eastAsia" w:ascii="宋体" w:hAnsi="宋体"/>
          <w:sz w:val="24"/>
        </w:rPr>
      </w:pPr>
      <w:r>
        <w:rPr>
          <w:rFonts w:hint="eastAsia" w:ascii="宋体" w:hAnsi="宋体"/>
          <w:sz w:val="24"/>
        </w:rPr>
        <w:t>协助乙方与相关的部门沟通，提供驻场人员办公场地。</w:t>
      </w:r>
    </w:p>
    <w:p w14:paraId="62605371">
      <w:pPr>
        <w:pStyle w:val="18"/>
        <w:adjustRightInd w:val="0"/>
        <w:snapToGrid w:val="0"/>
        <w:spacing w:line="360" w:lineRule="auto"/>
        <w:ind w:left="0" w:leftChars="0" w:firstLine="480" w:firstLineChars="200"/>
        <w:rPr>
          <w:rFonts w:hint="eastAsia" w:ascii="宋体" w:hAnsi="宋体"/>
          <w:sz w:val="24"/>
        </w:rPr>
      </w:pPr>
      <w:r>
        <w:rPr>
          <w:rFonts w:ascii="宋体" w:hAnsi="宋体"/>
          <w:sz w:val="24"/>
        </w:rPr>
        <w:t>3、其他：</w:t>
      </w:r>
      <w:r>
        <w:rPr>
          <w:rFonts w:hint="eastAsia" w:ascii="宋体" w:hAnsi="宋体"/>
          <w:sz w:val="24"/>
        </w:rPr>
        <w:t>根据乙方提供的书面资料清单，提供</w:t>
      </w:r>
      <w:r>
        <w:rPr>
          <w:rFonts w:hint="eastAsia" w:ascii="宋体" w:hAnsi="宋体"/>
          <w:bCs/>
          <w:snapToGrid w:val="0"/>
          <w:kern w:val="0"/>
          <w:sz w:val="24"/>
        </w:rPr>
        <w:t>造价咨询业务</w:t>
      </w:r>
      <w:r>
        <w:rPr>
          <w:rFonts w:hint="eastAsia" w:ascii="宋体" w:hAnsi="宋体"/>
          <w:sz w:val="24"/>
        </w:rPr>
        <w:t>所需的有关资料。</w:t>
      </w:r>
    </w:p>
    <w:p w14:paraId="1D506E5C">
      <w:pPr>
        <w:pStyle w:val="18"/>
        <w:adjustRightInd w:val="0"/>
        <w:snapToGrid w:val="0"/>
        <w:spacing w:line="360" w:lineRule="auto"/>
        <w:ind w:left="0" w:leftChars="0" w:firstLine="480" w:firstLineChars="200"/>
        <w:rPr>
          <w:rFonts w:hint="eastAsia" w:ascii="宋体" w:hAnsi="宋体"/>
          <w:sz w:val="24"/>
        </w:rPr>
      </w:pPr>
      <w:r>
        <w:rPr>
          <w:rFonts w:hint="eastAsia" w:ascii="宋体" w:hAnsi="宋体"/>
          <w:sz w:val="24"/>
        </w:rPr>
        <w:t>4、乙方如认为甲方提供的工程前期资料或提供造价咨询业务所需的其他有关资料不完整或有误的，应在收到资料之日起3个日历天内书面通知甲方，否则视为乙方认为甲方已提供乙方提供本合同项下工程造价咨询业务所需的全部资料，乙方不得以甲方提供的资料不完整或错误为由要求顺延咨询工作的履行期或免于承担相关违约责任。</w:t>
      </w:r>
    </w:p>
    <w:p w14:paraId="232DBAF2">
      <w:pPr>
        <w:pStyle w:val="18"/>
        <w:adjustRightInd w:val="0"/>
        <w:snapToGrid w:val="0"/>
        <w:spacing w:line="360" w:lineRule="auto"/>
        <w:ind w:left="0" w:leftChars="0" w:firstLine="480" w:firstLineChars="200"/>
        <w:rPr>
          <w:rFonts w:hint="eastAsia" w:ascii="宋体" w:hAnsi="宋体"/>
          <w:sz w:val="24"/>
          <w:u w:val="single"/>
        </w:rPr>
      </w:pPr>
      <w:r>
        <w:rPr>
          <w:rFonts w:hint="eastAsia" w:ascii="宋体" w:hAnsi="宋体"/>
          <w:sz w:val="24"/>
        </w:rPr>
        <w:t>甲方提供上述协作事项的时间及方式：</w:t>
      </w:r>
      <w:r>
        <w:rPr>
          <w:rFonts w:hint="eastAsia" w:ascii="宋体" w:hAnsi="宋体"/>
          <w:sz w:val="24"/>
          <w:u w:val="single"/>
        </w:rPr>
        <w:t>自签订本合同之日起至完成全部服务内容之日止。</w:t>
      </w:r>
    </w:p>
    <w:p w14:paraId="11C89AC1">
      <w:pPr>
        <w:pStyle w:val="18"/>
        <w:adjustRightInd w:val="0"/>
        <w:snapToGrid w:val="0"/>
        <w:spacing w:line="360" w:lineRule="auto"/>
        <w:ind w:left="0" w:leftChars="0" w:firstLine="480" w:firstLineChars="200"/>
        <w:rPr>
          <w:rFonts w:hint="eastAsia" w:ascii="宋体" w:hAnsi="宋体"/>
          <w:bCs/>
          <w:snapToGrid w:val="0"/>
          <w:kern w:val="0"/>
          <w:sz w:val="24"/>
        </w:rPr>
      </w:pPr>
      <w:r>
        <w:rPr>
          <w:rFonts w:hint="eastAsia" w:ascii="宋体" w:hAnsi="宋体"/>
          <w:sz w:val="24"/>
        </w:rPr>
        <w:t>（三）甲方须按照本合同约定向乙方支付造价咨询</w:t>
      </w:r>
      <w:r>
        <w:rPr>
          <w:rFonts w:hint="eastAsia" w:ascii="宋体" w:hAnsi="宋体"/>
          <w:bCs/>
          <w:snapToGrid w:val="0"/>
          <w:kern w:val="0"/>
          <w:sz w:val="24"/>
        </w:rPr>
        <w:t>的工作报酬。</w:t>
      </w:r>
    </w:p>
    <w:p w14:paraId="1D90F1F4">
      <w:pPr>
        <w:pStyle w:val="99"/>
        <w:rPr>
          <w:rFonts w:hint="eastAsia"/>
        </w:rPr>
      </w:pPr>
      <w:r>
        <w:rPr>
          <w:rFonts w:hint="eastAsia"/>
        </w:rPr>
        <w:t>第三条　乙方义务</w:t>
      </w:r>
    </w:p>
    <w:p w14:paraId="14FEEEC4">
      <w:pPr>
        <w:adjustRightInd w:val="0"/>
        <w:snapToGrid w:val="0"/>
        <w:spacing w:line="360" w:lineRule="auto"/>
        <w:ind w:firstLine="360" w:firstLineChars="150"/>
        <w:rPr>
          <w:rFonts w:hint="eastAsia" w:ascii="宋体" w:hAnsi="宋体"/>
          <w:bCs/>
          <w:snapToGrid w:val="0"/>
          <w:kern w:val="0"/>
          <w:sz w:val="24"/>
        </w:rPr>
      </w:pPr>
      <w:r>
        <w:rPr>
          <w:rFonts w:hint="eastAsia" w:ascii="宋体" w:hAnsi="宋体"/>
          <w:snapToGrid w:val="0"/>
          <w:kern w:val="0"/>
          <w:sz w:val="24"/>
        </w:rPr>
        <w:t>（一）乙方指定</w:t>
      </w:r>
      <w:r>
        <w:rPr>
          <w:rFonts w:hint="eastAsia" w:ascii="宋体" w:hAnsi="宋体" w:cs="宋体"/>
          <w:bCs/>
          <w:sz w:val="24"/>
          <w:u w:val="single"/>
        </w:rPr>
        <w:t xml:space="preserve">    </w:t>
      </w:r>
      <w:r>
        <w:rPr>
          <w:rFonts w:ascii="宋体" w:hAnsi="宋体"/>
          <w:snapToGrid w:val="0"/>
          <w:kern w:val="0"/>
          <w:sz w:val="24"/>
          <w:u w:val="single"/>
        </w:rPr>
        <w:t>（身份证号码：</w:t>
      </w:r>
      <w:r>
        <w:rPr>
          <w:rFonts w:hint="eastAsia" w:ascii="宋体" w:hAnsi="宋体"/>
          <w:snapToGrid w:val="0"/>
          <w:kern w:val="0"/>
          <w:sz w:val="24"/>
          <w:u w:val="single"/>
        </w:rPr>
        <w:t xml:space="preserve">   </w:t>
      </w:r>
      <w:r>
        <w:rPr>
          <w:rFonts w:ascii="宋体" w:hAnsi="宋体"/>
          <w:snapToGrid w:val="0"/>
          <w:kern w:val="0"/>
          <w:sz w:val="24"/>
          <w:u w:val="single"/>
        </w:rPr>
        <w:t>）</w:t>
      </w:r>
      <w:r>
        <w:rPr>
          <w:rFonts w:hint="eastAsia" w:ascii="宋体" w:hAnsi="宋体"/>
          <w:snapToGrid w:val="0"/>
          <w:kern w:val="0"/>
          <w:sz w:val="24"/>
        </w:rPr>
        <w:t>为乙方项目联系人，</w:t>
      </w:r>
      <w:r>
        <w:rPr>
          <w:rFonts w:hint="eastAsia" w:ascii="宋体" w:hAnsi="宋体"/>
          <w:bCs/>
          <w:snapToGrid w:val="0"/>
          <w:kern w:val="0"/>
          <w:sz w:val="24"/>
        </w:rPr>
        <w:t>联系电话：</w:t>
      </w:r>
      <w:r>
        <w:rPr>
          <w:rFonts w:hint="eastAsia" w:ascii="宋体" w:hAnsi="宋体" w:cs="宋体"/>
          <w:sz w:val="24"/>
          <w:u w:val="single"/>
        </w:rPr>
        <w:t xml:space="preserve">   </w:t>
      </w:r>
      <w:r>
        <w:rPr>
          <w:rFonts w:hint="eastAsia" w:ascii="宋体" w:hAnsi="宋体"/>
          <w:bCs/>
          <w:snapToGrid w:val="0"/>
          <w:kern w:val="0"/>
          <w:sz w:val="24"/>
          <w:u w:val="single"/>
        </w:rPr>
        <w:t>，</w:t>
      </w:r>
      <w:r>
        <w:rPr>
          <w:rFonts w:hint="eastAsia" w:ascii="宋体" w:hAnsi="宋体"/>
          <w:sz w:val="24"/>
        </w:rPr>
        <w:t>邮箱：</w:t>
      </w:r>
      <w:r>
        <w:rPr>
          <w:rFonts w:hint="eastAsia" w:ascii="宋体" w:hAnsi="宋体" w:cs="宋体"/>
          <w:sz w:val="24"/>
          <w:u w:val="single"/>
        </w:rPr>
        <w:t xml:space="preserve">     </w:t>
      </w:r>
      <w:r>
        <w:rPr>
          <w:rFonts w:hint="eastAsia" w:ascii="宋体" w:hAnsi="宋体"/>
          <w:sz w:val="24"/>
        </w:rPr>
        <w:t>，</w:t>
      </w:r>
      <w:r>
        <w:rPr>
          <w:rFonts w:hint="eastAsia" w:ascii="宋体" w:hAnsi="宋体"/>
          <w:bCs/>
          <w:snapToGrid w:val="0"/>
          <w:kern w:val="0"/>
          <w:sz w:val="24"/>
        </w:rPr>
        <w:t>负责</w:t>
      </w:r>
      <w:r>
        <w:rPr>
          <w:rFonts w:hint="eastAsia" w:ascii="宋体" w:hAnsi="宋体"/>
          <w:bCs/>
          <w:snapToGrid w:val="0"/>
          <w:kern w:val="0"/>
          <w:sz w:val="24"/>
          <w:u w:val="single"/>
        </w:rPr>
        <w:t>本项目工作事项的联络沟通</w:t>
      </w:r>
      <w:r>
        <w:rPr>
          <w:rFonts w:hint="eastAsia" w:ascii="宋体" w:hAnsi="宋体"/>
          <w:snapToGrid w:val="0"/>
          <w:kern w:val="0"/>
          <w:sz w:val="24"/>
        </w:rPr>
        <w:t>。</w:t>
      </w:r>
    </w:p>
    <w:p w14:paraId="50F358E2">
      <w:pPr>
        <w:adjustRightInd w:val="0"/>
        <w:snapToGrid w:val="0"/>
        <w:spacing w:line="360" w:lineRule="auto"/>
        <w:ind w:firstLine="480" w:firstLineChars="200"/>
        <w:rPr>
          <w:rFonts w:hint="eastAsia" w:ascii="宋体" w:hAnsi="宋体"/>
          <w:snapToGrid w:val="0"/>
          <w:kern w:val="0"/>
          <w:sz w:val="24"/>
        </w:rPr>
      </w:pPr>
      <w:r>
        <w:rPr>
          <w:rFonts w:hint="eastAsia" w:ascii="宋体" w:hAnsi="宋体"/>
          <w:snapToGrid w:val="0"/>
          <w:kern w:val="0"/>
          <w:sz w:val="24"/>
        </w:rPr>
        <w:t>若乙方需变更项目联系人，应及时以邮件或书面形式通知甲方。若乙方未履行及时通知义务，影响本合同的履行或造成损失的，应承担相应的法律责任。</w:t>
      </w:r>
    </w:p>
    <w:p w14:paraId="52F741DF">
      <w:pPr>
        <w:adjustRightInd w:val="0"/>
        <w:snapToGrid w:val="0"/>
        <w:spacing w:line="360" w:lineRule="auto"/>
        <w:ind w:firstLine="360" w:firstLineChars="150"/>
        <w:rPr>
          <w:rFonts w:hint="eastAsia" w:ascii="宋体" w:hAnsi="宋体"/>
          <w:bCs/>
          <w:snapToGrid w:val="0"/>
          <w:kern w:val="0"/>
          <w:sz w:val="24"/>
        </w:rPr>
      </w:pPr>
      <w:r>
        <w:rPr>
          <w:rFonts w:hint="eastAsia" w:ascii="宋体" w:hAnsi="宋体"/>
          <w:bCs/>
          <w:snapToGrid w:val="0"/>
          <w:kern w:val="0"/>
          <w:sz w:val="24"/>
        </w:rPr>
        <w:t>（二）乙方须按照下列进度进行造价咨询工作：</w:t>
      </w:r>
    </w:p>
    <w:p w14:paraId="673B67F4">
      <w:pPr>
        <w:spacing w:line="360" w:lineRule="auto"/>
        <w:ind w:firstLine="480" w:firstLineChars="200"/>
        <w:rPr>
          <w:rFonts w:hint="eastAsia" w:ascii="宋体" w:hAnsi="宋体"/>
          <w:sz w:val="24"/>
        </w:rPr>
      </w:pPr>
      <w:r>
        <w:rPr>
          <w:rFonts w:hint="eastAsia" w:ascii="宋体" w:hAnsi="宋体"/>
          <w:sz w:val="24"/>
        </w:rPr>
        <w:t>（</w:t>
      </w:r>
      <w:r>
        <w:rPr>
          <w:rFonts w:ascii="宋体" w:hAnsi="宋体"/>
          <w:sz w:val="24"/>
        </w:rPr>
        <w:t>1）</w:t>
      </w:r>
      <w:r>
        <w:rPr>
          <w:rFonts w:hint="eastAsia" w:ascii="宋体" w:hAnsi="宋体"/>
          <w:sz w:val="24"/>
        </w:rPr>
        <w:t>按时</w:t>
      </w:r>
      <w:r>
        <w:rPr>
          <w:rFonts w:ascii="宋体" w:hAnsi="宋体"/>
          <w:sz w:val="24"/>
        </w:rPr>
        <w:t>开展</w:t>
      </w:r>
      <w:r>
        <w:rPr>
          <w:rFonts w:hint="eastAsia" w:ascii="宋体" w:hAnsi="宋体"/>
          <w:bCs/>
          <w:snapToGrid w:val="0"/>
          <w:kern w:val="0"/>
          <w:sz w:val="24"/>
        </w:rPr>
        <w:t>造价咨询</w:t>
      </w:r>
      <w:r>
        <w:rPr>
          <w:rFonts w:hint="eastAsia" w:ascii="宋体" w:hAnsi="宋体"/>
          <w:sz w:val="24"/>
        </w:rPr>
        <w:t>工作，具体开始日期以收到甲方的通知为准。</w:t>
      </w:r>
    </w:p>
    <w:p w14:paraId="59E8AA90">
      <w:pPr>
        <w:spacing w:line="360" w:lineRule="auto"/>
        <w:ind w:firstLine="480" w:firstLineChars="200"/>
        <w:rPr>
          <w:rFonts w:hint="eastAsia" w:ascii="宋体" w:hAnsi="宋体"/>
          <w:sz w:val="24"/>
        </w:rPr>
      </w:pPr>
      <w:r>
        <w:rPr>
          <w:rFonts w:hint="eastAsia" w:ascii="宋体" w:hAnsi="宋体"/>
          <w:sz w:val="24"/>
        </w:rPr>
        <w:t>（</w:t>
      </w:r>
      <w:r>
        <w:rPr>
          <w:rFonts w:ascii="宋体" w:hAnsi="宋体"/>
          <w:sz w:val="24"/>
        </w:rPr>
        <w:t>2）</w:t>
      </w:r>
      <w:r>
        <w:rPr>
          <w:rFonts w:hint="eastAsia" w:ascii="宋体" w:hAnsi="宋体"/>
          <w:sz w:val="24"/>
        </w:rPr>
        <w:t>甲方</w:t>
      </w:r>
      <w:r>
        <w:rPr>
          <w:rFonts w:ascii="宋体" w:hAnsi="宋体"/>
          <w:sz w:val="24"/>
        </w:rPr>
        <w:t>根据实际情况，有权对本项目</w:t>
      </w:r>
      <w:r>
        <w:rPr>
          <w:rFonts w:hint="eastAsia" w:ascii="宋体" w:hAnsi="宋体"/>
          <w:bCs/>
          <w:snapToGrid w:val="0"/>
          <w:kern w:val="0"/>
          <w:sz w:val="24"/>
        </w:rPr>
        <w:t>造价咨询</w:t>
      </w:r>
      <w:r>
        <w:rPr>
          <w:rFonts w:hint="eastAsia" w:ascii="宋体" w:hAnsi="宋体"/>
          <w:sz w:val="24"/>
        </w:rPr>
        <w:t>工作的履行期（包括关键节点日期和完成日期）进行适当调整，乙方必须采取一切有效措施保证完成造价咨询工作，不得延误。</w:t>
      </w:r>
    </w:p>
    <w:p w14:paraId="5A27AA69">
      <w:pPr>
        <w:spacing w:line="360" w:lineRule="auto"/>
        <w:ind w:firstLine="480" w:firstLineChars="200"/>
        <w:rPr>
          <w:rFonts w:hint="eastAsia" w:ascii="宋体" w:hAnsi="宋体"/>
          <w:sz w:val="24"/>
        </w:rPr>
      </w:pPr>
      <w:r>
        <w:rPr>
          <w:rFonts w:hint="eastAsia" w:ascii="宋体" w:hAnsi="宋体"/>
          <w:sz w:val="24"/>
        </w:rPr>
        <w:t>（</w:t>
      </w:r>
      <w:r>
        <w:rPr>
          <w:rFonts w:ascii="宋体" w:hAnsi="宋体"/>
          <w:sz w:val="24"/>
        </w:rPr>
        <w:t>3）在</w:t>
      </w:r>
      <w:r>
        <w:rPr>
          <w:rFonts w:hint="eastAsia" w:ascii="宋体" w:hAnsi="宋体"/>
          <w:sz w:val="24"/>
        </w:rPr>
        <w:t>概算、预算、招标限价、合同修正价、变更、结算等关键节点审核时，应</w:t>
      </w:r>
      <w:r>
        <w:rPr>
          <w:rFonts w:hint="eastAsia" w:ascii="宋体" w:hAnsi="宋体"/>
          <w:sz w:val="24"/>
          <w:lang w:val="en-US" w:eastAsia="zh-CN"/>
        </w:rPr>
        <w:t>按照合同约定</w:t>
      </w:r>
      <w:r>
        <w:rPr>
          <w:rFonts w:hint="eastAsia" w:ascii="宋体" w:hAnsi="宋体"/>
          <w:sz w:val="24"/>
        </w:rPr>
        <w:t>及时</w:t>
      </w:r>
      <w:r>
        <w:rPr>
          <w:rFonts w:hint="eastAsia" w:ascii="宋体" w:hAnsi="宋体"/>
          <w:sz w:val="24"/>
          <w:lang w:val="en-US" w:eastAsia="zh-CN"/>
        </w:rPr>
        <w:t>安排</w:t>
      </w:r>
      <w:r>
        <w:rPr>
          <w:rFonts w:hint="eastAsia" w:ascii="宋体" w:hAnsi="宋体"/>
          <w:sz w:val="24"/>
        </w:rPr>
        <w:t>服务团队，确保各</w:t>
      </w:r>
      <w:r>
        <w:rPr>
          <w:rFonts w:ascii="宋体" w:hAnsi="宋体"/>
          <w:sz w:val="24"/>
        </w:rPr>
        <w:t>关键节点</w:t>
      </w:r>
      <w:r>
        <w:rPr>
          <w:rFonts w:hint="eastAsia" w:ascii="宋体" w:hAnsi="宋体"/>
          <w:sz w:val="24"/>
        </w:rPr>
        <w:t>按甲方要求完成</w:t>
      </w:r>
      <w:r>
        <w:rPr>
          <w:rFonts w:ascii="宋体" w:hAnsi="宋体"/>
          <w:sz w:val="24"/>
        </w:rPr>
        <w:t>相关</w:t>
      </w:r>
      <w:r>
        <w:rPr>
          <w:rFonts w:hint="eastAsia" w:ascii="宋体" w:hAnsi="宋体"/>
          <w:sz w:val="24"/>
        </w:rPr>
        <w:t>审核工作，出具审核报告。</w:t>
      </w:r>
    </w:p>
    <w:p w14:paraId="7DA95121">
      <w:pPr>
        <w:spacing w:line="360" w:lineRule="auto"/>
        <w:ind w:firstLine="480" w:firstLineChars="200"/>
        <w:rPr>
          <w:rFonts w:hint="eastAsia" w:ascii="宋体" w:hAnsi="宋体"/>
          <w:sz w:val="24"/>
        </w:rPr>
      </w:pPr>
      <w:r>
        <w:rPr>
          <w:rFonts w:hint="eastAsia" w:ascii="宋体" w:hAnsi="宋体"/>
          <w:sz w:val="24"/>
        </w:rPr>
        <w:t>（</w:t>
      </w:r>
      <w:r>
        <w:rPr>
          <w:rFonts w:hint="eastAsia" w:ascii="宋体" w:hAnsi="宋体"/>
          <w:sz w:val="24"/>
          <w:lang w:val="en-US" w:eastAsia="zh-CN"/>
        </w:rPr>
        <w:t>4</w:t>
      </w:r>
      <w:r>
        <w:rPr>
          <w:rFonts w:ascii="宋体" w:hAnsi="宋体"/>
          <w:sz w:val="24"/>
        </w:rPr>
        <w:t>）</w:t>
      </w:r>
      <w:r>
        <w:rPr>
          <w:rFonts w:hint="eastAsia" w:ascii="宋体" w:hAnsi="宋体"/>
          <w:sz w:val="24"/>
          <w:lang w:val="en-US" w:eastAsia="zh-CN"/>
        </w:rPr>
        <w:t>乙方有义务为甲方进行招商推介</w:t>
      </w:r>
      <w:r>
        <w:rPr>
          <w:rFonts w:hint="eastAsia" w:ascii="宋体" w:hAnsi="宋体"/>
          <w:sz w:val="24"/>
        </w:rPr>
        <w:t>。</w:t>
      </w:r>
    </w:p>
    <w:p w14:paraId="2DDB4370">
      <w:pPr>
        <w:pStyle w:val="48"/>
        <w:rPr>
          <w:rFonts w:hint="eastAsia"/>
        </w:rPr>
      </w:pPr>
    </w:p>
    <w:p w14:paraId="1AFA8EC7">
      <w:pPr>
        <w:spacing w:line="360" w:lineRule="auto"/>
        <w:ind w:firstLine="480" w:firstLineChars="200"/>
        <w:rPr>
          <w:rFonts w:hint="eastAsia" w:ascii="宋体" w:hAnsi="宋体"/>
          <w:bCs/>
          <w:snapToGrid w:val="0"/>
          <w:kern w:val="0"/>
          <w:sz w:val="24"/>
        </w:rPr>
      </w:pPr>
      <w:r>
        <w:rPr>
          <w:rFonts w:hint="eastAsia" w:ascii="宋体" w:hAnsi="宋体"/>
          <w:bCs/>
          <w:snapToGrid w:val="0"/>
          <w:kern w:val="0"/>
          <w:sz w:val="24"/>
        </w:rPr>
        <w:t>（三）工作协调事项</w:t>
      </w:r>
    </w:p>
    <w:p w14:paraId="7FB9F7A2">
      <w:pPr>
        <w:spacing w:line="360" w:lineRule="auto"/>
        <w:ind w:firstLine="570"/>
        <w:rPr>
          <w:rFonts w:hint="eastAsia" w:ascii="宋体" w:hAnsi="宋体"/>
          <w:sz w:val="24"/>
        </w:rPr>
      </w:pPr>
      <w:r>
        <w:rPr>
          <w:rFonts w:hint="eastAsia" w:ascii="宋体" w:hAnsi="宋体"/>
          <w:sz w:val="24"/>
        </w:rPr>
        <w:t>乙方在审核过程中，与被审核单位对数时，应有甲方人员在场，不得私自与被审核单位接触，如有发生则算严重违约，甲方有权与乙方解除合同，并保留追索乙方法律责任的权利。乙方审核价格与被审核单位差异或争议较大时，应首先向甲方汇报，找出差异或争议焦点，并分析和提出解决办法，经甲方同意后，方可继续对数工作。</w:t>
      </w:r>
    </w:p>
    <w:p w14:paraId="62BDA06D">
      <w:pPr>
        <w:spacing w:line="360" w:lineRule="auto"/>
        <w:ind w:firstLine="570"/>
        <w:rPr>
          <w:rFonts w:hint="eastAsia" w:ascii="宋体" w:hAnsi="宋体"/>
          <w:sz w:val="24"/>
          <w:u w:val="single"/>
        </w:rPr>
      </w:pPr>
      <w:r>
        <w:rPr>
          <w:rFonts w:hint="eastAsia" w:ascii="宋体" w:hAnsi="宋体"/>
          <w:sz w:val="24"/>
        </w:rPr>
        <w:t>合同履行过程中，如乙方提供的服务成果质量达不到合同约定或甲方要求，或因其他原因而影响项目的正常实施的，甲方有权随时约见乙方的法定代表人或公司分管领导，有权要求更换造价负责人或各专业人员直至达到满足合同质量要求，严重时可要求乙方公司分管领导驻场协调工作、中止付款或解除合同，并要求乙方赔偿损失。</w:t>
      </w:r>
    </w:p>
    <w:p w14:paraId="45D1C27A">
      <w:pPr>
        <w:spacing w:line="360" w:lineRule="auto"/>
        <w:ind w:firstLine="570"/>
        <w:rPr>
          <w:rFonts w:hint="eastAsia" w:ascii="宋体" w:hAnsi="宋体"/>
          <w:strike/>
          <w:sz w:val="24"/>
        </w:rPr>
      </w:pPr>
      <w:r>
        <w:rPr>
          <w:rFonts w:hint="eastAsia" w:ascii="宋体" w:hAnsi="宋体"/>
          <w:sz w:val="24"/>
          <w:u w:val="single"/>
        </w:rPr>
        <w:t>为实现项目的投资控制目标，乙方拟派驻人员见合同</w:t>
      </w:r>
      <w:r>
        <w:rPr>
          <w:rFonts w:hint="eastAsia" w:ascii="宋体" w:hAnsi="宋体"/>
          <w:b/>
          <w:bCs/>
          <w:sz w:val="24"/>
          <w:u w:val="single"/>
        </w:rPr>
        <w:t>附件</w:t>
      </w:r>
      <w:r>
        <w:rPr>
          <w:rFonts w:ascii="宋体" w:hAnsi="宋体"/>
          <w:b/>
          <w:bCs/>
          <w:sz w:val="24"/>
          <w:u w:val="single"/>
        </w:rPr>
        <w:t>5</w:t>
      </w:r>
      <w:r>
        <w:rPr>
          <w:rFonts w:hint="eastAsia" w:ascii="宋体" w:hAnsi="宋体"/>
          <w:sz w:val="24"/>
          <w:u w:val="single"/>
        </w:rPr>
        <w:t>《造价咨询人员配置一览表》，如需更换人员需提前通知并取得甲方的同意。甲方仅提供驻场人员办公场地，其他如办公设备（如电脑、打印机、复印机、打印纸、造价软件等）、办公用品、就餐、住宿、现场踏勘、差旅费、驻场人员费、税费等一切支出由乙方自行解决，费用已包含在合同价款内。</w:t>
      </w:r>
    </w:p>
    <w:p w14:paraId="4080C7FE">
      <w:pPr>
        <w:adjustRightInd w:val="0"/>
        <w:snapToGrid w:val="0"/>
        <w:spacing w:line="360" w:lineRule="auto"/>
        <w:ind w:firstLine="480" w:firstLineChars="200"/>
        <w:rPr>
          <w:rFonts w:hint="eastAsia" w:ascii="宋体" w:hAnsi="宋体"/>
          <w:snapToGrid w:val="0"/>
          <w:kern w:val="0"/>
          <w:sz w:val="24"/>
        </w:rPr>
      </w:pPr>
      <w:r>
        <w:rPr>
          <w:rFonts w:hint="eastAsia" w:ascii="宋体" w:hAnsi="宋体"/>
          <w:snapToGrid w:val="0"/>
          <w:kern w:val="0"/>
          <w:sz w:val="24"/>
        </w:rPr>
        <w:t>（四）配置人员</w:t>
      </w:r>
    </w:p>
    <w:p w14:paraId="6BACFDAD">
      <w:pPr>
        <w:adjustRightInd w:val="0"/>
        <w:snapToGrid w:val="0"/>
        <w:spacing w:line="360" w:lineRule="auto"/>
        <w:ind w:firstLine="480" w:firstLineChars="200"/>
        <w:rPr>
          <w:rFonts w:hint="eastAsia" w:ascii="宋体" w:hAnsi="宋体"/>
          <w:snapToGrid w:val="0"/>
          <w:kern w:val="0"/>
          <w:sz w:val="24"/>
          <w:u w:val="single"/>
        </w:rPr>
      </w:pPr>
      <w:r>
        <w:rPr>
          <w:rFonts w:hint="eastAsia" w:ascii="宋体" w:hAnsi="宋体"/>
          <w:snapToGrid w:val="0"/>
          <w:kern w:val="0"/>
          <w:sz w:val="24"/>
          <w:u w:val="single"/>
        </w:rPr>
        <w:t>1.乙方需承诺保证各阶段按要求驻场，全过程保证至少</w:t>
      </w:r>
      <w:r>
        <w:rPr>
          <w:rFonts w:hint="eastAsia" w:ascii="宋体" w:hAnsi="宋体"/>
          <w:snapToGrid w:val="0"/>
          <w:kern w:val="0"/>
          <w:sz w:val="24"/>
          <w:u w:val="single"/>
          <w:lang w:val="en-US" w:eastAsia="zh-CN"/>
        </w:rPr>
        <w:t>1</w:t>
      </w:r>
      <w:r>
        <w:rPr>
          <w:rFonts w:hint="eastAsia" w:ascii="宋体" w:hAnsi="宋体"/>
          <w:snapToGrid w:val="0"/>
          <w:kern w:val="0"/>
          <w:sz w:val="24"/>
          <w:u w:val="single"/>
        </w:rPr>
        <w:t>人常驻现场。驻场的主要人员必须有类似的项目管理工作经验，其他人员按专业要求配置，</w:t>
      </w:r>
      <w:r>
        <w:rPr>
          <w:rFonts w:hint="eastAsia" w:ascii="宋体" w:hAnsi="宋体"/>
          <w:snapToGrid w:val="0"/>
          <w:kern w:val="0"/>
          <w:sz w:val="24"/>
          <w:highlight w:val="yellow"/>
          <w:u w:val="single"/>
        </w:rPr>
        <w:t>总人数不少于</w:t>
      </w:r>
      <w:r>
        <w:rPr>
          <w:rFonts w:hint="eastAsia" w:ascii="宋体" w:hAnsi="宋体"/>
          <w:snapToGrid w:val="0"/>
          <w:kern w:val="0"/>
          <w:sz w:val="24"/>
          <w:highlight w:val="yellow"/>
          <w:u w:val="single"/>
          <w:lang w:val="en-US" w:eastAsia="zh-CN"/>
        </w:rPr>
        <w:t>11</w:t>
      </w:r>
      <w:r>
        <w:rPr>
          <w:rFonts w:hint="eastAsia" w:ascii="宋体" w:hAnsi="宋体"/>
          <w:snapToGrid w:val="0"/>
          <w:kern w:val="0"/>
          <w:sz w:val="24"/>
          <w:highlight w:val="yellow"/>
          <w:u w:val="single"/>
        </w:rPr>
        <w:t>人，</w:t>
      </w:r>
      <w:r>
        <w:rPr>
          <w:rFonts w:hint="eastAsia" w:ascii="宋体" w:hAnsi="宋体"/>
          <w:snapToGrid w:val="0"/>
          <w:kern w:val="0"/>
          <w:sz w:val="24"/>
          <w:highlight w:val="yellow"/>
          <w:u w:val="single"/>
          <w:lang w:val="en-US" w:eastAsia="zh-CN"/>
        </w:rPr>
        <w:t>项目负责人1人，技术负责人1人，</w:t>
      </w:r>
      <w:r>
        <w:rPr>
          <w:rFonts w:hint="eastAsia" w:ascii="宋体" w:hAnsi="宋体"/>
          <w:snapToGrid w:val="0"/>
          <w:kern w:val="0"/>
          <w:sz w:val="24"/>
          <w:highlight w:val="yellow"/>
          <w:u w:val="single"/>
        </w:rPr>
        <w:t>土建专业</w:t>
      </w:r>
      <w:r>
        <w:rPr>
          <w:rFonts w:hint="eastAsia" w:ascii="宋体" w:hAnsi="宋体"/>
          <w:snapToGrid w:val="0"/>
          <w:kern w:val="0"/>
          <w:sz w:val="24"/>
          <w:highlight w:val="yellow"/>
          <w:u w:val="single"/>
          <w:lang w:val="en-US" w:eastAsia="zh-CN"/>
        </w:rPr>
        <w:t>5</w:t>
      </w:r>
      <w:r>
        <w:rPr>
          <w:rFonts w:hint="eastAsia" w:ascii="宋体" w:hAnsi="宋体"/>
          <w:snapToGrid w:val="0"/>
          <w:kern w:val="0"/>
          <w:sz w:val="24"/>
          <w:highlight w:val="yellow"/>
          <w:u w:val="single"/>
        </w:rPr>
        <w:t>人、安装专业4人，服从甲方管理和工作分配。</w:t>
      </w:r>
      <w:r>
        <w:rPr>
          <w:rFonts w:ascii="宋体" w:hAnsi="宋体"/>
          <w:snapToGrid w:val="0"/>
          <w:kern w:val="0"/>
          <w:sz w:val="24"/>
          <w:u w:val="single"/>
        </w:rPr>
        <w:t>工作任务多时，</w:t>
      </w:r>
      <w:r>
        <w:rPr>
          <w:rFonts w:hint="eastAsia" w:ascii="宋体" w:hAnsi="宋体"/>
          <w:snapToGrid w:val="0"/>
          <w:kern w:val="0"/>
          <w:sz w:val="24"/>
          <w:u w:val="single"/>
        </w:rPr>
        <w:t>甲方</w:t>
      </w:r>
      <w:r>
        <w:rPr>
          <w:rFonts w:ascii="宋体" w:hAnsi="宋体"/>
          <w:snapToGrid w:val="0"/>
          <w:kern w:val="0"/>
          <w:sz w:val="24"/>
          <w:u w:val="single"/>
        </w:rPr>
        <w:t>有权要求</w:t>
      </w:r>
      <w:r>
        <w:rPr>
          <w:rFonts w:hint="eastAsia" w:ascii="宋体" w:hAnsi="宋体"/>
          <w:snapToGrid w:val="0"/>
          <w:kern w:val="0"/>
          <w:sz w:val="24"/>
          <w:u w:val="single"/>
        </w:rPr>
        <w:t>乙方</w:t>
      </w:r>
      <w:r>
        <w:rPr>
          <w:rFonts w:ascii="宋体" w:hAnsi="宋体"/>
          <w:snapToGrid w:val="0"/>
          <w:kern w:val="0"/>
          <w:sz w:val="24"/>
          <w:u w:val="single"/>
        </w:rPr>
        <w:t>增加合格的造价专业驻场人员，服从甲方管理，常驻甲方场地开展项目相关造价服务工作以及甲方安排的其他工作。</w:t>
      </w:r>
    </w:p>
    <w:p w14:paraId="7FACA730">
      <w:pPr>
        <w:adjustRightInd w:val="0"/>
        <w:snapToGrid w:val="0"/>
        <w:spacing w:line="360" w:lineRule="auto"/>
        <w:ind w:firstLine="480" w:firstLineChars="200"/>
        <w:rPr>
          <w:rFonts w:hint="eastAsia" w:ascii="宋体" w:hAnsi="宋体"/>
          <w:snapToGrid w:val="0"/>
          <w:kern w:val="0"/>
          <w:sz w:val="24"/>
        </w:rPr>
      </w:pPr>
      <w:r>
        <w:rPr>
          <w:rFonts w:hint="eastAsia" w:ascii="宋体" w:hAnsi="宋体"/>
          <w:snapToGrid w:val="0"/>
          <w:kern w:val="0"/>
          <w:sz w:val="24"/>
        </w:rPr>
        <w:t>2.乙方应保证驻场人员的相对固定，并保证其工作时间和工作连贯性，更换人员需书面告知甲方，未经甲方同意不得更换人员，对于未达到甲方工作要求的驻场人员，乙方必须在</w:t>
      </w:r>
      <w:r>
        <w:rPr>
          <w:rFonts w:hint="eastAsia" w:ascii="宋体" w:hAnsi="宋体"/>
          <w:snapToGrid w:val="0"/>
          <w:kern w:val="0"/>
          <w:sz w:val="24"/>
          <w:u w:val="single"/>
        </w:rPr>
        <w:t>3</w:t>
      </w:r>
      <w:r>
        <w:rPr>
          <w:rFonts w:ascii="宋体" w:hAnsi="宋体"/>
          <w:snapToGrid w:val="0"/>
          <w:kern w:val="0"/>
          <w:sz w:val="24"/>
        </w:rPr>
        <w:t>个工作日内进行更换，更换的</w:t>
      </w:r>
      <w:r>
        <w:rPr>
          <w:rFonts w:hint="eastAsia" w:ascii="宋体" w:hAnsi="宋体"/>
          <w:snapToGrid w:val="0"/>
          <w:kern w:val="0"/>
          <w:sz w:val="24"/>
        </w:rPr>
        <w:t>驻场</w:t>
      </w:r>
      <w:r>
        <w:rPr>
          <w:rFonts w:ascii="宋体" w:hAnsi="宋体"/>
          <w:snapToGrid w:val="0"/>
          <w:kern w:val="0"/>
          <w:sz w:val="24"/>
        </w:rPr>
        <w:t>人员应符合工作要求。</w:t>
      </w:r>
    </w:p>
    <w:p w14:paraId="6A58FB48">
      <w:pPr>
        <w:pStyle w:val="22"/>
        <w:adjustRightInd w:val="0"/>
        <w:snapToGrid w:val="0"/>
        <w:spacing w:line="360" w:lineRule="auto"/>
        <w:ind w:firstLine="480" w:firstLineChars="200"/>
        <w:rPr>
          <w:rFonts w:hAnsi="宋体"/>
          <w:snapToGrid w:val="0"/>
          <w:kern w:val="0"/>
          <w:sz w:val="24"/>
        </w:rPr>
      </w:pPr>
      <w:r>
        <w:rPr>
          <w:rFonts w:hint="eastAsia" w:hAnsi="宋体" w:eastAsia="宋体"/>
          <w:sz w:val="24"/>
          <w:szCs w:val="24"/>
        </w:rPr>
        <w:t>3.乙方应安排已依法与乙方建立劳动关系的员工代表乙方履行本合同驻场义务。乙方承诺已依法为其员工购买国家规定的社会保险、商业保险等福利待遇，并按时向员工支付工资。乙方履约过程中，若乙方驻场人员出现任何工伤事故、人身伤害、财产损失的，由乙方自行承担用人单位的法定责任和侵权责任，与甲方无关。乙方自行负责解决与驻场人员及其他工作人员的劳动纠纷。乙方驻场员工不因代表乙方履行本合同义务而与甲方建立任何代理关系、劳动关系、劳务关系、雇佣关系或承揽关系，乙方提供服务过程中应采取必要的安全生产、保险、环境保护、正面舆情等措施，自行妥善处理与内部员工等其他主体关系，确保不发生违规作业、人身伤亡、财产损失、违法犯罪等负面事件，否则自行承担全部法律责任；乙方驻场员工在执行本合同义务或上下班途中发生事故对甲方、第三方造成人身、财产损坏的，或乙方驻场员工因自身疾病或其他意外原因造成伤亡的，乙方应及时处理，并承担相应的全部责任，甲方对此不承担责任。若因乙方履约造成甲方财物损失或人员伤害的（包括但不限于甲方的财物损失、甲方向任何第三方支付的补偿、律师费、差旅费</w:t>
      </w:r>
      <w:r>
        <w:rPr>
          <w:rFonts w:hAnsi="宋体" w:eastAsia="宋体"/>
          <w:sz w:val="24"/>
          <w:szCs w:val="24"/>
        </w:rPr>
        <w:t>、</w:t>
      </w:r>
      <w:r>
        <w:rPr>
          <w:rFonts w:hint="eastAsia" w:hAnsi="宋体" w:eastAsia="宋体"/>
          <w:sz w:val="24"/>
          <w:szCs w:val="24"/>
        </w:rPr>
        <w:t>仲裁费和诉讼费、公证费、公告费、评估费、鉴定费、邮寄送达费、印刷费、财产保全费、执行费、拍卖费等），乙方应全额赔偿甲方。</w:t>
      </w:r>
    </w:p>
    <w:p w14:paraId="1A58A9B2">
      <w:pPr>
        <w:numPr>
          <w:ilvl w:val="0"/>
          <w:numId w:val="3"/>
        </w:numPr>
        <w:adjustRightInd w:val="0"/>
        <w:snapToGrid w:val="0"/>
        <w:spacing w:line="360" w:lineRule="auto"/>
        <w:ind w:firstLine="480" w:firstLineChars="200"/>
        <w:rPr>
          <w:rFonts w:hint="eastAsia" w:ascii="宋体" w:hAnsi="宋体"/>
          <w:snapToGrid w:val="0"/>
          <w:kern w:val="0"/>
          <w:sz w:val="24"/>
        </w:rPr>
      </w:pPr>
      <w:r>
        <w:rPr>
          <w:rFonts w:hint="eastAsia" w:ascii="宋体" w:hAnsi="宋体"/>
          <w:snapToGrid w:val="0"/>
          <w:kern w:val="0"/>
          <w:sz w:val="24"/>
        </w:rPr>
        <w:t>工作成果审核。甲方有权了解项目咨询进展情况，并对乙方提供的成果资料组织专家评审，相关评审费用包括在合同价款中，由乙方支付，甲方不另行支付。</w:t>
      </w:r>
    </w:p>
    <w:p w14:paraId="5D9E5BEE">
      <w:pPr>
        <w:adjustRightInd w:val="0"/>
        <w:snapToGrid w:val="0"/>
        <w:spacing w:line="360" w:lineRule="auto"/>
        <w:ind w:firstLine="480" w:firstLineChars="200"/>
        <w:rPr>
          <w:rFonts w:hint="eastAsia" w:ascii="宋体" w:hAnsi="宋体"/>
          <w:snapToGrid w:val="0"/>
          <w:kern w:val="0"/>
          <w:sz w:val="24"/>
          <w:u w:val="single"/>
        </w:rPr>
      </w:pPr>
      <w:r>
        <w:rPr>
          <w:rFonts w:hint="eastAsia" w:ascii="宋体" w:hAnsi="宋体"/>
          <w:snapToGrid w:val="0"/>
          <w:kern w:val="0"/>
          <w:sz w:val="24"/>
        </w:rPr>
        <w:t>（六）乙方应按照招标文件的要求，在本合同签署后的</w:t>
      </w:r>
      <w:r>
        <w:rPr>
          <w:rFonts w:hint="eastAsia" w:ascii="宋体" w:hAnsi="宋体"/>
          <w:snapToGrid w:val="0"/>
          <w:kern w:val="0"/>
          <w:sz w:val="24"/>
          <w:u w:val="single"/>
        </w:rPr>
        <w:t xml:space="preserve">【 </w:t>
      </w:r>
      <w:r>
        <w:rPr>
          <w:rFonts w:hint="eastAsia" w:ascii="宋体" w:hAnsi="宋体"/>
          <w:snapToGrid w:val="0"/>
          <w:kern w:val="0"/>
          <w:sz w:val="24"/>
          <w:u w:val="single"/>
          <w:lang w:val="en-US" w:eastAsia="zh-CN"/>
        </w:rPr>
        <w:t>60</w:t>
      </w:r>
      <w:r>
        <w:rPr>
          <w:rFonts w:hint="eastAsia" w:ascii="宋体" w:hAnsi="宋体"/>
          <w:snapToGrid w:val="0"/>
          <w:kern w:val="0"/>
          <w:sz w:val="24"/>
          <w:u w:val="single"/>
        </w:rPr>
        <w:t xml:space="preserve"> 】</w:t>
      </w:r>
      <w:r>
        <w:rPr>
          <w:rFonts w:hint="eastAsia" w:ascii="宋体" w:hAnsi="宋体"/>
          <w:snapToGrid w:val="0"/>
          <w:kern w:val="0"/>
          <w:sz w:val="24"/>
        </w:rPr>
        <w:t>日内提</w:t>
      </w:r>
      <w:r>
        <w:rPr>
          <w:rFonts w:hint="eastAsia" w:ascii="宋体" w:hAnsi="宋体"/>
          <w:snapToGrid w:val="0"/>
          <w:kern w:val="0"/>
          <w:sz w:val="24"/>
          <w:lang w:val="en-US" w:eastAsia="zh-CN"/>
        </w:rPr>
        <w:t>供</w:t>
      </w:r>
      <w:r>
        <w:rPr>
          <w:rFonts w:hint="eastAsia" w:ascii="宋体" w:hAnsi="宋体"/>
          <w:snapToGrid w:val="0"/>
          <w:kern w:val="0"/>
          <w:sz w:val="24"/>
        </w:rPr>
        <w:t>履约担保，履约担保的金额为中标价的</w:t>
      </w:r>
      <w:r>
        <w:rPr>
          <w:rFonts w:ascii="宋体" w:hAnsi="宋体"/>
          <w:snapToGrid w:val="0"/>
          <w:kern w:val="0"/>
          <w:sz w:val="24"/>
          <w:u w:val="single"/>
        </w:rPr>
        <w:t>10</w:t>
      </w:r>
      <w:r>
        <w:rPr>
          <w:rFonts w:ascii="宋体" w:hAnsi="宋体"/>
          <w:snapToGrid w:val="0"/>
          <w:kern w:val="0"/>
          <w:sz w:val="24"/>
        </w:rPr>
        <w:t>%，</w:t>
      </w:r>
      <w:r>
        <w:rPr>
          <w:rFonts w:hint="eastAsia" w:ascii="宋体" w:hAnsi="宋体"/>
          <w:snapToGrid w:val="0"/>
          <w:kern w:val="0"/>
          <w:sz w:val="24"/>
        </w:rPr>
        <w:t>如乙方通过履约保函方式提供履约担保的，</w:t>
      </w:r>
      <w:r>
        <w:rPr>
          <w:rFonts w:ascii="宋体" w:hAnsi="宋体"/>
          <w:snapToGrid w:val="0"/>
          <w:kern w:val="0"/>
          <w:sz w:val="24"/>
        </w:rPr>
        <w:t>履约保函</w:t>
      </w:r>
      <w:r>
        <w:rPr>
          <w:rFonts w:hint="eastAsia" w:ascii="宋体" w:hAnsi="宋体"/>
          <w:snapToGrid w:val="0"/>
          <w:kern w:val="0"/>
          <w:sz w:val="24"/>
          <w:lang w:val="en-US" w:eastAsia="zh-CN"/>
        </w:rPr>
        <w:t>应</w:t>
      </w:r>
      <w:r>
        <w:rPr>
          <w:rFonts w:ascii="宋体" w:hAnsi="宋体"/>
          <w:snapToGrid w:val="0"/>
          <w:kern w:val="0"/>
          <w:sz w:val="24"/>
        </w:rPr>
        <w:t>由</w:t>
      </w:r>
      <w:r>
        <w:rPr>
          <w:rFonts w:ascii="宋体" w:hAnsi="宋体"/>
          <w:snapToGrid w:val="0"/>
          <w:kern w:val="0"/>
          <w:sz w:val="24"/>
          <w:u w:val="single"/>
        </w:rPr>
        <w:t>中国注册且营业地点在</w:t>
      </w:r>
      <w:r>
        <w:rPr>
          <w:rFonts w:hint="eastAsia" w:ascii="宋体" w:hAnsi="宋体"/>
          <w:snapToGrid w:val="0"/>
          <w:kern w:val="0"/>
          <w:sz w:val="24"/>
          <w:u w:val="single"/>
        </w:rPr>
        <w:t>中国地区</w:t>
      </w:r>
      <w:r>
        <w:rPr>
          <w:rFonts w:ascii="宋体" w:hAnsi="宋体"/>
          <w:snapToGrid w:val="0"/>
          <w:kern w:val="0"/>
          <w:sz w:val="24"/>
          <w:u w:val="single"/>
        </w:rPr>
        <w:t>的国有商业银行开具，</w:t>
      </w:r>
      <w:r>
        <w:rPr>
          <w:rFonts w:hint="eastAsia" w:ascii="宋体" w:hAnsi="宋体"/>
          <w:snapToGrid w:val="0"/>
          <w:kern w:val="0"/>
          <w:sz w:val="24"/>
          <w:u w:val="single"/>
        </w:rPr>
        <w:t>且前述所提供的履约保函</w:t>
      </w:r>
      <w:r>
        <w:rPr>
          <w:rFonts w:hint="eastAsia" w:ascii="宋体" w:hAnsi="宋体"/>
          <w:snapToGrid w:val="0"/>
          <w:kern w:val="0"/>
          <w:sz w:val="24"/>
        </w:rPr>
        <w:t>应为</w:t>
      </w:r>
      <w:r>
        <w:rPr>
          <w:rFonts w:ascii="宋体" w:hAnsi="宋体"/>
          <w:snapToGrid w:val="0"/>
          <w:kern w:val="0"/>
          <w:sz w:val="24"/>
          <w:u w:val="single"/>
        </w:rPr>
        <w:t>不可撤销的保函</w:t>
      </w:r>
      <w:r>
        <w:rPr>
          <w:rFonts w:ascii="宋体" w:hAnsi="宋体"/>
          <w:snapToGrid w:val="0"/>
          <w:kern w:val="0"/>
          <w:sz w:val="24"/>
        </w:rPr>
        <w:t>。</w:t>
      </w:r>
      <w:r>
        <w:rPr>
          <w:rFonts w:hint="eastAsia" w:ascii="宋体" w:hAnsi="宋体"/>
          <w:snapToGrid w:val="0"/>
          <w:kern w:val="0"/>
          <w:sz w:val="24"/>
          <w:u w:val="single"/>
        </w:rPr>
        <w:t>乙方</w:t>
      </w:r>
      <w:r>
        <w:rPr>
          <w:rFonts w:ascii="宋体" w:hAnsi="宋体"/>
          <w:snapToGrid w:val="0"/>
          <w:kern w:val="0"/>
          <w:sz w:val="24"/>
          <w:u w:val="single"/>
        </w:rPr>
        <w:t>应保证其履约担保在合同服务工作全部完成</w:t>
      </w:r>
      <w:r>
        <w:rPr>
          <w:rFonts w:hint="eastAsia" w:ascii="宋体" w:hAnsi="宋体"/>
          <w:snapToGrid w:val="0"/>
          <w:kern w:val="0"/>
          <w:sz w:val="24"/>
          <w:u w:val="single"/>
        </w:rPr>
        <w:t>并经甲方确认</w:t>
      </w:r>
      <w:r>
        <w:rPr>
          <w:rFonts w:ascii="宋体" w:hAnsi="宋体"/>
          <w:snapToGrid w:val="0"/>
          <w:kern w:val="0"/>
          <w:sz w:val="24"/>
          <w:u w:val="single"/>
        </w:rPr>
        <w:t>前一直有效，期限不少于</w:t>
      </w:r>
      <w:r>
        <w:rPr>
          <w:rFonts w:hint="eastAsia" w:ascii="宋体" w:hAnsi="宋体"/>
          <w:snapToGrid w:val="0"/>
          <w:kern w:val="0"/>
          <w:sz w:val="24"/>
          <w:u w:val="single"/>
        </w:rPr>
        <w:t>2</w:t>
      </w:r>
      <w:r>
        <w:rPr>
          <w:rFonts w:ascii="宋体" w:hAnsi="宋体"/>
          <w:snapToGrid w:val="0"/>
          <w:kern w:val="0"/>
          <w:sz w:val="24"/>
          <w:u w:val="single"/>
        </w:rPr>
        <w:t>年。每当</w:t>
      </w:r>
      <w:r>
        <w:rPr>
          <w:rFonts w:hint="eastAsia" w:ascii="宋体" w:hAnsi="宋体"/>
          <w:snapToGrid w:val="0"/>
          <w:kern w:val="0"/>
          <w:sz w:val="24"/>
          <w:u w:val="single"/>
        </w:rPr>
        <w:t>履约担保</w:t>
      </w:r>
      <w:r>
        <w:rPr>
          <w:rFonts w:ascii="宋体" w:hAnsi="宋体"/>
          <w:snapToGrid w:val="0"/>
          <w:kern w:val="0"/>
          <w:sz w:val="24"/>
          <w:u w:val="single"/>
        </w:rPr>
        <w:t>的有效期已满但项目未达到退保函</w:t>
      </w:r>
      <w:r>
        <w:rPr>
          <w:rFonts w:hint="eastAsia" w:ascii="宋体" w:hAnsi="宋体"/>
          <w:snapToGrid w:val="0"/>
          <w:kern w:val="0"/>
          <w:sz w:val="24"/>
          <w:u w:val="single"/>
        </w:rPr>
        <w:t>/其他履约担保</w:t>
      </w:r>
      <w:r>
        <w:rPr>
          <w:rFonts w:ascii="宋体" w:hAnsi="宋体"/>
          <w:snapToGrid w:val="0"/>
          <w:kern w:val="0"/>
          <w:sz w:val="24"/>
          <w:u w:val="single"/>
        </w:rPr>
        <w:t>条件时，</w:t>
      </w:r>
      <w:r>
        <w:rPr>
          <w:rFonts w:hint="eastAsia" w:ascii="宋体" w:hAnsi="宋体"/>
          <w:snapToGrid w:val="0"/>
          <w:kern w:val="0"/>
          <w:sz w:val="24"/>
          <w:u w:val="single"/>
        </w:rPr>
        <w:t>乙方</w:t>
      </w:r>
      <w:r>
        <w:rPr>
          <w:rFonts w:ascii="宋体" w:hAnsi="宋体"/>
          <w:snapToGrid w:val="0"/>
          <w:kern w:val="0"/>
          <w:sz w:val="24"/>
          <w:u w:val="single"/>
        </w:rPr>
        <w:t>应主动</w:t>
      </w:r>
      <w:r>
        <w:rPr>
          <w:rFonts w:hint="eastAsia" w:ascii="宋体" w:hAnsi="宋体"/>
          <w:snapToGrid w:val="0"/>
          <w:kern w:val="0"/>
          <w:sz w:val="24"/>
          <w:u w:val="single"/>
        </w:rPr>
        <w:t>提前</w:t>
      </w:r>
      <w:r>
        <w:rPr>
          <w:rFonts w:ascii="宋体" w:hAnsi="宋体"/>
          <w:snapToGrid w:val="0"/>
          <w:kern w:val="0"/>
          <w:sz w:val="24"/>
          <w:u w:val="single"/>
        </w:rPr>
        <w:t>办理</w:t>
      </w:r>
      <w:r>
        <w:rPr>
          <w:rFonts w:hint="eastAsia" w:ascii="宋体" w:hAnsi="宋体"/>
          <w:snapToGrid w:val="0"/>
          <w:kern w:val="0"/>
          <w:sz w:val="24"/>
          <w:u w:val="single"/>
        </w:rPr>
        <w:t>履约担保的</w:t>
      </w:r>
      <w:r>
        <w:rPr>
          <w:rFonts w:ascii="宋体" w:hAnsi="宋体"/>
          <w:snapToGrid w:val="0"/>
          <w:kern w:val="0"/>
          <w:sz w:val="24"/>
          <w:u w:val="single"/>
        </w:rPr>
        <w:t>续保</w:t>
      </w:r>
      <w:r>
        <w:rPr>
          <w:rFonts w:hint="eastAsia" w:ascii="宋体" w:hAnsi="宋体"/>
          <w:snapToGrid w:val="0"/>
          <w:kern w:val="0"/>
          <w:sz w:val="24"/>
          <w:u w:val="single"/>
        </w:rPr>
        <w:t>手续</w:t>
      </w:r>
      <w:r>
        <w:rPr>
          <w:rFonts w:ascii="宋体" w:hAnsi="宋体"/>
          <w:snapToGrid w:val="0"/>
          <w:kern w:val="0"/>
          <w:sz w:val="24"/>
          <w:u w:val="single"/>
        </w:rPr>
        <w:t>，且新</w:t>
      </w:r>
      <w:r>
        <w:rPr>
          <w:rFonts w:hint="eastAsia" w:ascii="宋体" w:hAnsi="宋体"/>
          <w:snapToGrid w:val="0"/>
          <w:kern w:val="0"/>
          <w:sz w:val="24"/>
          <w:u w:val="single"/>
        </w:rPr>
        <w:t>提供的履约担保</w:t>
      </w:r>
      <w:r>
        <w:rPr>
          <w:rFonts w:ascii="宋体" w:hAnsi="宋体"/>
          <w:snapToGrid w:val="0"/>
          <w:kern w:val="0"/>
          <w:sz w:val="24"/>
          <w:u w:val="single"/>
        </w:rPr>
        <w:t>有效期不低于</w:t>
      </w:r>
      <w:r>
        <w:rPr>
          <w:rFonts w:hint="eastAsia" w:ascii="宋体" w:hAnsi="宋体"/>
          <w:snapToGrid w:val="0"/>
          <w:kern w:val="0"/>
          <w:sz w:val="24"/>
          <w:u w:val="single"/>
        </w:rPr>
        <w:t>1</w:t>
      </w:r>
      <w:r>
        <w:rPr>
          <w:rFonts w:ascii="宋体" w:hAnsi="宋体"/>
          <w:snapToGrid w:val="0"/>
          <w:kern w:val="0"/>
          <w:sz w:val="24"/>
          <w:u w:val="single"/>
        </w:rPr>
        <w:t>年，甲方不</w:t>
      </w:r>
      <w:r>
        <w:rPr>
          <w:rFonts w:hint="eastAsia" w:ascii="宋体" w:hAnsi="宋体"/>
          <w:snapToGrid w:val="0"/>
          <w:kern w:val="0"/>
          <w:sz w:val="24"/>
          <w:u w:val="single"/>
        </w:rPr>
        <w:t>承担因</w:t>
      </w:r>
      <w:r>
        <w:rPr>
          <w:rFonts w:ascii="宋体" w:hAnsi="宋体"/>
          <w:snapToGrid w:val="0"/>
          <w:kern w:val="0"/>
          <w:sz w:val="24"/>
          <w:u w:val="single"/>
        </w:rPr>
        <w:t>增加办理</w:t>
      </w:r>
      <w:r>
        <w:rPr>
          <w:rFonts w:hint="eastAsia" w:ascii="宋体" w:hAnsi="宋体"/>
          <w:snapToGrid w:val="0"/>
          <w:kern w:val="0"/>
          <w:sz w:val="24"/>
          <w:u w:val="single"/>
        </w:rPr>
        <w:t>履约担保</w:t>
      </w:r>
      <w:r>
        <w:rPr>
          <w:rFonts w:ascii="宋体" w:hAnsi="宋体"/>
          <w:snapToGrid w:val="0"/>
          <w:kern w:val="0"/>
          <w:sz w:val="24"/>
          <w:u w:val="single"/>
        </w:rPr>
        <w:t>延期所产生的相关费用</w:t>
      </w:r>
      <w:r>
        <w:rPr>
          <w:rFonts w:hint="eastAsia" w:ascii="宋体" w:hAnsi="宋体"/>
          <w:snapToGrid w:val="0"/>
          <w:kern w:val="0"/>
          <w:sz w:val="24"/>
          <w:u w:val="single"/>
        </w:rPr>
        <w:t>。合同约定范围内的项目经有审核权限的单位审定结算，且乙方不存在违约行为的情况下，甲方无息退还该履约担保。乙方延期提供履约担保或者延期对履约担保进行续保的，每迟延一日，应当按照</w:t>
      </w:r>
      <w:r>
        <w:rPr>
          <w:rFonts w:hint="eastAsia" w:ascii="宋体" w:hAnsi="宋体"/>
          <w:snapToGrid w:val="0"/>
          <w:kern w:val="0"/>
          <w:sz w:val="24"/>
          <w:u w:val="single"/>
          <w:lang w:val="en-US" w:eastAsia="zh-CN"/>
        </w:rPr>
        <w:t>5000元/天</w:t>
      </w:r>
      <w:r>
        <w:rPr>
          <w:rFonts w:hint="eastAsia" w:ascii="宋体" w:hAnsi="宋体"/>
          <w:snapToGrid w:val="0"/>
          <w:kern w:val="0"/>
          <w:sz w:val="24"/>
          <w:u w:val="single"/>
        </w:rPr>
        <w:t>支付违约金。</w:t>
      </w:r>
    </w:p>
    <w:p w14:paraId="1E5D7C04">
      <w:pPr>
        <w:pStyle w:val="48"/>
        <w:spacing w:line="360" w:lineRule="auto"/>
        <w:ind w:firstLine="480" w:firstLineChars="200"/>
      </w:pPr>
      <w:r>
        <w:rPr>
          <w:rFonts w:hint="eastAsia"/>
        </w:rPr>
        <w:t>（七）乙方确保乙方及乙方承担本合同项下工作的人员均具备履行本合同项下义务所需的全部资质、许可及备案，并保证该等资质、许可及备案在本合同咨询服务期限内始终有效。如乙方或其工作人员不具备或丧失履行本合同项下义务所需的相关资质、许可或备案的，甲方有权解除合同，若因此造成甲方或第三方的损失的，乙方应全额赔偿。</w:t>
      </w:r>
    </w:p>
    <w:p w14:paraId="5246782B">
      <w:pPr>
        <w:pStyle w:val="48"/>
        <w:spacing w:line="360" w:lineRule="auto"/>
        <w:ind w:firstLine="480" w:firstLineChars="200"/>
      </w:pPr>
      <w:r>
        <w:rPr>
          <w:rFonts w:hint="eastAsia"/>
        </w:rPr>
        <w:t>（八）乙方承诺遵守甲方制订的关于工程建设管理的各项制度、规定和管理办法等。合同生效后，乙方应履行合同义务及职责，并视为接受及认同甲方制订的关于工程建设管理的各项制度、规定和管理办法，包括但不限于管理制度、工作指引（或作业指导书）、工作流程等。如乙方违反甲方相关制度、规定和管理办法等的，甲方有权依据相关制度、规定和管理办法等要求乙方承担违约责任及赔偿损失。</w:t>
      </w:r>
    </w:p>
    <w:p w14:paraId="20B1D3F7">
      <w:pPr>
        <w:pStyle w:val="48"/>
        <w:spacing w:line="360" w:lineRule="auto"/>
        <w:ind w:firstLine="480" w:firstLineChars="200"/>
        <w:rPr>
          <w:rFonts w:hint="eastAsia"/>
        </w:rPr>
      </w:pPr>
      <w:r>
        <w:rPr>
          <w:rFonts w:hint="eastAsia"/>
        </w:rPr>
        <w:t>（九）本合同有关条款和补充合同中规定乙方应负的其它责任。</w:t>
      </w:r>
    </w:p>
    <w:p w14:paraId="64E8AB94">
      <w:pPr>
        <w:pStyle w:val="48"/>
        <w:spacing w:line="360" w:lineRule="auto"/>
        <w:ind w:firstLine="480" w:firstLineChars="200"/>
        <w:rPr>
          <w:rFonts w:hint="eastAsia"/>
        </w:rPr>
      </w:pPr>
    </w:p>
    <w:p w14:paraId="4A3A4169">
      <w:pPr>
        <w:pStyle w:val="99"/>
        <w:rPr>
          <w:rFonts w:hint="eastAsia"/>
        </w:rPr>
      </w:pPr>
      <w:r>
        <w:rPr>
          <w:rFonts w:hint="eastAsia"/>
        </w:rPr>
        <w:t>第四条  合同金额及支付方式</w:t>
      </w:r>
    </w:p>
    <w:p w14:paraId="528C5398">
      <w:pPr>
        <w:adjustRightInd w:val="0"/>
        <w:snapToGrid w:val="0"/>
        <w:spacing w:line="360" w:lineRule="auto"/>
        <w:ind w:firstLine="480" w:firstLineChars="200"/>
        <w:rPr>
          <w:rFonts w:hint="eastAsia" w:ascii="宋体" w:hAnsi="宋体"/>
          <w:bCs/>
          <w:snapToGrid w:val="0"/>
          <w:kern w:val="0"/>
          <w:sz w:val="24"/>
        </w:rPr>
      </w:pPr>
      <w:r>
        <w:rPr>
          <w:rFonts w:hint="eastAsia" w:ascii="宋体" w:hAnsi="宋体"/>
          <w:bCs/>
          <w:snapToGrid w:val="0"/>
          <w:kern w:val="0"/>
          <w:sz w:val="24"/>
        </w:rPr>
        <w:t>（一）合同价款金额包括但不限于</w:t>
      </w:r>
      <w:r>
        <w:rPr>
          <w:rFonts w:hint="eastAsia" w:ascii="宋体" w:hAnsi="宋体"/>
          <w:bCs/>
          <w:snapToGrid w:val="0"/>
          <w:kern w:val="0"/>
          <w:sz w:val="24"/>
          <w:u w:val="single"/>
        </w:rPr>
        <w:t>乙方履行本合同项下包含造价咨询工作在内全部义务的所有成本、利润、税金</w:t>
      </w:r>
      <w:r>
        <w:rPr>
          <w:rFonts w:hint="eastAsia" w:ascii="宋体" w:hAnsi="宋体"/>
          <w:bCs/>
          <w:snapToGrid w:val="0"/>
          <w:kern w:val="0"/>
          <w:sz w:val="24"/>
        </w:rPr>
        <w:t>等，双方约定合同价款金额按以下约定执行：</w:t>
      </w:r>
    </w:p>
    <w:p w14:paraId="453030FD">
      <w:pPr>
        <w:adjustRightInd w:val="0"/>
        <w:snapToGrid w:val="0"/>
        <w:spacing w:line="360" w:lineRule="auto"/>
        <w:ind w:firstLine="480" w:firstLineChars="200"/>
        <w:rPr>
          <w:rFonts w:hint="eastAsia" w:ascii="宋体" w:hAnsi="宋体"/>
          <w:b/>
          <w:sz w:val="24"/>
          <w:u w:val="single"/>
        </w:rPr>
      </w:pPr>
      <w:r>
        <w:rPr>
          <w:rFonts w:ascii="宋体" w:hAnsi="宋体"/>
          <w:sz w:val="24"/>
        </w:rPr>
        <w:sym w:font="Wingdings" w:char="00FE"/>
      </w:r>
      <w:r>
        <w:rPr>
          <w:rFonts w:hint="eastAsia" w:ascii="宋体" w:hAnsi="宋体"/>
          <w:bCs/>
          <w:snapToGrid w:val="0"/>
          <w:kern w:val="0"/>
          <w:sz w:val="24"/>
        </w:rPr>
        <w:t>方式一：</w:t>
      </w:r>
      <w:r>
        <w:rPr>
          <w:rFonts w:hint="eastAsia" w:ascii="宋体" w:hAnsi="宋体"/>
          <w:sz w:val="24"/>
        </w:rPr>
        <w:t>本项目造价咨询服务费合同价格暂定（含税）为人民币</w:t>
      </w:r>
      <w:r>
        <w:rPr>
          <w:rFonts w:hint="eastAsia" w:ascii="宋体" w:hAnsi="宋体"/>
          <w:sz w:val="24"/>
          <w:u w:val="single"/>
        </w:rPr>
        <w:t xml:space="preserve">    </w:t>
      </w:r>
      <w:r>
        <w:rPr>
          <w:rFonts w:hint="eastAsia" w:ascii="宋体" w:hAnsi="宋体"/>
          <w:sz w:val="24"/>
        </w:rPr>
        <w:t>元</w:t>
      </w:r>
      <w:r>
        <w:rPr>
          <w:rFonts w:ascii="宋体" w:hAnsi="宋体"/>
          <w:sz w:val="24"/>
        </w:rPr>
        <w:t>（大写:人民币</w:t>
      </w:r>
      <w:r>
        <w:rPr>
          <w:rFonts w:hint="eastAsia" w:ascii="宋体" w:hAnsi="宋体"/>
          <w:sz w:val="24"/>
          <w:u w:val="single"/>
        </w:rPr>
        <w:t xml:space="preserve">     </w:t>
      </w:r>
      <w:r>
        <w:rPr>
          <w:rFonts w:ascii="宋体" w:hAnsi="宋体"/>
          <w:sz w:val="24"/>
        </w:rPr>
        <w:t>），不含税暂定总价为¥</w:t>
      </w:r>
      <w:r>
        <w:rPr>
          <w:rFonts w:hint="eastAsia" w:ascii="宋体" w:hAnsi="宋体"/>
          <w:sz w:val="24"/>
          <w:u w:val="single"/>
        </w:rPr>
        <w:t xml:space="preserve">     </w:t>
      </w:r>
      <w:r>
        <w:rPr>
          <w:rFonts w:ascii="宋体" w:hAnsi="宋体"/>
          <w:sz w:val="24"/>
        </w:rPr>
        <w:t>元，税额为¥</w:t>
      </w:r>
      <w:r>
        <w:rPr>
          <w:rFonts w:hint="eastAsia" w:ascii="宋体" w:hAnsi="宋体"/>
          <w:sz w:val="24"/>
          <w:u w:val="single"/>
        </w:rPr>
        <w:t xml:space="preserve">    </w:t>
      </w:r>
      <w:r>
        <w:rPr>
          <w:rFonts w:ascii="宋体" w:hAnsi="宋体"/>
          <w:sz w:val="24"/>
        </w:rPr>
        <w:t>元，增值税税率为</w:t>
      </w:r>
      <w:r>
        <w:rPr>
          <w:rFonts w:hint="eastAsia" w:ascii="宋体" w:hAnsi="宋体"/>
          <w:sz w:val="24"/>
          <w:u w:val="single"/>
        </w:rPr>
        <w:t xml:space="preserve">  </w:t>
      </w:r>
      <w:r>
        <w:rPr>
          <w:rFonts w:ascii="宋体" w:hAnsi="宋体"/>
          <w:sz w:val="24"/>
        </w:rPr>
        <w:t>%。</w:t>
      </w:r>
      <w:r>
        <w:rPr>
          <w:rFonts w:ascii="Mongolian Baiti" w:hAnsi="Mongolian Baiti" w:cs="Mongolian Baiti"/>
          <w:kern w:val="0"/>
          <w:sz w:val="24"/>
        </w:rPr>
        <w:t>本合同确定的增值税税率是在合同签订时乙方根据现行国家税务政策履行纳税义务的适用税率；如在合同履行过程中，因国家税务政策再次调整而导致乙方纳税的适用税率发生变化，则在确保合同不含税价格不变的前提下，相应调整增值税税款以及含税总价。</w:t>
      </w:r>
    </w:p>
    <w:p w14:paraId="5CF16E37">
      <w:pPr>
        <w:adjustRightInd w:val="0"/>
        <w:snapToGrid w:val="0"/>
        <w:spacing w:line="420" w:lineRule="atLeast"/>
        <w:ind w:firstLine="480" w:firstLineChars="200"/>
        <w:rPr>
          <w:rFonts w:hint="eastAsia" w:ascii="宋体" w:hAnsi="宋体"/>
          <w:sz w:val="24"/>
          <w:u w:val="single"/>
        </w:rPr>
      </w:pPr>
      <w:r>
        <w:rPr>
          <w:rFonts w:hint="eastAsia" w:ascii="宋体" w:hAnsi="宋体"/>
          <w:sz w:val="24"/>
          <w:u w:val="single"/>
        </w:rPr>
        <w:t>本项目全过程造价咨询服务费最终结算价以经</w:t>
      </w:r>
      <w:r>
        <w:rPr>
          <w:rFonts w:hint="eastAsia" w:ascii="宋体" w:hAnsi="宋体"/>
          <w:snapToGrid w:val="0"/>
          <w:kern w:val="0"/>
          <w:sz w:val="24"/>
          <w:u w:val="single"/>
        </w:rPr>
        <w:t>有审核权限的单位</w:t>
      </w:r>
      <w:r>
        <w:rPr>
          <w:rFonts w:hint="eastAsia" w:ascii="宋体" w:hAnsi="宋体"/>
          <w:sz w:val="24"/>
          <w:u w:val="single"/>
        </w:rPr>
        <w:t>审定概算</w:t>
      </w:r>
      <w:r>
        <w:rPr>
          <w:rFonts w:hint="eastAsia" w:ascii="宋体" w:hAnsi="宋体"/>
          <w:sz w:val="24"/>
          <w:u w:val="single"/>
          <w:lang w:val="en-US" w:eastAsia="zh-CN"/>
        </w:rPr>
        <w:t>中与一期范围对应的建安工程费</w:t>
      </w:r>
      <w:r>
        <w:rPr>
          <w:rFonts w:hint="eastAsia" w:ascii="宋体" w:hAnsi="宋体"/>
          <w:sz w:val="24"/>
          <w:u w:val="single"/>
        </w:rPr>
        <w:t>为计费基数，在广东省物价局《关于调整我省建设工程造价咨询服务收费的复函》（粤价函</w:t>
      </w:r>
      <w:r>
        <w:rPr>
          <w:rFonts w:ascii="宋体" w:hAnsi="宋体"/>
          <w:sz w:val="24"/>
          <w:u w:val="single"/>
        </w:rPr>
        <w:t>[2011]742号）</w:t>
      </w:r>
      <w:r>
        <w:rPr>
          <w:rFonts w:hint="eastAsia" w:ascii="宋体" w:hAnsi="宋体"/>
          <w:sz w:val="24"/>
          <w:u w:val="single"/>
        </w:rPr>
        <w:t>所规定收费标准的基础上</w:t>
      </w:r>
      <w:r>
        <w:rPr>
          <w:rFonts w:ascii="宋体" w:hAnsi="宋体"/>
          <w:sz w:val="24"/>
          <w:u w:val="single"/>
        </w:rPr>
        <w:t>，</w:t>
      </w:r>
      <w:r>
        <w:rPr>
          <w:rFonts w:hint="eastAsia" w:ascii="宋体" w:hAnsi="宋体"/>
          <w:sz w:val="24"/>
          <w:u w:val="single"/>
        </w:rPr>
        <w:t>先下浮20</w:t>
      </w:r>
      <w:r>
        <w:rPr>
          <w:rFonts w:ascii="宋体" w:hAnsi="宋体"/>
          <w:sz w:val="24"/>
          <w:u w:val="single"/>
        </w:rPr>
        <w:t>%</w:t>
      </w:r>
      <w:r>
        <w:rPr>
          <w:rFonts w:hint="eastAsia" w:ascii="宋体" w:hAnsi="宋体"/>
          <w:sz w:val="24"/>
          <w:u w:val="single"/>
        </w:rPr>
        <w:t>再计算投标下浮率  %，并以计算后的价格作为</w:t>
      </w:r>
      <w:r>
        <w:rPr>
          <w:rFonts w:hint="eastAsia" w:ascii="宋体" w:hAnsi="宋体"/>
          <w:sz w:val="24"/>
          <w:u w:val="single"/>
          <w:lang w:val="en-US" w:eastAsia="zh-CN"/>
        </w:rPr>
        <w:t>修正合同价及</w:t>
      </w:r>
      <w:r>
        <w:rPr>
          <w:rFonts w:hint="eastAsia" w:ascii="宋体" w:hAnsi="宋体"/>
          <w:sz w:val="24"/>
          <w:u w:val="single"/>
        </w:rPr>
        <w:t>结算价格，驻场人员的费用及乙方履行本合同项下义务的其他费用不再单独计算。全过程造价咨询服务费结算总价不得超过</w:t>
      </w:r>
      <w:r>
        <w:rPr>
          <w:rFonts w:hint="eastAsia" w:ascii="宋体" w:hAnsi="宋体"/>
          <w:snapToGrid w:val="0"/>
          <w:kern w:val="0"/>
          <w:sz w:val="24"/>
          <w:u w:val="single"/>
        </w:rPr>
        <w:t>有审核权限的单位</w:t>
      </w:r>
      <w:r>
        <w:rPr>
          <w:rFonts w:hint="eastAsia" w:ascii="宋体" w:hAnsi="宋体"/>
          <w:sz w:val="24"/>
          <w:u w:val="single"/>
        </w:rPr>
        <w:t>审定概算中的全过程造价咨询服务费合计，且不得超过招标限价</w:t>
      </w:r>
      <w:r>
        <w:rPr>
          <w:rFonts w:hint="eastAsia" w:ascii="宋体" w:hAnsi="宋体"/>
          <w:sz w:val="24"/>
          <w:u w:val="single"/>
          <w:lang w:val="en-US" w:eastAsia="zh-CN"/>
        </w:rPr>
        <w:t>164.48</w:t>
      </w:r>
      <w:r>
        <w:rPr>
          <w:rFonts w:hint="eastAsia" w:ascii="宋体" w:hAnsi="宋体"/>
          <w:sz w:val="24"/>
          <w:u w:val="single"/>
        </w:rPr>
        <w:t>万元，如超过招标限价，则按审定概算中全过程咨询服务费或招标限价（两者取价低者）结算。另外，本合同造价咨询费结算价结合合同约定相关考核结果计算，最终全过程造价咨询服务费结算总价以有审核权限的部门审核意见为准。</w:t>
      </w:r>
    </w:p>
    <w:p w14:paraId="2267954E">
      <w:pPr>
        <w:pStyle w:val="22"/>
      </w:pPr>
    </w:p>
    <w:p w14:paraId="372995B9">
      <w:pPr>
        <w:adjustRightInd w:val="0"/>
        <w:snapToGrid w:val="0"/>
        <w:spacing w:line="360" w:lineRule="auto"/>
        <w:ind w:firstLine="570"/>
        <w:rPr>
          <w:rFonts w:hint="eastAsia" w:ascii="宋体" w:hAnsi="宋体"/>
          <w:sz w:val="24"/>
        </w:rPr>
      </w:pPr>
      <w:r>
        <w:rPr>
          <w:rFonts w:hint="eastAsia" w:ascii="宋体" w:hAnsi="宋体"/>
          <w:sz w:val="24"/>
        </w:rPr>
        <w:t>□方式二：本项目合同金额价款为元（大写：人民币），总价包干。</w:t>
      </w:r>
    </w:p>
    <w:p w14:paraId="502C7200">
      <w:pPr>
        <w:adjustRightInd w:val="0"/>
        <w:snapToGrid w:val="0"/>
        <w:spacing w:line="360" w:lineRule="auto"/>
        <w:ind w:firstLine="360"/>
        <w:rPr>
          <w:rFonts w:hint="eastAsia" w:ascii="宋体" w:hAnsi="宋体"/>
          <w:snapToGrid w:val="0"/>
          <w:kern w:val="0"/>
          <w:sz w:val="24"/>
        </w:rPr>
      </w:pPr>
      <w:r>
        <w:rPr>
          <w:rFonts w:hint="eastAsia" w:ascii="宋体" w:hAnsi="宋体"/>
          <w:snapToGrid w:val="0"/>
          <w:kern w:val="0"/>
          <w:sz w:val="24"/>
        </w:rPr>
        <w:t>（二）支付方式：</w:t>
      </w:r>
    </w:p>
    <w:p w14:paraId="34506408">
      <w:pPr>
        <w:pStyle w:val="133"/>
        <w:numPr>
          <w:ilvl w:val="0"/>
          <w:numId w:val="0"/>
        </w:numPr>
        <w:adjustRightInd w:val="0"/>
        <w:snapToGrid w:val="0"/>
        <w:spacing w:line="360" w:lineRule="auto"/>
        <w:ind w:firstLineChars="0"/>
        <w:rPr>
          <w:color w:val="000000" w:themeColor="text1"/>
          <w:sz w:val="24"/>
          <w:highlight w:val="none"/>
          <w:u w:val="single"/>
          <w14:textFill>
            <w14:solidFill>
              <w14:schemeClr w14:val="tx1"/>
            </w14:solidFill>
          </w14:textFill>
        </w:rPr>
      </w:pPr>
      <w:r>
        <w:rPr>
          <w:rFonts w:hint="eastAsia" w:ascii="Calibri" w:hAnsi="Calibri" w:eastAsia="宋体" w:cs="Times New Roman"/>
          <w:color w:val="000000" w:themeColor="text1"/>
          <w:kern w:val="2"/>
          <w:sz w:val="24"/>
          <w:szCs w:val="20"/>
          <w:lang w:val="en-US" w:eastAsia="zh-CN" w:bidi="ar-SA"/>
          <w14:textFill>
            <w14:solidFill>
              <w14:schemeClr w14:val="tx1"/>
            </w14:solidFill>
          </w14:textFill>
        </w:rPr>
        <w:t>1</w:t>
      </w:r>
      <w:r>
        <w:rPr>
          <w:rFonts w:hint="eastAsia" w:cs="Times New Roman"/>
          <w:color w:val="000000" w:themeColor="text1"/>
          <w:kern w:val="2"/>
          <w:sz w:val="24"/>
          <w:szCs w:val="20"/>
          <w:lang w:val="en-US" w:eastAsia="zh-CN" w:bidi="ar-SA"/>
          <w14:textFill>
            <w14:solidFill>
              <w14:schemeClr w14:val="tx1"/>
            </w14:solidFill>
          </w14:textFill>
        </w:rPr>
        <w:t>.</w:t>
      </w:r>
      <w:r>
        <w:rPr>
          <w:rFonts w:hint="eastAsia"/>
          <w:color w:val="000000" w:themeColor="text1"/>
          <w:sz w:val="24"/>
          <w:highlight w:val="none"/>
          <w:u w:val="single"/>
          <w14:textFill>
            <w14:solidFill>
              <w14:schemeClr w14:val="tx1"/>
            </w14:solidFill>
          </w14:textFill>
        </w:rPr>
        <w:t>本合同签订后，可支付至合同暂定价的10％。</w:t>
      </w:r>
    </w:p>
    <w:p w14:paraId="32445A3E">
      <w:pPr>
        <w:pStyle w:val="133"/>
        <w:numPr>
          <w:ilvl w:val="0"/>
          <w:numId w:val="0"/>
        </w:numPr>
        <w:adjustRightInd w:val="0"/>
        <w:snapToGrid w:val="0"/>
        <w:spacing w:line="360" w:lineRule="auto"/>
        <w:ind w:firstLineChars="0"/>
        <w:rPr>
          <w:color w:val="000000" w:themeColor="text1"/>
          <w:sz w:val="24"/>
          <w:highlight w:val="none"/>
          <w:u w:val="single"/>
          <w14:textFill>
            <w14:solidFill>
              <w14:schemeClr w14:val="tx1"/>
            </w14:solidFill>
          </w14:textFill>
        </w:rPr>
      </w:pPr>
      <w:r>
        <w:rPr>
          <w:rFonts w:hint="eastAsia" w:ascii="Calibri" w:hAnsi="Calibri" w:eastAsia="宋体" w:cs="Times New Roman"/>
          <w:color w:val="000000" w:themeColor="text1"/>
          <w:kern w:val="2"/>
          <w:sz w:val="24"/>
          <w:szCs w:val="20"/>
          <w:lang w:val="en-US" w:eastAsia="zh-CN" w:bidi="ar-SA"/>
          <w14:textFill>
            <w14:solidFill>
              <w14:schemeClr w14:val="tx1"/>
            </w14:solidFill>
          </w14:textFill>
        </w:rPr>
        <w:t>2</w:t>
      </w:r>
      <w:r>
        <w:rPr>
          <w:rFonts w:hint="eastAsia" w:cs="Times New Roman"/>
          <w:color w:val="000000" w:themeColor="text1"/>
          <w:kern w:val="2"/>
          <w:sz w:val="24"/>
          <w:szCs w:val="20"/>
          <w:lang w:val="en-US" w:eastAsia="zh-CN" w:bidi="ar-SA"/>
          <w14:textFill>
            <w14:solidFill>
              <w14:schemeClr w14:val="tx1"/>
            </w14:solidFill>
          </w14:textFill>
        </w:rPr>
        <w:t>.</w:t>
      </w:r>
      <w:r>
        <w:rPr>
          <w:rFonts w:hint="eastAsia"/>
          <w:color w:val="000000" w:themeColor="text1"/>
          <w:sz w:val="24"/>
          <w:highlight w:val="none"/>
          <w:u w:val="single"/>
          <w14:textFill>
            <w14:solidFill>
              <w14:schemeClr w14:val="tx1"/>
            </w14:solidFill>
          </w14:textFill>
        </w:rPr>
        <w:t>完成工程概算审核后，可支付至该工程有审核权限部门审定</w:t>
      </w:r>
      <w:r>
        <w:rPr>
          <w:rFonts w:hint="eastAsia"/>
          <w:color w:val="000000" w:themeColor="text1"/>
          <w:sz w:val="24"/>
          <w:highlight w:val="none"/>
          <w:u w:val="single"/>
          <w:lang w:val="en-US" w:eastAsia="zh-CN"/>
          <w14:textFill>
            <w14:solidFill>
              <w14:schemeClr w14:val="tx1"/>
            </w14:solidFill>
          </w14:textFill>
        </w:rPr>
        <w:t>修正合同价</w:t>
      </w:r>
      <w:r>
        <w:rPr>
          <w:rFonts w:hint="eastAsia"/>
          <w:color w:val="000000" w:themeColor="text1"/>
          <w:sz w:val="24"/>
          <w:highlight w:val="none"/>
          <w:u w:val="single"/>
          <w14:textFill>
            <w14:solidFill>
              <w14:schemeClr w14:val="tx1"/>
            </w14:solidFill>
          </w14:textFill>
        </w:rPr>
        <w:t>的20％。</w:t>
      </w:r>
    </w:p>
    <w:p w14:paraId="23D5C340">
      <w:pPr>
        <w:pStyle w:val="133"/>
        <w:numPr>
          <w:ilvl w:val="0"/>
          <w:numId w:val="0"/>
        </w:numPr>
        <w:adjustRightInd w:val="0"/>
        <w:snapToGrid w:val="0"/>
        <w:spacing w:line="360" w:lineRule="auto"/>
        <w:ind w:firstLineChars="0"/>
        <w:rPr>
          <w:color w:val="000000" w:themeColor="text1"/>
          <w:sz w:val="24"/>
          <w:highlight w:val="none"/>
          <w:u w:val="single"/>
          <w14:textFill>
            <w14:solidFill>
              <w14:schemeClr w14:val="tx1"/>
            </w14:solidFill>
          </w14:textFill>
        </w:rPr>
      </w:pPr>
      <w:r>
        <w:rPr>
          <w:rFonts w:hint="eastAsia" w:ascii="Calibri" w:hAnsi="Calibri" w:eastAsia="宋体" w:cs="Times New Roman"/>
          <w:color w:val="000000" w:themeColor="text1"/>
          <w:kern w:val="2"/>
          <w:sz w:val="24"/>
          <w:szCs w:val="20"/>
          <w:lang w:val="en-US" w:eastAsia="zh-CN" w:bidi="ar-SA"/>
          <w14:textFill>
            <w14:solidFill>
              <w14:schemeClr w14:val="tx1"/>
            </w14:solidFill>
          </w14:textFill>
        </w:rPr>
        <w:t>3</w:t>
      </w:r>
      <w:r>
        <w:rPr>
          <w:rFonts w:hint="eastAsia" w:cs="Times New Roman"/>
          <w:color w:val="000000" w:themeColor="text1"/>
          <w:kern w:val="2"/>
          <w:sz w:val="24"/>
          <w:szCs w:val="20"/>
          <w:lang w:val="en-US" w:eastAsia="zh-CN" w:bidi="ar-SA"/>
          <w14:textFill>
            <w14:solidFill>
              <w14:schemeClr w14:val="tx1"/>
            </w14:solidFill>
          </w14:textFill>
        </w:rPr>
        <w:t>.</w:t>
      </w:r>
      <w:r>
        <w:rPr>
          <w:rFonts w:hint="eastAsia"/>
          <w:color w:val="000000" w:themeColor="text1"/>
          <w:sz w:val="24"/>
          <w:highlight w:val="none"/>
          <w:u w:val="single"/>
          <w14:textFill>
            <w14:solidFill>
              <w14:schemeClr w14:val="tx1"/>
            </w14:solidFill>
          </w14:textFill>
        </w:rPr>
        <w:t>完成工程预算审核后，可支付至该工程有审核权限部门审定</w:t>
      </w:r>
      <w:r>
        <w:rPr>
          <w:rFonts w:hint="eastAsia"/>
          <w:color w:val="000000" w:themeColor="text1"/>
          <w:sz w:val="24"/>
          <w:highlight w:val="none"/>
          <w:u w:val="single"/>
          <w:lang w:val="en-US" w:eastAsia="zh-CN"/>
          <w14:textFill>
            <w14:solidFill>
              <w14:schemeClr w14:val="tx1"/>
            </w14:solidFill>
          </w14:textFill>
        </w:rPr>
        <w:t>修正合同价</w:t>
      </w:r>
      <w:r>
        <w:rPr>
          <w:rFonts w:hint="eastAsia"/>
          <w:color w:val="000000" w:themeColor="text1"/>
          <w:sz w:val="24"/>
          <w:highlight w:val="none"/>
          <w:u w:val="single"/>
          <w14:textFill>
            <w14:solidFill>
              <w14:schemeClr w14:val="tx1"/>
            </w14:solidFill>
          </w14:textFill>
        </w:rPr>
        <w:t>的</w:t>
      </w:r>
      <w:r>
        <w:rPr>
          <w:rFonts w:hint="eastAsia"/>
          <w:color w:val="000000" w:themeColor="text1"/>
          <w:sz w:val="24"/>
          <w:highlight w:val="none"/>
          <w:u w:val="single"/>
          <w:lang w:val="en-US" w:eastAsia="zh-CN"/>
          <w14:textFill>
            <w14:solidFill>
              <w14:schemeClr w14:val="tx1"/>
            </w14:solidFill>
          </w14:textFill>
        </w:rPr>
        <w:t>4</w:t>
      </w:r>
      <w:r>
        <w:rPr>
          <w:rFonts w:hint="eastAsia"/>
          <w:color w:val="000000" w:themeColor="text1"/>
          <w:sz w:val="24"/>
          <w:highlight w:val="none"/>
          <w:u w:val="single"/>
          <w14:textFill>
            <w14:solidFill>
              <w14:schemeClr w14:val="tx1"/>
            </w14:solidFill>
          </w14:textFill>
        </w:rPr>
        <w:t>0％。</w:t>
      </w:r>
    </w:p>
    <w:p w14:paraId="0426CD4A">
      <w:pPr>
        <w:pStyle w:val="133"/>
        <w:numPr>
          <w:ilvl w:val="0"/>
          <w:numId w:val="0"/>
        </w:numPr>
        <w:adjustRightInd w:val="0"/>
        <w:snapToGrid w:val="0"/>
        <w:spacing w:line="360" w:lineRule="auto"/>
        <w:ind w:firstLineChars="0"/>
        <w:rPr>
          <w:color w:val="000000" w:themeColor="text1"/>
          <w:sz w:val="24"/>
          <w:highlight w:val="none"/>
          <w:u w:val="single"/>
          <w14:textFill>
            <w14:solidFill>
              <w14:schemeClr w14:val="tx1"/>
            </w14:solidFill>
          </w14:textFill>
        </w:rPr>
      </w:pPr>
      <w:r>
        <w:rPr>
          <w:rFonts w:hint="eastAsia" w:ascii="Calibri" w:hAnsi="Calibri" w:eastAsia="宋体" w:cs="Times New Roman"/>
          <w:color w:val="000000" w:themeColor="text1"/>
          <w:kern w:val="2"/>
          <w:sz w:val="24"/>
          <w:szCs w:val="20"/>
          <w:lang w:val="en-US" w:eastAsia="zh-CN" w:bidi="ar-SA"/>
          <w14:textFill>
            <w14:solidFill>
              <w14:schemeClr w14:val="tx1"/>
            </w14:solidFill>
          </w14:textFill>
        </w:rPr>
        <w:t>4</w:t>
      </w:r>
      <w:r>
        <w:rPr>
          <w:rFonts w:hint="eastAsia" w:cs="Times New Roman"/>
          <w:color w:val="000000" w:themeColor="text1"/>
          <w:kern w:val="2"/>
          <w:sz w:val="24"/>
          <w:szCs w:val="20"/>
          <w:lang w:val="en-US" w:eastAsia="zh-CN" w:bidi="ar-SA"/>
          <w14:textFill>
            <w14:solidFill>
              <w14:schemeClr w14:val="tx1"/>
            </w14:solidFill>
          </w14:textFill>
        </w:rPr>
        <w:t>.</w:t>
      </w:r>
      <w:r>
        <w:rPr>
          <w:rFonts w:hint="eastAsia"/>
          <w:color w:val="000000" w:themeColor="text1"/>
          <w:sz w:val="24"/>
          <w:highlight w:val="none"/>
          <w:u w:val="single"/>
          <w14:textFill>
            <w14:solidFill>
              <w14:schemeClr w14:val="tx1"/>
            </w14:solidFill>
          </w14:textFill>
        </w:rPr>
        <w:t>工程施工形象进度完成50%（即该工程施工进度款累计支付达到修正合同额50%），可支付至该工程有审核权限部门审定</w:t>
      </w:r>
      <w:r>
        <w:rPr>
          <w:rFonts w:hint="eastAsia"/>
          <w:color w:val="000000" w:themeColor="text1"/>
          <w:sz w:val="24"/>
          <w:highlight w:val="none"/>
          <w:u w:val="single"/>
          <w:lang w:val="en-US" w:eastAsia="zh-CN"/>
          <w14:textFill>
            <w14:solidFill>
              <w14:schemeClr w14:val="tx1"/>
            </w14:solidFill>
          </w14:textFill>
        </w:rPr>
        <w:t>修正合同价</w:t>
      </w:r>
      <w:r>
        <w:rPr>
          <w:rFonts w:hint="eastAsia"/>
          <w:color w:val="000000" w:themeColor="text1"/>
          <w:sz w:val="24"/>
          <w:highlight w:val="none"/>
          <w:u w:val="single"/>
          <w14:textFill>
            <w14:solidFill>
              <w14:schemeClr w14:val="tx1"/>
            </w14:solidFill>
          </w14:textFill>
        </w:rPr>
        <w:t>的60％。</w:t>
      </w:r>
    </w:p>
    <w:p w14:paraId="714B4F52">
      <w:pPr>
        <w:pStyle w:val="133"/>
        <w:numPr>
          <w:ilvl w:val="0"/>
          <w:numId w:val="0"/>
        </w:numPr>
        <w:adjustRightInd w:val="0"/>
        <w:snapToGrid w:val="0"/>
        <w:spacing w:line="360" w:lineRule="auto"/>
        <w:ind w:firstLineChars="0"/>
        <w:rPr>
          <w:color w:val="000000" w:themeColor="text1"/>
          <w:sz w:val="24"/>
          <w:highlight w:val="none"/>
          <w:u w:val="single"/>
          <w14:textFill>
            <w14:solidFill>
              <w14:schemeClr w14:val="tx1"/>
            </w14:solidFill>
          </w14:textFill>
        </w:rPr>
      </w:pPr>
      <w:r>
        <w:rPr>
          <w:rFonts w:hint="eastAsia" w:ascii="Calibri" w:hAnsi="Calibri" w:eastAsia="宋体" w:cs="Times New Roman"/>
          <w:color w:val="000000" w:themeColor="text1"/>
          <w:kern w:val="2"/>
          <w:sz w:val="24"/>
          <w:szCs w:val="20"/>
          <w:lang w:val="en-US" w:eastAsia="zh-CN" w:bidi="ar-SA"/>
          <w14:textFill>
            <w14:solidFill>
              <w14:schemeClr w14:val="tx1"/>
            </w14:solidFill>
          </w14:textFill>
        </w:rPr>
        <w:t>5</w:t>
      </w:r>
      <w:r>
        <w:rPr>
          <w:rFonts w:hint="eastAsia" w:cs="Times New Roman"/>
          <w:color w:val="000000" w:themeColor="text1"/>
          <w:kern w:val="2"/>
          <w:sz w:val="24"/>
          <w:szCs w:val="20"/>
          <w:lang w:val="en-US" w:eastAsia="zh-CN" w:bidi="ar-SA"/>
          <w14:textFill>
            <w14:solidFill>
              <w14:schemeClr w14:val="tx1"/>
            </w14:solidFill>
          </w14:textFill>
        </w:rPr>
        <w:t>.</w:t>
      </w:r>
      <w:r>
        <w:rPr>
          <w:rFonts w:hint="eastAsia"/>
          <w:color w:val="000000" w:themeColor="text1"/>
          <w:sz w:val="24"/>
          <w:highlight w:val="none"/>
          <w:u w:val="single"/>
          <w14:textFill>
            <w14:solidFill>
              <w14:schemeClr w14:val="tx1"/>
            </w14:solidFill>
          </w14:textFill>
        </w:rPr>
        <w:t>本项目工程竣工（交工/完工）验收后，可支付至该工程有审核权限部门审定</w:t>
      </w:r>
      <w:r>
        <w:rPr>
          <w:rFonts w:hint="eastAsia"/>
          <w:color w:val="000000" w:themeColor="text1"/>
          <w:sz w:val="24"/>
          <w:highlight w:val="none"/>
          <w:u w:val="single"/>
          <w:lang w:val="en-US" w:eastAsia="zh-CN"/>
          <w14:textFill>
            <w14:solidFill>
              <w14:schemeClr w14:val="tx1"/>
            </w14:solidFill>
          </w14:textFill>
        </w:rPr>
        <w:t>修正合同价</w:t>
      </w:r>
      <w:r>
        <w:rPr>
          <w:rFonts w:hint="eastAsia"/>
          <w:color w:val="000000" w:themeColor="text1"/>
          <w:sz w:val="24"/>
          <w:highlight w:val="none"/>
          <w:u w:val="single"/>
          <w14:textFill>
            <w14:solidFill>
              <w14:schemeClr w14:val="tx1"/>
            </w14:solidFill>
          </w14:textFill>
        </w:rPr>
        <w:t>的80％。</w:t>
      </w:r>
    </w:p>
    <w:p w14:paraId="7CCC50A8">
      <w:pPr>
        <w:pStyle w:val="133"/>
        <w:numPr>
          <w:ilvl w:val="0"/>
          <w:numId w:val="0"/>
        </w:numPr>
        <w:adjustRightInd w:val="0"/>
        <w:snapToGrid w:val="0"/>
        <w:spacing w:line="360" w:lineRule="auto"/>
        <w:ind w:firstLineChars="0"/>
        <w:rPr>
          <w:color w:val="000000" w:themeColor="text1"/>
          <w:sz w:val="24"/>
          <w:highlight w:val="none"/>
          <w:u w:val="single"/>
          <w:lang w:val="zh-CN"/>
          <w14:textFill>
            <w14:solidFill>
              <w14:schemeClr w14:val="tx1"/>
            </w14:solidFill>
          </w14:textFill>
        </w:rPr>
      </w:pPr>
      <w:r>
        <w:rPr>
          <w:rFonts w:hint="eastAsia" w:ascii="Calibri" w:hAnsi="Calibri" w:eastAsia="宋体" w:cs="Times New Roman"/>
          <w:color w:val="000000" w:themeColor="text1"/>
          <w:kern w:val="2"/>
          <w:sz w:val="24"/>
          <w:szCs w:val="20"/>
          <w:lang w:val="zh-CN" w:eastAsia="zh-CN" w:bidi="ar-SA"/>
          <w14:textFill>
            <w14:solidFill>
              <w14:schemeClr w14:val="tx1"/>
            </w14:solidFill>
          </w14:textFill>
        </w:rPr>
        <w:t>6</w:t>
      </w:r>
      <w:r>
        <w:rPr>
          <w:rFonts w:hint="eastAsia" w:cs="Times New Roman"/>
          <w:color w:val="000000" w:themeColor="text1"/>
          <w:kern w:val="2"/>
          <w:sz w:val="24"/>
          <w:szCs w:val="20"/>
          <w:lang w:val="en-US" w:eastAsia="zh-CN" w:bidi="ar-SA"/>
          <w14:textFill>
            <w14:solidFill>
              <w14:schemeClr w14:val="tx1"/>
            </w14:solidFill>
          </w14:textFill>
        </w:rPr>
        <w:t>.</w:t>
      </w:r>
      <w:r>
        <w:rPr>
          <w:rFonts w:hint="eastAsia"/>
          <w:color w:val="000000" w:themeColor="text1"/>
          <w:sz w:val="24"/>
          <w:highlight w:val="none"/>
          <w:u w:val="single"/>
          <w14:textFill>
            <w14:solidFill>
              <w14:schemeClr w14:val="tx1"/>
            </w14:solidFill>
          </w14:textFill>
        </w:rPr>
        <w:t>本项目工程竣工结算完成且向发包人移交项目的全部归档材料后，进行本工程的造价咨询费结算（最终结算金额以有审核权限部门审核结果为准），可支付至本合同全过程造价咨询费结算价的100％。</w:t>
      </w:r>
    </w:p>
    <w:p w14:paraId="2281C472">
      <w:pPr>
        <w:adjustRightInd w:val="0"/>
        <w:snapToGrid w:val="0"/>
        <w:spacing w:line="360" w:lineRule="auto"/>
        <w:ind w:firstLine="360" w:firstLineChars="150"/>
        <w:rPr>
          <w:rFonts w:hint="eastAsia" w:hAnsi="宋体"/>
          <w:sz w:val="24"/>
        </w:rPr>
      </w:pPr>
      <w:r>
        <w:rPr>
          <w:rFonts w:hint="eastAsia" w:hAnsi="宋体"/>
          <w:sz w:val="24"/>
          <w:lang w:val="en-US" w:eastAsia="zh-CN"/>
        </w:rPr>
        <w:t>7.</w:t>
      </w:r>
      <w:r>
        <w:rPr>
          <w:rFonts w:hint="eastAsia" w:hAnsi="宋体"/>
          <w:sz w:val="24"/>
        </w:rPr>
        <w:t>本项目各支付节点</w:t>
      </w:r>
      <w:r>
        <w:rPr>
          <w:rFonts w:hint="eastAsia" w:hAnsi="宋体"/>
          <w:sz w:val="24"/>
          <w:lang w:val="en-US" w:eastAsia="zh-CN"/>
        </w:rPr>
        <w:t>甲方实际支付</w:t>
      </w:r>
      <w:r>
        <w:rPr>
          <w:rFonts w:hint="eastAsia" w:hAnsi="宋体"/>
          <w:sz w:val="24"/>
        </w:rPr>
        <w:t>的造价</w:t>
      </w:r>
      <w:r>
        <w:rPr>
          <w:rFonts w:hint="eastAsia" w:hAnsi="宋体"/>
          <w:sz w:val="24"/>
          <w:lang w:val="en-US" w:eastAsia="zh-CN"/>
        </w:rPr>
        <w:t>咨询</w:t>
      </w:r>
      <w:r>
        <w:rPr>
          <w:rFonts w:hint="eastAsia" w:hAnsi="宋体"/>
          <w:sz w:val="24"/>
        </w:rPr>
        <w:t>服务费为</w:t>
      </w:r>
      <w:r>
        <w:rPr>
          <w:rFonts w:hint="eastAsia" w:hAnsi="宋体"/>
          <w:sz w:val="24"/>
          <w:lang w:val="en-US" w:eastAsia="zh-CN"/>
        </w:rPr>
        <w:t>本合同协议书第四条第（二）款第1项至6项约定的相应比例的造价</w:t>
      </w:r>
      <w:r>
        <w:rPr>
          <w:rFonts w:hint="eastAsia" w:hAnsi="宋体"/>
          <w:sz w:val="24"/>
        </w:rPr>
        <w:t>咨询服务费×当期考核系数-当期违约金/赔偿金。</w:t>
      </w:r>
    </w:p>
    <w:p w14:paraId="077F029C">
      <w:pPr>
        <w:spacing w:line="580" w:lineRule="exact"/>
        <w:jc w:val="center"/>
        <w:rPr>
          <w:rFonts w:hint="eastAsia" w:ascii="宋体" w:hAnsi="宋体"/>
          <w:sz w:val="24"/>
        </w:rPr>
      </w:pPr>
      <w:r>
        <w:rPr>
          <w:rFonts w:hint="eastAsia" w:ascii="宋体" w:hAnsi="宋体"/>
          <w:sz w:val="24"/>
        </w:rPr>
        <w:t>造价咨询考核结果挂钩表</w:t>
      </w:r>
      <w:r>
        <w:rPr>
          <w:rFonts w:hint="eastAsia" w:ascii="宋体" w:hAnsi="宋体"/>
          <w:sz w:val="24"/>
          <w:u w:val="single"/>
        </w:rPr>
        <w:t>（评估考核表详见附件6）</w:t>
      </w:r>
    </w:p>
    <w:tbl>
      <w:tblPr>
        <w:tblStyle w:val="4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3402"/>
        <w:gridCol w:w="3311"/>
      </w:tblGrid>
      <w:tr w14:paraId="2E493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tcPr>
          <w:p w14:paraId="1743D205">
            <w:pPr>
              <w:spacing w:line="580" w:lineRule="exact"/>
              <w:rPr>
                <w:rFonts w:hint="eastAsia" w:ascii="宋体" w:hAnsi="宋体" w:cs="宋体"/>
                <w:sz w:val="24"/>
              </w:rPr>
            </w:pPr>
          </w:p>
        </w:tc>
        <w:tc>
          <w:tcPr>
            <w:tcW w:w="3402" w:type="dxa"/>
            <w:tcBorders>
              <w:top w:val="single" w:color="auto" w:sz="4" w:space="0"/>
              <w:left w:val="single" w:color="auto" w:sz="4" w:space="0"/>
              <w:bottom w:val="single" w:color="auto" w:sz="4" w:space="0"/>
              <w:right w:val="single" w:color="auto" w:sz="4" w:space="0"/>
            </w:tcBorders>
            <w:noWrap/>
            <w:vAlign w:val="center"/>
          </w:tcPr>
          <w:p w14:paraId="1BD48C47">
            <w:pPr>
              <w:spacing w:line="580" w:lineRule="exact"/>
              <w:jc w:val="center"/>
              <w:rPr>
                <w:rFonts w:hint="eastAsia" w:ascii="宋体" w:hAnsi="宋体" w:cs="宋体"/>
                <w:sz w:val="24"/>
              </w:rPr>
            </w:pPr>
            <w:r>
              <w:rPr>
                <w:rFonts w:hint="eastAsia" w:ascii="宋体" w:hAnsi="宋体" w:cs="宋体"/>
                <w:sz w:val="24"/>
              </w:rPr>
              <w:t>当期考核结果</w:t>
            </w:r>
          </w:p>
        </w:tc>
        <w:tc>
          <w:tcPr>
            <w:tcW w:w="3311" w:type="dxa"/>
            <w:tcBorders>
              <w:top w:val="single" w:color="auto" w:sz="4" w:space="0"/>
              <w:left w:val="single" w:color="auto" w:sz="4" w:space="0"/>
              <w:bottom w:val="single" w:color="auto" w:sz="4" w:space="0"/>
              <w:right w:val="single" w:color="auto" w:sz="4" w:space="0"/>
            </w:tcBorders>
            <w:noWrap/>
            <w:vAlign w:val="center"/>
          </w:tcPr>
          <w:p w14:paraId="088167C4">
            <w:pPr>
              <w:spacing w:line="580" w:lineRule="exact"/>
              <w:jc w:val="center"/>
              <w:rPr>
                <w:rFonts w:hint="eastAsia" w:ascii="宋体" w:hAnsi="宋体" w:cs="宋体"/>
                <w:sz w:val="24"/>
              </w:rPr>
            </w:pPr>
            <w:r>
              <w:rPr>
                <w:rFonts w:hint="eastAsia" w:ascii="宋体" w:hAnsi="宋体" w:cs="宋体"/>
                <w:sz w:val="24"/>
              </w:rPr>
              <w:t>当期考核系数</w:t>
            </w:r>
          </w:p>
        </w:tc>
      </w:tr>
      <w:tr w14:paraId="56B4D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ign w:val="center"/>
          </w:tcPr>
          <w:p w14:paraId="31F2D297">
            <w:pPr>
              <w:spacing w:line="580" w:lineRule="exact"/>
              <w:jc w:val="center"/>
              <w:rPr>
                <w:rFonts w:hint="eastAsia" w:ascii="宋体" w:hAnsi="宋体" w:cs="宋体"/>
                <w:sz w:val="24"/>
              </w:rPr>
            </w:pPr>
            <w:r>
              <w:rPr>
                <w:rFonts w:hint="eastAsia" w:ascii="宋体" w:hAnsi="宋体" w:cs="宋体"/>
                <w:sz w:val="24"/>
              </w:rPr>
              <w:t>1</w:t>
            </w:r>
          </w:p>
        </w:tc>
        <w:tc>
          <w:tcPr>
            <w:tcW w:w="3402" w:type="dxa"/>
            <w:tcBorders>
              <w:top w:val="single" w:color="auto" w:sz="4" w:space="0"/>
              <w:left w:val="single" w:color="auto" w:sz="4" w:space="0"/>
              <w:bottom w:val="single" w:color="auto" w:sz="4" w:space="0"/>
              <w:right w:val="single" w:color="auto" w:sz="4" w:space="0"/>
            </w:tcBorders>
            <w:noWrap/>
            <w:vAlign w:val="center"/>
          </w:tcPr>
          <w:p w14:paraId="2658D76D">
            <w:pPr>
              <w:spacing w:line="580" w:lineRule="exact"/>
              <w:jc w:val="center"/>
              <w:rPr>
                <w:rFonts w:hint="eastAsia" w:ascii="宋体" w:hAnsi="宋体" w:cs="宋体"/>
                <w:sz w:val="24"/>
              </w:rPr>
            </w:pPr>
            <w:r>
              <w:rPr>
                <w:rFonts w:hint="eastAsia" w:ascii="宋体" w:hAnsi="宋体" w:cs="宋体"/>
                <w:sz w:val="24"/>
              </w:rPr>
              <w:t>85分以上</w:t>
            </w:r>
          </w:p>
        </w:tc>
        <w:tc>
          <w:tcPr>
            <w:tcW w:w="3311" w:type="dxa"/>
            <w:tcBorders>
              <w:top w:val="single" w:color="auto" w:sz="4" w:space="0"/>
              <w:left w:val="single" w:color="auto" w:sz="4" w:space="0"/>
              <w:bottom w:val="single" w:color="auto" w:sz="4" w:space="0"/>
              <w:right w:val="single" w:color="auto" w:sz="4" w:space="0"/>
            </w:tcBorders>
            <w:noWrap/>
            <w:vAlign w:val="center"/>
          </w:tcPr>
          <w:p w14:paraId="00A9C885">
            <w:pPr>
              <w:spacing w:line="580" w:lineRule="exact"/>
              <w:jc w:val="center"/>
              <w:rPr>
                <w:rFonts w:hint="eastAsia" w:ascii="宋体" w:hAnsi="宋体" w:cs="宋体"/>
                <w:sz w:val="24"/>
              </w:rPr>
            </w:pPr>
            <w:r>
              <w:rPr>
                <w:rFonts w:hint="eastAsia" w:ascii="宋体" w:hAnsi="宋体" w:cs="宋体"/>
                <w:sz w:val="24"/>
              </w:rPr>
              <w:t>100%</w:t>
            </w:r>
          </w:p>
        </w:tc>
      </w:tr>
      <w:tr w14:paraId="76EA8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ign w:val="center"/>
          </w:tcPr>
          <w:p w14:paraId="51891BE3">
            <w:pPr>
              <w:spacing w:line="580" w:lineRule="exact"/>
              <w:jc w:val="center"/>
              <w:rPr>
                <w:rFonts w:hint="eastAsia" w:ascii="宋体" w:hAnsi="宋体" w:cs="宋体"/>
                <w:sz w:val="24"/>
              </w:rPr>
            </w:pPr>
            <w:r>
              <w:rPr>
                <w:rFonts w:hint="eastAsia" w:ascii="宋体" w:hAnsi="宋体" w:cs="宋体"/>
                <w:sz w:val="24"/>
              </w:rPr>
              <w:t>2</w:t>
            </w:r>
          </w:p>
        </w:tc>
        <w:tc>
          <w:tcPr>
            <w:tcW w:w="3402" w:type="dxa"/>
            <w:tcBorders>
              <w:top w:val="single" w:color="auto" w:sz="4" w:space="0"/>
              <w:left w:val="single" w:color="auto" w:sz="4" w:space="0"/>
              <w:bottom w:val="single" w:color="auto" w:sz="4" w:space="0"/>
              <w:right w:val="single" w:color="auto" w:sz="4" w:space="0"/>
            </w:tcBorders>
            <w:noWrap/>
            <w:vAlign w:val="center"/>
          </w:tcPr>
          <w:p w14:paraId="72C5BBA4">
            <w:pPr>
              <w:spacing w:line="580" w:lineRule="exact"/>
              <w:jc w:val="center"/>
              <w:rPr>
                <w:rFonts w:hint="eastAsia" w:ascii="宋体" w:hAnsi="宋体" w:cs="宋体"/>
                <w:sz w:val="24"/>
              </w:rPr>
            </w:pPr>
            <w:r>
              <w:rPr>
                <w:rFonts w:hint="eastAsia" w:ascii="宋体" w:hAnsi="宋体" w:cs="宋体"/>
                <w:sz w:val="24"/>
              </w:rPr>
              <w:t>75—84分</w:t>
            </w:r>
          </w:p>
        </w:tc>
        <w:tc>
          <w:tcPr>
            <w:tcW w:w="3311" w:type="dxa"/>
            <w:tcBorders>
              <w:top w:val="single" w:color="auto" w:sz="4" w:space="0"/>
              <w:left w:val="single" w:color="auto" w:sz="4" w:space="0"/>
              <w:bottom w:val="single" w:color="auto" w:sz="4" w:space="0"/>
              <w:right w:val="single" w:color="auto" w:sz="4" w:space="0"/>
            </w:tcBorders>
            <w:noWrap/>
            <w:vAlign w:val="center"/>
          </w:tcPr>
          <w:p w14:paraId="74DFC742">
            <w:pPr>
              <w:spacing w:line="580" w:lineRule="exact"/>
              <w:jc w:val="center"/>
              <w:rPr>
                <w:rFonts w:hint="eastAsia" w:ascii="宋体" w:hAnsi="宋体" w:cs="宋体"/>
                <w:sz w:val="24"/>
              </w:rPr>
            </w:pPr>
            <w:r>
              <w:rPr>
                <w:rFonts w:hint="eastAsia" w:ascii="宋体" w:hAnsi="宋体" w:cs="宋体"/>
                <w:sz w:val="24"/>
              </w:rPr>
              <w:t>95%</w:t>
            </w:r>
          </w:p>
        </w:tc>
      </w:tr>
      <w:tr w14:paraId="39F1F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ign w:val="center"/>
          </w:tcPr>
          <w:p w14:paraId="4E122BF7">
            <w:pPr>
              <w:spacing w:line="580" w:lineRule="exact"/>
              <w:jc w:val="center"/>
              <w:rPr>
                <w:rFonts w:hint="eastAsia" w:ascii="宋体" w:hAnsi="宋体" w:cs="宋体"/>
                <w:sz w:val="24"/>
              </w:rPr>
            </w:pPr>
            <w:r>
              <w:rPr>
                <w:rFonts w:hint="eastAsia" w:ascii="宋体" w:hAnsi="宋体" w:cs="宋体"/>
                <w:sz w:val="24"/>
              </w:rPr>
              <w:t>3</w:t>
            </w:r>
          </w:p>
        </w:tc>
        <w:tc>
          <w:tcPr>
            <w:tcW w:w="3402" w:type="dxa"/>
            <w:tcBorders>
              <w:top w:val="single" w:color="auto" w:sz="4" w:space="0"/>
              <w:left w:val="single" w:color="auto" w:sz="4" w:space="0"/>
              <w:bottom w:val="single" w:color="auto" w:sz="4" w:space="0"/>
              <w:right w:val="single" w:color="auto" w:sz="4" w:space="0"/>
            </w:tcBorders>
            <w:noWrap/>
            <w:vAlign w:val="center"/>
          </w:tcPr>
          <w:p w14:paraId="68345B43">
            <w:pPr>
              <w:spacing w:line="580" w:lineRule="exact"/>
              <w:jc w:val="center"/>
              <w:rPr>
                <w:rFonts w:hint="eastAsia" w:ascii="宋体" w:hAnsi="宋体" w:cs="宋体"/>
                <w:sz w:val="24"/>
              </w:rPr>
            </w:pPr>
            <w:r>
              <w:rPr>
                <w:rFonts w:hint="eastAsia" w:ascii="宋体" w:hAnsi="宋体" w:cs="宋体"/>
                <w:sz w:val="24"/>
              </w:rPr>
              <w:t>74-65分</w:t>
            </w:r>
          </w:p>
        </w:tc>
        <w:tc>
          <w:tcPr>
            <w:tcW w:w="3311" w:type="dxa"/>
            <w:tcBorders>
              <w:top w:val="single" w:color="auto" w:sz="4" w:space="0"/>
              <w:left w:val="single" w:color="auto" w:sz="4" w:space="0"/>
              <w:bottom w:val="single" w:color="auto" w:sz="4" w:space="0"/>
              <w:right w:val="single" w:color="auto" w:sz="4" w:space="0"/>
            </w:tcBorders>
            <w:noWrap/>
            <w:vAlign w:val="center"/>
          </w:tcPr>
          <w:p w14:paraId="572B57FA">
            <w:pPr>
              <w:spacing w:line="580" w:lineRule="exact"/>
              <w:jc w:val="center"/>
              <w:rPr>
                <w:rFonts w:hint="eastAsia" w:ascii="宋体" w:hAnsi="宋体" w:cs="宋体"/>
                <w:sz w:val="24"/>
              </w:rPr>
            </w:pPr>
            <w:r>
              <w:rPr>
                <w:rFonts w:hint="eastAsia" w:ascii="宋体" w:hAnsi="宋体" w:cs="宋体"/>
                <w:sz w:val="24"/>
              </w:rPr>
              <w:t>90%</w:t>
            </w:r>
          </w:p>
        </w:tc>
      </w:tr>
      <w:tr w14:paraId="42E56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ign w:val="center"/>
          </w:tcPr>
          <w:p w14:paraId="1C0BFFB7">
            <w:pPr>
              <w:spacing w:line="580" w:lineRule="exact"/>
              <w:jc w:val="center"/>
              <w:rPr>
                <w:rFonts w:hint="eastAsia" w:ascii="宋体" w:hAnsi="宋体" w:cs="宋体"/>
                <w:sz w:val="24"/>
              </w:rPr>
            </w:pPr>
            <w:r>
              <w:rPr>
                <w:rFonts w:hint="eastAsia" w:ascii="宋体" w:hAnsi="宋体" w:cs="宋体"/>
                <w:sz w:val="24"/>
              </w:rPr>
              <w:t>4</w:t>
            </w:r>
          </w:p>
        </w:tc>
        <w:tc>
          <w:tcPr>
            <w:tcW w:w="3402" w:type="dxa"/>
            <w:tcBorders>
              <w:top w:val="single" w:color="auto" w:sz="4" w:space="0"/>
              <w:left w:val="single" w:color="auto" w:sz="4" w:space="0"/>
              <w:bottom w:val="single" w:color="auto" w:sz="4" w:space="0"/>
              <w:right w:val="single" w:color="auto" w:sz="4" w:space="0"/>
            </w:tcBorders>
            <w:noWrap/>
            <w:vAlign w:val="center"/>
          </w:tcPr>
          <w:p w14:paraId="045829C4">
            <w:pPr>
              <w:spacing w:line="580" w:lineRule="exact"/>
              <w:jc w:val="center"/>
              <w:rPr>
                <w:rFonts w:hint="eastAsia" w:ascii="宋体" w:hAnsi="宋体" w:cs="宋体"/>
                <w:sz w:val="24"/>
              </w:rPr>
            </w:pPr>
            <w:r>
              <w:rPr>
                <w:rFonts w:hint="eastAsia" w:ascii="宋体" w:hAnsi="宋体" w:cs="宋体"/>
                <w:sz w:val="24"/>
              </w:rPr>
              <w:t>64分以下</w:t>
            </w:r>
          </w:p>
        </w:tc>
        <w:tc>
          <w:tcPr>
            <w:tcW w:w="3311" w:type="dxa"/>
            <w:tcBorders>
              <w:top w:val="single" w:color="auto" w:sz="4" w:space="0"/>
              <w:left w:val="single" w:color="auto" w:sz="4" w:space="0"/>
              <w:bottom w:val="single" w:color="auto" w:sz="4" w:space="0"/>
              <w:right w:val="single" w:color="auto" w:sz="4" w:space="0"/>
            </w:tcBorders>
            <w:noWrap/>
            <w:vAlign w:val="center"/>
          </w:tcPr>
          <w:p w14:paraId="0BFDB7D4">
            <w:pPr>
              <w:spacing w:line="580" w:lineRule="exact"/>
              <w:jc w:val="center"/>
              <w:rPr>
                <w:rFonts w:hint="eastAsia" w:ascii="宋体" w:hAnsi="宋体" w:cs="宋体"/>
                <w:sz w:val="24"/>
              </w:rPr>
            </w:pPr>
            <w:r>
              <w:rPr>
                <w:rFonts w:hint="eastAsia" w:ascii="宋体" w:hAnsi="宋体" w:cs="宋体"/>
                <w:sz w:val="24"/>
              </w:rPr>
              <w:t>85%</w:t>
            </w:r>
          </w:p>
        </w:tc>
      </w:tr>
    </w:tbl>
    <w:p w14:paraId="4F3DD54D">
      <w:pPr>
        <w:adjustRightInd w:val="0"/>
        <w:snapToGrid w:val="0"/>
        <w:spacing w:line="360" w:lineRule="auto"/>
        <w:ind w:firstLine="360" w:firstLineChars="150"/>
        <w:rPr>
          <w:rFonts w:hint="eastAsia" w:ascii="宋体" w:hAnsi="宋体"/>
          <w:sz w:val="24"/>
        </w:rPr>
      </w:pPr>
    </w:p>
    <w:p w14:paraId="357730E5">
      <w:pPr>
        <w:adjustRightInd w:val="0"/>
        <w:snapToGrid w:val="0"/>
        <w:spacing w:line="360" w:lineRule="auto"/>
        <w:ind w:firstLine="360" w:firstLineChars="150"/>
        <w:rPr>
          <w:rFonts w:hint="eastAsia" w:ascii="宋体" w:hAnsi="宋体"/>
          <w:sz w:val="24"/>
        </w:rPr>
      </w:pPr>
      <w:r>
        <w:rPr>
          <w:rFonts w:hint="eastAsia" w:ascii="宋体" w:hAnsi="宋体"/>
          <w:sz w:val="24"/>
          <w:lang w:val="en-US" w:eastAsia="zh-CN"/>
        </w:rPr>
        <w:t>8</w:t>
      </w:r>
      <w:r>
        <w:rPr>
          <w:rFonts w:hint="eastAsia" w:ascii="宋体" w:hAnsi="宋体"/>
          <w:sz w:val="24"/>
        </w:rPr>
        <w:t>.以下乙方银行账户及账号为接收甲方支付的本合同项下全部款项的唯一账户及账号，乙方账户名称、账号、开户银行名称为：</w:t>
      </w:r>
    </w:p>
    <w:p w14:paraId="42E1EB7A">
      <w:pPr>
        <w:adjustRightInd w:val="0"/>
        <w:snapToGrid w:val="0"/>
        <w:spacing w:line="360" w:lineRule="auto"/>
        <w:ind w:firstLine="361" w:firstLineChars="150"/>
        <w:rPr>
          <w:rFonts w:hint="eastAsia" w:ascii="宋体" w:hAnsi="宋体"/>
          <w:b/>
          <w:bCs/>
          <w:sz w:val="24"/>
        </w:rPr>
      </w:pPr>
      <w:r>
        <w:rPr>
          <w:rFonts w:hint="eastAsia" w:ascii="宋体" w:hAnsi="宋体"/>
          <w:b/>
          <w:bCs/>
          <w:sz w:val="24"/>
        </w:rPr>
        <w:t>账户全称：</w:t>
      </w:r>
      <w:r>
        <w:rPr>
          <w:rFonts w:hint="eastAsia" w:ascii="宋体" w:hAnsi="宋体" w:cs="宋体"/>
          <w:b/>
          <w:bCs/>
          <w:sz w:val="24"/>
        </w:rPr>
        <w:t xml:space="preserve"> </w:t>
      </w:r>
    </w:p>
    <w:p w14:paraId="05A76E11">
      <w:pPr>
        <w:adjustRightInd w:val="0"/>
        <w:snapToGrid w:val="0"/>
        <w:spacing w:line="360" w:lineRule="auto"/>
        <w:ind w:firstLine="361" w:firstLineChars="150"/>
        <w:rPr>
          <w:rFonts w:hint="eastAsia" w:ascii="宋体" w:hAnsi="宋体"/>
          <w:b/>
          <w:bCs/>
          <w:sz w:val="24"/>
        </w:rPr>
      </w:pPr>
      <w:r>
        <w:rPr>
          <w:rFonts w:hint="eastAsia" w:ascii="宋体" w:hAnsi="宋体"/>
          <w:b/>
          <w:bCs/>
          <w:sz w:val="24"/>
        </w:rPr>
        <w:t xml:space="preserve">银行账号： </w:t>
      </w:r>
    </w:p>
    <w:p w14:paraId="2AED224F">
      <w:pPr>
        <w:adjustRightInd w:val="0"/>
        <w:snapToGrid w:val="0"/>
        <w:spacing w:line="360" w:lineRule="auto"/>
        <w:ind w:firstLine="361" w:firstLineChars="150"/>
        <w:rPr>
          <w:rFonts w:hint="eastAsia" w:ascii="宋体" w:hAnsi="宋体"/>
          <w:b/>
          <w:bCs/>
          <w:sz w:val="24"/>
        </w:rPr>
      </w:pPr>
      <w:r>
        <w:rPr>
          <w:rFonts w:hint="eastAsia" w:ascii="宋体" w:hAnsi="宋体"/>
          <w:b/>
          <w:bCs/>
          <w:sz w:val="24"/>
        </w:rPr>
        <w:t xml:space="preserve">开户银行： </w:t>
      </w:r>
    </w:p>
    <w:p w14:paraId="3B714978">
      <w:pPr>
        <w:adjustRightInd w:val="0"/>
        <w:snapToGrid w:val="0"/>
        <w:spacing w:line="360" w:lineRule="auto"/>
        <w:ind w:firstLine="360" w:firstLineChars="150"/>
        <w:rPr>
          <w:rFonts w:hint="eastAsia" w:ascii="宋体" w:hAnsi="宋体"/>
          <w:sz w:val="24"/>
        </w:rPr>
      </w:pPr>
      <w:r>
        <w:rPr>
          <w:rFonts w:hint="eastAsia" w:ascii="宋体" w:hAnsi="宋体"/>
          <w:sz w:val="24"/>
        </w:rPr>
        <w:t>如乙方的收款银行账户信息发生变更的，乙方应提前书面向甲方提供最新的收款银行账户信息，因乙方未及时提供最新或准确账户信息导致的一切后果均由乙方承担。</w:t>
      </w:r>
    </w:p>
    <w:p w14:paraId="480FC1F3">
      <w:pPr>
        <w:adjustRightInd w:val="0"/>
        <w:snapToGrid w:val="0"/>
        <w:spacing w:line="360" w:lineRule="auto"/>
        <w:ind w:firstLine="360" w:firstLineChars="150"/>
        <w:rPr>
          <w:rFonts w:hint="eastAsia" w:ascii="宋体" w:hAnsi="宋体"/>
          <w:sz w:val="24"/>
        </w:rPr>
      </w:pPr>
      <w:r>
        <w:rPr>
          <w:rFonts w:hint="eastAsia" w:ascii="宋体" w:hAnsi="宋体"/>
          <w:sz w:val="24"/>
          <w:lang w:val="en-US" w:eastAsia="zh-CN"/>
        </w:rPr>
        <w:t>9</w:t>
      </w:r>
      <w:r>
        <w:rPr>
          <w:rFonts w:ascii="宋体" w:hAnsi="宋体"/>
          <w:sz w:val="24"/>
        </w:rPr>
        <w:t>.</w:t>
      </w:r>
      <w:r>
        <w:rPr>
          <w:rFonts w:hint="eastAsia" w:ascii="宋体" w:hAnsi="宋体"/>
          <w:sz w:val="24"/>
        </w:rPr>
        <w:t>上述款项支付前，乙方均需按照甲方要求提前提供等额增值税专用发票及请款函，否则甲方有权不予付款。</w:t>
      </w:r>
    </w:p>
    <w:p w14:paraId="0F4C307E">
      <w:pPr>
        <w:pStyle w:val="22"/>
        <w:spacing w:line="360" w:lineRule="auto"/>
        <w:rPr>
          <w:rFonts w:hint="eastAsia" w:hAnsi="宋体" w:cs="宋体"/>
          <w:sz w:val="24"/>
        </w:rPr>
      </w:pPr>
      <w:r>
        <w:rPr>
          <w:rFonts w:hint="eastAsia" w:hAnsi="宋体" w:eastAsia="宋体"/>
          <w:sz w:val="24"/>
        </w:rPr>
        <w:t xml:space="preserve">   </w:t>
      </w:r>
      <w:r>
        <w:rPr>
          <w:rFonts w:hint="eastAsia" w:hAnsi="宋体" w:eastAsia="宋体"/>
          <w:sz w:val="24"/>
          <w:lang w:val="en-US" w:eastAsia="zh-CN"/>
        </w:rPr>
        <w:t>10</w:t>
      </w:r>
      <w:r>
        <w:rPr>
          <w:rFonts w:hint="eastAsia" w:hAnsi="宋体" w:eastAsia="宋体"/>
          <w:sz w:val="24"/>
        </w:rPr>
        <w:t>.若乙方于甲方支付上述各期款项时存在尚未向甲方缴纳的费用、违约金、罚款及赔偿费的，甲方有权在应向乙方支付的款项中予以扣减后，将剩余款项支付给乙方</w:t>
      </w:r>
      <w:r>
        <w:rPr>
          <w:rFonts w:hint="eastAsia" w:hAnsi="宋体" w:cs="宋体"/>
          <w:sz w:val="24"/>
        </w:rPr>
        <w:t>。</w:t>
      </w:r>
    </w:p>
    <w:p w14:paraId="11F2FDDC">
      <w:pPr>
        <w:pStyle w:val="22"/>
        <w:spacing w:line="360" w:lineRule="auto"/>
        <w:rPr>
          <w:rFonts w:hint="eastAsia" w:hAnsi="宋体" w:cs="宋体"/>
          <w:sz w:val="24"/>
        </w:rPr>
      </w:pPr>
    </w:p>
    <w:p w14:paraId="4B63A20B">
      <w:pPr>
        <w:pStyle w:val="99"/>
        <w:rPr>
          <w:rFonts w:hint="eastAsia"/>
        </w:rPr>
      </w:pPr>
      <w:r>
        <w:rPr>
          <w:rFonts w:hint="eastAsia"/>
        </w:rPr>
        <w:t>第五条  服务期限</w:t>
      </w:r>
    </w:p>
    <w:p w14:paraId="66FF8357">
      <w:pPr>
        <w:pStyle w:val="99"/>
        <w:rPr>
          <w:rFonts w:hint="eastAsia"/>
        </w:rPr>
      </w:pPr>
      <w:r>
        <w:t>1.</w:t>
      </w:r>
      <w:r>
        <w:rPr>
          <w:rFonts w:hint="eastAsia"/>
        </w:rPr>
        <w:t>本项目全过程造价咨询服务期限为：</w:t>
      </w:r>
      <w:r>
        <w:rPr>
          <w:u w:val="single"/>
        </w:rPr>
        <w:t>自</w:t>
      </w:r>
      <w:r>
        <w:rPr>
          <w:rFonts w:hint="eastAsia"/>
          <w:u w:val="single"/>
        </w:rPr>
        <w:t>签订本合同</w:t>
      </w:r>
      <w:r>
        <w:rPr>
          <w:u w:val="single"/>
        </w:rPr>
        <w:t>之日起至完成全部服务内容完成日止</w:t>
      </w:r>
      <w:r>
        <w:t>。</w:t>
      </w:r>
      <w:r>
        <w:rPr>
          <w:rFonts w:hint="eastAsia"/>
        </w:rPr>
        <w:t>甲方根据实际情况，有权对本项目服务期限进行适当调整。</w:t>
      </w:r>
    </w:p>
    <w:p w14:paraId="5970CE84">
      <w:pPr>
        <w:pStyle w:val="99"/>
        <w:rPr>
          <w:rFonts w:hint="eastAsia"/>
          <w:b w:val="0"/>
          <w:bCs w:val="0"/>
        </w:rPr>
      </w:pPr>
      <w:r>
        <w:rPr>
          <w:rFonts w:hint="eastAsia"/>
        </w:rPr>
        <w:t>第六条</w:t>
      </w:r>
      <w:r>
        <w:t xml:space="preserve"> </w:t>
      </w:r>
      <w:r>
        <w:rPr>
          <w:rFonts w:hint="eastAsia"/>
        </w:rPr>
        <w:t xml:space="preserve"> </w:t>
      </w:r>
      <w:r>
        <w:t>违约责任</w:t>
      </w:r>
    </w:p>
    <w:p w14:paraId="19456897">
      <w:pPr>
        <w:adjustRightInd w:val="0"/>
        <w:snapToGrid w:val="0"/>
        <w:spacing w:line="360" w:lineRule="auto"/>
        <w:ind w:firstLine="360" w:firstLineChars="150"/>
        <w:rPr>
          <w:rFonts w:hint="eastAsia" w:ascii="宋体" w:hAnsi="宋体"/>
          <w:snapToGrid w:val="0"/>
          <w:kern w:val="0"/>
          <w:sz w:val="24"/>
        </w:rPr>
      </w:pPr>
      <w:r>
        <w:rPr>
          <w:rFonts w:hint="eastAsia" w:ascii="宋体" w:hAnsi="宋体"/>
          <w:snapToGrid w:val="0"/>
          <w:kern w:val="0"/>
          <w:sz w:val="24"/>
        </w:rPr>
        <w:t>（一）本合同一经生效，除法律、法规规定或本合同约定外，不得擅自解除。擅自解除合同属违约行为，违约方应向守约方支付本合同暂定价的</w:t>
      </w:r>
      <w:r>
        <w:rPr>
          <w:rFonts w:ascii="宋体" w:hAnsi="宋体"/>
          <w:snapToGrid w:val="0"/>
          <w:kern w:val="0"/>
          <w:sz w:val="24"/>
          <w:u w:val="single"/>
        </w:rPr>
        <w:t>20</w:t>
      </w:r>
      <w:r>
        <w:rPr>
          <w:rFonts w:ascii="宋体" w:hAnsi="宋体"/>
          <w:snapToGrid w:val="0"/>
          <w:kern w:val="0"/>
          <w:sz w:val="24"/>
        </w:rPr>
        <w:t>%作为违约金。</w:t>
      </w:r>
    </w:p>
    <w:p w14:paraId="7C32D7FB">
      <w:pPr>
        <w:adjustRightInd w:val="0"/>
        <w:snapToGrid w:val="0"/>
        <w:spacing w:line="360" w:lineRule="auto"/>
        <w:ind w:firstLine="360" w:firstLineChars="150"/>
        <w:rPr>
          <w:rFonts w:hint="eastAsia" w:ascii="宋体" w:hAnsi="宋体"/>
          <w:snapToGrid w:val="0"/>
          <w:kern w:val="0"/>
          <w:sz w:val="24"/>
        </w:rPr>
      </w:pPr>
      <w:r>
        <w:rPr>
          <w:rFonts w:hint="eastAsia" w:ascii="宋体" w:hAnsi="宋体"/>
          <w:snapToGrid w:val="0"/>
          <w:kern w:val="0"/>
          <w:sz w:val="24"/>
        </w:rPr>
        <w:t>（二）若甲方未按合同约定及时提供乙方开展编制工作所需要准确有效的技术资料、基础资料等相关资料，或者由于甲方变更计划，致使乙方不能按本合同约定时间完成造价咨询工作的，经乙方书面申请并经甲方</w:t>
      </w:r>
      <w:r>
        <w:rPr>
          <w:rFonts w:hint="eastAsia" w:ascii="宋体" w:hAnsi="宋体"/>
          <w:snapToGrid w:val="0"/>
          <w:kern w:val="0"/>
          <w:sz w:val="24"/>
          <w:lang w:val="en-US" w:eastAsia="zh-CN"/>
        </w:rPr>
        <w:t>书面</w:t>
      </w:r>
      <w:r>
        <w:rPr>
          <w:rFonts w:hint="eastAsia" w:ascii="宋体" w:hAnsi="宋体"/>
          <w:snapToGrid w:val="0"/>
          <w:kern w:val="0"/>
          <w:sz w:val="24"/>
        </w:rPr>
        <w:t>确认后，甲方应按乙方的实际情况顺延时间。</w:t>
      </w:r>
    </w:p>
    <w:p w14:paraId="5DBFAC6A">
      <w:pPr>
        <w:adjustRightInd w:val="0"/>
        <w:snapToGrid w:val="0"/>
        <w:spacing w:line="360" w:lineRule="auto"/>
        <w:ind w:firstLine="360" w:firstLineChars="150"/>
        <w:rPr>
          <w:rFonts w:hint="eastAsia" w:ascii="宋体" w:hAnsi="宋体"/>
          <w:snapToGrid w:val="0"/>
          <w:kern w:val="0"/>
          <w:sz w:val="24"/>
        </w:rPr>
      </w:pPr>
      <w:r>
        <w:rPr>
          <w:rFonts w:hint="eastAsia" w:ascii="宋体" w:hAnsi="宋体"/>
          <w:snapToGrid w:val="0"/>
          <w:kern w:val="0"/>
          <w:sz w:val="24"/>
        </w:rPr>
        <w:t>（三）若因乙方的原因未按本合同第三条约定的期限内完成造价咨询工作（包括因乙方提供的成果资料不符合本合同要求而需修改、重做导致逾期完成造价咨询工作的情形），属于违约行为。乙方每逾期</w:t>
      </w:r>
      <w:r>
        <w:rPr>
          <w:rFonts w:ascii="宋体" w:hAnsi="宋体"/>
          <w:snapToGrid w:val="0"/>
          <w:kern w:val="0"/>
          <w:sz w:val="24"/>
          <w:u w:val="single"/>
        </w:rPr>
        <w:t>1</w:t>
      </w:r>
      <w:r>
        <w:rPr>
          <w:rFonts w:ascii="宋体" w:hAnsi="宋体"/>
          <w:snapToGrid w:val="0"/>
          <w:kern w:val="0"/>
          <w:sz w:val="24"/>
        </w:rPr>
        <w:t>个日历天，</w:t>
      </w:r>
      <w:r>
        <w:rPr>
          <w:rFonts w:hint="eastAsia" w:ascii="宋体" w:hAnsi="宋体"/>
          <w:snapToGrid w:val="0"/>
          <w:kern w:val="0"/>
          <w:sz w:val="24"/>
        </w:rPr>
        <w:t>应向甲方支付5000元作为违约金；逾期满</w:t>
      </w:r>
      <w:r>
        <w:rPr>
          <w:rFonts w:ascii="宋体" w:hAnsi="宋体"/>
          <w:snapToGrid w:val="0"/>
          <w:kern w:val="0"/>
          <w:sz w:val="24"/>
          <w:u w:val="single"/>
        </w:rPr>
        <w:t>15</w:t>
      </w:r>
      <w:r>
        <w:rPr>
          <w:rFonts w:hint="eastAsia" w:ascii="宋体" w:hAnsi="宋体"/>
          <w:snapToGrid w:val="0"/>
          <w:kern w:val="0"/>
          <w:sz w:val="24"/>
        </w:rPr>
        <w:t>个日历天或是乙方实际工作进度严重滞后时，甲方有权单方面解除合同，要求乙方退还所有服务费用并支付本合同暂定价的</w:t>
      </w:r>
      <w:r>
        <w:rPr>
          <w:rFonts w:ascii="宋体" w:hAnsi="宋体"/>
          <w:snapToGrid w:val="0"/>
          <w:kern w:val="0"/>
          <w:sz w:val="24"/>
          <w:u w:val="single"/>
        </w:rPr>
        <w:t>20</w:t>
      </w:r>
      <w:r>
        <w:rPr>
          <w:rFonts w:ascii="宋体" w:hAnsi="宋体"/>
          <w:snapToGrid w:val="0"/>
          <w:kern w:val="0"/>
          <w:sz w:val="24"/>
        </w:rPr>
        <w:t>%作为违约金。</w:t>
      </w:r>
    </w:p>
    <w:p w14:paraId="623B5B31">
      <w:pPr>
        <w:adjustRightInd w:val="0"/>
        <w:snapToGrid w:val="0"/>
        <w:spacing w:line="360" w:lineRule="auto"/>
        <w:ind w:firstLine="360" w:firstLineChars="150"/>
        <w:rPr>
          <w:rFonts w:hint="eastAsia" w:ascii="宋体" w:hAnsi="宋体"/>
          <w:snapToGrid w:val="0"/>
          <w:kern w:val="0"/>
          <w:sz w:val="24"/>
        </w:rPr>
      </w:pPr>
      <w:r>
        <w:rPr>
          <w:rFonts w:hint="eastAsia" w:ascii="宋体" w:hAnsi="宋体"/>
          <w:snapToGrid w:val="0"/>
          <w:kern w:val="0"/>
          <w:sz w:val="24"/>
        </w:rPr>
        <w:t>（四）未经甲方书面同意，乙方不得私自转包、分包造价咨询工作任务。若乙方私自转包、分包造价咨询工作任务，视为严重违约，甲方有权解除本合同，除扣除全额费用外，乙方应按合同暂定价的</w:t>
      </w:r>
      <w:r>
        <w:rPr>
          <w:rFonts w:ascii="宋体" w:hAnsi="宋体"/>
          <w:snapToGrid w:val="0"/>
          <w:kern w:val="0"/>
          <w:sz w:val="24"/>
          <w:u w:val="single"/>
        </w:rPr>
        <w:t>20</w:t>
      </w:r>
      <w:r>
        <w:rPr>
          <w:rFonts w:ascii="宋体" w:hAnsi="宋体"/>
          <w:snapToGrid w:val="0"/>
          <w:kern w:val="0"/>
          <w:sz w:val="24"/>
        </w:rPr>
        <w:t>%</w:t>
      </w:r>
      <w:r>
        <w:rPr>
          <w:rFonts w:hint="eastAsia" w:ascii="宋体" w:hAnsi="宋体"/>
          <w:snapToGrid w:val="0"/>
          <w:kern w:val="0"/>
          <w:sz w:val="24"/>
        </w:rPr>
        <w:t>向甲方支付违约金，并且还需承担由此造成的工期、技术及其它一切损失。</w:t>
      </w:r>
    </w:p>
    <w:p w14:paraId="2F31F1E2">
      <w:pPr>
        <w:spacing w:line="360" w:lineRule="auto"/>
        <w:ind w:firstLine="360" w:firstLineChars="150"/>
        <w:rPr>
          <w:rFonts w:hint="eastAsia" w:ascii="宋体" w:hAnsi="宋体"/>
          <w:strike/>
          <w:sz w:val="24"/>
        </w:rPr>
      </w:pPr>
      <w:r>
        <w:rPr>
          <w:rFonts w:hint="eastAsia" w:ascii="宋体" w:hAnsi="宋体"/>
          <w:snapToGrid w:val="0"/>
          <w:kern w:val="0"/>
          <w:sz w:val="24"/>
        </w:rPr>
        <w:t>（五）</w:t>
      </w:r>
      <w:r>
        <w:rPr>
          <w:rFonts w:hint="eastAsia" w:ascii="宋体" w:hAnsi="宋体"/>
          <w:sz w:val="24"/>
        </w:rPr>
        <w:t>在造价咨询过程中，乙方有失职行为，在造价咨询责任范围内出现重大问题造成经济损失的，</w:t>
      </w:r>
      <w:r>
        <w:rPr>
          <w:rFonts w:hint="eastAsia" w:ascii="宋体" w:hAnsi="宋体"/>
          <w:snapToGrid w:val="0"/>
          <w:kern w:val="0"/>
          <w:sz w:val="24"/>
        </w:rPr>
        <w:t>乙方</w:t>
      </w:r>
      <w:r>
        <w:rPr>
          <w:rFonts w:hint="eastAsia" w:ascii="宋体" w:hAnsi="宋体"/>
          <w:sz w:val="24"/>
        </w:rPr>
        <w:t>应承担相应责任，除免收损失部分咨询费外，还应付与直接损失等额的赔偿金。</w:t>
      </w:r>
    </w:p>
    <w:p w14:paraId="7D347A1A">
      <w:pPr>
        <w:spacing w:line="360" w:lineRule="auto"/>
        <w:ind w:firstLine="480" w:firstLineChars="200"/>
        <w:rPr>
          <w:rFonts w:hint="eastAsia" w:ascii="宋体" w:hAnsi="宋体"/>
          <w:sz w:val="24"/>
        </w:rPr>
      </w:pPr>
      <w:r>
        <w:rPr>
          <w:rFonts w:hint="eastAsia" w:ascii="宋体" w:hAnsi="宋体"/>
          <w:snapToGrid w:val="0"/>
          <w:kern w:val="0"/>
          <w:sz w:val="24"/>
        </w:rPr>
        <w:t>（六）乙方</w:t>
      </w:r>
      <w:r>
        <w:rPr>
          <w:rFonts w:hint="eastAsia" w:ascii="宋体" w:hAnsi="宋体"/>
          <w:sz w:val="24"/>
        </w:rPr>
        <w:t>应当对造价咨询成果质量负相应的咨询责任，但不代替设计单位承担设计质量责任。对玩忽职守、徇私舞弊、贪污受贿的咨询人员和机构，由建设行政主管部门依法给予暂停或者吊销其咨询审查资格，并处以相应的经济处罚；同时造成甲方损失的，由</w:t>
      </w:r>
      <w:r>
        <w:rPr>
          <w:rFonts w:hint="eastAsia" w:ascii="宋体" w:hAnsi="宋体"/>
          <w:snapToGrid w:val="0"/>
          <w:kern w:val="0"/>
          <w:sz w:val="24"/>
        </w:rPr>
        <w:t>乙方</w:t>
      </w:r>
      <w:r>
        <w:rPr>
          <w:rFonts w:hint="eastAsia" w:ascii="宋体" w:hAnsi="宋体"/>
          <w:sz w:val="24"/>
        </w:rPr>
        <w:t>承担全部赔偿责任。构成犯罪的，依法追究其刑事责任。</w:t>
      </w:r>
    </w:p>
    <w:p w14:paraId="0B140987">
      <w:pPr>
        <w:spacing w:line="360" w:lineRule="auto"/>
        <w:ind w:firstLine="480" w:firstLineChars="200"/>
        <w:rPr>
          <w:rFonts w:hint="eastAsia" w:ascii="宋体" w:hAnsi="宋体"/>
          <w:sz w:val="24"/>
        </w:rPr>
      </w:pPr>
      <w:r>
        <w:rPr>
          <w:rFonts w:hint="eastAsia" w:ascii="宋体" w:hAnsi="宋体"/>
          <w:snapToGrid w:val="0"/>
          <w:kern w:val="0"/>
          <w:sz w:val="24"/>
        </w:rPr>
        <w:t>（七）乙方</w:t>
      </w:r>
      <w:r>
        <w:rPr>
          <w:rFonts w:hint="eastAsia" w:ascii="宋体" w:hAnsi="宋体"/>
          <w:sz w:val="24"/>
        </w:rPr>
        <w:t>向甲方提出赔偿要求不能成立时，则应补偿甲方由于该赔偿或其他要求所导致的各种费用的支出。</w:t>
      </w:r>
    </w:p>
    <w:p w14:paraId="05CC40FF">
      <w:pPr>
        <w:spacing w:line="360" w:lineRule="auto"/>
        <w:ind w:firstLine="480" w:firstLineChars="200"/>
        <w:rPr>
          <w:rFonts w:hint="eastAsia" w:ascii="宋体" w:hAnsi="宋体"/>
          <w:sz w:val="24"/>
        </w:rPr>
      </w:pPr>
      <w:r>
        <w:rPr>
          <w:rFonts w:hint="eastAsia" w:ascii="宋体" w:hAnsi="宋体"/>
          <w:snapToGrid w:val="0"/>
          <w:kern w:val="0"/>
          <w:sz w:val="24"/>
        </w:rPr>
        <w:t>（八）</w:t>
      </w:r>
      <w:r>
        <w:rPr>
          <w:rFonts w:hint="eastAsia" w:ascii="宋体" w:hAnsi="宋体"/>
          <w:sz w:val="24"/>
        </w:rPr>
        <w:t>甲方将对乙方提交的成果资料进行复核审查，乙方应积极配合甲方复核工作，并根据审查结果承担违约责任并支付违约金。</w:t>
      </w:r>
    </w:p>
    <w:p w14:paraId="1F77ECF5">
      <w:pPr>
        <w:adjustRightInd w:val="0"/>
        <w:snapToGrid w:val="0"/>
        <w:spacing w:line="360" w:lineRule="auto"/>
        <w:ind w:firstLine="480" w:firstLineChars="200"/>
        <w:rPr>
          <w:rFonts w:hint="eastAsia" w:ascii="宋体" w:hAnsi="宋体"/>
          <w:snapToGrid w:val="0"/>
          <w:kern w:val="0"/>
          <w:sz w:val="24"/>
        </w:rPr>
      </w:pPr>
      <w:r>
        <w:rPr>
          <w:rFonts w:hint="eastAsia" w:ascii="宋体" w:hAnsi="宋体"/>
          <w:snapToGrid w:val="0"/>
          <w:kern w:val="0"/>
          <w:sz w:val="24"/>
        </w:rPr>
        <w:t>（九）合同履行过程中，对乙方服务配合不及时的情形（或出具成果质量差，或进度严重滞后，或审价过程存在违法违纪行为等情形的)，甲方有权随时</w:t>
      </w:r>
      <w:r>
        <w:rPr>
          <w:rFonts w:hint="eastAsia" w:ascii="宋体" w:hAnsi="宋体"/>
          <w:snapToGrid w:val="0"/>
          <w:kern w:val="0"/>
          <w:sz w:val="24"/>
          <w:lang w:val="en-US" w:eastAsia="zh-CN"/>
        </w:rPr>
        <w:t>要求</w:t>
      </w:r>
      <w:r>
        <w:rPr>
          <w:rFonts w:hint="eastAsia" w:ascii="宋体" w:hAnsi="宋体"/>
          <w:snapToGrid w:val="0"/>
          <w:kern w:val="0"/>
          <w:sz w:val="24"/>
        </w:rPr>
        <w:t>约见乙方的法定代表人，乙方不得拒绝，否则按本合同约定工作报酬总额的5%(且不得少于20万元）向甲方支付违约金。乙方的法定代表人</w:t>
      </w:r>
      <w:r>
        <w:rPr>
          <w:rFonts w:ascii="宋体" w:hAnsi="宋体"/>
          <w:snapToGrid w:val="0"/>
          <w:kern w:val="0"/>
          <w:sz w:val="24"/>
        </w:rPr>
        <w:t>无正当理由拒绝</w:t>
      </w:r>
      <w:r>
        <w:rPr>
          <w:rFonts w:hint="eastAsia" w:ascii="宋体" w:hAnsi="宋体"/>
          <w:snapToGrid w:val="0"/>
          <w:kern w:val="0"/>
          <w:sz w:val="24"/>
        </w:rPr>
        <w:t>约见累计</w:t>
      </w:r>
      <w:r>
        <w:rPr>
          <w:rFonts w:ascii="宋体" w:hAnsi="宋体"/>
          <w:snapToGrid w:val="0"/>
          <w:kern w:val="0"/>
          <w:sz w:val="24"/>
          <w:u w:val="single"/>
        </w:rPr>
        <w:t>3</w:t>
      </w:r>
      <w:r>
        <w:rPr>
          <w:rFonts w:ascii="宋体" w:hAnsi="宋体"/>
          <w:snapToGrid w:val="0"/>
          <w:kern w:val="0"/>
          <w:sz w:val="24"/>
        </w:rPr>
        <w:t>次及以上的，</w:t>
      </w:r>
      <w:r>
        <w:rPr>
          <w:rFonts w:hint="eastAsia" w:ascii="宋体" w:hAnsi="宋体"/>
          <w:snapToGrid w:val="0"/>
          <w:kern w:val="0"/>
          <w:sz w:val="24"/>
        </w:rPr>
        <w:t>视为严重违约，</w:t>
      </w:r>
      <w:r>
        <w:rPr>
          <w:rFonts w:ascii="宋体" w:hAnsi="宋体"/>
          <w:snapToGrid w:val="0"/>
          <w:kern w:val="0"/>
          <w:sz w:val="24"/>
        </w:rPr>
        <w:t>甲方有权解除合同，</w:t>
      </w:r>
      <w:r>
        <w:rPr>
          <w:rFonts w:hint="eastAsia" w:ascii="宋体" w:hAnsi="宋体"/>
          <w:snapToGrid w:val="0"/>
          <w:kern w:val="0"/>
          <w:sz w:val="24"/>
        </w:rPr>
        <w:t>要求乙方退还所有已支付服务费用并支付本合同暂定价的</w:t>
      </w:r>
      <w:r>
        <w:rPr>
          <w:rFonts w:ascii="宋体" w:hAnsi="宋体"/>
          <w:snapToGrid w:val="0"/>
          <w:kern w:val="0"/>
          <w:sz w:val="24"/>
          <w:u w:val="single"/>
        </w:rPr>
        <w:t>20</w:t>
      </w:r>
      <w:r>
        <w:rPr>
          <w:rFonts w:ascii="宋体" w:hAnsi="宋体"/>
          <w:snapToGrid w:val="0"/>
          <w:kern w:val="0"/>
          <w:sz w:val="24"/>
        </w:rPr>
        <w:t>%作为违约金</w:t>
      </w:r>
      <w:r>
        <w:rPr>
          <w:rFonts w:hint="eastAsia" w:ascii="宋体" w:hAnsi="宋体"/>
          <w:snapToGrid w:val="0"/>
          <w:kern w:val="0"/>
          <w:sz w:val="24"/>
        </w:rPr>
        <w:t>，</w:t>
      </w:r>
      <w:r>
        <w:rPr>
          <w:rFonts w:ascii="宋体" w:hAnsi="宋体"/>
          <w:snapToGrid w:val="0"/>
          <w:kern w:val="0"/>
          <w:sz w:val="24"/>
        </w:rPr>
        <w:t>将本工程另行发包，并不免除乙方的违约赔偿责任，甲方有权书面通知乙方或者在相关网站上公示并抄送行政监督部门，拒绝乙方参与以后甲方所负责的工程系统内投标资格。</w:t>
      </w:r>
    </w:p>
    <w:p w14:paraId="5428ADE1">
      <w:pPr>
        <w:snapToGrid w:val="0"/>
        <w:spacing w:line="360" w:lineRule="auto"/>
        <w:ind w:firstLine="480" w:firstLineChars="200"/>
      </w:pPr>
      <w:r>
        <w:rPr>
          <w:rFonts w:hint="eastAsia" w:ascii="宋体" w:hAnsi="宋体"/>
          <w:snapToGrid w:val="0"/>
          <w:kern w:val="0"/>
          <w:sz w:val="24"/>
        </w:rPr>
        <w:t>（十）若项目造价咨询过程中乙方配备人员达不到甲方的要求，乙方应按甲方要求配齐人员，每缺一人甲方有权要求乙方每人每次支付本合同暂定价的</w:t>
      </w:r>
      <w:r>
        <w:rPr>
          <w:rFonts w:hint="eastAsia" w:ascii="宋体" w:hAnsi="宋体"/>
          <w:snapToGrid w:val="0"/>
          <w:kern w:val="0"/>
          <w:sz w:val="24"/>
          <w:lang w:val="en-US" w:eastAsia="zh-CN"/>
        </w:rPr>
        <w:t>1</w:t>
      </w:r>
      <w:r>
        <w:rPr>
          <w:rFonts w:hint="eastAsia" w:ascii="宋体" w:hAnsi="宋体"/>
          <w:snapToGrid w:val="0"/>
          <w:kern w:val="0"/>
          <w:sz w:val="24"/>
        </w:rPr>
        <w:t>%作为违约金，且配备人员需满足甲方工作要求；若项目造价咨询过程中甲方认为乙方配备人员</w:t>
      </w:r>
      <w:r>
        <w:rPr>
          <w:rFonts w:hint="eastAsia" w:ascii="宋体" w:hAnsi="宋体"/>
          <w:sz w:val="24"/>
        </w:rPr>
        <w:t>不符合本合同约定</w:t>
      </w:r>
      <w:r>
        <w:rPr>
          <w:rFonts w:hint="eastAsia" w:ascii="宋体" w:hAnsi="宋体"/>
          <w:sz w:val="24"/>
          <w:lang w:eastAsia="zh-CN"/>
        </w:rPr>
        <w:t>、</w:t>
      </w:r>
      <w:r>
        <w:rPr>
          <w:rFonts w:hint="eastAsia" w:ascii="宋体" w:hAnsi="宋体"/>
          <w:snapToGrid w:val="0"/>
          <w:kern w:val="0"/>
          <w:sz w:val="24"/>
        </w:rPr>
        <w:t>达不到甲方的要求</w:t>
      </w:r>
      <w:r>
        <w:rPr>
          <w:rFonts w:hint="eastAsia" w:ascii="宋体" w:hAnsi="宋体"/>
          <w:sz w:val="24"/>
        </w:rPr>
        <w:t>或者无法胜任本合同项下服务内容</w:t>
      </w:r>
      <w:r>
        <w:rPr>
          <w:rFonts w:hint="eastAsia" w:ascii="宋体" w:hAnsi="宋体"/>
          <w:snapToGrid w:val="0"/>
          <w:kern w:val="0"/>
          <w:sz w:val="24"/>
        </w:rPr>
        <w:t>，</w:t>
      </w:r>
      <w:r>
        <w:rPr>
          <w:rFonts w:hint="eastAsia" w:ascii="宋体" w:hAnsi="宋体"/>
          <w:sz w:val="24"/>
        </w:rPr>
        <w:t>或存在其他不适宜继续提供本合同项下相关服务等情况的，</w:t>
      </w:r>
      <w:r>
        <w:rPr>
          <w:rFonts w:hint="eastAsia" w:ascii="宋体" w:hAnsi="宋体"/>
          <w:snapToGrid w:val="0"/>
          <w:kern w:val="0"/>
          <w:sz w:val="24"/>
        </w:rPr>
        <w:t>甲方</w:t>
      </w:r>
      <w:r>
        <w:rPr>
          <w:rFonts w:hint="eastAsia" w:ascii="宋体" w:hAnsi="宋体"/>
          <w:snapToGrid w:val="0"/>
          <w:kern w:val="0"/>
          <w:sz w:val="24"/>
          <w:u w:val="single"/>
        </w:rPr>
        <w:t>有权随时要求乙方撤换工作不力及不合格的项目负责人和专业技术人员，</w:t>
      </w:r>
      <w:r>
        <w:rPr>
          <w:rFonts w:hint="eastAsia" w:ascii="宋体" w:hAnsi="宋体"/>
          <w:sz w:val="24"/>
        </w:rPr>
        <w:t>乙方必须在收到甲方通知之日的</w:t>
      </w:r>
      <w:r>
        <w:rPr>
          <w:rFonts w:hint="eastAsia" w:ascii="宋体" w:hAnsi="宋体"/>
          <w:sz w:val="24"/>
          <w:u w:val="single"/>
        </w:rPr>
        <w:t xml:space="preserve">   </w:t>
      </w:r>
      <w:r>
        <w:rPr>
          <w:rFonts w:hint="eastAsia" w:ascii="宋体" w:hAnsi="宋体"/>
          <w:sz w:val="24"/>
        </w:rPr>
        <w:t>日内</w:t>
      </w:r>
      <w:r>
        <w:rPr>
          <w:rFonts w:hint="eastAsia" w:ascii="宋体" w:hAnsi="宋体"/>
          <w:sz w:val="24"/>
          <w:lang w:val="en-US" w:eastAsia="zh-CN"/>
        </w:rPr>
        <w:t>更换相关人员，</w:t>
      </w:r>
      <w:r>
        <w:rPr>
          <w:rFonts w:hint="eastAsia" w:ascii="宋体" w:hAnsi="宋体"/>
          <w:snapToGrid w:val="0"/>
          <w:kern w:val="0"/>
          <w:sz w:val="24"/>
          <w:u w:val="single"/>
        </w:rPr>
        <w:t>并有权要求乙方每人每次支付本</w:t>
      </w:r>
      <w:r>
        <w:rPr>
          <w:rFonts w:hint="eastAsia" w:ascii="宋体" w:hAnsi="宋体"/>
          <w:snapToGrid w:val="0"/>
          <w:kern w:val="0"/>
          <w:sz w:val="24"/>
        </w:rPr>
        <w:t>合同暂定价</w:t>
      </w:r>
      <w:r>
        <w:rPr>
          <w:rFonts w:hint="eastAsia" w:ascii="宋体" w:hAnsi="宋体"/>
          <w:snapToGrid w:val="0"/>
          <w:kern w:val="0"/>
          <w:sz w:val="24"/>
          <w:u w:val="single"/>
        </w:rPr>
        <w:t>的</w:t>
      </w:r>
      <w:r>
        <w:rPr>
          <w:rFonts w:hint="eastAsia" w:ascii="宋体" w:hAnsi="宋体"/>
          <w:snapToGrid w:val="0"/>
          <w:kern w:val="0"/>
          <w:sz w:val="24"/>
          <w:u w:val="single"/>
          <w:lang w:val="en-US" w:eastAsia="zh-CN"/>
        </w:rPr>
        <w:t>1</w:t>
      </w:r>
      <w:r>
        <w:rPr>
          <w:rFonts w:ascii="宋体" w:hAnsi="宋体"/>
          <w:snapToGrid w:val="0"/>
          <w:kern w:val="0"/>
          <w:sz w:val="24"/>
          <w:u w:val="single"/>
        </w:rPr>
        <w:t>%作为违约金</w:t>
      </w:r>
      <w:r>
        <w:rPr>
          <w:rFonts w:hint="eastAsia" w:ascii="宋体" w:hAnsi="宋体"/>
          <w:snapToGrid w:val="0"/>
          <w:kern w:val="0"/>
          <w:sz w:val="24"/>
          <w:u w:val="single"/>
        </w:rPr>
        <w:t>。若乙方经更换人员三次或三次以上仍未达到甲方要求的，视为严重违约，甲方有权解除本合同，</w:t>
      </w:r>
      <w:r>
        <w:rPr>
          <w:rFonts w:hint="eastAsia" w:ascii="宋体" w:hAnsi="宋体"/>
          <w:snapToGrid w:val="0"/>
          <w:kern w:val="0"/>
          <w:sz w:val="24"/>
        </w:rPr>
        <w:t>要求乙方退还所有服务费用并支付本合同暂定价的</w:t>
      </w:r>
      <w:r>
        <w:rPr>
          <w:rFonts w:hint="eastAsia" w:ascii="宋体" w:hAnsi="宋体"/>
          <w:snapToGrid w:val="0"/>
          <w:kern w:val="0"/>
          <w:sz w:val="24"/>
          <w:u w:val="single"/>
          <w:lang w:val="en-US" w:eastAsia="zh-CN"/>
        </w:rPr>
        <w:t>1</w:t>
      </w:r>
      <w:r>
        <w:rPr>
          <w:rFonts w:ascii="宋体" w:hAnsi="宋体"/>
          <w:snapToGrid w:val="0"/>
          <w:kern w:val="0"/>
          <w:sz w:val="24"/>
          <w:u w:val="single"/>
        </w:rPr>
        <w:t>0</w:t>
      </w:r>
      <w:r>
        <w:rPr>
          <w:rFonts w:ascii="宋体" w:hAnsi="宋体"/>
          <w:snapToGrid w:val="0"/>
          <w:kern w:val="0"/>
          <w:sz w:val="24"/>
        </w:rPr>
        <w:t>%作为违约金</w:t>
      </w:r>
      <w:r>
        <w:rPr>
          <w:rFonts w:hint="eastAsia" w:ascii="宋体" w:hAnsi="宋体"/>
          <w:snapToGrid w:val="0"/>
          <w:kern w:val="0"/>
          <w:sz w:val="24"/>
          <w:u w:val="single"/>
        </w:rPr>
        <w:t>，</w:t>
      </w:r>
      <w:r>
        <w:rPr>
          <w:rFonts w:hint="eastAsia" w:ascii="宋体" w:hAnsi="宋体"/>
          <w:sz w:val="24"/>
          <w:u w:val="single"/>
        </w:rPr>
        <w:t>甲</w:t>
      </w:r>
      <w:r>
        <w:rPr>
          <w:rFonts w:hint="eastAsia" w:ascii="宋体" w:hAnsi="宋体"/>
          <w:snapToGrid w:val="0"/>
          <w:kern w:val="0"/>
          <w:sz w:val="24"/>
          <w:u w:val="single"/>
        </w:rPr>
        <w:t>方有权书面通知乙方或者在相关网站上公示并抄送行政监督部门，拒绝乙方参与以后甲方所负责的工程系统内投标资格</w:t>
      </w:r>
      <w:r>
        <w:rPr>
          <w:rFonts w:hint="eastAsia" w:ascii="宋体" w:hAnsi="宋体"/>
          <w:snapToGrid w:val="0"/>
          <w:kern w:val="0"/>
          <w:sz w:val="24"/>
        </w:rPr>
        <w:t>。</w:t>
      </w:r>
    </w:p>
    <w:p w14:paraId="0A401E34">
      <w:pPr>
        <w:adjustRightInd w:val="0"/>
        <w:snapToGrid w:val="0"/>
        <w:spacing w:line="360" w:lineRule="auto"/>
        <w:ind w:firstLine="480" w:firstLineChars="200"/>
        <w:rPr>
          <w:rFonts w:hint="eastAsia" w:ascii="宋体" w:hAnsi="宋体"/>
          <w:snapToGrid w:val="0"/>
          <w:kern w:val="0"/>
          <w:sz w:val="24"/>
        </w:rPr>
      </w:pPr>
      <w:r>
        <w:rPr>
          <w:rFonts w:hint="eastAsia" w:ascii="宋体" w:hAnsi="宋体"/>
          <w:snapToGrid w:val="0"/>
          <w:kern w:val="0"/>
          <w:sz w:val="24"/>
        </w:rPr>
        <w:t>（十一）因一方的违约行为致使对方损失的，违约方应承担相应的赔偿责任。</w:t>
      </w:r>
    </w:p>
    <w:p w14:paraId="298029C8">
      <w:pPr>
        <w:adjustRightInd w:val="0"/>
        <w:snapToGrid w:val="0"/>
        <w:spacing w:line="360" w:lineRule="auto"/>
        <w:ind w:firstLine="480" w:firstLineChars="200"/>
        <w:rPr>
          <w:rFonts w:hint="eastAsia" w:ascii="宋体" w:hAnsi="宋体"/>
          <w:snapToGrid w:val="0"/>
          <w:kern w:val="0"/>
          <w:sz w:val="24"/>
        </w:rPr>
      </w:pPr>
      <w:r>
        <w:rPr>
          <w:rFonts w:hint="eastAsia" w:ascii="宋体" w:hAnsi="宋体"/>
          <w:snapToGrid w:val="0"/>
          <w:kern w:val="0"/>
          <w:sz w:val="24"/>
        </w:rPr>
        <w:t>（十二）乙方应采用一切合理有效措施保证造价审核的准确性。如乙方在概算、预算、招标限价、工程进度款、工程变更、结（决）算各阶段审核（编制）后造价，经甲方或有审核权限部门审核后误差超过</w:t>
      </w:r>
      <w:r>
        <w:rPr>
          <w:rFonts w:ascii="宋体" w:hAnsi="宋体"/>
          <w:snapToGrid w:val="0"/>
          <w:kern w:val="0"/>
          <w:sz w:val="24"/>
          <w:u w:val="single"/>
        </w:rPr>
        <w:t>10</w:t>
      </w:r>
      <w:r>
        <w:rPr>
          <w:rFonts w:ascii="宋体" w:hAnsi="宋体"/>
          <w:snapToGrid w:val="0"/>
          <w:kern w:val="0"/>
          <w:sz w:val="24"/>
        </w:rPr>
        <w:t>%的，每超过</w:t>
      </w:r>
      <w:r>
        <w:rPr>
          <w:rFonts w:ascii="宋体" w:hAnsi="宋体"/>
          <w:snapToGrid w:val="0"/>
          <w:kern w:val="0"/>
          <w:sz w:val="24"/>
          <w:u w:val="single"/>
        </w:rPr>
        <w:t>1</w:t>
      </w:r>
      <w:r>
        <w:rPr>
          <w:rFonts w:ascii="宋体" w:hAnsi="宋体"/>
          <w:snapToGrid w:val="0"/>
          <w:kern w:val="0"/>
          <w:sz w:val="24"/>
        </w:rPr>
        <w:t>%，扣减</w:t>
      </w:r>
      <w:r>
        <w:rPr>
          <w:rFonts w:hint="eastAsia" w:ascii="宋体" w:hAnsi="宋体"/>
          <w:snapToGrid w:val="0"/>
          <w:kern w:val="0"/>
          <w:sz w:val="24"/>
        </w:rPr>
        <w:t>本合同暂定价</w:t>
      </w:r>
      <w:r>
        <w:rPr>
          <w:rFonts w:ascii="宋体" w:hAnsi="宋体"/>
          <w:snapToGrid w:val="0"/>
          <w:kern w:val="0"/>
          <w:sz w:val="24"/>
        </w:rPr>
        <w:t>的</w:t>
      </w:r>
      <w:r>
        <w:rPr>
          <w:rFonts w:ascii="宋体" w:hAnsi="宋体"/>
          <w:snapToGrid w:val="0"/>
          <w:kern w:val="0"/>
          <w:sz w:val="24"/>
          <w:u w:val="single"/>
        </w:rPr>
        <w:t>1</w:t>
      </w:r>
      <w:r>
        <w:rPr>
          <w:rFonts w:ascii="宋体" w:hAnsi="宋体"/>
          <w:snapToGrid w:val="0"/>
          <w:kern w:val="0"/>
          <w:sz w:val="24"/>
        </w:rPr>
        <w:t>%</w:t>
      </w:r>
      <w:r>
        <w:rPr>
          <w:rFonts w:hint="eastAsia" w:ascii="宋体" w:hAnsi="宋体"/>
          <w:snapToGrid w:val="0"/>
          <w:kern w:val="0"/>
          <w:sz w:val="24"/>
        </w:rPr>
        <w:t>作为违约金</w:t>
      </w:r>
      <w:r>
        <w:rPr>
          <w:rFonts w:ascii="宋体" w:hAnsi="宋体"/>
          <w:snapToGrid w:val="0"/>
          <w:kern w:val="0"/>
          <w:sz w:val="24"/>
        </w:rPr>
        <w:t>，不足</w:t>
      </w:r>
      <w:r>
        <w:rPr>
          <w:rFonts w:ascii="宋体" w:hAnsi="宋体"/>
          <w:snapToGrid w:val="0"/>
          <w:kern w:val="0"/>
          <w:sz w:val="24"/>
          <w:u w:val="single"/>
        </w:rPr>
        <w:t>1</w:t>
      </w:r>
      <w:r>
        <w:rPr>
          <w:rFonts w:ascii="宋体" w:hAnsi="宋体"/>
          <w:snapToGrid w:val="0"/>
          <w:kern w:val="0"/>
          <w:sz w:val="24"/>
        </w:rPr>
        <w:t>%的采用内插法计算。</w:t>
      </w:r>
    </w:p>
    <w:p w14:paraId="6D163BCB">
      <w:pPr>
        <w:adjustRightInd w:val="0"/>
        <w:snapToGrid w:val="0"/>
        <w:spacing w:line="360" w:lineRule="auto"/>
        <w:ind w:firstLine="480" w:firstLineChars="200"/>
        <w:rPr>
          <w:rFonts w:hint="eastAsia" w:ascii="宋体" w:hAnsi="宋体"/>
          <w:snapToGrid w:val="0"/>
          <w:kern w:val="0"/>
          <w:sz w:val="24"/>
        </w:rPr>
      </w:pPr>
      <w:r>
        <w:rPr>
          <w:rFonts w:hint="eastAsia" w:ascii="宋体" w:hAnsi="宋体"/>
          <w:snapToGrid w:val="0"/>
          <w:kern w:val="0"/>
          <w:sz w:val="24"/>
        </w:rPr>
        <w:t>（十三）如乙方实际工作人员在审核（编制）概算、预算、招标限价、工程进度款、工程变更、结（决）算等阶段能力不足或工作中出现重大错漏，甲方有权将该阶段审核（审核）任务另行委托有资质的社会机构承担，相关费用由乙方承担。</w:t>
      </w:r>
    </w:p>
    <w:p w14:paraId="14599CA4">
      <w:pPr>
        <w:adjustRightInd w:val="0"/>
        <w:snapToGrid w:val="0"/>
        <w:spacing w:line="360" w:lineRule="auto"/>
        <w:ind w:firstLine="480" w:firstLineChars="200"/>
        <w:rPr>
          <w:rFonts w:hint="eastAsia" w:ascii="宋体" w:hAnsi="宋体"/>
          <w:sz w:val="24"/>
          <w:u w:val="single"/>
        </w:rPr>
      </w:pPr>
      <w:r>
        <w:rPr>
          <w:rFonts w:hint="eastAsia" w:ascii="宋体" w:hAnsi="宋体"/>
          <w:sz w:val="24"/>
        </w:rPr>
        <w:t>（十四）合同生效后，乙方应履行合同义务及参建单位职责，并同意接受及执行甲方各项相关建设管理规定，</w:t>
      </w:r>
      <w:r>
        <w:rPr>
          <w:rFonts w:hint="eastAsia" w:ascii="宋体" w:hAnsi="宋体"/>
          <w:sz w:val="24"/>
          <w:u w:val="single"/>
        </w:rPr>
        <w:t>如有更新按照最新的相关办法执行。乙方在签订本合同前已知悉甲方的上述相关管理规定，如乙方若未达到甲方相关建设管理要求，甲方有权依据相关管理规定要求乙方承担违约责任及赔偿损失。</w:t>
      </w:r>
    </w:p>
    <w:p w14:paraId="46D60174">
      <w:pPr>
        <w:adjustRightInd w:val="0"/>
        <w:snapToGrid w:val="0"/>
        <w:spacing w:line="360" w:lineRule="auto"/>
        <w:ind w:firstLine="480" w:firstLineChars="200"/>
        <w:rPr>
          <w:rFonts w:hint="eastAsia" w:ascii="宋体" w:hAnsi="宋体"/>
          <w:sz w:val="24"/>
        </w:rPr>
      </w:pPr>
      <w:r>
        <w:rPr>
          <w:rFonts w:hint="eastAsia" w:ascii="宋体" w:hAnsi="宋体"/>
          <w:sz w:val="24"/>
        </w:rPr>
        <w:t>（十五）如乙方违约，甲方有权在直接履约担保</w:t>
      </w:r>
      <w:r>
        <w:rPr>
          <w:rFonts w:hint="eastAsia" w:ascii="宋体" w:hAnsi="宋体"/>
          <w:sz w:val="24"/>
          <w:lang w:val="en-US" w:eastAsia="zh-CN"/>
        </w:rPr>
        <w:t>及</w:t>
      </w:r>
      <w:r>
        <w:rPr>
          <w:rFonts w:hint="eastAsia" w:ascii="宋体" w:hAnsi="宋体"/>
          <w:sz w:val="24"/>
        </w:rPr>
        <w:t>应向乙方支付的合同金额中扣除相应款项。</w:t>
      </w:r>
    </w:p>
    <w:p w14:paraId="5613AB9A">
      <w:pPr>
        <w:adjustRightInd w:val="0"/>
        <w:snapToGrid w:val="0"/>
        <w:spacing w:line="360" w:lineRule="auto"/>
        <w:ind w:firstLine="480" w:firstLineChars="200"/>
        <w:rPr>
          <w:rFonts w:hint="eastAsia" w:ascii="宋体" w:hAnsi="宋体"/>
          <w:sz w:val="24"/>
        </w:rPr>
      </w:pPr>
      <w:r>
        <w:rPr>
          <w:rFonts w:hint="eastAsia" w:ascii="宋体" w:hAnsi="宋体"/>
          <w:sz w:val="24"/>
        </w:rPr>
        <w:t>（十六）乙方提供伪造、变造资料、文件或存在任何弄虚作假情形的，甲方有权解除合同、不予支付任何费用、追回已支付费用，并保留追究乙方行为导致工期延误等一切法律责任的权利。</w:t>
      </w:r>
    </w:p>
    <w:p w14:paraId="0AAFC5AB">
      <w:pPr>
        <w:adjustRightInd w:val="0"/>
        <w:snapToGrid w:val="0"/>
        <w:spacing w:line="360" w:lineRule="auto"/>
        <w:ind w:firstLine="480" w:firstLineChars="200"/>
        <w:rPr>
          <w:rFonts w:hint="default" w:ascii="宋体" w:hAnsi="宋体" w:eastAsia="宋体"/>
          <w:sz w:val="24"/>
          <w:lang w:val="en-US" w:eastAsia="zh-CN"/>
        </w:rPr>
      </w:pPr>
      <w:r>
        <w:rPr>
          <w:rFonts w:hint="eastAsia" w:ascii="宋体" w:hAnsi="宋体"/>
          <w:sz w:val="24"/>
          <w:lang w:eastAsia="zh-CN"/>
        </w:rPr>
        <w:t>（</w:t>
      </w:r>
      <w:r>
        <w:rPr>
          <w:rFonts w:hint="eastAsia" w:ascii="宋体" w:hAnsi="宋体"/>
          <w:sz w:val="24"/>
          <w:lang w:val="en-US" w:eastAsia="zh-CN"/>
        </w:rPr>
        <w:t>十七）本合同执行过程中，由于乙方违约造成的违约金与赔偿金累计之和不超过本合同约定的咨询服务费。</w:t>
      </w:r>
    </w:p>
    <w:p w14:paraId="3FCD23B6">
      <w:pPr>
        <w:pStyle w:val="99"/>
        <w:rPr>
          <w:rFonts w:hint="eastAsia"/>
          <w:bCs w:val="0"/>
        </w:rPr>
      </w:pPr>
      <w:r>
        <w:rPr>
          <w:rFonts w:hint="eastAsia"/>
        </w:rPr>
        <w:t>第七条　保密义务</w:t>
      </w:r>
    </w:p>
    <w:p w14:paraId="2EEDEB61">
      <w:pPr>
        <w:spacing w:line="360" w:lineRule="auto"/>
        <w:ind w:firstLine="480" w:firstLineChars="200"/>
        <w:rPr>
          <w:rFonts w:hint="eastAsia" w:ascii="宋体" w:hAnsi="宋体"/>
          <w:sz w:val="24"/>
        </w:rPr>
      </w:pPr>
      <w:r>
        <w:rPr>
          <w:rFonts w:hint="eastAsia" w:ascii="宋体" w:hAnsi="宋体"/>
          <w:snapToGrid w:val="0"/>
          <w:kern w:val="0"/>
          <w:sz w:val="24"/>
        </w:rPr>
        <w:t>乙方对在履行本合同过程中所接触的甲方的秘密（包括但不限于甲方的商业秘密、任何技术性资料、以及甲方为完成本合同提供的任何其他信息资料并且在提供时未说明是公开信息的）承担保密义务。未经甲方书面许可，乙方（包括但不限于乙方雇员、代理人、顾问等）不得将从甲方获取的一切资料和信息、或其他成果用于履行本合同义务范围之外目的，否则全部收益归甲方所有，且乙方应向甲方支付合同暂定价的5%作为违约金，并应另行赔偿甲方因此遭受的全部损失。无论本合同是否切实得到履行或因任何原因变更、解除、终止、失效等，本条款均始终有效。</w:t>
      </w:r>
    </w:p>
    <w:p w14:paraId="1981790B">
      <w:pPr>
        <w:numPr>
          <w:ilvl w:val="0"/>
          <w:numId w:val="4"/>
        </w:numPr>
        <w:spacing w:line="360" w:lineRule="auto"/>
        <w:ind w:firstLine="420" w:firstLineChars="200"/>
        <w:rPr>
          <w:rFonts w:ascii="宋体"/>
          <w:b/>
        </w:rPr>
      </w:pPr>
      <w:r>
        <w:rPr>
          <w:rFonts w:hint="eastAsia"/>
        </w:rPr>
        <w:t xml:space="preserve"> </w:t>
      </w:r>
      <w:r>
        <w:rPr>
          <w:rFonts w:hint="eastAsia" w:ascii="宋体" w:hAnsi="宋体"/>
          <w:b/>
          <w:bCs/>
          <w:kern w:val="0"/>
          <w:sz w:val="24"/>
          <w:szCs w:val="20"/>
        </w:rPr>
        <w:t>知识产权</w:t>
      </w:r>
      <w:r>
        <w:rPr>
          <w:rFonts w:hint="eastAsia" w:ascii="宋体"/>
          <w:b/>
        </w:rPr>
        <w:t xml:space="preserve"> </w:t>
      </w:r>
    </w:p>
    <w:p w14:paraId="300D3D6C">
      <w:pPr>
        <w:spacing w:line="360" w:lineRule="auto"/>
        <w:ind w:firstLine="480" w:firstLineChars="200"/>
        <w:rPr>
          <w:rFonts w:hint="eastAsia" w:ascii="宋体" w:hAnsi="宋体"/>
          <w:sz w:val="24"/>
        </w:rPr>
      </w:pPr>
      <w:r>
        <w:rPr>
          <w:rFonts w:hint="eastAsia" w:ascii="宋体" w:hAnsi="宋体" w:cs="宋体"/>
          <w:sz w:val="24"/>
        </w:rPr>
        <w:t>双方均应保护对方的知识产权，未经对方同意，任何一方均不得对对方的资料及文件擅自修改、复制或向第三人转让或用于本合同项目外的项目。如发生以上的情况，泄密方承担一切由此引起的后果并承担赔偿责任。本条的约定不因本合同的无效而免除。本合同项下的资料的知识产权、素材及成果等均归属甲方所有，署名权除外。乙方承诺，在为甲方提供服务时，不得使用任何属于他人的技术秘密和商业秘密，亦不得实施可能侵犯他人知识产权等权益的行为，乙方存在上述行为给甲方造成损失的，甲方有权向乙方追偿。无论本合同是否切实得到履行或因任何原因变更、解除、终止、失效等，本条款均始终有效。</w:t>
      </w:r>
    </w:p>
    <w:p w14:paraId="141680D7">
      <w:pPr>
        <w:adjustRightInd w:val="0"/>
        <w:snapToGrid w:val="0"/>
        <w:spacing w:before="120" w:beforeLines="50" w:line="360" w:lineRule="auto"/>
        <w:ind w:firstLine="472" w:firstLineChars="196"/>
        <w:rPr>
          <w:rFonts w:hint="eastAsia" w:ascii="宋体" w:hAnsi="宋体"/>
          <w:snapToGrid w:val="0"/>
          <w:kern w:val="0"/>
          <w:sz w:val="24"/>
        </w:rPr>
      </w:pPr>
      <w:r>
        <w:rPr>
          <w:rFonts w:hint="eastAsia" w:ascii="宋体" w:hAnsi="宋体"/>
          <w:b/>
          <w:bCs/>
          <w:snapToGrid w:val="0"/>
          <w:kern w:val="0"/>
          <w:sz w:val="24"/>
        </w:rPr>
        <w:t>第</w:t>
      </w:r>
      <w:r>
        <w:rPr>
          <w:rFonts w:hint="eastAsia" w:ascii="宋体" w:hAnsi="宋体"/>
          <w:b/>
          <w:snapToGrid w:val="0"/>
          <w:kern w:val="0"/>
          <w:sz w:val="24"/>
        </w:rPr>
        <w:t>九</w:t>
      </w:r>
      <w:r>
        <w:rPr>
          <w:rFonts w:hint="eastAsia" w:ascii="宋体" w:hAnsi="宋体"/>
          <w:b/>
          <w:bCs/>
          <w:snapToGrid w:val="0"/>
          <w:kern w:val="0"/>
          <w:sz w:val="24"/>
        </w:rPr>
        <w:t>条</w:t>
      </w:r>
      <w:r>
        <w:rPr>
          <w:rFonts w:hint="eastAsia" w:ascii="宋体" w:hAnsi="宋体"/>
          <w:snapToGrid w:val="0"/>
          <w:kern w:val="0"/>
          <w:sz w:val="24"/>
        </w:rPr>
        <w:t>　如需变更本合同之条款，应当经甲乙双方协商一致，以书面形式签署补充、修改协议。一方以书面形式向另一方提出变更合同请求的，另一方应当在</w:t>
      </w:r>
      <w:r>
        <w:rPr>
          <w:rFonts w:ascii="宋体" w:hAnsi="宋体"/>
          <w:snapToGrid w:val="0"/>
          <w:kern w:val="0"/>
          <w:sz w:val="24"/>
          <w:u w:val="single"/>
        </w:rPr>
        <w:t>15</w:t>
      </w:r>
      <w:r>
        <w:rPr>
          <w:rFonts w:ascii="宋体" w:hAnsi="宋体"/>
          <w:snapToGrid w:val="0"/>
          <w:kern w:val="0"/>
          <w:sz w:val="24"/>
        </w:rPr>
        <w:t>个日历日内予以书面答复；逾期未予答复的，视为不同意变更。</w:t>
      </w:r>
    </w:p>
    <w:p w14:paraId="32102CD0">
      <w:pPr>
        <w:adjustRightInd w:val="0"/>
        <w:snapToGrid w:val="0"/>
        <w:spacing w:before="120" w:beforeLines="50" w:line="360" w:lineRule="auto"/>
        <w:ind w:firstLine="472" w:firstLineChars="196"/>
        <w:rPr>
          <w:rFonts w:hint="eastAsia" w:ascii="宋体" w:hAnsi="宋体"/>
          <w:snapToGrid w:val="0"/>
          <w:kern w:val="0"/>
          <w:sz w:val="24"/>
        </w:rPr>
      </w:pPr>
      <w:r>
        <w:rPr>
          <w:rFonts w:hint="eastAsia" w:ascii="宋体" w:hAnsi="宋体"/>
          <w:b/>
          <w:snapToGrid w:val="0"/>
          <w:kern w:val="0"/>
          <w:sz w:val="24"/>
        </w:rPr>
        <w:t>第</w:t>
      </w:r>
      <w:r>
        <w:rPr>
          <w:rFonts w:hint="eastAsia" w:ascii="宋体" w:hAnsi="宋体"/>
          <w:b/>
          <w:bCs/>
          <w:snapToGrid w:val="0"/>
          <w:kern w:val="0"/>
          <w:sz w:val="24"/>
        </w:rPr>
        <w:t>十</w:t>
      </w:r>
      <w:r>
        <w:rPr>
          <w:rFonts w:hint="eastAsia" w:ascii="宋体" w:hAnsi="宋体"/>
          <w:b/>
          <w:snapToGrid w:val="0"/>
          <w:kern w:val="0"/>
          <w:sz w:val="24"/>
        </w:rPr>
        <w:t xml:space="preserve">条  </w:t>
      </w:r>
      <w:r>
        <w:rPr>
          <w:rFonts w:hint="eastAsia" w:ascii="宋体" w:hAnsi="宋体"/>
          <w:snapToGrid w:val="0"/>
          <w:kern w:val="0"/>
          <w:sz w:val="24"/>
        </w:rPr>
        <w:t>如因政策调整或政府部门工作部署调整，导致本项目建设主体发生变化时，甲方不再负责本项目建设时，甲方有权单方面解除本合同或通过主体变更协议形式由新的项目建设主体继承甲方在本合同的所有权利义务，乙方需无条件接受，甲方无须给予乙方任何补偿或赔偿。</w:t>
      </w:r>
    </w:p>
    <w:p w14:paraId="76F81601">
      <w:pPr>
        <w:spacing w:line="360" w:lineRule="auto"/>
        <w:ind w:firstLine="482" w:firstLineChars="200"/>
        <w:rPr>
          <w:rFonts w:hint="eastAsia" w:ascii="宋体" w:hAnsi="宋体"/>
          <w:sz w:val="24"/>
        </w:rPr>
      </w:pPr>
      <w:r>
        <w:rPr>
          <w:rFonts w:hint="eastAsia" w:ascii="宋体" w:hAnsi="宋体"/>
          <w:b/>
          <w:bCs/>
          <w:snapToGrid w:val="0"/>
          <w:kern w:val="0"/>
          <w:sz w:val="24"/>
        </w:rPr>
        <w:t>第十一条</w:t>
      </w:r>
      <w:r>
        <w:rPr>
          <w:rFonts w:ascii="宋体" w:hAnsi="宋体"/>
          <w:snapToGrid w:val="0"/>
          <w:kern w:val="0"/>
          <w:sz w:val="24"/>
        </w:rPr>
        <w:t xml:space="preserve">  </w:t>
      </w:r>
      <w:r>
        <w:rPr>
          <w:rFonts w:hint="eastAsia" w:ascii="宋体" w:hAnsi="宋体"/>
          <w:snapToGrid w:val="0"/>
          <w:kern w:val="0"/>
          <w:sz w:val="24"/>
        </w:rPr>
        <w:t>本合同适用中华人民共和国法律（香港、澳门、台湾地区的法律除外）。</w:t>
      </w:r>
      <w:r>
        <w:rPr>
          <w:rFonts w:ascii="宋体" w:hAnsi="宋体"/>
          <w:snapToGrid w:val="0"/>
          <w:kern w:val="0"/>
          <w:sz w:val="24"/>
        </w:rPr>
        <w:t>双方因履行本合同而发生的或与本合同有关的一切争议，应首先</w:t>
      </w:r>
      <w:r>
        <w:rPr>
          <w:rFonts w:hint="eastAsia" w:ascii="宋体" w:hAnsi="宋体"/>
          <w:snapToGrid w:val="0"/>
          <w:kern w:val="0"/>
          <w:sz w:val="24"/>
        </w:rPr>
        <w:t>双方</w:t>
      </w:r>
      <w:r>
        <w:rPr>
          <w:rFonts w:ascii="宋体" w:hAnsi="宋体"/>
          <w:snapToGrid w:val="0"/>
          <w:kern w:val="0"/>
          <w:sz w:val="24"/>
        </w:rPr>
        <w:t>协商解决。协商不成的，任何一方均可将争议</w:t>
      </w:r>
      <w:r>
        <w:rPr>
          <w:rFonts w:hint="eastAsia" w:ascii="宋体" w:hAnsi="宋体"/>
          <w:sz w:val="24"/>
        </w:rPr>
        <w:t>选择以下方式解决：</w:t>
      </w:r>
    </w:p>
    <w:p w14:paraId="67034E21">
      <w:pPr>
        <w:spacing w:line="360" w:lineRule="auto"/>
        <w:ind w:firstLine="480" w:firstLineChars="200"/>
        <w:rPr>
          <w:rFonts w:hint="eastAsia" w:ascii="宋体" w:hAnsi="宋体"/>
          <w:sz w:val="24"/>
        </w:rPr>
      </w:pPr>
      <w:r>
        <w:rPr>
          <w:rFonts w:ascii="宋体" w:hAnsi="宋体"/>
          <w:sz w:val="24"/>
        </w:rPr>
        <w:sym w:font="Wingdings" w:char="00FE"/>
      </w:r>
      <w:r>
        <w:rPr>
          <w:rFonts w:hint="eastAsia" w:ascii="宋体" w:hAnsi="宋体"/>
          <w:sz w:val="24"/>
        </w:rPr>
        <w:t>向项目所在地人民法院提起诉讼解决。</w:t>
      </w:r>
    </w:p>
    <w:p w14:paraId="5E10EAF3">
      <w:pPr>
        <w:pStyle w:val="110"/>
        <w:numPr>
          <w:ilvl w:val="0"/>
          <w:numId w:val="2"/>
        </w:numPr>
        <w:spacing w:line="360" w:lineRule="auto"/>
        <w:ind w:firstLineChars="0"/>
        <w:rPr>
          <w:rFonts w:hint="eastAsia" w:ascii="宋体" w:hAnsi="宋体"/>
          <w:sz w:val="24"/>
        </w:rPr>
      </w:pPr>
      <w:r>
        <w:rPr>
          <w:rFonts w:hint="eastAsia" w:ascii="宋体" w:hAnsi="宋体"/>
          <w:sz w:val="24"/>
        </w:rPr>
        <w:t>提交广州仲裁委员会仲裁解决。</w:t>
      </w:r>
    </w:p>
    <w:p w14:paraId="3F1BE454">
      <w:pPr>
        <w:pStyle w:val="110"/>
        <w:spacing w:line="360" w:lineRule="auto"/>
        <w:ind w:firstLine="542" w:firstLineChars="225"/>
        <w:rPr>
          <w:rFonts w:hint="eastAsia" w:ascii="宋体" w:hAnsi="宋体"/>
          <w:sz w:val="24"/>
        </w:rPr>
      </w:pPr>
      <w:r>
        <w:rPr>
          <w:rFonts w:hint="eastAsia" w:ascii="宋体" w:hAnsi="宋体"/>
          <w:b/>
          <w:sz w:val="24"/>
        </w:rPr>
        <w:t xml:space="preserve">第十二条  </w:t>
      </w:r>
      <w:r>
        <w:rPr>
          <w:rFonts w:hint="eastAsia" w:ascii="宋体" w:hAnsi="宋体"/>
          <w:sz w:val="24"/>
        </w:rPr>
        <w:t>下列文件均为本合同的组成部分：</w:t>
      </w:r>
    </w:p>
    <w:p w14:paraId="10692903">
      <w:pPr>
        <w:pStyle w:val="110"/>
        <w:spacing w:line="360" w:lineRule="auto"/>
        <w:ind w:firstLine="540" w:firstLineChars="0"/>
        <w:rPr>
          <w:rFonts w:hint="eastAsia" w:ascii="宋体" w:hAnsi="宋体"/>
          <w:sz w:val="24"/>
        </w:rPr>
      </w:pPr>
      <w:r>
        <w:rPr>
          <w:rFonts w:hint="eastAsia" w:ascii="宋体" w:hAnsi="宋体"/>
          <w:sz w:val="24"/>
        </w:rPr>
        <w:t>（一）合同实施期间双方签订的补充或修正文件；（如有则附）</w:t>
      </w:r>
    </w:p>
    <w:p w14:paraId="713DC931">
      <w:pPr>
        <w:pStyle w:val="110"/>
        <w:spacing w:line="360" w:lineRule="auto"/>
        <w:ind w:firstLine="540" w:firstLineChars="0"/>
        <w:rPr>
          <w:rFonts w:hint="eastAsia" w:ascii="宋体" w:hAnsi="宋体"/>
          <w:sz w:val="24"/>
        </w:rPr>
      </w:pPr>
      <w:r>
        <w:rPr>
          <w:rFonts w:hint="eastAsia" w:ascii="宋体" w:hAnsi="宋体"/>
          <w:sz w:val="24"/>
        </w:rPr>
        <w:t>（二）本合同协议书；</w:t>
      </w:r>
    </w:p>
    <w:p w14:paraId="57D3176B">
      <w:pPr>
        <w:pStyle w:val="110"/>
        <w:spacing w:line="360" w:lineRule="auto"/>
        <w:ind w:firstLine="540" w:firstLineChars="0"/>
        <w:rPr>
          <w:rFonts w:hint="eastAsia" w:ascii="宋体" w:hAnsi="宋体"/>
          <w:sz w:val="24"/>
        </w:rPr>
      </w:pPr>
      <w:r>
        <w:rPr>
          <w:rFonts w:hint="eastAsia" w:ascii="宋体" w:hAnsi="宋体"/>
          <w:sz w:val="24"/>
        </w:rPr>
        <w:t>（三）中标通知书；</w:t>
      </w:r>
    </w:p>
    <w:p w14:paraId="07E10955">
      <w:pPr>
        <w:pStyle w:val="110"/>
        <w:spacing w:line="360" w:lineRule="auto"/>
        <w:ind w:firstLine="540" w:firstLineChars="0"/>
        <w:rPr>
          <w:rFonts w:hint="eastAsia" w:ascii="宋体" w:hAnsi="宋体"/>
          <w:sz w:val="24"/>
        </w:rPr>
      </w:pPr>
      <w:r>
        <w:rPr>
          <w:rFonts w:hint="eastAsia" w:ascii="宋体" w:hAnsi="宋体"/>
          <w:sz w:val="24"/>
        </w:rPr>
        <w:t>（四）招标文件及有关问题澄清；</w:t>
      </w:r>
    </w:p>
    <w:p w14:paraId="739736F3">
      <w:pPr>
        <w:pStyle w:val="110"/>
        <w:spacing w:line="360" w:lineRule="auto"/>
        <w:ind w:firstLine="540" w:firstLineChars="0"/>
        <w:rPr>
          <w:rFonts w:hint="eastAsia" w:ascii="宋体" w:hAnsi="宋体"/>
          <w:sz w:val="24"/>
        </w:rPr>
      </w:pPr>
      <w:r>
        <w:rPr>
          <w:rFonts w:hint="eastAsia" w:ascii="宋体" w:hAnsi="宋体"/>
          <w:sz w:val="24"/>
        </w:rPr>
        <w:t>（五）投标文件及投标文件问题澄清；</w:t>
      </w:r>
    </w:p>
    <w:p w14:paraId="53D857A7">
      <w:pPr>
        <w:pStyle w:val="110"/>
        <w:spacing w:line="360" w:lineRule="auto"/>
        <w:ind w:firstLine="540" w:firstLineChars="0"/>
        <w:rPr>
          <w:rFonts w:hint="eastAsia" w:ascii="宋体" w:hAnsi="宋体"/>
          <w:sz w:val="24"/>
        </w:rPr>
      </w:pPr>
      <w:r>
        <w:rPr>
          <w:rFonts w:hint="eastAsia" w:ascii="宋体" w:hAnsi="宋体"/>
          <w:sz w:val="24"/>
        </w:rPr>
        <w:t>（六）合同附件及经双方确认进入合同的其他文件。</w:t>
      </w:r>
    </w:p>
    <w:p w14:paraId="3375D213">
      <w:pPr>
        <w:pStyle w:val="110"/>
        <w:spacing w:line="360" w:lineRule="auto"/>
        <w:ind w:firstLine="480"/>
        <w:rPr>
          <w:rFonts w:hint="eastAsia" w:ascii="宋体" w:hAnsi="宋体"/>
          <w:sz w:val="24"/>
        </w:rPr>
      </w:pPr>
      <w:r>
        <w:rPr>
          <w:rFonts w:hint="eastAsia" w:ascii="宋体" w:hAnsi="宋体"/>
          <w:sz w:val="24"/>
        </w:rPr>
        <w:t>上述文件汇集并代替了本协议书签订前双方为本合同签订的所有协议、会谈记录以及相互承诺的一切文件，且应被实质上响应招标文件并认为是互为补充和解释的，如上述各部分存在不一致之处，以先后排列次序为准。</w:t>
      </w:r>
    </w:p>
    <w:p w14:paraId="1E70D132">
      <w:pPr>
        <w:pStyle w:val="110"/>
        <w:ind w:firstLine="480"/>
        <w:rPr>
          <w:rFonts w:hint="eastAsia" w:ascii="宋体" w:hAnsi="宋体"/>
          <w:sz w:val="24"/>
        </w:rPr>
      </w:pPr>
      <w:r>
        <w:rPr>
          <w:rFonts w:hint="eastAsia" w:ascii="宋体" w:hAnsi="宋体"/>
          <w:sz w:val="24"/>
        </w:rPr>
        <w:t>本合同中涉及的管理制度为甲方母公司发布的管理制度,甲方作为其子公司同时适用，相关管理制度在合同签订后由甲方提供，乙方签收确认并同意遵照执行。</w:t>
      </w:r>
    </w:p>
    <w:p w14:paraId="79731FCC">
      <w:pPr>
        <w:adjustRightInd w:val="0"/>
        <w:snapToGrid w:val="0"/>
        <w:spacing w:before="120" w:beforeLines="50" w:after="120" w:afterLines="50" w:line="360" w:lineRule="auto"/>
        <w:ind w:firstLine="482" w:firstLineChars="200"/>
        <w:rPr>
          <w:rFonts w:hint="eastAsia" w:ascii="宋体" w:hAnsi="宋体"/>
          <w:snapToGrid w:val="0"/>
          <w:kern w:val="0"/>
          <w:sz w:val="24"/>
        </w:rPr>
      </w:pPr>
      <w:r>
        <w:rPr>
          <w:rFonts w:hint="eastAsia" w:ascii="宋体" w:hAnsi="宋体"/>
          <w:b/>
          <w:bCs/>
          <w:snapToGrid w:val="0"/>
          <w:kern w:val="0"/>
          <w:sz w:val="24"/>
        </w:rPr>
        <w:t>第十三条</w:t>
      </w:r>
      <w:r>
        <w:rPr>
          <w:rFonts w:hint="eastAsia" w:ascii="宋体" w:hAnsi="宋体"/>
          <w:snapToGrid w:val="0"/>
          <w:kern w:val="0"/>
          <w:sz w:val="24"/>
        </w:rPr>
        <w:t>　本合同正本一式</w:t>
      </w:r>
      <w:r>
        <w:rPr>
          <w:rFonts w:hint="eastAsia" w:ascii="宋体" w:hAnsi="宋体"/>
          <w:snapToGrid w:val="0"/>
          <w:kern w:val="0"/>
          <w:sz w:val="24"/>
          <w:u w:val="single"/>
        </w:rPr>
        <w:t>2</w:t>
      </w:r>
      <w:r>
        <w:rPr>
          <w:rFonts w:hint="eastAsia" w:ascii="宋体" w:hAnsi="宋体"/>
          <w:snapToGrid w:val="0"/>
          <w:kern w:val="0"/>
          <w:sz w:val="24"/>
        </w:rPr>
        <w:t>份，</w:t>
      </w:r>
      <w:r>
        <w:rPr>
          <w:rFonts w:hint="eastAsia" w:ascii="宋体" w:hAnsi="宋体"/>
          <w:sz w:val="24"/>
        </w:rPr>
        <w:t>签约各方各</w:t>
      </w:r>
      <w:r>
        <w:rPr>
          <w:rFonts w:hint="eastAsia" w:ascii="宋体" w:hAnsi="宋体"/>
          <w:snapToGrid w:val="0"/>
          <w:kern w:val="0"/>
          <w:sz w:val="24"/>
        </w:rPr>
        <w:t>执</w:t>
      </w:r>
      <w:r>
        <w:rPr>
          <w:rFonts w:hint="eastAsia" w:ascii="宋体" w:hAnsi="宋体"/>
          <w:snapToGrid w:val="0"/>
          <w:kern w:val="0"/>
          <w:sz w:val="24"/>
          <w:u w:val="single"/>
        </w:rPr>
        <w:t>1</w:t>
      </w:r>
      <w:r>
        <w:rPr>
          <w:rFonts w:hint="eastAsia" w:ascii="宋体" w:hAnsi="宋体"/>
          <w:snapToGrid w:val="0"/>
          <w:kern w:val="0"/>
          <w:sz w:val="24"/>
        </w:rPr>
        <w:t>份；副本一式</w:t>
      </w:r>
      <w:r>
        <w:rPr>
          <w:rFonts w:hint="eastAsia" w:ascii="宋体" w:hAnsi="宋体"/>
          <w:snapToGrid w:val="0"/>
          <w:kern w:val="0"/>
          <w:sz w:val="24"/>
          <w:u w:val="single"/>
        </w:rPr>
        <w:t>6</w:t>
      </w:r>
      <w:r>
        <w:rPr>
          <w:rFonts w:hint="eastAsia" w:ascii="宋体" w:hAnsi="宋体"/>
          <w:snapToGrid w:val="0"/>
          <w:kern w:val="0"/>
          <w:sz w:val="24"/>
        </w:rPr>
        <w:t>份，</w:t>
      </w:r>
      <w:r>
        <w:rPr>
          <w:rFonts w:hint="eastAsia" w:ascii="宋体" w:hAnsi="宋体"/>
          <w:sz w:val="24"/>
        </w:rPr>
        <w:t>签约各方各</w:t>
      </w:r>
      <w:r>
        <w:rPr>
          <w:rFonts w:hint="eastAsia" w:ascii="宋体" w:hAnsi="宋体"/>
          <w:snapToGrid w:val="0"/>
          <w:kern w:val="0"/>
          <w:sz w:val="24"/>
        </w:rPr>
        <w:t>执</w:t>
      </w:r>
      <w:r>
        <w:rPr>
          <w:rFonts w:hint="eastAsia" w:ascii="宋体" w:hAnsi="宋体"/>
          <w:snapToGrid w:val="0"/>
          <w:kern w:val="0"/>
          <w:sz w:val="24"/>
          <w:u w:val="single"/>
        </w:rPr>
        <w:t>3</w:t>
      </w:r>
      <w:r>
        <w:rPr>
          <w:rFonts w:hint="eastAsia" w:ascii="宋体" w:hAnsi="宋体"/>
          <w:snapToGrid w:val="0"/>
          <w:kern w:val="0"/>
          <w:sz w:val="24"/>
        </w:rPr>
        <w:t>份。合同正本与副本具有同等法律效力。</w:t>
      </w:r>
    </w:p>
    <w:p w14:paraId="4AAA5D76">
      <w:pPr>
        <w:adjustRightInd w:val="0"/>
        <w:snapToGrid w:val="0"/>
        <w:spacing w:before="120" w:beforeLines="50" w:after="120" w:afterLines="50" w:line="360" w:lineRule="auto"/>
        <w:ind w:firstLine="482" w:firstLineChars="200"/>
        <w:rPr>
          <w:rFonts w:hint="eastAsia" w:ascii="宋体" w:hAnsi="宋体"/>
          <w:snapToGrid w:val="0"/>
          <w:kern w:val="0"/>
          <w:sz w:val="24"/>
        </w:rPr>
      </w:pPr>
      <w:r>
        <w:rPr>
          <w:rFonts w:hint="eastAsia" w:ascii="宋体" w:hAnsi="宋体"/>
          <w:b/>
          <w:bCs/>
          <w:snapToGrid w:val="0"/>
          <w:kern w:val="0"/>
          <w:sz w:val="24"/>
        </w:rPr>
        <w:t>第十四条</w:t>
      </w:r>
      <w:r>
        <w:rPr>
          <w:rFonts w:hint="eastAsia" w:ascii="宋体" w:hAnsi="宋体"/>
          <w:snapToGrid w:val="0"/>
          <w:kern w:val="0"/>
          <w:sz w:val="24"/>
        </w:rPr>
        <w:t>　本合同经甲、乙双方法定代表人签字并经单位盖章后生效，</w:t>
      </w:r>
      <w:r>
        <w:rPr>
          <w:rFonts w:hint="eastAsia" w:hAnsi="宋体" w:cs="宋体"/>
          <w:sz w:val="24"/>
        </w:rPr>
        <w:t>合同生效之后，双方就中标通知书发出之日起至合同生效之日期间按合同约定的履约行为予以追认</w:t>
      </w:r>
      <w:r>
        <w:rPr>
          <w:rFonts w:ascii="宋体" w:hAnsi="宋体" w:cs="宋体"/>
          <w:sz w:val="24"/>
        </w:rPr>
        <w:t>。</w:t>
      </w:r>
      <w:r>
        <w:rPr>
          <w:rFonts w:hint="eastAsia" w:hAnsi="宋体" w:cs="宋体"/>
          <w:sz w:val="24"/>
        </w:rPr>
        <w:t>双方</w:t>
      </w:r>
      <w:r>
        <w:rPr>
          <w:rStyle w:val="49"/>
          <w:rFonts w:hint="eastAsia"/>
          <w:sz w:val="24"/>
          <w:szCs w:val="28"/>
        </w:rPr>
        <w:t>确认本合同中约定的联系方式真实有效，</w:t>
      </w:r>
      <w:r>
        <w:rPr>
          <w:rFonts w:hint="eastAsia" w:hAnsi="宋体" w:cs="宋体"/>
          <w:sz w:val="24"/>
        </w:rPr>
        <w:t>双方</w:t>
      </w:r>
      <w:r>
        <w:rPr>
          <w:rStyle w:val="49"/>
          <w:rFonts w:hint="eastAsia"/>
          <w:sz w:val="24"/>
          <w:szCs w:val="28"/>
        </w:rPr>
        <w:t>依此向对方发出的所有通知、文件、资料均视为送达</w:t>
      </w:r>
      <w:r>
        <w:rPr>
          <w:rFonts w:hint="eastAsia" w:ascii="宋体" w:hAnsi="宋体"/>
          <w:snapToGrid w:val="0"/>
          <w:kern w:val="0"/>
          <w:sz w:val="24"/>
        </w:rPr>
        <w:t>。</w:t>
      </w:r>
    </w:p>
    <w:p w14:paraId="058889DA">
      <w:pPr>
        <w:adjustRightInd w:val="0"/>
        <w:snapToGrid w:val="0"/>
        <w:spacing w:before="120" w:beforeLines="50" w:after="120" w:afterLines="50" w:line="360" w:lineRule="auto"/>
        <w:ind w:firstLine="360" w:firstLineChars="150"/>
        <w:rPr>
          <w:rFonts w:hint="eastAsia" w:ascii="宋体" w:hAnsi="宋体"/>
          <w:snapToGrid w:val="0"/>
          <w:kern w:val="0"/>
          <w:sz w:val="24"/>
        </w:rPr>
      </w:pPr>
      <w:r>
        <w:rPr>
          <w:rFonts w:hint="eastAsia" w:ascii="宋体" w:hAnsi="宋体"/>
          <w:snapToGrid w:val="0"/>
          <w:kern w:val="0"/>
          <w:sz w:val="24"/>
        </w:rPr>
        <w:t>（以下无正文）</w:t>
      </w:r>
    </w:p>
    <w:p w14:paraId="3C1C43DC">
      <w:pPr>
        <w:pStyle w:val="48"/>
        <w:rPr>
          <w:rFonts w:hint="eastAsia" w:hAnsi="宋体"/>
          <w:snapToGrid w:val="0"/>
          <w:color w:val="auto"/>
        </w:rPr>
      </w:pPr>
    </w:p>
    <w:p w14:paraId="5E6E31DA">
      <w:pPr>
        <w:pStyle w:val="48"/>
        <w:rPr>
          <w:rFonts w:hint="eastAsia" w:hAnsi="宋体"/>
          <w:snapToGrid w:val="0"/>
          <w:color w:val="auto"/>
        </w:rPr>
      </w:pPr>
    </w:p>
    <w:p w14:paraId="3661AFFD">
      <w:pPr>
        <w:pStyle w:val="48"/>
        <w:rPr>
          <w:rFonts w:hint="eastAsia" w:hAnsi="宋体"/>
          <w:snapToGrid w:val="0"/>
          <w:color w:val="auto"/>
        </w:rPr>
      </w:pPr>
    </w:p>
    <w:p w14:paraId="231F1BD8">
      <w:pPr>
        <w:pStyle w:val="48"/>
      </w:pPr>
    </w:p>
    <w:p w14:paraId="5498F37B">
      <w:pPr>
        <w:pStyle w:val="16"/>
        <w:widowControl/>
        <w:jc w:val="left"/>
        <w:rPr>
          <w:rFonts w:hint="eastAsia" w:ascii="宋体" w:hAnsi="宋体"/>
          <w:snapToGrid w:val="0"/>
          <w:kern w:val="0"/>
        </w:rPr>
      </w:pPr>
    </w:p>
    <w:p w14:paraId="347AF824">
      <w:pPr>
        <w:pStyle w:val="38"/>
        <w:spacing w:line="360" w:lineRule="auto"/>
        <w:rPr>
          <w:rFonts w:hint="eastAsia" w:ascii="宋体" w:hAnsi="宋体"/>
          <w:snapToGrid w:val="0"/>
        </w:rPr>
      </w:pPr>
      <w:bookmarkStart w:id="6" w:name="_Toc1139"/>
      <w:bookmarkStart w:id="7" w:name="_Toc1273"/>
      <w:bookmarkStart w:id="8" w:name="_Toc11668"/>
      <w:bookmarkStart w:id="9" w:name="_Toc7613"/>
      <w:bookmarkStart w:id="10" w:name="_Toc8721561"/>
      <w:r>
        <mc:AlternateContent>
          <mc:Choice Requires="wps">
            <w:drawing>
              <wp:anchor distT="0" distB="0" distL="114300" distR="114300" simplePos="0" relativeHeight="251660288" behindDoc="0" locked="0" layoutInCell="1" allowOverlap="1">
                <wp:simplePos x="0" y="0"/>
                <wp:positionH relativeFrom="column">
                  <wp:posOffset>92710</wp:posOffset>
                </wp:positionH>
                <wp:positionV relativeFrom="paragraph">
                  <wp:posOffset>61595</wp:posOffset>
                </wp:positionV>
                <wp:extent cx="5567045" cy="3169920"/>
                <wp:effectExtent l="0" t="0" r="0" b="0"/>
                <wp:wrapNone/>
                <wp:docPr id="2" name="文本框 68"/>
                <wp:cNvGraphicFramePr/>
                <a:graphic xmlns:a="http://schemas.openxmlformats.org/drawingml/2006/main">
                  <a:graphicData uri="http://schemas.microsoft.com/office/word/2010/wordprocessingShape">
                    <wps:wsp>
                      <wps:cNvSpPr txBox="1"/>
                      <wps:spPr>
                        <a:xfrm>
                          <a:off x="0" y="0"/>
                          <a:ext cx="4940935" cy="3169920"/>
                        </a:xfrm>
                        <a:prstGeom prst="rect">
                          <a:avLst/>
                        </a:prstGeom>
                        <a:noFill/>
                        <a:ln>
                          <a:noFill/>
                        </a:ln>
                        <a:effectLst/>
                      </wps:spPr>
                      <wps:txbx>
                        <w:txbxContent>
                          <w:p w14:paraId="6A73C02A">
                            <w:pPr>
                              <w:spacing w:line="276" w:lineRule="auto"/>
                              <w:rPr>
                                <w:rFonts w:hint="eastAsia" w:ascii="宋体" w:hAnsi="宋体"/>
                                <w:sz w:val="24"/>
                              </w:rPr>
                            </w:pPr>
                          </w:p>
                          <w:p w14:paraId="2C9437F4">
                            <w:pPr>
                              <w:spacing w:line="360" w:lineRule="auto"/>
                              <w:ind w:left="5520" w:hanging="5520" w:hangingChars="2300"/>
                              <w:rPr>
                                <w:rFonts w:hint="eastAsia" w:ascii="宋体" w:hAnsi="宋体"/>
                              </w:rPr>
                            </w:pPr>
                            <w:r>
                              <w:rPr>
                                <w:rFonts w:hint="eastAsia" w:ascii="宋体" w:hAnsi="宋体"/>
                                <w:sz w:val="24"/>
                              </w:rPr>
                              <w:t xml:space="preserve">甲方：广州南沙交投产业园开发有限公司   </w:t>
                            </w:r>
                          </w:p>
                          <w:p w14:paraId="42279258">
                            <w:pPr>
                              <w:spacing w:line="360" w:lineRule="auto"/>
                              <w:ind w:firstLine="1680" w:firstLineChars="700"/>
                              <w:rPr>
                                <w:rFonts w:hint="eastAsia" w:ascii="宋体" w:hAnsi="宋体"/>
                                <w:sz w:val="24"/>
                              </w:rPr>
                            </w:pPr>
                            <w:r>
                              <w:rPr>
                                <w:rFonts w:hint="eastAsia" w:ascii="宋体" w:hAnsi="宋体"/>
                                <w:sz w:val="24"/>
                              </w:rPr>
                              <w:t xml:space="preserve">（公章）         </w:t>
                            </w:r>
                          </w:p>
                          <w:p w14:paraId="3E653C00">
                            <w:pPr>
                              <w:spacing w:line="360" w:lineRule="auto"/>
                              <w:rPr>
                                <w:rFonts w:hint="eastAsia" w:ascii="宋体" w:hAnsi="宋体"/>
                                <w:snapToGrid w:val="0"/>
                                <w:kern w:val="0"/>
                                <w:sz w:val="24"/>
                              </w:rPr>
                            </w:pPr>
                            <w:r>
                              <w:rPr>
                                <w:rFonts w:hint="eastAsia" w:ascii="宋体" w:hAnsi="宋体"/>
                                <w:snapToGrid w:val="0"/>
                                <w:kern w:val="0"/>
                                <w:sz w:val="24"/>
                              </w:rPr>
                              <w:t>法定代表人：</w:t>
                            </w:r>
                          </w:p>
                          <w:p w14:paraId="01D7160B">
                            <w:pPr>
                              <w:spacing w:line="360" w:lineRule="auto"/>
                              <w:rPr>
                                <w:rFonts w:hint="eastAsia" w:ascii="宋体" w:hAnsi="宋体"/>
                                <w:sz w:val="24"/>
                              </w:rPr>
                            </w:pPr>
                            <w:r>
                              <w:rPr>
                                <w:rFonts w:hint="eastAsia" w:ascii="宋体" w:hAnsi="宋体"/>
                                <w:snapToGrid w:val="0"/>
                                <w:kern w:val="0"/>
                                <w:sz w:val="24"/>
                              </w:rPr>
                              <w:t>委托代理人：</w:t>
                            </w:r>
                            <w:r>
                              <w:rPr>
                                <w:rFonts w:ascii="宋体" w:hAnsi="宋体"/>
                                <w:sz w:val="24"/>
                              </w:rPr>
                              <w:t xml:space="preserve">                        </w:t>
                            </w:r>
                          </w:p>
                          <w:p w14:paraId="0D6CAAB9">
                            <w:pPr>
                              <w:spacing w:line="360" w:lineRule="auto"/>
                              <w:rPr>
                                <w:rFonts w:hint="eastAsia" w:ascii="宋体" w:hAnsi="宋体" w:cs="宋体"/>
                                <w:sz w:val="24"/>
                              </w:rPr>
                            </w:pPr>
                            <w:r>
                              <w:rPr>
                                <w:rFonts w:hint="eastAsia" w:ascii="宋体" w:hAnsi="宋体"/>
                                <w:sz w:val="24"/>
                              </w:rPr>
                              <w:t>联系地</w:t>
                            </w:r>
                            <w:r>
                              <w:rPr>
                                <w:rFonts w:ascii="宋体" w:hAnsi="宋体"/>
                                <w:sz w:val="24"/>
                              </w:rPr>
                              <w:t>址：</w:t>
                            </w:r>
                            <w:r>
                              <w:rPr>
                                <w:rFonts w:hint="eastAsia" w:ascii="宋体" w:hAnsi="宋体"/>
                                <w:sz w:val="24"/>
                              </w:rPr>
                              <w:t>广州市南沙区黄阁镇中铁建环球中心1#楼902室</w:t>
                            </w:r>
                          </w:p>
                          <w:p w14:paraId="7763AC76">
                            <w:pPr>
                              <w:spacing w:line="360" w:lineRule="auto"/>
                              <w:rPr>
                                <w:rFonts w:hint="eastAsia" w:ascii="宋体" w:hAnsi="宋体"/>
                                <w:sz w:val="24"/>
                              </w:rPr>
                            </w:pPr>
                            <w:r>
                              <w:rPr>
                                <w:rFonts w:hint="eastAsia" w:ascii="宋体" w:hAnsi="宋体"/>
                                <w:sz w:val="24"/>
                              </w:rPr>
                              <w:t>邮政编码：</w:t>
                            </w:r>
                            <w:r>
                              <w:rPr>
                                <w:rFonts w:hint="eastAsia" w:ascii="宋体" w:hAnsi="宋体" w:cs="宋体"/>
                                <w:sz w:val="24"/>
                              </w:rPr>
                              <w:t>511458</w:t>
                            </w:r>
                          </w:p>
                          <w:p w14:paraId="66E14756">
                            <w:pPr>
                              <w:spacing w:line="360" w:lineRule="auto"/>
                              <w:rPr>
                                <w:rFonts w:hint="eastAsia" w:ascii="宋体" w:hAnsi="宋体" w:cs="宋体"/>
                                <w:sz w:val="24"/>
                              </w:rPr>
                            </w:pPr>
                            <w:r>
                              <w:rPr>
                                <w:rFonts w:hint="eastAsia" w:ascii="宋体" w:hAnsi="宋体"/>
                                <w:sz w:val="24"/>
                              </w:rPr>
                              <w:t>电</w:t>
                            </w:r>
                            <w:r>
                              <w:rPr>
                                <w:rFonts w:ascii="宋体" w:hAnsi="宋体"/>
                                <w:sz w:val="24"/>
                              </w:rPr>
                              <w:t xml:space="preserve">    话：</w:t>
                            </w:r>
                          </w:p>
                          <w:p w14:paraId="2ADC2E1B">
                            <w:pPr>
                              <w:spacing w:line="360" w:lineRule="auto"/>
                              <w:rPr>
                                <w:rFonts w:hint="eastAsia" w:ascii="宋体" w:hAnsi="宋体"/>
                                <w:sz w:val="24"/>
                              </w:rPr>
                            </w:pPr>
                            <w:r>
                              <w:rPr>
                                <w:rFonts w:hint="eastAsia"/>
                                <w:sz w:val="24"/>
                              </w:rPr>
                              <w:t>签订日期：   年  月  日</w:t>
                            </w:r>
                          </w:p>
                        </w:txbxContent>
                      </wps:txbx>
                      <wps:bodyPr upright="1"/>
                    </wps:wsp>
                  </a:graphicData>
                </a:graphic>
              </wp:anchor>
            </w:drawing>
          </mc:Choice>
          <mc:Fallback>
            <w:pict>
              <v:shape id="文本框 68" o:spid="_x0000_s1026" o:spt="202" type="#_x0000_t202" style="position:absolute;left:0pt;margin-left:7.3pt;margin-top:4.85pt;height:249.6pt;width:438.35pt;z-index:251660288;mso-width-relative:page;mso-height-relative:page;" filled="f" stroked="f" coordsize="21600,21600" o:gfxdata="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34KNDNYAAAAIAQAADwAAAAAAAAABACAAAAAiAAAAZHJzL2Rvd25yZXYueG1sUEsBAhQAFAAAAAgA&#10;h07iQKg2dme1AQAAXgMAAA4AAAAAAAAAAQAgAAAAJQEAAGRycy9lMm9Eb2MueG1sUEsFBgAAAAAG&#10;AAYAWQEAAEwFAAAAAA==&#10;">
                <v:fill on="f" focussize="0,0"/>
                <v:stroke on="f"/>
                <v:imagedata o:title=""/>
                <o:lock v:ext="edit" aspectratio="f"/>
                <v:textbox>
                  <w:txbxContent>
                    <w:p w14:paraId="6A73C02A">
                      <w:pPr>
                        <w:spacing w:line="276" w:lineRule="auto"/>
                        <w:rPr>
                          <w:rFonts w:hint="eastAsia" w:ascii="宋体" w:hAnsi="宋体"/>
                          <w:sz w:val="24"/>
                        </w:rPr>
                      </w:pPr>
                    </w:p>
                    <w:p w14:paraId="2C9437F4">
                      <w:pPr>
                        <w:spacing w:line="360" w:lineRule="auto"/>
                        <w:ind w:left="5520" w:hanging="5520" w:hangingChars="2300"/>
                        <w:rPr>
                          <w:rFonts w:hint="eastAsia" w:ascii="宋体" w:hAnsi="宋体"/>
                        </w:rPr>
                      </w:pPr>
                      <w:r>
                        <w:rPr>
                          <w:rFonts w:hint="eastAsia" w:ascii="宋体" w:hAnsi="宋体"/>
                          <w:sz w:val="24"/>
                        </w:rPr>
                        <w:t xml:space="preserve">甲方：广州南沙交投产业园开发有限公司   </w:t>
                      </w:r>
                    </w:p>
                    <w:p w14:paraId="42279258">
                      <w:pPr>
                        <w:spacing w:line="360" w:lineRule="auto"/>
                        <w:ind w:firstLine="1680" w:firstLineChars="700"/>
                        <w:rPr>
                          <w:rFonts w:hint="eastAsia" w:ascii="宋体" w:hAnsi="宋体"/>
                          <w:sz w:val="24"/>
                        </w:rPr>
                      </w:pPr>
                      <w:r>
                        <w:rPr>
                          <w:rFonts w:hint="eastAsia" w:ascii="宋体" w:hAnsi="宋体"/>
                          <w:sz w:val="24"/>
                        </w:rPr>
                        <w:t xml:space="preserve">（公章）         </w:t>
                      </w:r>
                    </w:p>
                    <w:p w14:paraId="3E653C00">
                      <w:pPr>
                        <w:spacing w:line="360" w:lineRule="auto"/>
                        <w:rPr>
                          <w:rFonts w:hint="eastAsia" w:ascii="宋体" w:hAnsi="宋体"/>
                          <w:snapToGrid w:val="0"/>
                          <w:kern w:val="0"/>
                          <w:sz w:val="24"/>
                        </w:rPr>
                      </w:pPr>
                      <w:r>
                        <w:rPr>
                          <w:rFonts w:hint="eastAsia" w:ascii="宋体" w:hAnsi="宋体"/>
                          <w:snapToGrid w:val="0"/>
                          <w:kern w:val="0"/>
                          <w:sz w:val="24"/>
                        </w:rPr>
                        <w:t>法定代表人：</w:t>
                      </w:r>
                    </w:p>
                    <w:p w14:paraId="01D7160B">
                      <w:pPr>
                        <w:spacing w:line="360" w:lineRule="auto"/>
                        <w:rPr>
                          <w:rFonts w:hint="eastAsia" w:ascii="宋体" w:hAnsi="宋体"/>
                          <w:sz w:val="24"/>
                        </w:rPr>
                      </w:pPr>
                      <w:r>
                        <w:rPr>
                          <w:rFonts w:hint="eastAsia" w:ascii="宋体" w:hAnsi="宋体"/>
                          <w:snapToGrid w:val="0"/>
                          <w:kern w:val="0"/>
                          <w:sz w:val="24"/>
                        </w:rPr>
                        <w:t>委托代理人：</w:t>
                      </w:r>
                      <w:r>
                        <w:rPr>
                          <w:rFonts w:ascii="宋体" w:hAnsi="宋体"/>
                          <w:sz w:val="24"/>
                        </w:rPr>
                        <w:t xml:space="preserve">                        </w:t>
                      </w:r>
                    </w:p>
                    <w:p w14:paraId="0D6CAAB9">
                      <w:pPr>
                        <w:spacing w:line="360" w:lineRule="auto"/>
                        <w:rPr>
                          <w:rFonts w:hint="eastAsia" w:ascii="宋体" w:hAnsi="宋体" w:cs="宋体"/>
                          <w:sz w:val="24"/>
                        </w:rPr>
                      </w:pPr>
                      <w:r>
                        <w:rPr>
                          <w:rFonts w:hint="eastAsia" w:ascii="宋体" w:hAnsi="宋体"/>
                          <w:sz w:val="24"/>
                        </w:rPr>
                        <w:t>联系地</w:t>
                      </w:r>
                      <w:r>
                        <w:rPr>
                          <w:rFonts w:ascii="宋体" w:hAnsi="宋体"/>
                          <w:sz w:val="24"/>
                        </w:rPr>
                        <w:t>址：</w:t>
                      </w:r>
                      <w:r>
                        <w:rPr>
                          <w:rFonts w:hint="eastAsia" w:ascii="宋体" w:hAnsi="宋体"/>
                          <w:sz w:val="24"/>
                        </w:rPr>
                        <w:t>广州市南沙区黄阁镇中铁建环球中心1#楼902室</w:t>
                      </w:r>
                    </w:p>
                    <w:p w14:paraId="7763AC76">
                      <w:pPr>
                        <w:spacing w:line="360" w:lineRule="auto"/>
                        <w:rPr>
                          <w:rFonts w:hint="eastAsia" w:ascii="宋体" w:hAnsi="宋体"/>
                          <w:sz w:val="24"/>
                        </w:rPr>
                      </w:pPr>
                      <w:r>
                        <w:rPr>
                          <w:rFonts w:hint="eastAsia" w:ascii="宋体" w:hAnsi="宋体"/>
                          <w:sz w:val="24"/>
                        </w:rPr>
                        <w:t>邮政编码：</w:t>
                      </w:r>
                      <w:r>
                        <w:rPr>
                          <w:rFonts w:hint="eastAsia" w:ascii="宋体" w:hAnsi="宋体" w:cs="宋体"/>
                          <w:sz w:val="24"/>
                        </w:rPr>
                        <w:t>511458</w:t>
                      </w:r>
                    </w:p>
                    <w:p w14:paraId="66E14756">
                      <w:pPr>
                        <w:spacing w:line="360" w:lineRule="auto"/>
                        <w:rPr>
                          <w:rFonts w:hint="eastAsia" w:ascii="宋体" w:hAnsi="宋体" w:cs="宋体"/>
                          <w:sz w:val="24"/>
                        </w:rPr>
                      </w:pPr>
                      <w:r>
                        <w:rPr>
                          <w:rFonts w:hint="eastAsia" w:ascii="宋体" w:hAnsi="宋体"/>
                          <w:sz w:val="24"/>
                        </w:rPr>
                        <w:t>电</w:t>
                      </w:r>
                      <w:r>
                        <w:rPr>
                          <w:rFonts w:ascii="宋体" w:hAnsi="宋体"/>
                          <w:sz w:val="24"/>
                        </w:rPr>
                        <w:t xml:space="preserve">    话：</w:t>
                      </w:r>
                    </w:p>
                    <w:p w14:paraId="2ADC2E1B">
                      <w:pPr>
                        <w:spacing w:line="360" w:lineRule="auto"/>
                        <w:rPr>
                          <w:rFonts w:hint="eastAsia" w:ascii="宋体" w:hAnsi="宋体"/>
                          <w:sz w:val="24"/>
                        </w:rPr>
                      </w:pPr>
                      <w:r>
                        <w:rPr>
                          <w:rFonts w:hint="eastAsia"/>
                          <w:sz w:val="24"/>
                        </w:rPr>
                        <w:t>签订日期：   年  月  日</w:t>
                      </w:r>
                    </w:p>
                  </w:txbxContent>
                </v:textbox>
              </v:shape>
            </w:pict>
          </mc:Fallback>
        </mc:AlternateContent>
      </w:r>
    </w:p>
    <w:p w14:paraId="4340F577">
      <w:pPr>
        <w:pStyle w:val="38"/>
        <w:spacing w:line="360" w:lineRule="auto"/>
        <w:rPr>
          <w:rFonts w:hint="eastAsia" w:ascii="宋体" w:hAnsi="宋体"/>
          <w:snapToGrid w:val="0"/>
        </w:rPr>
      </w:pPr>
    </w:p>
    <w:p w14:paraId="0F6E5A79">
      <w:pPr>
        <w:pStyle w:val="38"/>
        <w:spacing w:line="360" w:lineRule="auto"/>
        <w:rPr>
          <w:rFonts w:hint="eastAsia" w:ascii="宋体" w:hAnsi="宋体"/>
          <w:snapToGrid w:val="0"/>
        </w:rPr>
      </w:pPr>
    </w:p>
    <w:p w14:paraId="3264A413">
      <w:pPr>
        <w:pStyle w:val="38"/>
        <w:spacing w:line="360" w:lineRule="auto"/>
        <w:rPr>
          <w:rFonts w:hint="eastAsia" w:ascii="宋体" w:hAnsi="宋体"/>
          <w:snapToGrid w:val="0"/>
        </w:rPr>
      </w:pPr>
    </w:p>
    <w:p w14:paraId="4A9124AC">
      <w:pPr>
        <w:pStyle w:val="38"/>
        <w:spacing w:line="360" w:lineRule="auto"/>
        <w:rPr>
          <w:rFonts w:hint="eastAsia" w:ascii="宋体" w:hAnsi="宋体"/>
          <w:snapToGrid w:val="0"/>
        </w:rPr>
      </w:pPr>
    </w:p>
    <w:p w14:paraId="6A1922FA">
      <w:pPr>
        <w:pStyle w:val="38"/>
        <w:spacing w:line="360" w:lineRule="auto"/>
        <w:rPr>
          <w:rFonts w:hint="eastAsia" w:ascii="宋体" w:hAnsi="宋体"/>
          <w:snapToGrid w:val="0"/>
        </w:rPr>
      </w:pPr>
      <w:r>
        <mc:AlternateContent>
          <mc:Choice Requires="wps">
            <w:drawing>
              <wp:anchor distT="0" distB="0" distL="114300" distR="114300" simplePos="0" relativeHeight="251659264" behindDoc="0" locked="0" layoutInCell="1" allowOverlap="1">
                <wp:simplePos x="0" y="0"/>
                <wp:positionH relativeFrom="column">
                  <wp:posOffset>71120</wp:posOffset>
                </wp:positionH>
                <wp:positionV relativeFrom="paragraph">
                  <wp:posOffset>58420</wp:posOffset>
                </wp:positionV>
                <wp:extent cx="5355590" cy="3114040"/>
                <wp:effectExtent l="0" t="0" r="0" b="0"/>
                <wp:wrapNone/>
                <wp:docPr id="1" name="文本框 66"/>
                <wp:cNvGraphicFramePr/>
                <a:graphic xmlns:a="http://schemas.openxmlformats.org/drawingml/2006/main">
                  <a:graphicData uri="http://schemas.microsoft.com/office/word/2010/wordprocessingShape">
                    <wps:wsp>
                      <wps:cNvSpPr txBox="1"/>
                      <wps:spPr>
                        <a:xfrm>
                          <a:off x="0" y="0"/>
                          <a:ext cx="4618355" cy="3114040"/>
                        </a:xfrm>
                        <a:prstGeom prst="rect">
                          <a:avLst/>
                        </a:prstGeom>
                        <a:noFill/>
                        <a:ln w="9525" cap="flat" cmpd="sng">
                          <a:solidFill>
                            <a:srgbClr val="000000">
                              <a:alpha val="0"/>
                            </a:srgbClr>
                          </a:solidFill>
                          <a:prstDash val="solid"/>
                          <a:miter/>
                          <a:headEnd type="none" w="med" len="med"/>
                          <a:tailEnd type="none" w="med" len="med"/>
                        </a:ln>
                        <a:effectLst/>
                      </wps:spPr>
                      <wps:txbx>
                        <w:txbxContent>
                          <w:p w14:paraId="2E05BAE4">
                            <w:pPr>
                              <w:spacing w:line="360" w:lineRule="auto"/>
                              <w:rPr>
                                <w:rFonts w:hint="eastAsia" w:ascii="宋体" w:hAnsi="宋体"/>
                                <w:sz w:val="24"/>
                              </w:rPr>
                            </w:pPr>
                            <w:r>
                              <w:rPr>
                                <w:rFonts w:hint="eastAsia" w:ascii="宋体" w:hAnsi="宋体"/>
                                <w:snapToGrid w:val="0"/>
                                <w:kern w:val="0"/>
                                <w:sz w:val="24"/>
                              </w:rPr>
                              <w:t>乙方：</w:t>
                            </w:r>
                          </w:p>
                          <w:p w14:paraId="4C3C5C2C">
                            <w:pPr>
                              <w:spacing w:line="360" w:lineRule="auto"/>
                              <w:ind w:firstLine="1680" w:firstLineChars="700"/>
                              <w:rPr>
                                <w:rFonts w:hint="eastAsia" w:ascii="宋体" w:hAnsi="宋体"/>
                                <w:snapToGrid w:val="0"/>
                                <w:kern w:val="0"/>
                                <w:sz w:val="24"/>
                              </w:rPr>
                            </w:pPr>
                            <w:r>
                              <w:rPr>
                                <w:rFonts w:hint="eastAsia" w:ascii="宋体" w:hAnsi="宋体"/>
                                <w:snapToGrid w:val="0"/>
                                <w:kern w:val="0"/>
                                <w:sz w:val="24"/>
                              </w:rPr>
                              <w:t>（公章）</w:t>
                            </w:r>
                          </w:p>
                          <w:p w14:paraId="06BE0F93">
                            <w:pPr>
                              <w:spacing w:line="360" w:lineRule="auto"/>
                              <w:rPr>
                                <w:rFonts w:hint="eastAsia" w:ascii="宋体" w:hAnsi="宋体"/>
                                <w:snapToGrid w:val="0"/>
                                <w:kern w:val="0"/>
                                <w:sz w:val="24"/>
                              </w:rPr>
                            </w:pPr>
                            <w:r>
                              <w:rPr>
                                <w:rFonts w:hint="eastAsia" w:ascii="宋体" w:hAnsi="宋体"/>
                                <w:snapToGrid w:val="0"/>
                                <w:kern w:val="0"/>
                                <w:sz w:val="24"/>
                              </w:rPr>
                              <w:t>法定代表人：</w:t>
                            </w:r>
                          </w:p>
                          <w:p w14:paraId="3A70F0F2">
                            <w:pPr>
                              <w:spacing w:line="360" w:lineRule="auto"/>
                              <w:rPr>
                                <w:rFonts w:hint="eastAsia" w:ascii="宋体" w:hAnsi="宋体"/>
                                <w:snapToGrid w:val="0"/>
                                <w:kern w:val="0"/>
                                <w:sz w:val="24"/>
                              </w:rPr>
                            </w:pPr>
                            <w:r>
                              <w:rPr>
                                <w:rFonts w:hint="eastAsia" w:ascii="宋体" w:hAnsi="宋体"/>
                                <w:snapToGrid w:val="0"/>
                                <w:kern w:val="0"/>
                                <w:sz w:val="24"/>
                              </w:rPr>
                              <w:t>委托代理人：</w:t>
                            </w:r>
                            <w:r>
                              <w:rPr>
                                <w:rFonts w:ascii="宋体" w:hAnsi="宋体"/>
                                <w:snapToGrid w:val="0"/>
                                <w:kern w:val="0"/>
                                <w:sz w:val="24"/>
                              </w:rPr>
                              <w:tab/>
                            </w:r>
                          </w:p>
                          <w:p w14:paraId="190391F4">
                            <w:pPr>
                              <w:spacing w:line="360" w:lineRule="auto"/>
                              <w:rPr>
                                <w:rFonts w:hint="eastAsia" w:ascii="宋体" w:hAnsi="宋体" w:cs="宋体"/>
                                <w:sz w:val="24"/>
                              </w:rPr>
                            </w:pPr>
                            <w:r>
                              <w:rPr>
                                <w:rFonts w:hint="eastAsia" w:ascii="宋体" w:hAnsi="宋体"/>
                                <w:snapToGrid w:val="0"/>
                                <w:kern w:val="0"/>
                                <w:sz w:val="24"/>
                              </w:rPr>
                              <w:t>地址</w:t>
                            </w:r>
                            <w:r>
                              <w:rPr>
                                <w:rFonts w:hint="eastAsia" w:ascii="宋体" w:hAnsi="宋体" w:cs="宋体"/>
                                <w:sz w:val="24"/>
                              </w:rPr>
                              <w:t>：</w:t>
                            </w:r>
                          </w:p>
                          <w:p w14:paraId="23BB2A89">
                            <w:pPr>
                              <w:spacing w:line="360" w:lineRule="auto"/>
                              <w:rPr>
                                <w:rFonts w:hint="eastAsia" w:ascii="宋体" w:hAnsi="宋体"/>
                                <w:snapToGrid w:val="0"/>
                                <w:kern w:val="0"/>
                                <w:sz w:val="24"/>
                              </w:rPr>
                            </w:pPr>
                            <w:r>
                              <w:rPr>
                                <w:rFonts w:hint="eastAsia" w:ascii="宋体" w:hAnsi="宋体"/>
                                <w:snapToGrid w:val="0"/>
                                <w:kern w:val="0"/>
                                <w:sz w:val="24"/>
                              </w:rPr>
                              <w:t>联系人：</w:t>
                            </w:r>
                          </w:p>
                          <w:p w14:paraId="0C31EF63">
                            <w:pPr>
                              <w:spacing w:line="360" w:lineRule="auto"/>
                            </w:pPr>
                            <w:r>
                              <w:rPr>
                                <w:rFonts w:hint="eastAsia" w:ascii="宋体" w:hAnsi="宋体"/>
                                <w:snapToGrid w:val="0"/>
                                <w:kern w:val="0"/>
                                <w:sz w:val="24"/>
                              </w:rPr>
                              <w:t>联系电话：</w:t>
                            </w:r>
                          </w:p>
                          <w:p w14:paraId="0B61D710">
                            <w:pPr>
                              <w:spacing w:line="360" w:lineRule="auto"/>
                              <w:rPr>
                                <w:rFonts w:hint="eastAsia" w:ascii="宋体" w:hAnsi="宋体"/>
                                <w:snapToGrid w:val="0"/>
                                <w:kern w:val="0"/>
                                <w:sz w:val="24"/>
                              </w:rPr>
                            </w:pPr>
                            <w:r>
                              <w:rPr>
                                <w:rFonts w:hint="eastAsia" w:ascii="宋体" w:hAnsi="宋体"/>
                                <w:snapToGrid w:val="0"/>
                                <w:kern w:val="0"/>
                                <w:sz w:val="24"/>
                              </w:rPr>
                              <w:t>传真：</w:t>
                            </w:r>
                          </w:p>
                          <w:p w14:paraId="3EE32DE4">
                            <w:pPr>
                              <w:spacing w:line="360" w:lineRule="auto"/>
                              <w:rPr>
                                <w:rFonts w:hint="eastAsia" w:ascii="宋体" w:hAnsi="宋体" w:cs="宋体"/>
                                <w:sz w:val="24"/>
                              </w:rPr>
                            </w:pPr>
                            <w:r>
                              <w:rPr>
                                <w:rFonts w:hint="eastAsia"/>
                                <w:sz w:val="24"/>
                              </w:rPr>
                              <w:t>签订日期：  年  月  日</w:t>
                            </w:r>
                          </w:p>
                        </w:txbxContent>
                      </wps:txbx>
                      <wps:bodyPr upright="1"/>
                    </wps:wsp>
                  </a:graphicData>
                </a:graphic>
              </wp:anchor>
            </w:drawing>
          </mc:Choice>
          <mc:Fallback>
            <w:pict>
              <v:shape id="文本框 66" o:spid="_x0000_s1026" o:spt="202" type="#_x0000_t202" style="position:absolute;left:0pt;margin-left:5.6pt;margin-top:4.6pt;height:245.2pt;width:421.7pt;z-index:251659264;mso-width-relative:page;mso-height-relative:page;" filled="f" stroked="t" coordsize="21600,21600" o:gfxdata="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rx5VTVAAAACAEAAA8AAAAA&#10;AAAAAQAgAAAAIgAAAGRycy9kb3ducmV2LnhtbFBLAQIUABQAAAAIAIdO4kAeZLZ4FwIAADoEAAAO&#10;AAAAAAAAAAEAIAAAACQBAABkcnMvZTJvRG9jLnhtbFBLBQYAAAAABgAGAFkBAACtBQAAAAA=&#10;">
                <v:fill on="f" focussize="0,0"/>
                <v:stroke color="#000000" opacity="0f" joinstyle="miter"/>
                <v:imagedata o:title=""/>
                <o:lock v:ext="edit" aspectratio="f"/>
                <v:textbox>
                  <w:txbxContent>
                    <w:p w14:paraId="2E05BAE4">
                      <w:pPr>
                        <w:spacing w:line="360" w:lineRule="auto"/>
                        <w:rPr>
                          <w:rFonts w:hint="eastAsia" w:ascii="宋体" w:hAnsi="宋体"/>
                          <w:sz w:val="24"/>
                        </w:rPr>
                      </w:pPr>
                      <w:r>
                        <w:rPr>
                          <w:rFonts w:hint="eastAsia" w:ascii="宋体" w:hAnsi="宋体"/>
                          <w:snapToGrid w:val="0"/>
                          <w:kern w:val="0"/>
                          <w:sz w:val="24"/>
                        </w:rPr>
                        <w:t>乙方：</w:t>
                      </w:r>
                    </w:p>
                    <w:p w14:paraId="4C3C5C2C">
                      <w:pPr>
                        <w:spacing w:line="360" w:lineRule="auto"/>
                        <w:ind w:firstLine="1680" w:firstLineChars="700"/>
                        <w:rPr>
                          <w:rFonts w:hint="eastAsia" w:ascii="宋体" w:hAnsi="宋体"/>
                          <w:snapToGrid w:val="0"/>
                          <w:kern w:val="0"/>
                          <w:sz w:val="24"/>
                        </w:rPr>
                      </w:pPr>
                      <w:r>
                        <w:rPr>
                          <w:rFonts w:hint="eastAsia" w:ascii="宋体" w:hAnsi="宋体"/>
                          <w:snapToGrid w:val="0"/>
                          <w:kern w:val="0"/>
                          <w:sz w:val="24"/>
                        </w:rPr>
                        <w:t>（公章）</w:t>
                      </w:r>
                    </w:p>
                    <w:p w14:paraId="06BE0F93">
                      <w:pPr>
                        <w:spacing w:line="360" w:lineRule="auto"/>
                        <w:rPr>
                          <w:rFonts w:hint="eastAsia" w:ascii="宋体" w:hAnsi="宋体"/>
                          <w:snapToGrid w:val="0"/>
                          <w:kern w:val="0"/>
                          <w:sz w:val="24"/>
                        </w:rPr>
                      </w:pPr>
                      <w:r>
                        <w:rPr>
                          <w:rFonts w:hint="eastAsia" w:ascii="宋体" w:hAnsi="宋体"/>
                          <w:snapToGrid w:val="0"/>
                          <w:kern w:val="0"/>
                          <w:sz w:val="24"/>
                        </w:rPr>
                        <w:t>法定代表人：</w:t>
                      </w:r>
                    </w:p>
                    <w:p w14:paraId="3A70F0F2">
                      <w:pPr>
                        <w:spacing w:line="360" w:lineRule="auto"/>
                        <w:rPr>
                          <w:rFonts w:hint="eastAsia" w:ascii="宋体" w:hAnsi="宋体"/>
                          <w:snapToGrid w:val="0"/>
                          <w:kern w:val="0"/>
                          <w:sz w:val="24"/>
                        </w:rPr>
                      </w:pPr>
                      <w:r>
                        <w:rPr>
                          <w:rFonts w:hint="eastAsia" w:ascii="宋体" w:hAnsi="宋体"/>
                          <w:snapToGrid w:val="0"/>
                          <w:kern w:val="0"/>
                          <w:sz w:val="24"/>
                        </w:rPr>
                        <w:t>委托代理人：</w:t>
                      </w:r>
                      <w:r>
                        <w:rPr>
                          <w:rFonts w:ascii="宋体" w:hAnsi="宋体"/>
                          <w:snapToGrid w:val="0"/>
                          <w:kern w:val="0"/>
                          <w:sz w:val="24"/>
                        </w:rPr>
                        <w:tab/>
                      </w:r>
                    </w:p>
                    <w:p w14:paraId="190391F4">
                      <w:pPr>
                        <w:spacing w:line="360" w:lineRule="auto"/>
                        <w:rPr>
                          <w:rFonts w:hint="eastAsia" w:ascii="宋体" w:hAnsi="宋体" w:cs="宋体"/>
                          <w:sz w:val="24"/>
                        </w:rPr>
                      </w:pPr>
                      <w:r>
                        <w:rPr>
                          <w:rFonts w:hint="eastAsia" w:ascii="宋体" w:hAnsi="宋体"/>
                          <w:snapToGrid w:val="0"/>
                          <w:kern w:val="0"/>
                          <w:sz w:val="24"/>
                        </w:rPr>
                        <w:t>地址</w:t>
                      </w:r>
                      <w:r>
                        <w:rPr>
                          <w:rFonts w:hint="eastAsia" w:ascii="宋体" w:hAnsi="宋体" w:cs="宋体"/>
                          <w:sz w:val="24"/>
                        </w:rPr>
                        <w:t>：</w:t>
                      </w:r>
                    </w:p>
                    <w:p w14:paraId="23BB2A89">
                      <w:pPr>
                        <w:spacing w:line="360" w:lineRule="auto"/>
                        <w:rPr>
                          <w:rFonts w:hint="eastAsia" w:ascii="宋体" w:hAnsi="宋体"/>
                          <w:snapToGrid w:val="0"/>
                          <w:kern w:val="0"/>
                          <w:sz w:val="24"/>
                        </w:rPr>
                      </w:pPr>
                      <w:r>
                        <w:rPr>
                          <w:rFonts w:hint="eastAsia" w:ascii="宋体" w:hAnsi="宋体"/>
                          <w:snapToGrid w:val="0"/>
                          <w:kern w:val="0"/>
                          <w:sz w:val="24"/>
                        </w:rPr>
                        <w:t>联系人：</w:t>
                      </w:r>
                    </w:p>
                    <w:p w14:paraId="0C31EF63">
                      <w:pPr>
                        <w:spacing w:line="360" w:lineRule="auto"/>
                      </w:pPr>
                      <w:r>
                        <w:rPr>
                          <w:rFonts w:hint="eastAsia" w:ascii="宋体" w:hAnsi="宋体"/>
                          <w:snapToGrid w:val="0"/>
                          <w:kern w:val="0"/>
                          <w:sz w:val="24"/>
                        </w:rPr>
                        <w:t>联系电话：</w:t>
                      </w:r>
                    </w:p>
                    <w:p w14:paraId="0B61D710">
                      <w:pPr>
                        <w:spacing w:line="360" w:lineRule="auto"/>
                        <w:rPr>
                          <w:rFonts w:hint="eastAsia" w:ascii="宋体" w:hAnsi="宋体"/>
                          <w:snapToGrid w:val="0"/>
                          <w:kern w:val="0"/>
                          <w:sz w:val="24"/>
                        </w:rPr>
                      </w:pPr>
                      <w:r>
                        <w:rPr>
                          <w:rFonts w:hint="eastAsia" w:ascii="宋体" w:hAnsi="宋体"/>
                          <w:snapToGrid w:val="0"/>
                          <w:kern w:val="0"/>
                          <w:sz w:val="24"/>
                        </w:rPr>
                        <w:t>传真：</w:t>
                      </w:r>
                    </w:p>
                    <w:p w14:paraId="3EE32DE4">
                      <w:pPr>
                        <w:spacing w:line="360" w:lineRule="auto"/>
                        <w:rPr>
                          <w:rFonts w:hint="eastAsia" w:ascii="宋体" w:hAnsi="宋体" w:cs="宋体"/>
                          <w:sz w:val="24"/>
                        </w:rPr>
                      </w:pPr>
                      <w:r>
                        <w:rPr>
                          <w:rFonts w:hint="eastAsia"/>
                          <w:sz w:val="24"/>
                        </w:rPr>
                        <w:t>签订日期：  年  月  日</w:t>
                      </w:r>
                    </w:p>
                  </w:txbxContent>
                </v:textbox>
              </v:shape>
            </w:pict>
          </mc:Fallback>
        </mc:AlternateContent>
      </w:r>
    </w:p>
    <w:p w14:paraId="503ECD75">
      <w:pPr>
        <w:pStyle w:val="38"/>
        <w:spacing w:line="360" w:lineRule="auto"/>
        <w:rPr>
          <w:rFonts w:hint="eastAsia" w:ascii="宋体" w:hAnsi="宋体"/>
          <w:snapToGrid w:val="0"/>
        </w:rPr>
      </w:pPr>
    </w:p>
    <w:p w14:paraId="76A55395">
      <w:pPr>
        <w:pStyle w:val="38"/>
        <w:spacing w:line="360" w:lineRule="auto"/>
        <w:rPr>
          <w:rFonts w:hint="eastAsia" w:ascii="宋体" w:hAnsi="宋体"/>
          <w:snapToGrid w:val="0"/>
        </w:rPr>
      </w:pPr>
    </w:p>
    <w:p w14:paraId="0E4865F5">
      <w:pPr>
        <w:pStyle w:val="38"/>
        <w:spacing w:line="360" w:lineRule="auto"/>
        <w:rPr>
          <w:rFonts w:hint="eastAsia" w:ascii="宋体" w:hAnsi="宋体"/>
          <w:snapToGrid w:val="0"/>
        </w:rPr>
      </w:pPr>
    </w:p>
    <w:p w14:paraId="4D493971">
      <w:pPr>
        <w:pStyle w:val="38"/>
        <w:spacing w:line="360" w:lineRule="auto"/>
        <w:rPr>
          <w:rFonts w:hint="eastAsia" w:ascii="宋体" w:hAnsi="宋体"/>
          <w:snapToGrid w:val="0"/>
        </w:rPr>
      </w:pPr>
    </w:p>
    <w:p w14:paraId="2F9FCE7A">
      <w:pPr>
        <w:pStyle w:val="38"/>
        <w:spacing w:line="360" w:lineRule="auto"/>
        <w:rPr>
          <w:rFonts w:hint="eastAsia" w:ascii="宋体" w:hAnsi="宋体"/>
          <w:snapToGrid w:val="0"/>
        </w:rPr>
      </w:pPr>
    </w:p>
    <w:p w14:paraId="621A1CC3">
      <w:pPr>
        <w:pStyle w:val="38"/>
        <w:spacing w:line="360" w:lineRule="auto"/>
        <w:rPr>
          <w:rFonts w:hint="eastAsia" w:ascii="宋体" w:hAnsi="宋体"/>
          <w:snapToGrid w:val="0"/>
        </w:rPr>
      </w:pPr>
    </w:p>
    <w:p w14:paraId="498633DC">
      <w:pPr>
        <w:pStyle w:val="38"/>
        <w:spacing w:line="360" w:lineRule="auto"/>
        <w:rPr>
          <w:rFonts w:hint="eastAsia" w:ascii="宋体" w:hAnsi="宋体"/>
          <w:snapToGrid w:val="0"/>
        </w:rPr>
      </w:pPr>
    </w:p>
    <w:p w14:paraId="7B3AC3F5">
      <w:pPr>
        <w:pStyle w:val="38"/>
        <w:spacing w:line="360" w:lineRule="auto"/>
        <w:jc w:val="both"/>
        <w:rPr>
          <w:rFonts w:hint="eastAsia" w:ascii="宋体" w:hAnsi="宋体"/>
          <w:snapToGrid w:val="0"/>
        </w:rPr>
      </w:pPr>
    </w:p>
    <w:p w14:paraId="19BEF912">
      <w:pPr>
        <w:pStyle w:val="38"/>
        <w:spacing w:line="360" w:lineRule="auto"/>
        <w:rPr>
          <w:rFonts w:hint="eastAsia" w:ascii="宋体" w:hAnsi="宋体"/>
          <w:snapToGrid w:val="0"/>
        </w:rPr>
      </w:pPr>
      <w:r>
        <w:rPr>
          <w:rFonts w:hint="eastAsia" w:ascii="宋体" w:hAnsi="宋体"/>
          <w:snapToGrid w:val="0"/>
        </w:rPr>
        <w:t>第二部分合同附件</w:t>
      </w:r>
      <w:bookmarkEnd w:id="6"/>
      <w:bookmarkEnd w:id="7"/>
      <w:bookmarkEnd w:id="8"/>
      <w:bookmarkEnd w:id="9"/>
      <w:bookmarkEnd w:id="10"/>
    </w:p>
    <w:p w14:paraId="2F7B1BCE">
      <w:pPr>
        <w:adjustRightInd w:val="0"/>
        <w:snapToGrid w:val="0"/>
        <w:spacing w:line="360" w:lineRule="auto"/>
        <w:rPr>
          <w:rFonts w:hint="eastAsia" w:ascii="宋体" w:hAnsi="宋体"/>
          <w:snapToGrid w:val="0"/>
          <w:kern w:val="0"/>
          <w:sz w:val="24"/>
        </w:rPr>
      </w:pPr>
      <w:r>
        <w:rPr>
          <w:rFonts w:hint="eastAsia" w:ascii="宋体" w:hAnsi="宋体"/>
          <w:snapToGrid w:val="0"/>
          <w:kern w:val="0"/>
          <w:sz w:val="24"/>
        </w:rPr>
        <w:t>附件</w:t>
      </w:r>
      <w:r>
        <w:rPr>
          <w:rFonts w:ascii="宋体" w:hAnsi="宋体"/>
          <w:snapToGrid w:val="0"/>
          <w:kern w:val="0"/>
          <w:sz w:val="24"/>
        </w:rPr>
        <w:t>1、</w:t>
      </w:r>
      <w:bookmarkStart w:id="11" w:name="_Hlk515234631"/>
      <w:r>
        <w:rPr>
          <w:rFonts w:ascii="宋体" w:hAnsi="宋体"/>
          <w:snapToGrid w:val="0"/>
          <w:kern w:val="0"/>
          <w:sz w:val="24"/>
        </w:rPr>
        <w:t>工程建设项目廉政责任书</w:t>
      </w:r>
      <w:bookmarkEnd w:id="11"/>
    </w:p>
    <w:p w14:paraId="34BFB014">
      <w:pPr>
        <w:adjustRightInd w:val="0"/>
        <w:snapToGrid w:val="0"/>
        <w:spacing w:line="360" w:lineRule="auto"/>
        <w:rPr>
          <w:rFonts w:hint="eastAsia" w:ascii="宋体" w:hAnsi="宋体"/>
          <w:snapToGrid w:val="0"/>
          <w:kern w:val="0"/>
          <w:sz w:val="24"/>
        </w:rPr>
      </w:pPr>
      <w:r>
        <w:rPr>
          <w:rFonts w:hint="eastAsia" w:ascii="宋体" w:hAnsi="宋体"/>
          <w:snapToGrid w:val="0"/>
          <w:kern w:val="0"/>
          <w:sz w:val="24"/>
        </w:rPr>
        <w:t>附件</w:t>
      </w:r>
      <w:r>
        <w:rPr>
          <w:rFonts w:ascii="宋体" w:hAnsi="宋体"/>
          <w:snapToGrid w:val="0"/>
          <w:kern w:val="0"/>
          <w:sz w:val="24"/>
        </w:rPr>
        <w:t>2</w:t>
      </w:r>
      <w:r>
        <w:rPr>
          <w:rFonts w:hint="eastAsia" w:ascii="宋体" w:hAnsi="宋体"/>
          <w:snapToGrid w:val="0"/>
          <w:kern w:val="0"/>
          <w:sz w:val="24"/>
        </w:rPr>
        <w:t>、中标通知书</w:t>
      </w:r>
    </w:p>
    <w:p w14:paraId="3015229D">
      <w:pPr>
        <w:adjustRightInd w:val="0"/>
        <w:snapToGrid w:val="0"/>
        <w:spacing w:line="360" w:lineRule="auto"/>
        <w:rPr>
          <w:rFonts w:hint="eastAsia" w:ascii="宋体" w:hAnsi="宋体"/>
          <w:snapToGrid w:val="0"/>
          <w:kern w:val="0"/>
          <w:sz w:val="24"/>
        </w:rPr>
      </w:pPr>
      <w:r>
        <w:rPr>
          <w:rFonts w:hint="eastAsia" w:ascii="宋体" w:hAnsi="宋体"/>
          <w:snapToGrid w:val="0"/>
          <w:kern w:val="0"/>
          <w:sz w:val="24"/>
        </w:rPr>
        <w:t>附件</w:t>
      </w:r>
      <w:r>
        <w:rPr>
          <w:rFonts w:ascii="宋体" w:hAnsi="宋体"/>
          <w:snapToGrid w:val="0"/>
          <w:kern w:val="0"/>
          <w:sz w:val="24"/>
        </w:rPr>
        <w:t>3、银行履约保函及承诺书</w:t>
      </w:r>
    </w:p>
    <w:p w14:paraId="02E9CB5C">
      <w:pPr>
        <w:adjustRightInd w:val="0"/>
        <w:snapToGrid w:val="0"/>
        <w:spacing w:line="360" w:lineRule="auto"/>
        <w:rPr>
          <w:rFonts w:hint="eastAsia" w:ascii="宋体" w:hAnsi="宋体"/>
          <w:snapToGrid w:val="0"/>
          <w:kern w:val="0"/>
          <w:sz w:val="24"/>
        </w:rPr>
      </w:pPr>
      <w:r>
        <w:rPr>
          <w:rFonts w:hint="eastAsia" w:ascii="宋体" w:hAnsi="宋体"/>
          <w:snapToGrid w:val="0"/>
          <w:kern w:val="0"/>
          <w:sz w:val="24"/>
        </w:rPr>
        <w:t>附件</w:t>
      </w:r>
      <w:r>
        <w:rPr>
          <w:rFonts w:ascii="宋体" w:hAnsi="宋体"/>
          <w:snapToGrid w:val="0"/>
          <w:kern w:val="0"/>
          <w:sz w:val="24"/>
        </w:rPr>
        <w:t>4、</w:t>
      </w:r>
      <w:r>
        <w:rPr>
          <w:rFonts w:hint="eastAsia" w:ascii="宋体" w:hAnsi="宋体"/>
          <w:snapToGrid w:val="0"/>
          <w:kern w:val="0"/>
          <w:sz w:val="24"/>
        </w:rPr>
        <w:t>投标报价书及投标函</w:t>
      </w:r>
    </w:p>
    <w:p w14:paraId="09524106">
      <w:pPr>
        <w:adjustRightInd w:val="0"/>
        <w:snapToGrid w:val="0"/>
        <w:spacing w:line="360" w:lineRule="auto"/>
      </w:pPr>
      <w:r>
        <w:rPr>
          <w:rFonts w:hint="eastAsia" w:ascii="宋体" w:hAnsi="宋体"/>
          <w:snapToGrid w:val="0"/>
          <w:kern w:val="0"/>
          <w:sz w:val="24"/>
        </w:rPr>
        <w:t>附件5</w:t>
      </w:r>
      <w:r>
        <w:rPr>
          <w:rFonts w:ascii="宋体" w:hAnsi="宋体"/>
          <w:snapToGrid w:val="0"/>
          <w:kern w:val="0"/>
          <w:sz w:val="24"/>
        </w:rPr>
        <w:t>、</w:t>
      </w:r>
      <w:r>
        <w:rPr>
          <w:rFonts w:hint="eastAsia" w:ascii="宋体" w:hAnsi="宋体"/>
          <w:snapToGrid w:val="0"/>
          <w:kern w:val="0"/>
          <w:sz w:val="24"/>
        </w:rPr>
        <w:t>拟投入本项目造价人员一览表及项目负责人资质证明</w:t>
      </w:r>
    </w:p>
    <w:p w14:paraId="79286EFB">
      <w:pPr>
        <w:pStyle w:val="22"/>
        <w:rPr>
          <w:rFonts w:eastAsia="宋体"/>
        </w:rPr>
        <w:sectPr>
          <w:headerReference r:id="rId3" w:type="default"/>
          <w:footerReference r:id="rId4" w:type="default"/>
          <w:pgSz w:w="11906" w:h="16838"/>
          <w:pgMar w:top="1531" w:right="1463" w:bottom="1531" w:left="1531" w:header="851" w:footer="992" w:gutter="0"/>
          <w:pgNumType w:start="1"/>
          <w:cols w:space="720" w:num="1"/>
          <w:docGrid w:linePitch="312" w:charSpace="0"/>
        </w:sectPr>
      </w:pPr>
      <w:r>
        <w:rPr>
          <w:rFonts w:hint="eastAsia" w:hAnsi="宋体"/>
          <w:snapToGrid w:val="0"/>
          <w:kern w:val="0"/>
          <w:sz w:val="24"/>
        </w:rPr>
        <w:t>附件</w:t>
      </w:r>
      <w:r>
        <w:rPr>
          <w:rFonts w:hint="eastAsia" w:hAnsi="宋体" w:eastAsia="宋体"/>
          <w:snapToGrid w:val="0"/>
          <w:kern w:val="0"/>
          <w:sz w:val="24"/>
        </w:rPr>
        <w:t>6、评估</w:t>
      </w:r>
      <w:r>
        <w:rPr>
          <w:rFonts w:hint="eastAsia" w:hAnsi="宋体"/>
          <w:sz w:val="24"/>
        </w:rPr>
        <w:t>考核</w:t>
      </w:r>
      <w:r>
        <w:rPr>
          <w:rFonts w:hint="eastAsia" w:hAnsi="宋体" w:eastAsia="宋体"/>
          <w:snapToGrid w:val="0"/>
          <w:kern w:val="0"/>
          <w:sz w:val="24"/>
        </w:rPr>
        <w:t>表</w:t>
      </w:r>
    </w:p>
    <w:p w14:paraId="10994731">
      <w:pPr>
        <w:spacing w:line="620" w:lineRule="atLeast"/>
        <w:rPr>
          <w:rFonts w:hint="eastAsia" w:ascii="宋体" w:hAnsi="宋体"/>
          <w:sz w:val="24"/>
        </w:rPr>
      </w:pPr>
      <w:bookmarkStart w:id="12" w:name="_Toc19787"/>
      <w:bookmarkStart w:id="13" w:name="_Toc30750"/>
      <w:bookmarkStart w:id="14" w:name="_Toc5750"/>
      <w:bookmarkStart w:id="15" w:name="_Toc292"/>
      <w:bookmarkStart w:id="16" w:name="_Toc4552"/>
      <w:bookmarkStart w:id="17" w:name="_Toc7211"/>
      <w:bookmarkStart w:id="18" w:name="_Toc10267"/>
      <w:bookmarkStart w:id="19" w:name="_Toc22564"/>
      <w:r>
        <w:rPr>
          <w:rStyle w:val="55"/>
          <w:rFonts w:ascii="宋体" w:hAnsi="宋体"/>
        </w:rPr>
        <w:t>附件1工程建设廉政责任书</w:t>
      </w:r>
      <w:bookmarkEnd w:id="12"/>
      <w:bookmarkEnd w:id="13"/>
      <w:bookmarkEnd w:id="14"/>
      <w:bookmarkEnd w:id="15"/>
      <w:bookmarkEnd w:id="16"/>
      <w:bookmarkEnd w:id="17"/>
      <w:bookmarkEnd w:id="18"/>
      <w:bookmarkEnd w:id="19"/>
    </w:p>
    <w:p w14:paraId="1469565D">
      <w:pPr>
        <w:pStyle w:val="22"/>
        <w:rPr>
          <w:rFonts w:eastAsia="宋体"/>
        </w:rPr>
      </w:pPr>
    </w:p>
    <w:p w14:paraId="66510060">
      <w:pPr>
        <w:spacing w:before="30"/>
        <w:ind w:left="1138" w:right="1251"/>
        <w:jc w:val="center"/>
        <w:rPr>
          <w:rFonts w:ascii="PMingLiU" w:eastAsia="PMingLiU"/>
          <w:sz w:val="44"/>
        </w:rPr>
      </w:pPr>
      <w:r>
        <w:rPr>
          <w:rFonts w:hint="eastAsia" w:ascii="宋体" w:hAnsi="宋体"/>
          <w:b/>
          <w:sz w:val="30"/>
        </w:rPr>
        <w:t>南沙区建设工程项目廉洁责任合同</w:t>
      </w:r>
    </w:p>
    <w:p w14:paraId="7256873E">
      <w:pPr>
        <w:pStyle w:val="3"/>
        <w:rPr>
          <w:rFonts w:ascii="楷体_GB2312"/>
        </w:rPr>
      </w:pPr>
    </w:p>
    <w:p w14:paraId="738C1BE9">
      <w:pPr>
        <w:pStyle w:val="3"/>
        <w:spacing w:before="6"/>
        <w:rPr>
          <w:rFonts w:ascii="楷体_GB2312"/>
          <w:sz w:val="23"/>
        </w:rPr>
      </w:pPr>
    </w:p>
    <w:p w14:paraId="1590947C">
      <w:pPr>
        <w:shd w:val="clear" w:color="auto" w:fill="FFFFFF"/>
        <w:autoSpaceDE w:val="0"/>
        <w:autoSpaceDN w:val="0"/>
        <w:adjustRightInd w:val="0"/>
        <w:spacing w:line="300" w:lineRule="auto"/>
        <w:jc w:val="left"/>
        <w:rPr>
          <w:rFonts w:hint="eastAsia" w:ascii="宋体" w:hAnsi="宋体"/>
          <w:kern w:val="0"/>
          <w:sz w:val="24"/>
          <w:u w:val="single"/>
        </w:rPr>
      </w:pPr>
      <w:r>
        <w:rPr>
          <w:rFonts w:hint="eastAsia" w:ascii="宋体" w:hAnsi="宋体"/>
          <w:kern w:val="0"/>
          <w:sz w:val="24"/>
        </w:rPr>
        <w:t>发包人（委托人）：</w:t>
      </w:r>
      <w:r>
        <w:rPr>
          <w:rFonts w:hint="eastAsia" w:ascii="宋体" w:hAnsi="宋体"/>
          <w:kern w:val="0"/>
          <w:sz w:val="24"/>
          <w:u w:val="single"/>
        </w:rPr>
        <w:t>广州南沙交投产业园开发有限公司</w:t>
      </w:r>
    </w:p>
    <w:p w14:paraId="6CE93A65">
      <w:pPr>
        <w:shd w:val="clear" w:color="auto" w:fill="FFFFFF"/>
        <w:autoSpaceDE w:val="0"/>
        <w:autoSpaceDN w:val="0"/>
        <w:adjustRightInd w:val="0"/>
        <w:spacing w:line="300" w:lineRule="auto"/>
        <w:jc w:val="left"/>
        <w:rPr>
          <w:rFonts w:hint="eastAsia" w:ascii="宋体" w:hAnsi="宋体"/>
          <w:sz w:val="24"/>
          <w:u w:val="single"/>
        </w:rPr>
      </w:pPr>
      <w:r>
        <w:rPr>
          <w:rFonts w:hint="eastAsia" w:ascii="宋体" w:hAnsi="宋体"/>
          <w:kern w:val="0"/>
          <w:sz w:val="24"/>
        </w:rPr>
        <w:t>承包人（受托人）：</w:t>
      </w:r>
      <w:r>
        <w:rPr>
          <w:rFonts w:hint="eastAsia" w:ascii="宋体" w:hAnsi="宋体"/>
          <w:sz w:val="24"/>
          <w:u w:val="single"/>
        </w:rPr>
        <w:t xml:space="preserve">                            </w:t>
      </w:r>
    </w:p>
    <w:p w14:paraId="132947C2">
      <w:pPr>
        <w:shd w:val="clear" w:color="auto" w:fill="FFFFFF"/>
        <w:autoSpaceDE w:val="0"/>
        <w:autoSpaceDN w:val="0"/>
        <w:adjustRightInd w:val="0"/>
        <w:spacing w:line="300" w:lineRule="auto"/>
        <w:jc w:val="left"/>
        <w:rPr>
          <w:rFonts w:hint="eastAsia" w:ascii="宋体" w:hAnsi="宋体"/>
          <w:kern w:val="0"/>
          <w:sz w:val="24"/>
        </w:rPr>
      </w:pPr>
      <w:r>
        <w:rPr>
          <w:rFonts w:hint="eastAsia" w:ascii="宋体" w:hAnsi="宋体"/>
          <w:kern w:val="0"/>
          <w:sz w:val="24"/>
        </w:rPr>
        <w:t xml:space="preserve">建设工程项目： </w:t>
      </w:r>
      <w:r>
        <w:rPr>
          <w:rFonts w:hint="eastAsia" w:ascii="宋体" w:hAnsi="宋体"/>
          <w:kern w:val="0"/>
          <w:sz w:val="24"/>
          <w:lang w:eastAsia="zh-CN"/>
        </w:rPr>
        <w:t>南沙交投先进智造园一期项目全过程造价咨询服务</w:t>
      </w:r>
      <w:r>
        <w:rPr>
          <w:rFonts w:hint="eastAsia" w:ascii="宋体" w:hAnsi="宋体"/>
          <w:kern w:val="0"/>
          <w:sz w:val="24"/>
        </w:rPr>
        <w:t xml:space="preserve">                          </w:t>
      </w:r>
    </w:p>
    <w:p w14:paraId="6F7A07DC">
      <w:pPr>
        <w:shd w:val="clear" w:color="auto" w:fill="FFFFFF"/>
        <w:autoSpaceDE w:val="0"/>
        <w:autoSpaceDN w:val="0"/>
        <w:adjustRightInd w:val="0"/>
        <w:spacing w:line="300" w:lineRule="auto"/>
        <w:jc w:val="left"/>
        <w:rPr>
          <w:rFonts w:hint="eastAsia" w:ascii="宋体" w:hAnsi="宋体"/>
          <w:kern w:val="0"/>
          <w:sz w:val="24"/>
        </w:rPr>
      </w:pPr>
      <w:r>
        <w:rPr>
          <w:rFonts w:hint="eastAsia" w:ascii="宋体" w:hAnsi="宋体"/>
          <w:kern w:val="0"/>
          <w:sz w:val="24"/>
        </w:rPr>
        <w:t>建设工程地点：广州市南沙区</w:t>
      </w:r>
    </w:p>
    <w:p w14:paraId="14B038A6">
      <w:pPr>
        <w:pStyle w:val="3"/>
        <w:rPr>
          <w:sz w:val="20"/>
        </w:rPr>
      </w:pPr>
    </w:p>
    <w:p w14:paraId="2EE1427B">
      <w:pPr>
        <w:shd w:val="clear" w:color="auto" w:fill="FFFFFF"/>
        <w:autoSpaceDE w:val="0"/>
        <w:autoSpaceDN w:val="0"/>
        <w:adjustRightInd w:val="0"/>
        <w:spacing w:line="300" w:lineRule="auto"/>
        <w:ind w:firstLine="480" w:firstLineChars="200"/>
        <w:jc w:val="left"/>
        <w:rPr>
          <w:rFonts w:hint="eastAsia" w:ascii="宋体" w:hAnsi="宋体"/>
          <w:kern w:val="0"/>
          <w:sz w:val="24"/>
        </w:rPr>
      </w:pPr>
      <w:r>
        <w:rPr>
          <w:rFonts w:hint="eastAsia" w:ascii="宋体" w:hAnsi="宋体"/>
          <w:kern w:val="0"/>
          <w:sz w:val="24"/>
        </w:rPr>
        <w:t>为贯彻落实国家、省、市有关廉洁规定，深化廉洁南沙自贸试验区建设，加强工程建设领域廉洁风险防控，构建亲清政商关系，营造风清气正的市场环境，根据《中华人民共和国反不正当竞争法》《中华人民共和国招标投标法》及其实施条例等法律法规及政策的规定，双方同意签订本合同。</w:t>
      </w:r>
    </w:p>
    <w:p w14:paraId="24A494D4">
      <w:pPr>
        <w:pStyle w:val="3"/>
        <w:spacing w:before="199" w:line="328" w:lineRule="auto"/>
        <w:ind w:right="270" w:firstLine="482" w:firstLineChars="200"/>
        <w:rPr>
          <w:rFonts w:hint="eastAsia" w:ascii="宋体" w:hAnsi="宋体"/>
          <w:b/>
          <w:bCs/>
          <w:sz w:val="24"/>
          <w:szCs w:val="24"/>
        </w:rPr>
      </w:pPr>
      <w:r>
        <w:rPr>
          <w:rFonts w:hint="eastAsia" w:ascii="宋体" w:hAnsi="宋体"/>
          <w:b/>
          <w:bCs/>
          <w:sz w:val="24"/>
          <w:szCs w:val="24"/>
        </w:rPr>
        <w:t>第一条 本合同适用于南沙区政府财政资金和国有资金占控股或主导地位的公开招标类建设工程项目，涵盖工程施工类及服务类合同。辖区范围内其他工程项目可参照执行。</w:t>
      </w:r>
    </w:p>
    <w:p w14:paraId="5CDBE4DE">
      <w:pPr>
        <w:pStyle w:val="3"/>
        <w:spacing w:before="199" w:line="328" w:lineRule="auto"/>
        <w:ind w:right="270" w:firstLine="482" w:firstLineChars="200"/>
        <w:rPr>
          <w:rFonts w:hint="eastAsia" w:ascii="宋体" w:hAnsi="宋体"/>
          <w:b/>
          <w:bCs/>
          <w:sz w:val="24"/>
          <w:szCs w:val="24"/>
        </w:rPr>
      </w:pPr>
      <w:r>
        <w:rPr>
          <w:rFonts w:hint="eastAsia" w:ascii="宋体" w:hAnsi="宋体"/>
          <w:b/>
          <w:bCs/>
          <w:sz w:val="24"/>
          <w:szCs w:val="24"/>
        </w:rPr>
        <w:t>第二条 发包人及其工作人员不得利用项目或职权为本人及亲属谋取不正当利益，包括下列行为：</w:t>
      </w:r>
    </w:p>
    <w:p w14:paraId="713EAC74">
      <w:pPr>
        <w:shd w:val="clear" w:color="auto" w:fill="FFFFFF"/>
        <w:autoSpaceDE w:val="0"/>
        <w:autoSpaceDN w:val="0"/>
        <w:adjustRightInd w:val="0"/>
        <w:spacing w:line="300" w:lineRule="auto"/>
        <w:ind w:firstLine="480" w:firstLineChars="200"/>
        <w:jc w:val="left"/>
        <w:rPr>
          <w:rFonts w:hint="eastAsia" w:ascii="宋体" w:hAnsi="宋体"/>
          <w:kern w:val="0"/>
          <w:sz w:val="24"/>
        </w:rPr>
      </w:pPr>
      <w:r>
        <w:rPr>
          <w:rFonts w:hint="eastAsia" w:ascii="宋体" w:hAnsi="宋体"/>
          <w:kern w:val="0"/>
          <w:sz w:val="24"/>
        </w:rPr>
        <w:t>2.1 索取、接受或者以借为名占用承包人的财物，包括但不限于任何形式的礼品礼金、好处费、回扣、各种有价证券、购物卡及其他支付凭证、房产、车辆、贵重物品等；</w:t>
      </w:r>
    </w:p>
    <w:p w14:paraId="60D0A220">
      <w:pPr>
        <w:shd w:val="clear" w:color="auto" w:fill="FFFFFF"/>
        <w:autoSpaceDE w:val="0"/>
        <w:autoSpaceDN w:val="0"/>
        <w:adjustRightInd w:val="0"/>
        <w:spacing w:line="300" w:lineRule="auto"/>
        <w:ind w:firstLine="480" w:firstLineChars="200"/>
        <w:jc w:val="left"/>
        <w:rPr>
          <w:rFonts w:hint="eastAsia" w:ascii="宋体" w:hAnsi="宋体"/>
          <w:kern w:val="0"/>
          <w:sz w:val="24"/>
        </w:rPr>
      </w:pPr>
      <w:r>
        <w:rPr>
          <w:rFonts w:hint="eastAsia" w:ascii="宋体" w:hAnsi="宋体"/>
          <w:kern w:val="0"/>
          <w:sz w:val="24"/>
        </w:rPr>
        <w:t>2.2 接受承包人宴请（工作餐除外）及旅游、健身、娱乐等活动安排；</w:t>
      </w:r>
    </w:p>
    <w:p w14:paraId="07DB10FF">
      <w:pPr>
        <w:shd w:val="clear" w:color="auto" w:fill="FFFFFF"/>
        <w:autoSpaceDE w:val="0"/>
        <w:autoSpaceDN w:val="0"/>
        <w:adjustRightInd w:val="0"/>
        <w:spacing w:line="300" w:lineRule="auto"/>
        <w:ind w:firstLine="480" w:firstLineChars="200"/>
        <w:jc w:val="left"/>
        <w:rPr>
          <w:rFonts w:hint="eastAsia" w:ascii="宋体" w:hAnsi="宋体"/>
          <w:kern w:val="0"/>
          <w:sz w:val="24"/>
        </w:rPr>
      </w:pPr>
      <w:r>
        <w:rPr>
          <w:rFonts w:hint="eastAsia" w:ascii="宋体" w:hAnsi="宋体"/>
          <w:kern w:val="0"/>
          <w:sz w:val="24"/>
        </w:rPr>
        <w:t>2.3 向承包人报销任何应由自身承担、支付的费用；</w:t>
      </w:r>
    </w:p>
    <w:p w14:paraId="23AF7334">
      <w:pPr>
        <w:shd w:val="clear" w:color="auto" w:fill="FFFFFF"/>
        <w:autoSpaceDE w:val="0"/>
        <w:autoSpaceDN w:val="0"/>
        <w:adjustRightInd w:val="0"/>
        <w:spacing w:line="300" w:lineRule="auto"/>
        <w:ind w:firstLine="480" w:firstLineChars="200"/>
        <w:jc w:val="left"/>
        <w:rPr>
          <w:rFonts w:hint="eastAsia" w:ascii="宋体" w:hAnsi="宋体"/>
          <w:kern w:val="0"/>
          <w:sz w:val="24"/>
        </w:rPr>
      </w:pPr>
      <w:r>
        <w:rPr>
          <w:rFonts w:hint="eastAsia" w:ascii="宋体" w:hAnsi="宋体"/>
          <w:kern w:val="0"/>
          <w:sz w:val="24"/>
        </w:rPr>
        <w:t>2.4 向承包人推荐分包人，推销材料和设备，要求承包人购买指定的材料和设备；</w:t>
      </w:r>
    </w:p>
    <w:p w14:paraId="0107DAE1">
      <w:pPr>
        <w:shd w:val="clear" w:color="auto" w:fill="FFFFFF"/>
        <w:autoSpaceDE w:val="0"/>
        <w:autoSpaceDN w:val="0"/>
        <w:adjustRightInd w:val="0"/>
        <w:spacing w:line="300" w:lineRule="auto"/>
        <w:ind w:firstLine="480" w:firstLineChars="200"/>
        <w:jc w:val="left"/>
        <w:rPr>
          <w:rFonts w:hint="eastAsia" w:ascii="宋体" w:hAnsi="宋体"/>
          <w:kern w:val="0"/>
          <w:sz w:val="24"/>
        </w:rPr>
      </w:pPr>
      <w:r>
        <w:rPr>
          <w:rFonts w:hint="eastAsia" w:ascii="宋体" w:hAnsi="宋体"/>
          <w:kern w:val="0"/>
          <w:sz w:val="24"/>
        </w:rPr>
        <w:t>2.5 私自为建设工程安排施工队伍，从事与建设工程有关的各种有偿中介服务；</w:t>
      </w:r>
    </w:p>
    <w:p w14:paraId="46361C19">
      <w:pPr>
        <w:shd w:val="clear" w:color="auto" w:fill="FFFFFF"/>
        <w:autoSpaceDE w:val="0"/>
        <w:autoSpaceDN w:val="0"/>
        <w:adjustRightInd w:val="0"/>
        <w:spacing w:line="300" w:lineRule="auto"/>
        <w:ind w:firstLine="480" w:firstLineChars="200"/>
        <w:jc w:val="left"/>
        <w:rPr>
          <w:rFonts w:hint="eastAsia" w:ascii="宋体" w:hAnsi="宋体"/>
          <w:kern w:val="0"/>
          <w:sz w:val="24"/>
        </w:rPr>
      </w:pPr>
      <w:r>
        <w:rPr>
          <w:rFonts w:hint="eastAsia" w:ascii="宋体" w:hAnsi="宋体"/>
          <w:kern w:val="0"/>
          <w:sz w:val="24"/>
        </w:rPr>
        <w:t>2.6 要求或者暗示承包人为本人或亲属的工作安排、职务晋升、经商办企业、出国出境、旅游、留学、探亲、定居等提供资助或便利；</w:t>
      </w:r>
    </w:p>
    <w:p w14:paraId="7B291536">
      <w:pPr>
        <w:shd w:val="clear" w:color="auto" w:fill="FFFFFF"/>
        <w:autoSpaceDE w:val="0"/>
        <w:autoSpaceDN w:val="0"/>
        <w:adjustRightInd w:val="0"/>
        <w:spacing w:line="300" w:lineRule="auto"/>
        <w:ind w:firstLine="480" w:firstLineChars="200"/>
        <w:jc w:val="left"/>
        <w:rPr>
          <w:rFonts w:hint="eastAsia" w:ascii="宋体" w:hAnsi="宋体"/>
          <w:kern w:val="0"/>
          <w:sz w:val="24"/>
        </w:rPr>
      </w:pPr>
      <w:r>
        <w:rPr>
          <w:rFonts w:hint="eastAsia" w:ascii="宋体" w:hAnsi="宋体"/>
          <w:kern w:val="0"/>
          <w:sz w:val="24"/>
        </w:rPr>
        <w:t>2.7 默许、纵容、授意亲属收受承包人财物，或从事与建设工程有关的材料和设备供应、工程分包、劳务等经济活动；</w:t>
      </w:r>
    </w:p>
    <w:p w14:paraId="26E513D5">
      <w:pPr>
        <w:shd w:val="clear" w:color="auto" w:fill="FFFFFF"/>
        <w:autoSpaceDE w:val="0"/>
        <w:autoSpaceDN w:val="0"/>
        <w:adjustRightInd w:val="0"/>
        <w:spacing w:line="300" w:lineRule="auto"/>
        <w:ind w:firstLine="480" w:firstLineChars="200"/>
        <w:jc w:val="left"/>
        <w:rPr>
          <w:rFonts w:hint="eastAsia" w:ascii="宋体" w:hAnsi="宋体"/>
          <w:kern w:val="0"/>
          <w:sz w:val="24"/>
        </w:rPr>
      </w:pPr>
      <w:r>
        <w:rPr>
          <w:rFonts w:hint="eastAsia" w:ascii="宋体" w:hAnsi="宋体"/>
          <w:kern w:val="0"/>
          <w:sz w:val="24"/>
        </w:rPr>
        <w:t>2.8 其他利用项目或职权谋取不正当利益的行为。</w:t>
      </w:r>
    </w:p>
    <w:p w14:paraId="1D3B9524">
      <w:pPr>
        <w:pStyle w:val="3"/>
        <w:spacing w:before="199" w:line="328" w:lineRule="auto"/>
        <w:ind w:right="270" w:firstLine="482" w:firstLineChars="200"/>
        <w:rPr>
          <w:rFonts w:hint="eastAsia" w:ascii="宋体" w:hAnsi="宋体"/>
          <w:b/>
          <w:bCs/>
          <w:sz w:val="24"/>
          <w:szCs w:val="24"/>
        </w:rPr>
      </w:pPr>
      <w:r>
        <w:rPr>
          <w:rFonts w:hint="eastAsia" w:ascii="宋体" w:hAnsi="宋体"/>
          <w:b/>
          <w:bCs/>
          <w:sz w:val="24"/>
          <w:szCs w:val="24"/>
        </w:rPr>
        <w:t>第三条 承包人及其工作人员不得通过商业贿赂等不正当手段谋取利益，包括下列行为：</w:t>
      </w:r>
    </w:p>
    <w:p w14:paraId="4F120DA8">
      <w:pPr>
        <w:shd w:val="clear" w:color="auto" w:fill="FFFFFF"/>
        <w:autoSpaceDE w:val="0"/>
        <w:autoSpaceDN w:val="0"/>
        <w:adjustRightInd w:val="0"/>
        <w:spacing w:line="300" w:lineRule="auto"/>
        <w:ind w:firstLine="480" w:firstLineChars="200"/>
        <w:jc w:val="left"/>
        <w:rPr>
          <w:rFonts w:hint="eastAsia" w:ascii="宋体" w:hAnsi="宋体"/>
          <w:kern w:val="0"/>
          <w:sz w:val="24"/>
        </w:rPr>
      </w:pPr>
      <w:r>
        <w:rPr>
          <w:rFonts w:hint="eastAsia" w:ascii="宋体" w:hAnsi="宋体"/>
          <w:kern w:val="0"/>
          <w:sz w:val="24"/>
        </w:rPr>
        <w:t>3.1 同意或主动向发包人及其工作人员提供第二条约 定的禁止性行为；</w:t>
      </w:r>
    </w:p>
    <w:p w14:paraId="2492B54D">
      <w:pPr>
        <w:shd w:val="clear" w:color="auto" w:fill="FFFFFF"/>
        <w:autoSpaceDE w:val="0"/>
        <w:autoSpaceDN w:val="0"/>
        <w:adjustRightInd w:val="0"/>
        <w:spacing w:line="300" w:lineRule="auto"/>
        <w:ind w:firstLine="480" w:firstLineChars="200"/>
        <w:jc w:val="left"/>
        <w:rPr>
          <w:rFonts w:hint="eastAsia" w:ascii="宋体" w:hAnsi="宋体"/>
          <w:kern w:val="0"/>
          <w:sz w:val="24"/>
        </w:rPr>
      </w:pPr>
      <w:r>
        <w:rPr>
          <w:rFonts w:hint="eastAsia" w:ascii="宋体" w:hAnsi="宋体"/>
          <w:kern w:val="0"/>
          <w:sz w:val="24"/>
        </w:rPr>
        <w:t>3.2 向与建设工程相关的代建、施工、监理（项目管理）、勘察、设计、咨询等有关单位及其工作人员进行商业贿赂， 包括但不限于任何形式的礼品礼金、有价证券、购物卡、回扣、佣金、咨询费、劳务费、赞助费、宣传费，以及支付旅游费用、报销各种消费凭证等。</w:t>
      </w:r>
    </w:p>
    <w:p w14:paraId="6208D916">
      <w:pPr>
        <w:shd w:val="clear" w:color="auto" w:fill="FFFFFF"/>
        <w:autoSpaceDE w:val="0"/>
        <w:autoSpaceDN w:val="0"/>
        <w:adjustRightInd w:val="0"/>
        <w:spacing w:line="300" w:lineRule="auto"/>
        <w:ind w:firstLine="480" w:firstLineChars="200"/>
        <w:jc w:val="left"/>
        <w:rPr>
          <w:rFonts w:hint="eastAsia" w:ascii="宋体" w:hAnsi="宋体"/>
          <w:kern w:val="0"/>
          <w:sz w:val="24"/>
        </w:rPr>
      </w:pPr>
      <w:r>
        <w:rPr>
          <w:rFonts w:hint="eastAsia" w:ascii="宋体" w:hAnsi="宋体"/>
          <w:kern w:val="0"/>
          <w:sz w:val="24"/>
        </w:rPr>
        <w:t>3.3 接受与建设工程相关的代建、施工、监理（项目管理）、勘察、设计、咨询等有关单位及其工作人员的商业贿赂。</w:t>
      </w:r>
    </w:p>
    <w:p w14:paraId="045B5B65">
      <w:pPr>
        <w:shd w:val="clear" w:color="auto" w:fill="FFFFFF"/>
        <w:autoSpaceDE w:val="0"/>
        <w:autoSpaceDN w:val="0"/>
        <w:adjustRightInd w:val="0"/>
        <w:spacing w:line="300" w:lineRule="auto"/>
        <w:ind w:firstLine="480" w:firstLineChars="200"/>
        <w:jc w:val="left"/>
        <w:rPr>
          <w:rFonts w:hint="eastAsia" w:ascii="宋体" w:hAnsi="宋体"/>
          <w:kern w:val="0"/>
          <w:sz w:val="24"/>
        </w:rPr>
      </w:pPr>
      <w:r>
        <w:rPr>
          <w:rFonts w:hint="eastAsia" w:ascii="宋体" w:hAnsi="宋体"/>
          <w:kern w:val="0"/>
          <w:sz w:val="24"/>
        </w:rPr>
        <w:t>3.4 接受分包（工程分包、劳务分包等）单位、材料设备供应单位等单位及其工作人员的商业贿赂。</w:t>
      </w:r>
    </w:p>
    <w:p w14:paraId="4AECC082">
      <w:pPr>
        <w:shd w:val="clear" w:color="auto" w:fill="FFFFFF"/>
        <w:autoSpaceDE w:val="0"/>
        <w:autoSpaceDN w:val="0"/>
        <w:adjustRightInd w:val="0"/>
        <w:spacing w:line="300" w:lineRule="auto"/>
        <w:ind w:firstLine="480" w:firstLineChars="200"/>
        <w:jc w:val="left"/>
        <w:rPr>
          <w:rFonts w:hint="eastAsia" w:ascii="宋体" w:hAnsi="宋体"/>
          <w:kern w:val="0"/>
          <w:sz w:val="24"/>
        </w:rPr>
      </w:pPr>
      <w:r>
        <w:rPr>
          <w:rFonts w:hint="eastAsia" w:ascii="宋体" w:hAnsi="宋体"/>
          <w:kern w:val="0"/>
          <w:sz w:val="24"/>
        </w:rPr>
        <w:t>3.5 其他通过不正当手段谋取利益的行为。</w:t>
      </w:r>
    </w:p>
    <w:p w14:paraId="51A0D7AD">
      <w:pPr>
        <w:pStyle w:val="3"/>
        <w:spacing w:before="199" w:line="328" w:lineRule="auto"/>
        <w:ind w:right="270" w:firstLine="482" w:firstLineChars="200"/>
        <w:rPr>
          <w:rFonts w:hint="eastAsia" w:ascii="宋体" w:hAnsi="宋体"/>
          <w:b/>
          <w:bCs/>
          <w:sz w:val="24"/>
          <w:szCs w:val="24"/>
        </w:rPr>
      </w:pPr>
      <w:r>
        <w:rPr>
          <w:rFonts w:hint="eastAsia" w:ascii="宋体" w:hAnsi="宋体"/>
          <w:b/>
          <w:bCs/>
          <w:sz w:val="24"/>
          <w:szCs w:val="24"/>
        </w:rPr>
        <w:t>第四条 发包人、承包人及双方工作人员不得违规干预或插手建设工程招投标活动，禁止串通投标（围标）等不正当竞争行为。</w:t>
      </w:r>
    </w:p>
    <w:p w14:paraId="4ACDF0F7">
      <w:pPr>
        <w:pStyle w:val="3"/>
        <w:spacing w:before="199" w:line="328" w:lineRule="auto"/>
        <w:ind w:right="270" w:firstLine="482" w:firstLineChars="200"/>
        <w:rPr>
          <w:rFonts w:hint="eastAsia" w:ascii="宋体" w:hAnsi="宋体"/>
          <w:b/>
          <w:bCs/>
          <w:sz w:val="24"/>
          <w:szCs w:val="24"/>
        </w:rPr>
      </w:pPr>
      <w:r>
        <w:rPr>
          <w:rFonts w:hint="eastAsia" w:ascii="宋体" w:hAnsi="宋体"/>
          <w:b/>
          <w:bCs/>
          <w:sz w:val="24"/>
          <w:szCs w:val="24"/>
        </w:rPr>
        <w:t>第五条 廉洁风险防控机制</w:t>
      </w:r>
    </w:p>
    <w:p w14:paraId="0FFD9EB5">
      <w:pPr>
        <w:shd w:val="clear" w:color="auto" w:fill="FFFFFF"/>
        <w:autoSpaceDE w:val="0"/>
        <w:autoSpaceDN w:val="0"/>
        <w:adjustRightInd w:val="0"/>
        <w:spacing w:line="300" w:lineRule="auto"/>
        <w:ind w:firstLine="480" w:firstLineChars="200"/>
        <w:jc w:val="left"/>
        <w:rPr>
          <w:rFonts w:hint="eastAsia" w:ascii="宋体" w:hAnsi="宋体"/>
          <w:kern w:val="0"/>
          <w:sz w:val="24"/>
          <w:lang w:val="zh-CN"/>
        </w:rPr>
      </w:pPr>
      <w:r>
        <w:rPr>
          <w:rFonts w:hint="eastAsia" w:ascii="宋体" w:hAnsi="宋体"/>
          <w:kern w:val="0"/>
          <w:sz w:val="24"/>
          <w:lang w:val="zh-CN"/>
        </w:rPr>
        <w:t>发包人、承包人双方均有义务建立健全廉洁风险防控机制，排查、梳理建设工程业务流程及关键工作岗位涉及的廉洁风险点，有针对性地逐项制定防控措施，加强对单位工作人员的廉洁教育，预警在先、防范在前，风险定到岗、制度建到位、责任落到人。发现对方在业务活动中有违反廉洁规定的行为，应及时给予提醒和纠正。</w:t>
      </w:r>
    </w:p>
    <w:p w14:paraId="66EF4005">
      <w:pPr>
        <w:pStyle w:val="2"/>
      </w:pPr>
    </w:p>
    <w:p w14:paraId="3AD13043">
      <w:pPr>
        <w:pStyle w:val="3"/>
        <w:spacing w:before="199"/>
        <w:ind w:right="272" w:firstLine="482" w:firstLineChars="200"/>
        <w:rPr>
          <w:rFonts w:hint="eastAsia" w:ascii="宋体" w:hAnsi="宋体"/>
          <w:b/>
          <w:bCs/>
          <w:sz w:val="24"/>
          <w:szCs w:val="24"/>
        </w:rPr>
      </w:pPr>
      <w:r>
        <w:rPr>
          <w:rFonts w:hint="eastAsia" w:ascii="宋体" w:hAnsi="宋体"/>
          <w:b/>
          <w:bCs/>
          <w:sz w:val="24"/>
          <w:szCs w:val="24"/>
        </w:rPr>
        <w:t>第六条 廉洁违约责任</w:t>
      </w:r>
    </w:p>
    <w:p w14:paraId="3BA123A1">
      <w:pPr>
        <w:pStyle w:val="2"/>
        <w:ind w:left="943" w:firstLine="0"/>
      </w:pPr>
    </w:p>
    <w:p w14:paraId="67DAE40D">
      <w:pPr>
        <w:shd w:val="clear" w:color="auto" w:fill="FFFFFF"/>
        <w:autoSpaceDE w:val="0"/>
        <w:autoSpaceDN w:val="0"/>
        <w:adjustRightInd w:val="0"/>
        <w:spacing w:line="300" w:lineRule="auto"/>
        <w:ind w:firstLine="480" w:firstLineChars="200"/>
        <w:jc w:val="left"/>
        <w:rPr>
          <w:rFonts w:hint="eastAsia" w:ascii="宋体" w:hAnsi="宋体"/>
          <w:kern w:val="0"/>
          <w:sz w:val="24"/>
          <w:lang w:val="zh-CN"/>
        </w:rPr>
      </w:pPr>
      <w:r>
        <w:rPr>
          <w:rFonts w:hint="eastAsia" w:ascii="宋体" w:hAnsi="宋体"/>
          <w:kern w:val="0"/>
          <w:sz w:val="24"/>
        </w:rPr>
        <w:t xml:space="preserve">6.1 </w:t>
      </w:r>
      <w:r>
        <w:rPr>
          <w:rFonts w:hint="eastAsia" w:ascii="宋体" w:hAnsi="宋体"/>
          <w:kern w:val="0"/>
          <w:sz w:val="24"/>
          <w:lang w:val="zh-CN"/>
        </w:rPr>
        <w:t>发包人及其工作人员违反本合同第二条和第四条规定，相关责任人应受到相应的党纪政务（纪）处分，涉嫌犯罪的，移送司法机关依法处理；给承包人造成经济损失的， 应承担相应的赔偿责任。</w:t>
      </w:r>
    </w:p>
    <w:p w14:paraId="680D5E38">
      <w:pPr>
        <w:shd w:val="clear" w:color="auto" w:fill="FFFFFF"/>
        <w:autoSpaceDE w:val="0"/>
        <w:autoSpaceDN w:val="0"/>
        <w:adjustRightInd w:val="0"/>
        <w:spacing w:line="300" w:lineRule="auto"/>
        <w:ind w:firstLine="480" w:firstLineChars="200"/>
        <w:jc w:val="left"/>
        <w:rPr>
          <w:rFonts w:hint="eastAsia" w:ascii="宋体" w:hAnsi="宋体"/>
          <w:kern w:val="0"/>
          <w:sz w:val="24"/>
          <w:lang w:val="zh-CN"/>
        </w:rPr>
      </w:pPr>
      <w:r>
        <w:rPr>
          <w:rFonts w:hint="eastAsia" w:ascii="宋体" w:hAnsi="宋体"/>
          <w:kern w:val="0"/>
          <w:sz w:val="24"/>
        </w:rPr>
        <w:t xml:space="preserve">6.2 </w:t>
      </w:r>
      <w:r>
        <w:rPr>
          <w:rFonts w:hint="eastAsia" w:ascii="宋体" w:hAnsi="宋体"/>
          <w:kern w:val="0"/>
          <w:sz w:val="24"/>
          <w:lang w:val="zh-CN"/>
        </w:rPr>
        <w:t>承包人及其工作人员违反本合同第三条和第四条 规定，经有关主管部门查证属实或者经纪检监察机关认定违纪、经司法机关依法确定构成违法犯罪的，承包人应按次向发包人支付廉洁违约金（施工类建设项目合同价款 2%且不超过 100 万元人民币，服务类建设项目合同价款 5%且不超过 50 万元人民币）；给发包人造成经济损失的，还应承担相应的赔偿责任。同时，发包人有权：（1）如承包人的行为严重影响合同的履行或者严重干扰市场公平竞争营商环境，可单方解除主合同；（2）将承包人的履约评价评为不合格，并拒绝其参与发包人负责实施项目的投标或摇珠；（3）将有关情况报相关主管部门记录，作为企业诚信评分考核，建议给予通报并向社会进行公示。</w:t>
      </w:r>
    </w:p>
    <w:p w14:paraId="60D46F86">
      <w:pPr>
        <w:pStyle w:val="4"/>
        <w:spacing w:line="402" w:lineRule="exact"/>
        <w:ind w:firstLine="482" w:firstLineChars="200"/>
        <w:rPr>
          <w:rFonts w:hint="eastAsia" w:ascii="宋体" w:hAnsi="宋体"/>
          <w:b/>
          <w:kern w:val="2"/>
          <w:sz w:val="24"/>
          <w:szCs w:val="24"/>
        </w:rPr>
      </w:pPr>
      <w:r>
        <w:rPr>
          <w:rFonts w:hint="eastAsia" w:ascii="宋体" w:hAnsi="宋体"/>
          <w:b/>
          <w:kern w:val="2"/>
          <w:sz w:val="24"/>
          <w:szCs w:val="24"/>
        </w:rPr>
        <w:t>第七条 监督举报</w:t>
      </w:r>
    </w:p>
    <w:p w14:paraId="4F4B2687">
      <w:pPr>
        <w:pStyle w:val="3"/>
        <w:spacing w:before="150" w:line="328" w:lineRule="auto"/>
        <w:ind w:right="416" w:firstLine="480" w:firstLineChars="200"/>
        <w:rPr>
          <w:rFonts w:hint="eastAsia" w:ascii="宋体" w:hAnsi="宋体"/>
          <w:kern w:val="0"/>
          <w:sz w:val="24"/>
          <w:szCs w:val="24"/>
          <w:lang w:val="zh-CN"/>
        </w:rPr>
      </w:pPr>
      <w:r>
        <w:rPr>
          <w:rFonts w:hint="eastAsia" w:ascii="宋体" w:hAnsi="宋体"/>
          <w:kern w:val="0"/>
          <w:sz w:val="24"/>
          <w:szCs w:val="24"/>
          <w:lang w:val="zh-CN"/>
        </w:rPr>
        <w:t>发包人、承包人均有监督举报的权利和义务，发现对方有违反本合同的行为，可向南沙区纪委监委举报。南沙区纪委监委将按照相关规定予以受理，鼓励实名举报，严查诬告陷害，对实名举报有功人员给予一定的现金奖励，对诬告陷害的依规依纪依法给予处理。</w:t>
      </w:r>
    </w:p>
    <w:p w14:paraId="59A9B571">
      <w:pPr>
        <w:pStyle w:val="4"/>
        <w:spacing w:line="402" w:lineRule="exact"/>
        <w:ind w:firstLine="482" w:firstLineChars="200"/>
        <w:rPr>
          <w:rFonts w:hint="eastAsia" w:ascii="宋体" w:hAnsi="宋体"/>
          <w:b/>
          <w:kern w:val="2"/>
          <w:sz w:val="24"/>
          <w:szCs w:val="24"/>
        </w:rPr>
      </w:pPr>
      <w:r>
        <w:rPr>
          <w:rFonts w:hint="eastAsia" w:ascii="宋体" w:hAnsi="宋体"/>
          <w:b/>
          <w:kern w:val="2"/>
          <w:sz w:val="24"/>
          <w:szCs w:val="24"/>
        </w:rPr>
        <w:t>南沙区纪委监委举报方式：</w:t>
      </w:r>
    </w:p>
    <w:p w14:paraId="4D2918F6">
      <w:pPr>
        <w:pStyle w:val="3"/>
        <w:spacing w:before="150" w:line="328" w:lineRule="auto"/>
        <w:ind w:right="416" w:firstLine="480" w:firstLineChars="200"/>
        <w:rPr>
          <w:rFonts w:hint="eastAsia" w:ascii="宋体" w:hAnsi="宋体"/>
          <w:kern w:val="0"/>
          <w:sz w:val="24"/>
          <w:szCs w:val="24"/>
          <w:lang w:val="zh-CN"/>
        </w:rPr>
      </w:pPr>
      <w:r>
        <w:rPr>
          <w:rFonts w:hint="eastAsia" w:ascii="宋体" w:hAnsi="宋体"/>
          <w:kern w:val="0"/>
          <w:sz w:val="24"/>
          <w:szCs w:val="24"/>
          <w:lang w:val="zh-CN"/>
        </w:rPr>
        <w:t>来信举报：广州市南沙区凤凰大道一号南沙区纪委监委信访室，邮编 511455；</w:t>
      </w:r>
    </w:p>
    <w:p w14:paraId="3252A182">
      <w:pPr>
        <w:pStyle w:val="3"/>
        <w:spacing w:before="150" w:line="328" w:lineRule="auto"/>
        <w:ind w:right="416" w:firstLine="480" w:firstLineChars="200"/>
        <w:rPr>
          <w:rFonts w:hint="eastAsia" w:ascii="宋体" w:hAnsi="宋体"/>
          <w:kern w:val="0"/>
          <w:sz w:val="24"/>
          <w:szCs w:val="24"/>
          <w:lang w:val="zh-CN"/>
        </w:rPr>
      </w:pPr>
      <w:r>
        <w:rPr>
          <w:rFonts w:hint="eastAsia" w:ascii="宋体" w:hAnsi="宋体"/>
          <w:kern w:val="0"/>
          <w:sz w:val="24"/>
          <w:szCs w:val="24"/>
          <w:lang w:val="zh-CN"/>
        </w:rPr>
        <w:t>电话举报：020-84986949，020-12388；</w:t>
      </w:r>
    </w:p>
    <w:p w14:paraId="31A8CAD2">
      <w:pPr>
        <w:pStyle w:val="3"/>
        <w:spacing w:before="150" w:line="328" w:lineRule="auto"/>
        <w:ind w:right="416" w:firstLine="420" w:firstLineChars="200"/>
        <w:rPr>
          <w:rFonts w:hint="eastAsia" w:ascii="宋体" w:hAnsi="宋体"/>
          <w:kern w:val="0"/>
          <w:sz w:val="24"/>
          <w:szCs w:val="24"/>
          <w:lang w:val="zh-CN"/>
        </w:rPr>
      </w:pPr>
      <w:r>
        <w:drawing>
          <wp:anchor distT="0" distB="0" distL="114300" distR="114300" simplePos="0" relativeHeight="251661312" behindDoc="0" locked="0" layoutInCell="1" allowOverlap="1">
            <wp:simplePos x="0" y="0"/>
            <wp:positionH relativeFrom="page">
              <wp:posOffset>2722245</wp:posOffset>
            </wp:positionH>
            <wp:positionV relativeFrom="paragraph">
              <wp:posOffset>783590</wp:posOffset>
            </wp:positionV>
            <wp:extent cx="1991360" cy="2440940"/>
            <wp:effectExtent l="0" t="0" r="5080" b="1270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a:picLocks noChangeAspect="1"/>
                    </pic:cNvPicPr>
                  </pic:nvPicPr>
                  <pic:blipFill>
                    <a:blip r:embed="rId10"/>
                    <a:stretch>
                      <a:fillRect/>
                    </a:stretch>
                  </pic:blipFill>
                  <pic:spPr>
                    <a:xfrm>
                      <a:off x="0" y="0"/>
                      <a:ext cx="1991360" cy="2440940"/>
                    </a:xfrm>
                    <a:prstGeom prst="rect">
                      <a:avLst/>
                    </a:prstGeom>
                    <a:noFill/>
                    <a:ln>
                      <a:noFill/>
                    </a:ln>
                  </pic:spPr>
                </pic:pic>
              </a:graphicData>
            </a:graphic>
          </wp:anchor>
        </w:drawing>
      </w:r>
      <w:r>
        <w:rPr>
          <w:rFonts w:hint="eastAsia" w:ascii="宋体" w:hAnsi="宋体"/>
          <w:kern w:val="0"/>
          <w:sz w:val="24"/>
          <w:szCs w:val="24"/>
          <w:lang w:val="zh-CN"/>
        </w:rPr>
        <w:t>网络举报：</w:t>
      </w:r>
      <w:r>
        <w:rPr>
          <w:rFonts w:hint="eastAsia" w:ascii="宋体" w:hAnsi="宋体"/>
          <w:kern w:val="0"/>
          <w:sz w:val="24"/>
          <w:szCs w:val="24"/>
          <w:lang w:val="zh-CN"/>
        </w:rPr>
        <w:fldChar w:fldCharType="begin"/>
      </w:r>
      <w:r>
        <w:rPr>
          <w:rFonts w:hint="eastAsia" w:ascii="宋体" w:hAnsi="宋体"/>
          <w:kern w:val="0"/>
          <w:sz w:val="24"/>
          <w:szCs w:val="24"/>
          <w:lang w:val="zh-CN"/>
        </w:rPr>
        <w:instrText xml:space="preserve"> HYPERLINK "http://guangdong.12388.gov.cn锛/" \h </w:instrText>
      </w:r>
      <w:r>
        <w:rPr>
          <w:rFonts w:hint="eastAsia" w:ascii="宋体" w:hAnsi="宋体"/>
          <w:kern w:val="0"/>
          <w:sz w:val="24"/>
          <w:szCs w:val="24"/>
          <w:lang w:val="zh-CN"/>
        </w:rPr>
        <w:fldChar w:fldCharType="separate"/>
      </w:r>
      <w:r>
        <w:rPr>
          <w:rFonts w:hint="eastAsia" w:ascii="宋体" w:hAnsi="宋体"/>
          <w:kern w:val="0"/>
          <w:sz w:val="24"/>
          <w:szCs w:val="24"/>
          <w:lang w:val="zh-CN"/>
        </w:rPr>
        <w:t>http://guangdong.12388.gov.cn；</w:t>
      </w:r>
    </w:p>
    <w:p w14:paraId="694B884D">
      <w:pPr>
        <w:pStyle w:val="3"/>
        <w:spacing w:before="150" w:line="328" w:lineRule="auto"/>
        <w:ind w:right="416" w:firstLine="640"/>
        <w:rPr>
          <w:rFonts w:hint="eastAsia" w:ascii="宋体" w:hAnsi="宋体"/>
          <w:kern w:val="0"/>
          <w:sz w:val="24"/>
          <w:szCs w:val="24"/>
          <w:lang w:val="zh-CN"/>
        </w:rPr>
      </w:pPr>
      <w:r>
        <w:rPr>
          <w:rFonts w:hint="eastAsia" w:ascii="宋体" w:hAnsi="宋体"/>
          <w:kern w:val="0"/>
          <w:sz w:val="24"/>
          <w:szCs w:val="24"/>
          <w:lang w:val="zh-CN"/>
        </w:rPr>
        <w:t xml:space="preserve"> </w:t>
      </w:r>
      <w:r>
        <w:rPr>
          <w:rFonts w:hint="eastAsia" w:ascii="宋体" w:hAnsi="宋体"/>
          <w:kern w:val="0"/>
          <w:sz w:val="24"/>
          <w:szCs w:val="24"/>
          <w:lang w:val="zh-CN"/>
        </w:rPr>
        <w:fldChar w:fldCharType="end"/>
      </w:r>
      <w:r>
        <w:rPr>
          <w:rFonts w:hint="eastAsia" w:ascii="宋体" w:hAnsi="宋体"/>
          <w:kern w:val="0"/>
          <w:sz w:val="24"/>
          <w:szCs w:val="24"/>
          <w:lang w:val="zh-CN"/>
        </w:rPr>
        <w:t>二维码举报：</w:t>
      </w:r>
    </w:p>
    <w:p w14:paraId="6419B5F8">
      <w:pPr>
        <w:rPr>
          <w:rFonts w:hint="eastAsia" w:ascii="仿宋_GB2312" w:hAnsi="仿宋_GB2312" w:eastAsia="仿宋_GB2312" w:cs="仿宋_GB2312"/>
          <w:spacing w:val="-4"/>
          <w:sz w:val="32"/>
          <w:lang w:val="zh-CN" w:bidi="zh-CN"/>
        </w:rPr>
      </w:pPr>
    </w:p>
    <w:p w14:paraId="2B25270D">
      <w:pPr>
        <w:pStyle w:val="2"/>
        <w:rPr>
          <w:rFonts w:hint="eastAsia" w:ascii="仿宋_GB2312" w:hAnsi="仿宋_GB2312" w:eastAsia="仿宋_GB2312" w:cs="仿宋_GB2312"/>
          <w:spacing w:val="-4"/>
          <w:sz w:val="32"/>
          <w:szCs w:val="24"/>
          <w:lang w:val="zh-CN" w:bidi="zh-CN"/>
        </w:rPr>
      </w:pPr>
    </w:p>
    <w:p w14:paraId="33F2843E">
      <w:pPr>
        <w:pStyle w:val="2"/>
        <w:rPr>
          <w:rFonts w:hint="eastAsia" w:ascii="仿宋_GB2312" w:hAnsi="仿宋_GB2312" w:eastAsia="仿宋_GB2312" w:cs="仿宋_GB2312"/>
          <w:spacing w:val="-4"/>
          <w:sz w:val="32"/>
          <w:szCs w:val="24"/>
          <w:lang w:val="zh-CN" w:bidi="zh-CN"/>
        </w:rPr>
      </w:pPr>
    </w:p>
    <w:p w14:paraId="03C8458A">
      <w:pPr>
        <w:pStyle w:val="2"/>
        <w:rPr>
          <w:rFonts w:hint="eastAsia" w:ascii="仿宋_GB2312" w:hAnsi="仿宋_GB2312" w:eastAsia="仿宋_GB2312" w:cs="仿宋_GB2312"/>
          <w:spacing w:val="-4"/>
          <w:sz w:val="32"/>
          <w:szCs w:val="24"/>
          <w:lang w:val="zh-CN" w:bidi="zh-CN"/>
        </w:rPr>
      </w:pPr>
    </w:p>
    <w:p w14:paraId="1D1C6C73">
      <w:pPr>
        <w:pStyle w:val="2"/>
        <w:rPr>
          <w:rFonts w:hint="eastAsia" w:ascii="仿宋_GB2312" w:hAnsi="仿宋_GB2312" w:eastAsia="仿宋_GB2312" w:cs="仿宋_GB2312"/>
          <w:spacing w:val="-4"/>
          <w:sz w:val="32"/>
          <w:szCs w:val="24"/>
          <w:lang w:val="zh-CN" w:bidi="zh-CN"/>
        </w:rPr>
      </w:pPr>
    </w:p>
    <w:p w14:paraId="31C86B9D">
      <w:pPr>
        <w:pStyle w:val="2"/>
        <w:rPr>
          <w:rFonts w:hint="eastAsia" w:ascii="仿宋_GB2312" w:hAnsi="仿宋_GB2312" w:eastAsia="仿宋_GB2312" w:cs="仿宋_GB2312"/>
          <w:spacing w:val="-4"/>
          <w:sz w:val="32"/>
          <w:szCs w:val="24"/>
          <w:lang w:val="zh-CN" w:bidi="zh-CN"/>
        </w:rPr>
      </w:pPr>
    </w:p>
    <w:p w14:paraId="015F7B69">
      <w:pPr>
        <w:pStyle w:val="2"/>
        <w:rPr>
          <w:rFonts w:hint="eastAsia" w:ascii="仿宋_GB2312" w:hAnsi="仿宋_GB2312" w:eastAsia="仿宋_GB2312" w:cs="仿宋_GB2312"/>
          <w:spacing w:val="-4"/>
          <w:sz w:val="32"/>
          <w:szCs w:val="24"/>
          <w:lang w:val="zh-CN" w:bidi="zh-CN"/>
        </w:rPr>
      </w:pPr>
    </w:p>
    <w:p w14:paraId="23B21DEE">
      <w:pPr>
        <w:pStyle w:val="2"/>
        <w:rPr>
          <w:rFonts w:hint="eastAsia" w:ascii="仿宋_GB2312" w:hAnsi="仿宋_GB2312" w:eastAsia="仿宋_GB2312" w:cs="仿宋_GB2312"/>
          <w:spacing w:val="-4"/>
          <w:sz w:val="32"/>
          <w:szCs w:val="24"/>
          <w:lang w:val="zh-CN" w:bidi="zh-CN"/>
        </w:rPr>
      </w:pPr>
    </w:p>
    <w:p w14:paraId="11084D16">
      <w:pPr>
        <w:pStyle w:val="2"/>
        <w:rPr>
          <w:rFonts w:hint="eastAsia" w:ascii="仿宋_GB2312" w:hAnsi="仿宋_GB2312" w:eastAsia="仿宋_GB2312" w:cs="仿宋_GB2312"/>
          <w:spacing w:val="-4"/>
          <w:sz w:val="32"/>
          <w:szCs w:val="24"/>
          <w:lang w:val="zh-CN" w:bidi="zh-CN"/>
        </w:rPr>
      </w:pPr>
    </w:p>
    <w:p w14:paraId="3E9918C1">
      <w:pPr>
        <w:pStyle w:val="4"/>
        <w:spacing w:line="402" w:lineRule="exact"/>
        <w:rPr>
          <w:rFonts w:hint="eastAsia" w:ascii="宋体" w:hAnsi="宋体"/>
          <w:b/>
          <w:kern w:val="2"/>
          <w:sz w:val="24"/>
          <w:szCs w:val="24"/>
        </w:rPr>
      </w:pPr>
      <w:r>
        <w:rPr>
          <w:rFonts w:hint="eastAsia" w:ascii="宋体" w:hAnsi="宋体"/>
          <w:b/>
          <w:kern w:val="2"/>
          <w:sz w:val="24"/>
          <w:szCs w:val="24"/>
        </w:rPr>
        <w:t>第八条</w:t>
      </w:r>
      <w:r>
        <w:rPr>
          <w:rFonts w:hint="eastAsia" w:ascii="宋体" w:hAnsi="宋体"/>
          <w:b/>
          <w:kern w:val="2"/>
          <w:sz w:val="24"/>
          <w:szCs w:val="24"/>
        </w:rPr>
        <w:tab/>
      </w:r>
      <w:r>
        <w:rPr>
          <w:rFonts w:hint="eastAsia" w:ascii="宋体" w:hAnsi="宋体"/>
          <w:b/>
          <w:kern w:val="2"/>
          <w:sz w:val="24"/>
          <w:szCs w:val="24"/>
        </w:rPr>
        <w:t>其他约定</w:t>
      </w:r>
    </w:p>
    <w:p w14:paraId="644C5482">
      <w:pPr>
        <w:pStyle w:val="3"/>
        <w:spacing w:before="150" w:line="328" w:lineRule="auto"/>
        <w:ind w:right="416" w:firstLine="640"/>
        <w:rPr>
          <w:rFonts w:hint="eastAsia" w:ascii="宋体" w:hAnsi="宋体"/>
          <w:kern w:val="0"/>
          <w:sz w:val="24"/>
          <w:szCs w:val="24"/>
          <w:lang w:val="zh-CN"/>
        </w:rPr>
      </w:pPr>
      <w:r>
        <w:rPr>
          <w:rFonts w:hint="eastAsia" w:ascii="宋体" w:hAnsi="宋体"/>
          <w:kern w:val="0"/>
          <w:sz w:val="24"/>
          <w:szCs w:val="24"/>
          <w:lang w:val="zh-CN"/>
        </w:rPr>
        <w:t>本合同作为双方所签署主合同的附件，与主合同具有同等法律效力。对项目涉及的廉洁问题，不受项目竣工验收、 工作人员离职或退休等原因影响，发包人、承包人仍应按合同约定承担相应的违约责任。</w:t>
      </w:r>
    </w:p>
    <w:p w14:paraId="10CE7797">
      <w:pPr>
        <w:pStyle w:val="3"/>
        <w:spacing w:before="150" w:line="328" w:lineRule="auto"/>
        <w:ind w:right="416" w:firstLine="640"/>
        <w:rPr>
          <w:rFonts w:hint="eastAsia" w:ascii="宋体" w:hAnsi="宋体"/>
          <w:kern w:val="0"/>
          <w:sz w:val="24"/>
          <w:szCs w:val="24"/>
          <w:lang w:val="zh-CN"/>
        </w:rPr>
      </w:pPr>
    </w:p>
    <w:p w14:paraId="444E0B63">
      <w:pPr>
        <w:pStyle w:val="3"/>
        <w:spacing w:before="150" w:line="328" w:lineRule="auto"/>
        <w:ind w:right="416" w:firstLine="640"/>
        <w:rPr>
          <w:rFonts w:hint="eastAsia" w:ascii="宋体" w:hAnsi="宋体"/>
          <w:kern w:val="0"/>
          <w:sz w:val="24"/>
          <w:szCs w:val="24"/>
          <w:lang w:val="zh-CN"/>
        </w:rPr>
      </w:pPr>
    </w:p>
    <w:p w14:paraId="5EAD0F0D">
      <w:pPr>
        <w:spacing w:line="360" w:lineRule="auto"/>
        <w:rPr>
          <w:rFonts w:hint="eastAsia" w:ascii="宋体" w:hAnsi="宋体"/>
          <w:sz w:val="24"/>
        </w:rPr>
      </w:pPr>
    </w:p>
    <w:p w14:paraId="111D050E">
      <w:pPr>
        <w:spacing w:line="360" w:lineRule="auto"/>
        <w:jc w:val="center"/>
        <w:rPr>
          <w:rFonts w:hint="eastAsia" w:ascii="宋体" w:hAnsi="宋体"/>
          <w:sz w:val="24"/>
        </w:rPr>
      </w:pPr>
      <w:r>
        <w:rPr>
          <w:rFonts w:hint="eastAsia" w:ascii="宋体" w:hAnsi="宋体"/>
          <w:sz w:val="24"/>
        </w:rPr>
        <w:t>（签署页）</w:t>
      </w:r>
    </w:p>
    <w:p w14:paraId="1990A5AF">
      <w:pPr>
        <w:spacing w:line="360" w:lineRule="auto"/>
        <w:ind w:right="31" w:rightChars="15"/>
        <w:rPr>
          <w:rFonts w:hint="eastAsia" w:ascii="宋体" w:hAnsi="宋体"/>
          <w:sz w:val="24"/>
        </w:rPr>
      </w:pPr>
      <w:r>
        <w:rPr>
          <w:rFonts w:hint="eastAsia" w:ascii="宋体" w:hAnsi="宋体"/>
          <w:sz w:val="24"/>
        </w:rPr>
        <w:t>发包人：广州南沙交投产业园开发有限公司</w:t>
      </w:r>
    </w:p>
    <w:p w14:paraId="5D45E827">
      <w:pPr>
        <w:spacing w:line="360" w:lineRule="auto"/>
        <w:ind w:right="31" w:rightChars="15" w:firstLine="2203" w:firstLineChars="918"/>
        <w:jc w:val="left"/>
        <w:rPr>
          <w:rFonts w:hint="eastAsia" w:ascii="宋体" w:hAnsi="宋体"/>
          <w:sz w:val="24"/>
        </w:rPr>
      </w:pPr>
      <w:r>
        <w:rPr>
          <w:rFonts w:ascii="宋体" w:hAnsi="宋体"/>
          <w:sz w:val="24"/>
        </w:rPr>
        <w:t xml:space="preserve">(公章)       </w:t>
      </w:r>
    </w:p>
    <w:p w14:paraId="3E9F5F74">
      <w:pPr>
        <w:spacing w:line="360" w:lineRule="auto"/>
        <w:ind w:right="31" w:rightChars="15"/>
        <w:rPr>
          <w:rFonts w:hint="eastAsia" w:ascii="宋体" w:hAnsi="宋体"/>
          <w:sz w:val="24"/>
        </w:rPr>
      </w:pPr>
      <w:r>
        <w:rPr>
          <w:rFonts w:hint="eastAsia" w:ascii="宋体" w:hAnsi="宋体"/>
          <w:sz w:val="24"/>
        </w:rPr>
        <w:t>法定代表人：　　　</w:t>
      </w:r>
    </w:p>
    <w:p w14:paraId="37FCEBE8">
      <w:pPr>
        <w:spacing w:line="360" w:lineRule="auto"/>
        <w:ind w:right="31" w:rightChars="15"/>
        <w:jc w:val="left"/>
        <w:rPr>
          <w:rFonts w:hint="eastAsia" w:ascii="宋体" w:hAnsi="宋体"/>
          <w:sz w:val="24"/>
        </w:rPr>
      </w:pPr>
      <w:r>
        <w:rPr>
          <w:rFonts w:hint="eastAsia" w:ascii="宋体" w:hAnsi="宋体"/>
          <w:sz w:val="24"/>
        </w:rPr>
        <w:t>委托代理人：</w:t>
      </w:r>
    </w:p>
    <w:p w14:paraId="68F33F99">
      <w:pPr>
        <w:spacing w:line="360" w:lineRule="auto"/>
        <w:ind w:right="31" w:rightChars="15"/>
        <w:jc w:val="left"/>
        <w:rPr>
          <w:rFonts w:hint="eastAsia" w:ascii="宋体" w:hAnsi="宋体"/>
          <w:sz w:val="24"/>
        </w:rPr>
      </w:pPr>
      <w:r>
        <w:rPr>
          <w:rFonts w:hint="eastAsia" w:ascii="宋体" w:hAnsi="宋体"/>
          <w:sz w:val="24"/>
        </w:rPr>
        <w:t>日期：     年    月    日</w:t>
      </w:r>
    </w:p>
    <w:p w14:paraId="023F4D1B">
      <w:pPr>
        <w:spacing w:line="360" w:lineRule="auto"/>
        <w:ind w:right="31" w:rightChars="15"/>
        <w:rPr>
          <w:rFonts w:hint="eastAsia" w:ascii="宋体" w:hAnsi="宋体"/>
          <w:sz w:val="24"/>
        </w:rPr>
      </w:pPr>
    </w:p>
    <w:p w14:paraId="0F3173A0">
      <w:pPr>
        <w:spacing w:line="360" w:lineRule="auto"/>
        <w:ind w:left="178" w:leftChars="85" w:right="31" w:rightChars="15"/>
        <w:rPr>
          <w:rFonts w:hint="eastAsia" w:ascii="宋体" w:hAnsi="宋体"/>
          <w:sz w:val="24"/>
        </w:rPr>
      </w:pPr>
    </w:p>
    <w:p w14:paraId="14BACEDC">
      <w:pPr>
        <w:pStyle w:val="22"/>
        <w:rPr>
          <w:rFonts w:eastAsia="宋体"/>
        </w:rPr>
      </w:pPr>
      <w:r>
        <w:rPr>
          <w:rFonts w:hint="eastAsia" w:hAnsi="宋体" w:eastAsia="宋体"/>
          <w:sz w:val="24"/>
        </w:rPr>
        <w:t xml:space="preserve"> </w:t>
      </w:r>
    </w:p>
    <w:p w14:paraId="143C51F1">
      <w:pPr>
        <w:widowControl/>
        <w:spacing w:line="360" w:lineRule="auto"/>
        <w:jc w:val="left"/>
        <w:rPr>
          <w:rFonts w:hint="eastAsia" w:ascii="宋体" w:hAnsi="宋体"/>
          <w:sz w:val="24"/>
        </w:rPr>
      </w:pPr>
      <w:r>
        <w:rPr>
          <w:rFonts w:hint="eastAsia" w:ascii="宋体" w:hAnsi="宋体"/>
          <w:sz w:val="24"/>
        </w:rPr>
        <w:t xml:space="preserve">承包人：                                 </w:t>
      </w:r>
    </w:p>
    <w:p w14:paraId="6B6FF4F3">
      <w:pPr>
        <w:spacing w:line="360" w:lineRule="auto"/>
        <w:ind w:right="31" w:rightChars="15" w:firstLine="1920" w:firstLineChars="800"/>
        <w:rPr>
          <w:rFonts w:hint="eastAsia" w:ascii="宋体" w:hAnsi="宋体"/>
          <w:sz w:val="24"/>
        </w:rPr>
      </w:pPr>
      <w:r>
        <w:rPr>
          <w:rFonts w:hint="eastAsia" w:ascii="宋体" w:hAnsi="宋体"/>
          <w:sz w:val="24"/>
        </w:rPr>
        <w:t>（公章）</w:t>
      </w:r>
    </w:p>
    <w:p w14:paraId="43F6D6DB">
      <w:pPr>
        <w:spacing w:line="360" w:lineRule="auto"/>
        <w:ind w:right="31" w:rightChars="15"/>
        <w:rPr>
          <w:rFonts w:hint="eastAsia" w:ascii="宋体" w:hAnsi="宋体"/>
          <w:sz w:val="24"/>
        </w:rPr>
      </w:pPr>
      <w:r>
        <w:rPr>
          <w:rFonts w:hint="eastAsia" w:ascii="宋体" w:hAnsi="宋体"/>
          <w:sz w:val="24"/>
        </w:rPr>
        <w:t>法定代表人：　　　</w:t>
      </w:r>
    </w:p>
    <w:p w14:paraId="7BAC1F5A">
      <w:pPr>
        <w:spacing w:line="360" w:lineRule="auto"/>
        <w:ind w:right="31" w:rightChars="15"/>
        <w:rPr>
          <w:rFonts w:hint="eastAsia" w:ascii="宋体" w:hAnsi="宋体"/>
          <w:sz w:val="24"/>
        </w:rPr>
      </w:pPr>
      <w:r>
        <w:rPr>
          <w:rFonts w:hint="eastAsia" w:ascii="宋体" w:hAnsi="宋体"/>
          <w:sz w:val="24"/>
        </w:rPr>
        <w:t>委托代理人：　　</w:t>
      </w:r>
    </w:p>
    <w:p w14:paraId="18C35C50">
      <w:pPr>
        <w:spacing w:line="360" w:lineRule="auto"/>
        <w:ind w:right="31" w:rightChars="15"/>
        <w:jc w:val="left"/>
        <w:rPr>
          <w:rFonts w:hint="eastAsia" w:ascii="宋体" w:hAnsi="宋体"/>
          <w:sz w:val="24"/>
        </w:rPr>
      </w:pPr>
      <w:r>
        <w:rPr>
          <w:rFonts w:hint="eastAsia" w:ascii="宋体" w:hAnsi="宋体"/>
          <w:sz w:val="24"/>
        </w:rPr>
        <w:t>日期：    年    月    日</w:t>
      </w:r>
    </w:p>
    <w:p w14:paraId="31E8B0D7">
      <w:pPr>
        <w:rPr>
          <w:lang w:val="en-US"/>
        </w:rPr>
      </w:pPr>
    </w:p>
    <w:p w14:paraId="3263B520">
      <w:pPr>
        <w:pStyle w:val="22"/>
        <w:rPr>
          <w:rFonts w:eastAsia="宋体"/>
        </w:rPr>
      </w:pPr>
    </w:p>
    <w:p w14:paraId="5DBADB8F">
      <w:pPr>
        <w:pStyle w:val="22"/>
        <w:rPr>
          <w:rFonts w:eastAsia="宋体"/>
        </w:rPr>
      </w:pPr>
    </w:p>
    <w:p w14:paraId="2F40941F">
      <w:pPr>
        <w:pStyle w:val="22"/>
        <w:rPr>
          <w:rFonts w:eastAsia="宋体"/>
        </w:rPr>
      </w:pPr>
    </w:p>
    <w:p w14:paraId="6B0F3822">
      <w:pPr>
        <w:pStyle w:val="22"/>
        <w:rPr>
          <w:rFonts w:eastAsia="宋体"/>
        </w:rPr>
      </w:pPr>
    </w:p>
    <w:p w14:paraId="73B54652">
      <w:pPr>
        <w:pStyle w:val="22"/>
        <w:rPr>
          <w:rFonts w:eastAsia="宋体"/>
        </w:rPr>
      </w:pPr>
    </w:p>
    <w:p w14:paraId="77B8DE61">
      <w:pPr>
        <w:pStyle w:val="22"/>
        <w:rPr>
          <w:rFonts w:eastAsia="宋体"/>
        </w:rPr>
      </w:pPr>
    </w:p>
    <w:p w14:paraId="33822C5F">
      <w:pPr>
        <w:pStyle w:val="22"/>
        <w:rPr>
          <w:rFonts w:eastAsia="宋体"/>
        </w:rPr>
      </w:pPr>
    </w:p>
    <w:p w14:paraId="7F8B6ED8">
      <w:pPr>
        <w:pStyle w:val="22"/>
        <w:rPr>
          <w:rFonts w:eastAsia="宋体"/>
        </w:rPr>
      </w:pPr>
    </w:p>
    <w:p w14:paraId="37987722">
      <w:pPr>
        <w:pStyle w:val="22"/>
        <w:rPr>
          <w:rFonts w:eastAsia="宋体"/>
        </w:rPr>
      </w:pPr>
    </w:p>
    <w:p w14:paraId="4181C5E8">
      <w:pPr>
        <w:pStyle w:val="22"/>
        <w:rPr>
          <w:rFonts w:eastAsia="宋体"/>
        </w:rPr>
      </w:pPr>
    </w:p>
    <w:p w14:paraId="24E178B0">
      <w:pPr>
        <w:pStyle w:val="22"/>
        <w:rPr>
          <w:rFonts w:eastAsia="宋体"/>
        </w:rPr>
      </w:pPr>
    </w:p>
    <w:p w14:paraId="05179961">
      <w:pPr>
        <w:pStyle w:val="22"/>
        <w:rPr>
          <w:rFonts w:eastAsia="宋体"/>
        </w:rPr>
      </w:pPr>
    </w:p>
    <w:p w14:paraId="5FBA60CB">
      <w:pPr>
        <w:pStyle w:val="22"/>
        <w:rPr>
          <w:rFonts w:eastAsia="宋体"/>
        </w:rPr>
      </w:pPr>
    </w:p>
    <w:p w14:paraId="124B7F20">
      <w:pPr>
        <w:pStyle w:val="22"/>
        <w:rPr>
          <w:rFonts w:eastAsia="宋体"/>
        </w:rPr>
      </w:pPr>
    </w:p>
    <w:p w14:paraId="5445BCE0">
      <w:pPr>
        <w:pStyle w:val="22"/>
        <w:rPr>
          <w:rFonts w:eastAsia="宋体"/>
        </w:rPr>
      </w:pPr>
    </w:p>
    <w:p w14:paraId="7EE6234F">
      <w:pPr>
        <w:pStyle w:val="22"/>
        <w:rPr>
          <w:rFonts w:eastAsia="宋体"/>
        </w:rPr>
      </w:pPr>
    </w:p>
    <w:p w14:paraId="5212C835">
      <w:pPr>
        <w:pStyle w:val="22"/>
        <w:rPr>
          <w:rFonts w:eastAsia="宋体"/>
        </w:rPr>
      </w:pPr>
    </w:p>
    <w:p w14:paraId="5A3DCEC3">
      <w:pPr>
        <w:pStyle w:val="22"/>
        <w:rPr>
          <w:rFonts w:eastAsia="宋体"/>
        </w:rPr>
      </w:pPr>
    </w:p>
    <w:p w14:paraId="3CCD5DB7">
      <w:pPr>
        <w:pStyle w:val="22"/>
        <w:rPr>
          <w:rFonts w:eastAsia="宋体"/>
        </w:rPr>
      </w:pPr>
    </w:p>
    <w:p w14:paraId="32A7666F">
      <w:pPr>
        <w:pStyle w:val="22"/>
        <w:rPr>
          <w:rFonts w:eastAsia="宋体"/>
        </w:rPr>
      </w:pPr>
    </w:p>
    <w:p w14:paraId="063FDBFD">
      <w:pPr>
        <w:pStyle w:val="22"/>
        <w:rPr>
          <w:rFonts w:eastAsia="宋体"/>
        </w:rPr>
      </w:pPr>
    </w:p>
    <w:p w14:paraId="7584509B">
      <w:pPr>
        <w:pStyle w:val="22"/>
        <w:rPr>
          <w:rFonts w:eastAsia="宋体"/>
        </w:rPr>
      </w:pPr>
    </w:p>
    <w:p w14:paraId="7B7391C7">
      <w:pPr>
        <w:pStyle w:val="22"/>
        <w:rPr>
          <w:rFonts w:eastAsia="宋体"/>
        </w:rPr>
      </w:pPr>
    </w:p>
    <w:p w14:paraId="6A93E2CF">
      <w:pPr>
        <w:pStyle w:val="22"/>
        <w:rPr>
          <w:rFonts w:eastAsia="宋体"/>
        </w:rPr>
      </w:pPr>
    </w:p>
    <w:p w14:paraId="49543D03">
      <w:pPr>
        <w:pStyle w:val="22"/>
        <w:rPr>
          <w:rFonts w:eastAsia="宋体"/>
        </w:rPr>
      </w:pPr>
    </w:p>
    <w:p w14:paraId="34875E82">
      <w:pPr>
        <w:pStyle w:val="22"/>
        <w:rPr>
          <w:rFonts w:eastAsia="宋体"/>
        </w:rPr>
      </w:pPr>
    </w:p>
    <w:p w14:paraId="6F401FEF">
      <w:pPr>
        <w:pStyle w:val="22"/>
        <w:rPr>
          <w:rStyle w:val="55"/>
          <w:rFonts w:hAnsi="宋体"/>
          <w:szCs w:val="24"/>
        </w:rPr>
      </w:pPr>
      <w:bookmarkStart w:id="20" w:name="_Toc27049"/>
      <w:bookmarkStart w:id="21" w:name="_Toc8786"/>
      <w:bookmarkStart w:id="22" w:name="_Toc3809"/>
      <w:bookmarkStart w:id="23" w:name="_Toc8891"/>
      <w:bookmarkStart w:id="24" w:name="_Toc10732"/>
      <w:bookmarkStart w:id="25" w:name="_Toc9809"/>
      <w:bookmarkStart w:id="26" w:name="_Toc31432"/>
      <w:bookmarkStart w:id="27" w:name="_Toc19809"/>
      <w:bookmarkStart w:id="28" w:name="_Toc29959"/>
      <w:r>
        <w:rPr>
          <w:rStyle w:val="55"/>
          <w:rFonts w:hAnsi="宋体"/>
          <w:szCs w:val="24"/>
        </w:rPr>
        <w:t>附件2 中标通知书</w:t>
      </w:r>
      <w:bookmarkEnd w:id="20"/>
      <w:bookmarkEnd w:id="21"/>
      <w:bookmarkEnd w:id="22"/>
      <w:bookmarkEnd w:id="23"/>
      <w:bookmarkEnd w:id="24"/>
      <w:bookmarkEnd w:id="25"/>
      <w:bookmarkEnd w:id="26"/>
      <w:bookmarkEnd w:id="27"/>
      <w:bookmarkEnd w:id="28"/>
    </w:p>
    <w:p w14:paraId="31EF225C">
      <w:pPr>
        <w:widowControl/>
        <w:jc w:val="left"/>
      </w:pPr>
    </w:p>
    <w:p w14:paraId="354E21E0">
      <w:pPr>
        <w:pStyle w:val="22"/>
        <w:rPr>
          <w:rStyle w:val="55"/>
          <w:rFonts w:hint="eastAsia" w:hAnsi="宋体" w:eastAsia="宋体"/>
          <w:szCs w:val="24"/>
        </w:rPr>
      </w:pPr>
    </w:p>
    <w:p w14:paraId="482D489D">
      <w:pPr>
        <w:pStyle w:val="22"/>
        <w:pageBreakBefore/>
        <w:rPr>
          <w:rStyle w:val="55"/>
          <w:rFonts w:hAnsi="宋体"/>
          <w:szCs w:val="24"/>
        </w:rPr>
      </w:pPr>
      <w:r>
        <w:rPr>
          <w:rStyle w:val="55"/>
          <w:rFonts w:hAnsi="宋体"/>
          <w:szCs w:val="24"/>
        </w:rPr>
        <w:t>附件3承诺函/履约银行保函及承诺书</w:t>
      </w:r>
    </w:p>
    <w:p w14:paraId="61EDA336">
      <w:pPr>
        <w:adjustRightInd w:val="0"/>
        <w:snapToGrid w:val="0"/>
        <w:spacing w:line="336" w:lineRule="auto"/>
        <w:jc w:val="center"/>
        <w:rPr>
          <w:rFonts w:hint="eastAsia" w:ascii="宋体" w:hAnsi="宋体"/>
          <w:b/>
          <w:sz w:val="36"/>
          <w:szCs w:val="36"/>
        </w:rPr>
      </w:pPr>
      <w:r>
        <w:rPr>
          <w:rFonts w:hint="eastAsia" w:ascii="宋体" w:hAnsi="宋体"/>
          <w:b/>
          <w:sz w:val="36"/>
          <w:szCs w:val="36"/>
        </w:rPr>
        <w:t>承诺函</w:t>
      </w:r>
    </w:p>
    <w:p w14:paraId="6D8255EE">
      <w:pPr>
        <w:adjustRightInd w:val="0"/>
        <w:snapToGrid w:val="0"/>
        <w:spacing w:line="360" w:lineRule="auto"/>
        <w:jc w:val="center"/>
        <w:rPr>
          <w:rFonts w:hint="eastAsia" w:ascii="宋体" w:hAnsi="宋体"/>
          <w:snapToGrid w:val="0"/>
          <w:kern w:val="0"/>
          <w:sz w:val="24"/>
        </w:rPr>
      </w:pPr>
    </w:p>
    <w:p w14:paraId="10F65F7B">
      <w:pPr>
        <w:pStyle w:val="114"/>
        <w:snapToGrid w:val="0"/>
        <w:spacing w:line="276" w:lineRule="auto"/>
        <w:rPr>
          <w:rFonts w:hint="eastAsia" w:ascii="宋体" w:hAnsi="宋体"/>
          <w:sz w:val="24"/>
        </w:rPr>
      </w:pPr>
      <w:r>
        <w:rPr>
          <w:rFonts w:hint="eastAsia" w:ascii="宋体" w:hAnsi="宋体"/>
          <w:sz w:val="24"/>
        </w:rPr>
        <w:t>致：广州南沙交投产业园开发有限公司（下称“贵单位”）</w:t>
      </w:r>
    </w:p>
    <w:p w14:paraId="2793112D">
      <w:pPr>
        <w:pStyle w:val="114"/>
        <w:snapToGrid w:val="0"/>
        <w:spacing w:line="276" w:lineRule="auto"/>
        <w:ind w:firstLine="364" w:firstLineChars="152"/>
        <w:rPr>
          <w:rFonts w:hint="eastAsia" w:ascii="宋体" w:hAnsi="宋体"/>
          <w:sz w:val="24"/>
        </w:rPr>
      </w:pPr>
    </w:p>
    <w:p w14:paraId="67586891">
      <w:pPr>
        <w:pStyle w:val="114"/>
        <w:snapToGrid w:val="0"/>
        <w:spacing w:line="360" w:lineRule="auto"/>
        <w:ind w:firstLine="480" w:firstLineChars="200"/>
        <w:rPr>
          <w:rFonts w:hint="eastAsia" w:ascii="宋体" w:hAnsi="宋体"/>
          <w:sz w:val="24"/>
        </w:rPr>
      </w:pPr>
      <w:r>
        <w:rPr>
          <w:rFonts w:hint="eastAsia" w:ascii="宋体" w:hAnsi="宋体"/>
          <w:sz w:val="24"/>
        </w:rPr>
        <w:t xml:space="preserve">我司与贵单位签订《 </w:t>
      </w:r>
      <w:r>
        <w:rPr>
          <w:rFonts w:hint="eastAsia" w:ascii="宋体" w:hAnsi="宋体"/>
          <w:sz w:val="24"/>
          <w:lang w:eastAsia="zh-CN"/>
        </w:rPr>
        <w:t>南沙交投先进智造园一期项目全过程造价咨询服务</w:t>
      </w:r>
      <w:r>
        <w:rPr>
          <w:rFonts w:hint="eastAsia" w:ascii="宋体" w:hAnsi="宋体"/>
          <w:sz w:val="24"/>
        </w:rPr>
        <w:t>》（合同编号：                   ）（下称“合同”）。为保障合同的有效执行，我司承诺：</w:t>
      </w:r>
    </w:p>
    <w:p w14:paraId="0E6B94BC">
      <w:pPr>
        <w:pStyle w:val="114"/>
        <w:snapToGrid w:val="0"/>
        <w:spacing w:line="360" w:lineRule="auto"/>
        <w:ind w:firstLine="480" w:firstLineChars="200"/>
        <w:rPr>
          <w:rFonts w:hint="eastAsia" w:ascii="宋体" w:hAnsi="宋体"/>
          <w:sz w:val="24"/>
        </w:rPr>
      </w:pPr>
      <w:r>
        <w:rPr>
          <w:rFonts w:ascii="宋体" w:hAnsi="宋体"/>
          <w:sz w:val="24"/>
        </w:rPr>
        <w:t>1.</w:t>
      </w:r>
      <w:r>
        <w:rPr>
          <w:rFonts w:hint="eastAsia" w:ascii="宋体" w:hAnsi="宋体"/>
          <w:sz w:val="24"/>
        </w:rPr>
        <w:t>我司承诺在即日起60天内向贵单位提交满足要求的《银行履约保函》。如逾期未按要求提交，我司同意贵单位按照每延误</w:t>
      </w:r>
      <w:r>
        <w:rPr>
          <w:rFonts w:ascii="宋体" w:hAnsi="宋体"/>
          <w:sz w:val="24"/>
        </w:rPr>
        <w:t>1</w:t>
      </w:r>
      <w:r>
        <w:rPr>
          <w:rFonts w:hint="eastAsia" w:ascii="宋体" w:hAnsi="宋体"/>
          <w:sz w:val="24"/>
        </w:rPr>
        <w:t>天，按</w:t>
      </w:r>
      <w:r>
        <w:rPr>
          <w:rFonts w:ascii="宋体" w:hAnsi="宋体"/>
          <w:sz w:val="24"/>
        </w:rPr>
        <w:t>5000</w:t>
      </w:r>
      <w:r>
        <w:rPr>
          <w:rFonts w:hint="eastAsia" w:ascii="宋体" w:hAnsi="宋体"/>
          <w:sz w:val="24"/>
        </w:rPr>
        <w:t>元</w:t>
      </w:r>
      <w:r>
        <w:rPr>
          <w:rFonts w:ascii="宋体" w:hAnsi="宋体"/>
          <w:sz w:val="24"/>
        </w:rPr>
        <w:t>/</w:t>
      </w:r>
      <w:r>
        <w:rPr>
          <w:rFonts w:hint="eastAsia" w:ascii="宋体" w:hAnsi="宋体"/>
          <w:sz w:val="24"/>
        </w:rPr>
        <w:t>天支付违约金，相关款项从应支付给我司的服务费用中直接扣除；</w:t>
      </w:r>
    </w:p>
    <w:p w14:paraId="6F75005B">
      <w:pPr>
        <w:pStyle w:val="114"/>
        <w:snapToGrid w:val="0"/>
        <w:spacing w:line="360" w:lineRule="auto"/>
        <w:ind w:firstLine="480" w:firstLineChars="200"/>
        <w:rPr>
          <w:rFonts w:hint="eastAsia" w:ascii="宋体" w:hAnsi="宋体"/>
          <w:sz w:val="24"/>
        </w:rPr>
      </w:pPr>
      <w:r>
        <w:rPr>
          <w:rFonts w:ascii="宋体" w:hAnsi="宋体"/>
          <w:sz w:val="24"/>
        </w:rPr>
        <w:t>2.</w:t>
      </w:r>
      <w:r>
        <w:rPr>
          <w:rFonts w:hint="eastAsia" w:ascii="宋体" w:hAnsi="宋体"/>
          <w:sz w:val="24"/>
        </w:rPr>
        <w:t>我司同意贵单位可因我司没按要求在规定期限内提交《银行履约保函》而单方解除合同并</w:t>
      </w:r>
      <w:r>
        <w:rPr>
          <w:rFonts w:ascii="宋体" w:hAnsi="宋体"/>
          <w:sz w:val="24"/>
        </w:rPr>
        <w:t>向贵</w:t>
      </w:r>
      <w:r>
        <w:rPr>
          <w:rFonts w:hint="eastAsia" w:ascii="宋体" w:hAnsi="宋体"/>
          <w:sz w:val="24"/>
        </w:rPr>
        <w:t>单位承担违约责任，我司承担由此造成贵单位及我司的全部损失和费用。</w:t>
      </w:r>
    </w:p>
    <w:p w14:paraId="0CE5ABF2">
      <w:pPr>
        <w:pStyle w:val="114"/>
        <w:snapToGrid w:val="0"/>
        <w:spacing w:line="360" w:lineRule="auto"/>
        <w:ind w:firstLine="480" w:firstLineChars="200"/>
        <w:rPr>
          <w:rFonts w:hint="eastAsia" w:ascii="宋体" w:hAnsi="宋体"/>
          <w:sz w:val="24"/>
        </w:rPr>
      </w:pPr>
      <w:r>
        <w:rPr>
          <w:rFonts w:hint="eastAsia" w:ascii="宋体" w:hAnsi="宋体"/>
          <w:sz w:val="24"/>
        </w:rPr>
        <w:t>特此承诺。</w:t>
      </w:r>
    </w:p>
    <w:p w14:paraId="385F568E">
      <w:pPr>
        <w:pStyle w:val="114"/>
        <w:snapToGrid w:val="0"/>
        <w:spacing w:line="360" w:lineRule="auto"/>
        <w:ind w:left="493" w:firstLine="480"/>
        <w:rPr>
          <w:rFonts w:hint="eastAsia" w:ascii="宋体" w:hAnsi="宋体"/>
          <w:sz w:val="24"/>
        </w:rPr>
      </w:pPr>
    </w:p>
    <w:p w14:paraId="28BE68CE">
      <w:pPr>
        <w:spacing w:line="360" w:lineRule="auto"/>
        <w:ind w:firstLine="849" w:firstLineChars="354"/>
        <w:jc w:val="left"/>
        <w:rPr>
          <w:rFonts w:hint="eastAsia" w:ascii="宋体" w:hAnsi="宋体"/>
          <w:sz w:val="24"/>
        </w:rPr>
      </w:pPr>
      <w:r>
        <w:rPr>
          <w:rFonts w:hint="eastAsia" w:ascii="宋体" w:hAnsi="宋体"/>
          <w:sz w:val="24"/>
        </w:rPr>
        <w:t>承诺人：                  （盖章）</w:t>
      </w:r>
    </w:p>
    <w:p w14:paraId="6C15E7FB">
      <w:pPr>
        <w:spacing w:line="360" w:lineRule="auto"/>
        <w:ind w:firstLine="849" w:firstLineChars="354"/>
        <w:jc w:val="left"/>
        <w:rPr>
          <w:rFonts w:hint="eastAsia" w:ascii="宋体" w:hAnsi="宋体"/>
          <w:sz w:val="24"/>
        </w:rPr>
      </w:pPr>
      <w:r>
        <w:rPr>
          <w:rFonts w:hint="eastAsia" w:ascii="宋体" w:hAnsi="宋体"/>
          <w:sz w:val="24"/>
        </w:rPr>
        <w:t>法定代表人或其授权委托人</w:t>
      </w:r>
      <w:r>
        <w:rPr>
          <w:rFonts w:ascii="宋体" w:hAnsi="宋体"/>
          <w:sz w:val="24"/>
        </w:rPr>
        <w:t>(</w:t>
      </w:r>
      <w:r>
        <w:rPr>
          <w:rFonts w:hint="eastAsia" w:ascii="宋体" w:hAnsi="宋体"/>
          <w:sz w:val="24"/>
        </w:rPr>
        <w:t>签名或盖章</w:t>
      </w:r>
      <w:r>
        <w:rPr>
          <w:rFonts w:ascii="宋体" w:hAnsi="宋体"/>
          <w:sz w:val="24"/>
        </w:rPr>
        <w:t>)</w:t>
      </w:r>
      <w:r>
        <w:rPr>
          <w:rFonts w:hint="eastAsia" w:ascii="宋体" w:hAnsi="宋体"/>
          <w:sz w:val="24"/>
        </w:rPr>
        <w:t>：</w:t>
      </w:r>
    </w:p>
    <w:p w14:paraId="24FDE88F">
      <w:pPr>
        <w:spacing w:line="360" w:lineRule="auto"/>
        <w:ind w:firstLine="849" w:firstLineChars="354"/>
        <w:jc w:val="left"/>
        <w:rPr>
          <w:rFonts w:hint="eastAsia" w:ascii="宋体" w:hAnsi="宋体"/>
          <w:i/>
          <w:iCs/>
          <w:sz w:val="24"/>
        </w:rPr>
      </w:pPr>
      <w:r>
        <w:rPr>
          <w:rFonts w:hint="eastAsia" w:ascii="宋体" w:hAnsi="宋体"/>
          <w:sz w:val="24"/>
        </w:rPr>
        <w:t>日期：</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14:paraId="3C6D83C4">
      <w:pPr>
        <w:pStyle w:val="22"/>
        <w:jc w:val="center"/>
        <w:rPr>
          <w:rStyle w:val="55"/>
          <w:rFonts w:hAnsi="宋体"/>
          <w:szCs w:val="24"/>
        </w:rPr>
      </w:pPr>
    </w:p>
    <w:p w14:paraId="71DA6F4A">
      <w:pPr>
        <w:adjustRightInd w:val="0"/>
        <w:snapToGrid w:val="0"/>
        <w:jc w:val="center"/>
        <w:rPr>
          <w:rFonts w:hint="eastAsia" w:ascii="宋体" w:hAnsi="宋体"/>
          <w:b/>
          <w:sz w:val="36"/>
          <w:szCs w:val="36"/>
        </w:rPr>
      </w:pPr>
    </w:p>
    <w:p w14:paraId="47D58DE7">
      <w:pPr>
        <w:adjustRightInd w:val="0"/>
        <w:snapToGrid w:val="0"/>
        <w:jc w:val="center"/>
        <w:rPr>
          <w:rFonts w:hint="eastAsia" w:ascii="宋体" w:hAnsi="宋体"/>
          <w:b/>
          <w:sz w:val="36"/>
          <w:szCs w:val="36"/>
        </w:rPr>
      </w:pPr>
    </w:p>
    <w:p w14:paraId="39D4AF2E">
      <w:pPr>
        <w:adjustRightInd w:val="0"/>
        <w:snapToGrid w:val="0"/>
        <w:jc w:val="center"/>
        <w:rPr>
          <w:rFonts w:hint="eastAsia" w:ascii="宋体" w:hAnsi="宋体"/>
          <w:b/>
          <w:sz w:val="36"/>
          <w:szCs w:val="36"/>
        </w:rPr>
      </w:pPr>
    </w:p>
    <w:p w14:paraId="3F24756E">
      <w:pPr>
        <w:adjustRightInd w:val="0"/>
        <w:snapToGrid w:val="0"/>
        <w:jc w:val="center"/>
        <w:rPr>
          <w:rFonts w:hint="eastAsia" w:ascii="宋体" w:hAnsi="宋体"/>
          <w:b/>
          <w:sz w:val="36"/>
          <w:szCs w:val="36"/>
        </w:rPr>
      </w:pPr>
    </w:p>
    <w:p w14:paraId="508199F9">
      <w:pPr>
        <w:adjustRightInd w:val="0"/>
        <w:snapToGrid w:val="0"/>
        <w:jc w:val="center"/>
        <w:rPr>
          <w:rFonts w:hint="eastAsia" w:ascii="宋体" w:hAnsi="宋体"/>
          <w:b/>
          <w:sz w:val="36"/>
          <w:szCs w:val="36"/>
        </w:rPr>
      </w:pPr>
    </w:p>
    <w:p w14:paraId="3D5310D7">
      <w:pPr>
        <w:adjustRightInd w:val="0"/>
        <w:snapToGrid w:val="0"/>
        <w:jc w:val="center"/>
        <w:rPr>
          <w:rFonts w:hint="eastAsia" w:ascii="宋体" w:hAnsi="宋体"/>
          <w:b/>
          <w:sz w:val="36"/>
          <w:szCs w:val="36"/>
        </w:rPr>
      </w:pPr>
    </w:p>
    <w:p w14:paraId="3CB86997">
      <w:pPr>
        <w:adjustRightInd w:val="0"/>
        <w:snapToGrid w:val="0"/>
        <w:jc w:val="center"/>
        <w:rPr>
          <w:rFonts w:hint="eastAsia" w:ascii="宋体" w:hAnsi="宋体"/>
          <w:b/>
          <w:sz w:val="36"/>
          <w:szCs w:val="36"/>
        </w:rPr>
      </w:pPr>
    </w:p>
    <w:p w14:paraId="3D63160F">
      <w:pPr>
        <w:adjustRightInd w:val="0"/>
        <w:snapToGrid w:val="0"/>
        <w:jc w:val="center"/>
        <w:rPr>
          <w:rFonts w:hint="eastAsia" w:ascii="宋体" w:hAnsi="宋体"/>
          <w:b/>
          <w:sz w:val="36"/>
          <w:szCs w:val="36"/>
        </w:rPr>
      </w:pPr>
    </w:p>
    <w:p w14:paraId="11B38FA3">
      <w:pPr>
        <w:adjustRightInd w:val="0"/>
        <w:snapToGrid w:val="0"/>
        <w:jc w:val="center"/>
        <w:rPr>
          <w:rFonts w:hint="eastAsia" w:ascii="宋体" w:hAnsi="宋体"/>
          <w:b/>
          <w:sz w:val="36"/>
          <w:szCs w:val="36"/>
        </w:rPr>
      </w:pPr>
    </w:p>
    <w:p w14:paraId="657874D5">
      <w:pPr>
        <w:adjustRightInd w:val="0"/>
        <w:snapToGrid w:val="0"/>
        <w:jc w:val="center"/>
        <w:rPr>
          <w:rFonts w:hint="eastAsia" w:ascii="宋体" w:hAnsi="宋体"/>
          <w:b/>
          <w:sz w:val="36"/>
          <w:szCs w:val="36"/>
        </w:rPr>
      </w:pPr>
    </w:p>
    <w:p w14:paraId="4E338801">
      <w:pPr>
        <w:adjustRightInd w:val="0"/>
        <w:snapToGrid w:val="0"/>
        <w:rPr>
          <w:rFonts w:hint="eastAsia" w:ascii="宋体" w:hAnsi="宋体"/>
          <w:b/>
          <w:sz w:val="36"/>
          <w:szCs w:val="36"/>
        </w:rPr>
      </w:pPr>
    </w:p>
    <w:p w14:paraId="383C65B8">
      <w:pPr>
        <w:adjustRightInd w:val="0"/>
        <w:snapToGrid w:val="0"/>
        <w:jc w:val="center"/>
        <w:rPr>
          <w:rFonts w:hint="eastAsia" w:ascii="宋体" w:hAnsi="宋体"/>
          <w:b/>
          <w:sz w:val="36"/>
          <w:szCs w:val="36"/>
        </w:rPr>
      </w:pPr>
      <w:r>
        <w:rPr>
          <w:rFonts w:hint="eastAsia" w:ascii="宋体" w:hAnsi="宋体"/>
          <w:b/>
          <w:sz w:val="36"/>
          <w:szCs w:val="36"/>
        </w:rPr>
        <w:t>履约银行保函</w:t>
      </w:r>
    </w:p>
    <w:p w14:paraId="615CB872">
      <w:pPr>
        <w:adjustRightInd w:val="0"/>
        <w:snapToGrid w:val="0"/>
        <w:spacing w:line="336" w:lineRule="auto"/>
        <w:jc w:val="center"/>
        <w:rPr>
          <w:rFonts w:hint="eastAsia" w:ascii="宋体" w:hAnsi="宋体"/>
          <w:snapToGrid w:val="0"/>
          <w:kern w:val="0"/>
          <w:sz w:val="32"/>
          <w:szCs w:val="32"/>
        </w:rPr>
      </w:pPr>
      <w:r>
        <w:rPr>
          <w:rFonts w:hint="eastAsia" w:ascii="宋体" w:hAnsi="宋体"/>
          <w:sz w:val="32"/>
          <w:szCs w:val="32"/>
        </w:rPr>
        <w:t>（中标后提供）</w:t>
      </w:r>
    </w:p>
    <w:p w14:paraId="1F3D1D55">
      <w:pPr>
        <w:pStyle w:val="114"/>
        <w:snapToGrid w:val="0"/>
        <w:spacing w:line="52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致：</w:t>
      </w:r>
      <w:r>
        <w:rPr>
          <w:rFonts w:hint="eastAsia" w:ascii="仿宋" w:hAnsi="仿宋" w:eastAsia="仿宋" w:cs="仿宋"/>
          <w:spacing w:val="20"/>
          <w:sz w:val="28"/>
          <w:szCs w:val="28"/>
          <w:u w:val="single"/>
          <w:lang w:bidi="zh-CN"/>
        </w:rPr>
        <w:t>广州南沙交投产业园开发有限公司</w:t>
      </w:r>
    </w:p>
    <w:p w14:paraId="4020140E">
      <w:pPr>
        <w:pStyle w:val="114"/>
        <w:snapToGrid w:val="0"/>
        <w:spacing w:line="520" w:lineRule="exact"/>
        <w:ind w:firstLine="560" w:firstLineChars="200"/>
        <w:rPr>
          <w:rFonts w:hint="eastAsia" w:ascii="仿宋" w:hAnsi="仿宋" w:eastAsia="仿宋" w:cs="仿宋"/>
          <w:spacing w:val="20"/>
          <w:sz w:val="28"/>
          <w:szCs w:val="28"/>
          <w:u w:val="single"/>
          <w:lang w:bidi="zh-CN"/>
        </w:rPr>
      </w:pPr>
      <w:r>
        <w:rPr>
          <w:rFonts w:ascii="仿宋" w:hAnsi="仿宋" w:eastAsia="仿宋" w:cs="仿宋"/>
          <w:sz w:val="28"/>
          <w:szCs w:val="28"/>
          <w:u w:val="single"/>
        </w:rPr>
        <w:t>(</w:t>
      </w:r>
      <w:r>
        <w:rPr>
          <w:rFonts w:hint="eastAsia" w:ascii="仿宋" w:hAnsi="仿宋" w:eastAsia="仿宋" w:cs="仿宋"/>
          <w:sz w:val="28"/>
          <w:szCs w:val="28"/>
          <w:u w:val="single"/>
        </w:rPr>
        <w:t>地</w:t>
      </w:r>
      <w:r>
        <w:rPr>
          <w:rFonts w:ascii="仿宋" w:hAnsi="仿宋" w:eastAsia="仿宋" w:cs="仿宋"/>
          <w:sz w:val="28"/>
          <w:szCs w:val="28"/>
          <w:u w:val="single"/>
        </w:rPr>
        <w:t xml:space="preserve">  </w:t>
      </w:r>
      <w:r>
        <w:rPr>
          <w:rFonts w:hint="eastAsia" w:ascii="仿宋" w:hAnsi="仿宋" w:eastAsia="仿宋" w:cs="仿宋"/>
          <w:sz w:val="28"/>
          <w:szCs w:val="28"/>
          <w:u w:val="single"/>
        </w:rPr>
        <w:t>址</w:t>
      </w:r>
      <w:r>
        <w:rPr>
          <w:rFonts w:ascii="仿宋" w:hAnsi="仿宋" w:eastAsia="仿宋" w:cs="仿宋"/>
          <w:sz w:val="28"/>
          <w:szCs w:val="28"/>
          <w:u w:val="single"/>
        </w:rPr>
        <w:t>)</w:t>
      </w:r>
      <w:r>
        <w:rPr>
          <w:rFonts w:hint="eastAsia" w:ascii="仿宋" w:hAnsi="仿宋" w:eastAsia="仿宋" w:cs="仿宋"/>
          <w:sz w:val="28"/>
          <w:szCs w:val="28"/>
          <w:u w:val="single"/>
        </w:rPr>
        <w:t>广州市南沙区黄阁镇中铁建环球中心1#楼902室</w:t>
      </w:r>
    </w:p>
    <w:p w14:paraId="483CECFC">
      <w:pPr>
        <w:pStyle w:val="114"/>
        <w:snapToGrid w:val="0"/>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鉴于</w:t>
      </w:r>
      <w:r>
        <w:rPr>
          <w:rFonts w:ascii="仿宋" w:hAnsi="仿宋" w:eastAsia="仿宋" w:cs="仿宋"/>
          <w:sz w:val="28"/>
          <w:szCs w:val="28"/>
        </w:rPr>
        <w:t>_______[</w:t>
      </w:r>
      <w:r>
        <w:rPr>
          <w:rFonts w:hint="eastAsia" w:ascii="仿宋" w:hAnsi="仿宋" w:eastAsia="仿宋" w:cs="仿宋"/>
          <w:sz w:val="28"/>
          <w:szCs w:val="28"/>
        </w:rPr>
        <w:t>承包人的名称和地址</w:t>
      </w:r>
      <w:r>
        <w:rPr>
          <w:rFonts w:ascii="仿宋" w:hAnsi="仿宋" w:eastAsia="仿宋" w:cs="仿宋"/>
          <w:sz w:val="28"/>
          <w:szCs w:val="28"/>
        </w:rPr>
        <w:t>]</w:t>
      </w:r>
      <w:r>
        <w:rPr>
          <w:rFonts w:hint="eastAsia" w:ascii="仿宋" w:hAnsi="仿宋" w:eastAsia="仿宋" w:cs="仿宋"/>
          <w:sz w:val="28"/>
          <w:szCs w:val="28"/>
        </w:rPr>
        <w:t>（下称承包人）已保证按中标通知书（编号：     ）实施</w:t>
      </w:r>
      <w:r>
        <w:rPr>
          <w:rFonts w:hint="eastAsia" w:ascii="仿宋" w:hAnsi="仿宋" w:eastAsia="仿宋" w:cs="仿宋"/>
          <w:spacing w:val="20"/>
          <w:sz w:val="28"/>
          <w:szCs w:val="28"/>
          <w:u w:val="single"/>
          <w:lang w:bidi="zh-CN"/>
        </w:rPr>
        <w:t>南沙交投先进智造园一期项目全过程造价咨询服务</w:t>
      </w:r>
      <w:r>
        <w:rPr>
          <w:rFonts w:hint="eastAsia" w:ascii="仿宋" w:hAnsi="仿宋" w:eastAsia="仿宋" w:cs="仿宋"/>
          <w:sz w:val="28"/>
          <w:szCs w:val="28"/>
        </w:rPr>
        <w:t>，又鉴于你方在招标文件中要求承包人按规定金额提交一份已经认可的、</w:t>
      </w:r>
      <w:r>
        <w:rPr>
          <w:rFonts w:ascii="仿宋" w:hAnsi="仿宋" w:eastAsia="仿宋" w:cs="仿宋"/>
          <w:sz w:val="28"/>
          <w:szCs w:val="28"/>
        </w:rPr>
        <w:t>不可撤销的</w:t>
      </w:r>
      <w:r>
        <w:rPr>
          <w:rFonts w:hint="eastAsia" w:ascii="仿宋" w:hAnsi="仿宋" w:eastAsia="仿宋" w:cs="仿宋"/>
          <w:sz w:val="28"/>
          <w:szCs w:val="28"/>
        </w:rPr>
        <w:t>银行保函作履约担保，本行已同意为承包人出具保函。</w:t>
      </w:r>
    </w:p>
    <w:p w14:paraId="28CDEC3A">
      <w:pPr>
        <w:pStyle w:val="114"/>
        <w:snapToGrid w:val="0"/>
        <w:spacing w:line="520" w:lineRule="exact"/>
        <w:ind w:firstLine="480"/>
        <w:rPr>
          <w:rFonts w:hint="eastAsia" w:ascii="仿宋" w:hAnsi="仿宋" w:eastAsia="仿宋" w:cs="仿宋"/>
          <w:sz w:val="28"/>
          <w:szCs w:val="28"/>
        </w:rPr>
      </w:pPr>
      <w:r>
        <w:rPr>
          <w:rFonts w:hint="eastAsia" w:ascii="仿宋" w:hAnsi="仿宋" w:eastAsia="仿宋" w:cs="仿宋"/>
          <w:sz w:val="28"/>
          <w:szCs w:val="28"/>
        </w:rPr>
        <w:t>本行作为保证人在此代表承包人向你方确认承担支付人民币：</w:t>
      </w:r>
      <w:r>
        <w:rPr>
          <w:rFonts w:hint="eastAsia" w:ascii="仿宋" w:hAnsi="仿宋" w:eastAsia="仿宋" w:cs="仿宋"/>
          <w:sz w:val="28"/>
          <w:szCs w:val="28"/>
          <w:u w:val="single"/>
        </w:rPr>
        <w:t>（大写）</w:t>
      </w:r>
    </w:p>
    <w:p w14:paraId="40E68DD8">
      <w:pPr>
        <w:pStyle w:val="114"/>
        <w:snapToGrid w:val="0"/>
        <w:spacing w:line="520" w:lineRule="exact"/>
        <w:rPr>
          <w:rFonts w:hint="eastAsia" w:ascii="仿宋" w:hAnsi="仿宋" w:eastAsia="仿宋" w:cs="仿宋"/>
          <w:sz w:val="28"/>
          <w:szCs w:val="28"/>
        </w:rPr>
      </w:pPr>
      <w:r>
        <w:rPr>
          <w:rFonts w:ascii="仿宋" w:hAnsi="仿宋" w:eastAsia="仿宋" w:cs="仿宋"/>
          <w:sz w:val="28"/>
          <w:szCs w:val="28"/>
          <w:u w:val="single"/>
        </w:rPr>
        <w:t xml:space="preserve">            </w:t>
      </w:r>
      <w:r>
        <w:rPr>
          <w:rFonts w:hint="eastAsia" w:ascii="仿宋" w:hAnsi="仿宋" w:eastAsia="仿宋" w:cs="仿宋"/>
          <w:sz w:val="28"/>
          <w:szCs w:val="28"/>
        </w:rPr>
        <w:t>的责任，在收到你方第一次书面付款要求后，不挑剔、不争辩、并不要求你方出具证明或说明理由，即在上述担保金范围内向你方支付。</w:t>
      </w:r>
    </w:p>
    <w:p w14:paraId="024646C9">
      <w:pPr>
        <w:pStyle w:val="114"/>
        <w:snapToGrid w:val="0"/>
        <w:spacing w:line="520" w:lineRule="exact"/>
        <w:ind w:firstLine="480"/>
        <w:rPr>
          <w:rFonts w:hint="eastAsia" w:ascii="仿宋" w:hAnsi="仿宋" w:eastAsia="仿宋" w:cs="仿宋"/>
          <w:sz w:val="28"/>
          <w:szCs w:val="28"/>
        </w:rPr>
      </w:pPr>
      <w:r>
        <w:rPr>
          <w:rFonts w:hint="eastAsia" w:ascii="仿宋" w:hAnsi="仿宋" w:eastAsia="仿宋" w:cs="仿宋"/>
          <w:sz w:val="28"/>
          <w:szCs w:val="28"/>
        </w:rPr>
        <w:t>本行放弃你方应先向承包人要求索赔上述金额然后再向本行提出要求的权利。</w:t>
      </w:r>
    </w:p>
    <w:p w14:paraId="19F63FDF">
      <w:pPr>
        <w:pStyle w:val="114"/>
        <w:snapToGrid w:val="0"/>
        <w:spacing w:line="520" w:lineRule="exact"/>
        <w:ind w:firstLine="480"/>
        <w:rPr>
          <w:rFonts w:hint="eastAsia" w:ascii="仿宋" w:hAnsi="仿宋" w:eastAsia="仿宋" w:cs="仿宋"/>
          <w:sz w:val="28"/>
          <w:szCs w:val="28"/>
        </w:rPr>
      </w:pPr>
      <w:r>
        <w:rPr>
          <w:rFonts w:hint="eastAsia" w:ascii="仿宋" w:hAnsi="仿宋" w:eastAsia="仿宋" w:cs="仿宋"/>
          <w:sz w:val="28"/>
          <w:szCs w:val="28"/>
        </w:rPr>
        <w:t>本行还同意，在你方和承包人之间的合同条件发生补充或修改后，本行所承担保函的责任不变，有关补充或修改亦无须通知本行。</w:t>
      </w:r>
    </w:p>
    <w:p w14:paraId="3E4FD318">
      <w:pPr>
        <w:pStyle w:val="114"/>
        <w:snapToGrid w:val="0"/>
        <w:spacing w:line="520" w:lineRule="exact"/>
        <w:ind w:firstLine="480"/>
        <w:rPr>
          <w:rFonts w:hint="eastAsia" w:ascii="仿宋" w:hAnsi="仿宋" w:eastAsia="仿宋" w:cs="仿宋"/>
          <w:sz w:val="28"/>
          <w:szCs w:val="28"/>
        </w:rPr>
      </w:pPr>
      <w:r>
        <w:rPr>
          <w:rFonts w:hint="eastAsia" w:ascii="仿宋" w:hAnsi="仿宋" w:eastAsia="仿宋" w:cs="仿宋"/>
          <w:sz w:val="28"/>
          <w:szCs w:val="28"/>
        </w:rPr>
        <w:t>本保函从合同生效之日起生效，有效期至</w:t>
      </w:r>
      <w:r>
        <w:rPr>
          <w:rFonts w:ascii="仿宋" w:hAnsi="仿宋" w:eastAsia="仿宋" w:cs="仿宋"/>
          <w:sz w:val="28"/>
          <w:szCs w:val="28"/>
          <w:u w:val="single"/>
        </w:rPr>
        <w:t xml:space="preserve">     </w:t>
      </w:r>
      <w:r>
        <w:rPr>
          <w:rFonts w:hint="eastAsia" w:ascii="仿宋" w:hAnsi="仿宋" w:eastAsia="仿宋" w:cs="仿宋"/>
          <w:sz w:val="28"/>
          <w:szCs w:val="28"/>
          <w:u w:val="single"/>
        </w:rPr>
        <w:t>年</w:t>
      </w:r>
      <w:r>
        <w:rPr>
          <w:rFonts w:ascii="仿宋" w:hAnsi="仿宋" w:eastAsia="仿宋" w:cs="仿宋"/>
          <w:sz w:val="28"/>
          <w:szCs w:val="28"/>
          <w:u w:val="single"/>
        </w:rPr>
        <w:t xml:space="preserve">   </w:t>
      </w:r>
      <w:r>
        <w:rPr>
          <w:rFonts w:hint="eastAsia" w:ascii="仿宋" w:hAnsi="仿宋" w:eastAsia="仿宋" w:cs="仿宋"/>
          <w:sz w:val="28"/>
          <w:szCs w:val="28"/>
          <w:u w:val="single"/>
        </w:rPr>
        <w:t>月</w:t>
      </w:r>
      <w:r>
        <w:rPr>
          <w:rFonts w:ascii="仿宋" w:hAnsi="仿宋" w:eastAsia="仿宋" w:cs="仿宋"/>
          <w:sz w:val="28"/>
          <w:szCs w:val="28"/>
          <w:u w:val="single"/>
        </w:rPr>
        <w:t xml:space="preserve">   </w:t>
      </w:r>
      <w:r>
        <w:rPr>
          <w:rFonts w:hint="eastAsia" w:ascii="仿宋" w:hAnsi="仿宋" w:eastAsia="仿宋" w:cs="仿宋"/>
          <w:sz w:val="28"/>
          <w:szCs w:val="28"/>
          <w:u w:val="single"/>
        </w:rPr>
        <w:t>日</w:t>
      </w:r>
      <w:r>
        <w:rPr>
          <w:rFonts w:hint="eastAsia" w:ascii="仿宋" w:hAnsi="仿宋" w:eastAsia="仿宋" w:cs="仿宋"/>
          <w:sz w:val="28"/>
          <w:szCs w:val="28"/>
        </w:rPr>
        <w:t>止。</w:t>
      </w:r>
    </w:p>
    <w:p w14:paraId="766677C6">
      <w:pPr>
        <w:pStyle w:val="114"/>
        <w:snapToGrid w:val="0"/>
        <w:spacing w:line="520" w:lineRule="exact"/>
        <w:ind w:left="493" w:firstLine="480"/>
        <w:rPr>
          <w:rFonts w:hint="eastAsia" w:ascii="仿宋" w:hAnsi="仿宋" w:eastAsia="仿宋" w:cs="仿宋"/>
          <w:sz w:val="28"/>
          <w:szCs w:val="28"/>
        </w:rPr>
      </w:pPr>
      <w:r>
        <w:rPr>
          <w:rFonts w:hint="eastAsia" w:ascii="仿宋" w:hAnsi="仿宋" w:eastAsia="仿宋" w:cs="仿宋"/>
          <w:sz w:val="28"/>
          <w:szCs w:val="28"/>
        </w:rPr>
        <w:t>担保银行名称（公章）：</w:t>
      </w:r>
    </w:p>
    <w:p w14:paraId="06718CFC">
      <w:pPr>
        <w:pStyle w:val="114"/>
        <w:snapToGrid w:val="0"/>
        <w:spacing w:line="520" w:lineRule="exact"/>
        <w:ind w:left="493" w:firstLine="480"/>
        <w:rPr>
          <w:rFonts w:hint="eastAsia" w:ascii="仿宋" w:hAnsi="仿宋" w:eastAsia="仿宋" w:cs="仿宋"/>
          <w:sz w:val="28"/>
          <w:szCs w:val="28"/>
        </w:rPr>
      </w:pPr>
      <w:r>
        <w:rPr>
          <w:rFonts w:hint="eastAsia" w:ascii="仿宋" w:hAnsi="仿宋" w:eastAsia="仿宋" w:cs="仿宋"/>
          <w:sz w:val="28"/>
          <w:szCs w:val="28"/>
        </w:rPr>
        <w:t>法定代表人或其授权人（签章）：</w:t>
      </w:r>
    </w:p>
    <w:p w14:paraId="261B73F9">
      <w:pPr>
        <w:pStyle w:val="114"/>
        <w:snapToGrid w:val="0"/>
        <w:spacing w:line="520" w:lineRule="exact"/>
        <w:ind w:left="493" w:firstLine="480"/>
        <w:rPr>
          <w:rFonts w:hint="eastAsia" w:ascii="仿宋" w:hAnsi="仿宋" w:eastAsia="仿宋" w:cs="仿宋"/>
          <w:sz w:val="28"/>
          <w:szCs w:val="28"/>
        </w:rPr>
      </w:pPr>
      <w:r>
        <w:rPr>
          <w:rFonts w:hint="eastAsia" w:ascii="仿宋" w:hAnsi="仿宋" w:eastAsia="仿宋" w:cs="仿宋"/>
          <w:sz w:val="28"/>
          <w:szCs w:val="28"/>
        </w:rPr>
        <w:t>联系人：</w:t>
      </w:r>
    </w:p>
    <w:p w14:paraId="22D25449">
      <w:pPr>
        <w:pStyle w:val="114"/>
        <w:snapToGrid w:val="0"/>
        <w:spacing w:line="520" w:lineRule="exact"/>
        <w:ind w:left="493" w:firstLine="480"/>
        <w:rPr>
          <w:rFonts w:hint="eastAsia" w:ascii="仿宋" w:hAnsi="仿宋" w:eastAsia="仿宋" w:cs="仿宋"/>
          <w:sz w:val="28"/>
          <w:szCs w:val="28"/>
        </w:rPr>
      </w:pPr>
      <w:r>
        <w:rPr>
          <w:rFonts w:hint="eastAsia" w:ascii="仿宋" w:hAnsi="仿宋" w:eastAsia="仿宋" w:cs="仿宋"/>
          <w:sz w:val="28"/>
          <w:szCs w:val="28"/>
        </w:rPr>
        <w:t>联系电话：</w:t>
      </w:r>
    </w:p>
    <w:p w14:paraId="1A6F14AA">
      <w:pPr>
        <w:pStyle w:val="114"/>
        <w:snapToGrid w:val="0"/>
        <w:spacing w:line="520" w:lineRule="exact"/>
        <w:ind w:left="493" w:firstLine="480"/>
        <w:rPr>
          <w:rFonts w:hint="eastAsia" w:ascii="仿宋" w:hAnsi="仿宋" w:eastAsia="仿宋" w:cs="仿宋"/>
          <w:sz w:val="28"/>
          <w:szCs w:val="28"/>
        </w:rPr>
      </w:pPr>
      <w:r>
        <w:rPr>
          <w:rFonts w:hint="eastAsia" w:ascii="仿宋" w:hAnsi="仿宋" w:eastAsia="仿宋" w:cs="仿宋"/>
          <w:sz w:val="28"/>
          <w:szCs w:val="28"/>
        </w:rPr>
        <w:t>地址：</w:t>
      </w:r>
    </w:p>
    <w:p w14:paraId="6485E8F3">
      <w:pPr>
        <w:pStyle w:val="114"/>
        <w:snapToGrid w:val="0"/>
        <w:spacing w:line="520" w:lineRule="exact"/>
        <w:ind w:left="493" w:firstLine="480"/>
        <w:rPr>
          <w:rFonts w:hint="eastAsia" w:ascii="仿宋" w:hAnsi="仿宋" w:eastAsia="仿宋" w:cs="仿宋"/>
          <w:sz w:val="28"/>
          <w:szCs w:val="28"/>
        </w:rPr>
      </w:pPr>
      <w:r>
        <w:rPr>
          <w:rFonts w:hint="eastAsia" w:ascii="仿宋" w:hAnsi="仿宋" w:eastAsia="仿宋" w:cs="仿宋"/>
          <w:sz w:val="28"/>
          <w:szCs w:val="28"/>
        </w:rPr>
        <w:t>日期：</w:t>
      </w:r>
    </w:p>
    <w:p w14:paraId="5AB08A52">
      <w:pPr>
        <w:pStyle w:val="114"/>
        <w:snapToGrid w:val="0"/>
        <w:spacing w:line="520" w:lineRule="exact"/>
        <w:ind w:left="493" w:firstLine="480"/>
        <w:rPr>
          <w:rFonts w:hint="eastAsia" w:ascii="仿宋" w:hAnsi="仿宋" w:eastAsia="仿宋" w:cs="仿宋"/>
          <w:sz w:val="28"/>
          <w:szCs w:val="28"/>
        </w:rPr>
      </w:pPr>
    </w:p>
    <w:p w14:paraId="5DAE2722">
      <w:pPr>
        <w:ind w:right="31" w:rightChars="15"/>
        <w:jc w:val="center"/>
        <w:rPr>
          <w:rFonts w:hint="eastAsia" w:ascii="宋体" w:hAnsi="宋体"/>
          <w:b/>
          <w:sz w:val="32"/>
          <w:szCs w:val="32"/>
        </w:rPr>
      </w:pPr>
    </w:p>
    <w:p w14:paraId="2A34AF26">
      <w:pPr>
        <w:pStyle w:val="48"/>
        <w:rPr>
          <w:rFonts w:hint="eastAsia" w:hAnsi="宋体"/>
          <w:b/>
          <w:color w:val="auto"/>
          <w:sz w:val="32"/>
          <w:szCs w:val="32"/>
        </w:rPr>
      </w:pPr>
    </w:p>
    <w:p w14:paraId="3D861F97">
      <w:pPr>
        <w:pStyle w:val="48"/>
        <w:rPr>
          <w:rFonts w:hint="eastAsia" w:hAnsi="宋体"/>
          <w:b/>
          <w:color w:val="auto"/>
          <w:sz w:val="32"/>
          <w:szCs w:val="32"/>
        </w:rPr>
      </w:pPr>
    </w:p>
    <w:p w14:paraId="78F838D1">
      <w:pPr>
        <w:ind w:right="31" w:rightChars="15"/>
        <w:jc w:val="center"/>
        <w:rPr>
          <w:rFonts w:hint="eastAsia" w:ascii="宋体" w:hAnsi="宋体"/>
          <w:b/>
          <w:sz w:val="32"/>
          <w:szCs w:val="32"/>
        </w:rPr>
      </w:pPr>
      <w:r>
        <w:rPr>
          <w:rFonts w:hint="eastAsia" w:ascii="宋体" w:hAnsi="宋体"/>
          <w:b/>
          <w:sz w:val="32"/>
          <w:szCs w:val="32"/>
        </w:rPr>
        <w:t>承诺书</w:t>
      </w:r>
    </w:p>
    <w:p w14:paraId="7B479F5F">
      <w:pPr>
        <w:adjustRightInd w:val="0"/>
        <w:snapToGrid w:val="0"/>
        <w:spacing w:line="336" w:lineRule="auto"/>
        <w:jc w:val="center"/>
        <w:rPr>
          <w:rFonts w:hint="eastAsia" w:ascii="宋体" w:hAnsi="宋体"/>
          <w:snapToGrid w:val="0"/>
          <w:kern w:val="0"/>
          <w:sz w:val="32"/>
          <w:szCs w:val="32"/>
        </w:rPr>
      </w:pPr>
      <w:r>
        <w:rPr>
          <w:rFonts w:hint="eastAsia" w:ascii="宋体" w:hAnsi="宋体"/>
          <w:sz w:val="32"/>
          <w:szCs w:val="32"/>
        </w:rPr>
        <w:t>（中标后提供）</w:t>
      </w:r>
    </w:p>
    <w:p w14:paraId="23476C11">
      <w:pPr>
        <w:spacing w:line="560" w:lineRule="exact"/>
        <w:rPr>
          <w:rFonts w:hint="eastAsia" w:ascii="仿宋_GB2312" w:hAnsi="仿宋_GB2312" w:eastAsia="仿宋_GB2312" w:cs="仿宋_GB2312"/>
          <w:spacing w:val="20"/>
          <w:sz w:val="28"/>
          <w:szCs w:val="28"/>
          <w:lang w:val="zh-CN" w:bidi="zh-CN"/>
        </w:rPr>
      </w:pPr>
    </w:p>
    <w:p w14:paraId="2A5D014D">
      <w:pPr>
        <w:spacing w:line="560" w:lineRule="exact"/>
        <w:rPr>
          <w:rFonts w:hint="eastAsia" w:ascii="仿宋" w:hAnsi="仿宋" w:eastAsia="仿宋" w:cs="仿宋"/>
          <w:spacing w:val="20"/>
          <w:sz w:val="28"/>
          <w:szCs w:val="28"/>
          <w:lang w:val="zh-CN" w:bidi="zh-CN"/>
        </w:rPr>
      </w:pPr>
      <w:r>
        <w:rPr>
          <w:rFonts w:hint="eastAsia" w:ascii="仿宋" w:hAnsi="仿宋" w:eastAsia="仿宋" w:cs="仿宋"/>
          <w:spacing w:val="20"/>
          <w:sz w:val="28"/>
          <w:szCs w:val="28"/>
          <w:lang w:val="zh-CN" w:bidi="zh-CN"/>
        </w:rPr>
        <w:t>致：（甲方）</w:t>
      </w:r>
      <w:r>
        <w:rPr>
          <w:rFonts w:ascii="仿宋" w:hAnsi="仿宋" w:eastAsia="仿宋" w:cs="仿宋"/>
          <w:spacing w:val="20"/>
          <w:sz w:val="28"/>
          <w:szCs w:val="28"/>
          <w:u w:val="single"/>
          <w:lang w:bidi="zh-CN"/>
        </w:rPr>
        <w:t xml:space="preserve"> </w:t>
      </w:r>
      <w:r>
        <w:rPr>
          <w:rFonts w:hint="eastAsia" w:ascii="仿宋" w:hAnsi="仿宋" w:eastAsia="仿宋" w:cs="仿宋"/>
          <w:spacing w:val="20"/>
          <w:sz w:val="28"/>
          <w:szCs w:val="28"/>
          <w:u w:val="single"/>
          <w:lang w:bidi="zh-CN"/>
        </w:rPr>
        <w:t>广州南沙交投产业园开发有限公司</w:t>
      </w:r>
      <w:r>
        <w:rPr>
          <w:rFonts w:ascii="仿宋" w:hAnsi="仿宋" w:eastAsia="仿宋" w:cs="仿宋"/>
          <w:spacing w:val="20"/>
          <w:sz w:val="28"/>
          <w:szCs w:val="28"/>
          <w:u w:val="single"/>
          <w:lang w:bidi="zh-CN"/>
        </w:rPr>
        <w:t xml:space="preserve"> </w:t>
      </w:r>
      <w:r>
        <w:rPr>
          <w:rFonts w:ascii="仿宋" w:hAnsi="仿宋" w:eastAsia="仿宋" w:cs="仿宋"/>
          <w:spacing w:val="20"/>
          <w:sz w:val="28"/>
          <w:szCs w:val="28"/>
          <w:lang w:val="zh-CN" w:bidi="zh-CN"/>
        </w:rPr>
        <w:tab/>
      </w:r>
    </w:p>
    <w:p w14:paraId="7C7014E0">
      <w:pPr>
        <w:spacing w:line="560" w:lineRule="exact"/>
        <w:rPr>
          <w:rFonts w:hint="eastAsia" w:ascii="仿宋" w:hAnsi="仿宋" w:eastAsia="仿宋" w:cs="仿宋"/>
          <w:spacing w:val="20"/>
          <w:sz w:val="28"/>
          <w:szCs w:val="28"/>
          <w:lang w:bidi="zh-CN"/>
        </w:rPr>
      </w:pPr>
      <w:r>
        <w:rPr>
          <w:rFonts w:ascii="仿宋" w:hAnsi="仿宋" w:eastAsia="仿宋" w:cs="仿宋"/>
          <w:spacing w:val="20"/>
          <w:sz w:val="28"/>
          <w:szCs w:val="28"/>
          <w:lang w:val="zh-CN" w:bidi="zh-CN"/>
        </w:rPr>
        <w:tab/>
      </w:r>
      <w:r>
        <w:rPr>
          <w:rFonts w:ascii="仿宋" w:hAnsi="仿宋" w:eastAsia="仿宋" w:cs="仿宋"/>
          <w:spacing w:val="20"/>
          <w:sz w:val="28"/>
          <w:szCs w:val="28"/>
          <w:lang w:bidi="zh-CN"/>
        </w:rPr>
        <w:t xml:space="preserve"> </w:t>
      </w:r>
    </w:p>
    <w:p w14:paraId="4B382677">
      <w:pPr>
        <w:spacing w:line="560" w:lineRule="exact"/>
        <w:ind w:firstLine="640" w:firstLineChars="200"/>
        <w:rPr>
          <w:rFonts w:hint="eastAsia" w:ascii="仿宋" w:hAnsi="仿宋" w:eastAsia="仿宋" w:cs="仿宋"/>
          <w:spacing w:val="20"/>
          <w:sz w:val="28"/>
          <w:szCs w:val="28"/>
          <w:lang w:val="zh-CN" w:bidi="zh-CN"/>
        </w:rPr>
      </w:pPr>
      <w:r>
        <w:rPr>
          <w:rFonts w:hint="eastAsia" w:ascii="仿宋" w:hAnsi="仿宋" w:eastAsia="仿宋" w:cs="仿宋"/>
          <w:spacing w:val="20"/>
          <w:sz w:val="28"/>
          <w:szCs w:val="28"/>
          <w:lang w:val="zh-CN" w:bidi="zh-CN"/>
        </w:rPr>
        <w:t>我方于</w:t>
      </w:r>
      <w:r>
        <w:rPr>
          <w:rFonts w:hint="eastAsia" w:ascii="仿宋" w:hAnsi="仿宋" w:eastAsia="仿宋" w:cs="仿宋"/>
          <w:spacing w:val="20"/>
          <w:sz w:val="28"/>
          <w:szCs w:val="28"/>
          <w:u w:val="single"/>
          <w:lang w:bidi="zh-CN"/>
        </w:rPr>
        <w:t xml:space="preserve">      </w:t>
      </w:r>
      <w:r>
        <w:rPr>
          <w:rFonts w:hint="eastAsia" w:ascii="仿宋" w:hAnsi="仿宋" w:eastAsia="仿宋" w:cs="仿宋"/>
          <w:spacing w:val="20"/>
          <w:sz w:val="28"/>
          <w:szCs w:val="28"/>
          <w:lang w:val="zh-CN" w:bidi="zh-CN"/>
        </w:rPr>
        <w:t>年</w:t>
      </w:r>
      <w:r>
        <w:rPr>
          <w:rFonts w:ascii="仿宋" w:hAnsi="仿宋" w:eastAsia="仿宋" w:cs="仿宋"/>
          <w:spacing w:val="20"/>
          <w:sz w:val="28"/>
          <w:szCs w:val="28"/>
          <w:u w:val="single"/>
          <w:lang w:bidi="zh-CN"/>
        </w:rPr>
        <w:t xml:space="preserve"> </w:t>
      </w:r>
      <w:r>
        <w:rPr>
          <w:rFonts w:hint="eastAsia" w:ascii="仿宋" w:hAnsi="仿宋" w:eastAsia="仿宋" w:cs="仿宋"/>
          <w:spacing w:val="20"/>
          <w:sz w:val="28"/>
          <w:szCs w:val="28"/>
          <w:u w:val="single"/>
          <w:lang w:bidi="zh-CN"/>
        </w:rPr>
        <w:t xml:space="preserve">   </w:t>
      </w:r>
      <w:r>
        <w:rPr>
          <w:rFonts w:ascii="仿宋" w:hAnsi="仿宋" w:eastAsia="仿宋" w:cs="仿宋"/>
          <w:spacing w:val="20"/>
          <w:sz w:val="28"/>
          <w:szCs w:val="28"/>
          <w:u w:val="single"/>
          <w:lang w:bidi="zh-CN"/>
        </w:rPr>
        <w:t xml:space="preserve"> </w:t>
      </w:r>
      <w:r>
        <w:rPr>
          <w:rFonts w:hint="eastAsia" w:ascii="仿宋" w:hAnsi="仿宋" w:eastAsia="仿宋" w:cs="仿宋"/>
          <w:spacing w:val="20"/>
          <w:sz w:val="28"/>
          <w:szCs w:val="28"/>
          <w:lang w:val="zh-CN" w:bidi="zh-CN"/>
        </w:rPr>
        <w:t>月</w:t>
      </w:r>
      <w:r>
        <w:rPr>
          <w:rFonts w:hint="eastAsia" w:ascii="仿宋" w:hAnsi="仿宋" w:eastAsia="仿宋" w:cs="仿宋"/>
          <w:spacing w:val="20"/>
          <w:sz w:val="28"/>
          <w:szCs w:val="28"/>
          <w:u w:val="single"/>
          <w:lang w:bidi="zh-CN"/>
        </w:rPr>
        <w:t xml:space="preserve">    </w:t>
      </w:r>
      <w:r>
        <w:rPr>
          <w:rFonts w:ascii="仿宋" w:hAnsi="仿宋" w:eastAsia="仿宋" w:cs="仿宋"/>
          <w:spacing w:val="20"/>
          <w:sz w:val="28"/>
          <w:szCs w:val="28"/>
          <w:u w:val="single"/>
          <w:lang w:bidi="zh-CN"/>
        </w:rPr>
        <w:t xml:space="preserve"> </w:t>
      </w:r>
      <w:r>
        <w:rPr>
          <w:rFonts w:hint="eastAsia" w:ascii="仿宋" w:hAnsi="仿宋" w:eastAsia="仿宋" w:cs="仿宋"/>
          <w:spacing w:val="20"/>
          <w:sz w:val="28"/>
          <w:szCs w:val="28"/>
          <w:lang w:val="zh-CN" w:bidi="zh-CN"/>
        </w:rPr>
        <w:t>日中标</w:t>
      </w:r>
      <w:r>
        <w:rPr>
          <w:rFonts w:hint="eastAsia" w:ascii="仿宋" w:hAnsi="仿宋" w:eastAsia="仿宋" w:cs="仿宋"/>
          <w:spacing w:val="20"/>
          <w:sz w:val="28"/>
          <w:szCs w:val="28"/>
          <w:u w:val="single"/>
          <w:lang w:bidi="zh-CN"/>
        </w:rPr>
        <w:t xml:space="preserve"> 南沙交投先进智造园一期项目全过程造价咨询服务</w:t>
      </w:r>
      <w:r>
        <w:rPr>
          <w:rFonts w:hint="eastAsia" w:ascii="仿宋" w:hAnsi="仿宋" w:eastAsia="仿宋" w:cs="仿宋"/>
          <w:spacing w:val="20"/>
          <w:sz w:val="28"/>
          <w:szCs w:val="28"/>
          <w:lang w:val="zh-CN" w:bidi="zh-CN"/>
        </w:rPr>
        <w:t>，按照招标文件要求</w:t>
      </w:r>
      <w:r>
        <w:rPr>
          <w:rFonts w:hint="eastAsia" w:ascii="仿宋" w:hAnsi="仿宋" w:eastAsia="仿宋" w:cs="仿宋"/>
          <w:spacing w:val="20"/>
          <w:sz w:val="28"/>
          <w:szCs w:val="28"/>
          <w:u w:val="single"/>
          <w:lang w:val="zh-CN" w:bidi="zh-CN"/>
        </w:rPr>
        <w:t>（中标单位）</w:t>
      </w:r>
      <w:r>
        <w:rPr>
          <w:rFonts w:hint="eastAsia" w:ascii="仿宋" w:hAnsi="仿宋" w:eastAsia="仿宋" w:cs="仿宋"/>
          <w:spacing w:val="20"/>
          <w:sz w:val="28"/>
          <w:szCs w:val="28"/>
          <w:lang w:val="zh-CN" w:bidi="zh-CN"/>
        </w:rPr>
        <w:t>按规定金额提交一份己经认可的</w:t>
      </w:r>
      <w:r>
        <w:rPr>
          <w:rFonts w:hint="eastAsia" w:ascii="仿宋" w:hAnsi="仿宋" w:eastAsia="仿宋" w:cs="仿宋"/>
          <w:sz w:val="28"/>
          <w:szCs w:val="28"/>
        </w:rPr>
        <w:t>、</w:t>
      </w:r>
      <w:r>
        <w:rPr>
          <w:rFonts w:ascii="仿宋" w:hAnsi="仿宋" w:eastAsia="仿宋" w:cs="仿宋"/>
          <w:sz w:val="28"/>
          <w:szCs w:val="28"/>
        </w:rPr>
        <w:t>不可撤销的</w:t>
      </w:r>
      <w:r>
        <w:rPr>
          <w:rFonts w:hint="eastAsia" w:ascii="仿宋" w:hAnsi="仿宋" w:eastAsia="仿宋" w:cs="仿宋"/>
          <w:spacing w:val="20"/>
          <w:sz w:val="28"/>
          <w:szCs w:val="28"/>
          <w:lang w:val="zh-CN" w:bidi="zh-CN"/>
        </w:rPr>
        <w:t>银行保函作履约担保。因</w:t>
      </w:r>
      <w:r>
        <w:rPr>
          <w:rFonts w:ascii="仿宋" w:hAnsi="仿宋" w:eastAsia="仿宋" w:cs="仿宋"/>
          <w:spacing w:val="20"/>
          <w:sz w:val="28"/>
          <w:szCs w:val="28"/>
          <w:u w:val="single"/>
          <w:lang w:bidi="zh-CN"/>
        </w:rPr>
        <w:t xml:space="preserve">      </w:t>
      </w:r>
      <w:r>
        <w:rPr>
          <w:rFonts w:hint="eastAsia" w:ascii="仿宋" w:hAnsi="仿宋" w:eastAsia="仿宋" w:cs="仿宋"/>
          <w:spacing w:val="20"/>
          <w:sz w:val="28"/>
          <w:szCs w:val="28"/>
          <w:u w:val="single"/>
          <w:lang w:bidi="zh-CN"/>
        </w:rPr>
        <w:t xml:space="preserve"> </w:t>
      </w:r>
      <w:r>
        <w:rPr>
          <w:rFonts w:ascii="仿宋" w:hAnsi="仿宋" w:eastAsia="仿宋" w:cs="仿宋"/>
          <w:spacing w:val="20"/>
          <w:sz w:val="28"/>
          <w:szCs w:val="28"/>
          <w:u w:val="single"/>
          <w:lang w:bidi="zh-CN"/>
        </w:rPr>
        <w:t xml:space="preserve">  </w:t>
      </w:r>
      <w:r>
        <w:rPr>
          <w:rFonts w:hint="eastAsia" w:ascii="仿宋" w:hAnsi="仿宋" w:eastAsia="仿宋" w:cs="仿宋"/>
          <w:spacing w:val="20"/>
          <w:sz w:val="28"/>
          <w:szCs w:val="28"/>
          <w:lang w:val="zh-CN" w:bidi="zh-CN"/>
        </w:rPr>
        <w:t>，我方无法开具无固定期限的银行保函，现开具有效期不低于</w:t>
      </w:r>
      <w:r>
        <w:rPr>
          <w:rFonts w:ascii="仿宋" w:hAnsi="仿宋" w:eastAsia="仿宋" w:cs="仿宋"/>
          <w:spacing w:val="20"/>
          <w:sz w:val="28"/>
          <w:szCs w:val="28"/>
          <w:u w:val="single"/>
          <w:lang w:bidi="zh-CN"/>
        </w:rPr>
        <w:t xml:space="preserve"> </w:t>
      </w:r>
      <w:r>
        <w:rPr>
          <w:rFonts w:hint="eastAsia" w:ascii="仿宋" w:hAnsi="仿宋" w:eastAsia="仿宋" w:cs="仿宋"/>
          <w:spacing w:val="20"/>
          <w:sz w:val="28"/>
          <w:szCs w:val="28"/>
          <w:u w:val="single"/>
          <w:lang w:bidi="zh-CN"/>
        </w:rPr>
        <w:t>2</w:t>
      </w:r>
      <w:r>
        <w:rPr>
          <w:rFonts w:ascii="仿宋" w:hAnsi="仿宋" w:eastAsia="仿宋" w:cs="仿宋"/>
          <w:spacing w:val="20"/>
          <w:sz w:val="28"/>
          <w:szCs w:val="28"/>
          <w:u w:val="single"/>
          <w:lang w:bidi="zh-CN"/>
        </w:rPr>
        <w:t xml:space="preserve"> </w:t>
      </w:r>
      <w:r>
        <w:rPr>
          <w:rFonts w:hint="eastAsia" w:ascii="仿宋" w:hAnsi="仿宋" w:eastAsia="仿宋" w:cs="仿宋"/>
          <w:spacing w:val="20"/>
          <w:sz w:val="28"/>
          <w:szCs w:val="28"/>
          <w:lang w:val="zh-CN" w:bidi="zh-CN"/>
        </w:rPr>
        <w:t>年的固定期限银行保函；并承诺每当保函的有效期己满达</w:t>
      </w:r>
      <w:r>
        <w:rPr>
          <w:rFonts w:ascii="仿宋" w:hAnsi="仿宋" w:eastAsia="仿宋" w:cs="仿宋"/>
          <w:spacing w:val="20"/>
          <w:sz w:val="28"/>
          <w:szCs w:val="28"/>
          <w:u w:val="single"/>
          <w:lang w:bidi="zh-CN"/>
        </w:rPr>
        <w:t xml:space="preserve"> </w:t>
      </w:r>
      <w:r>
        <w:rPr>
          <w:rFonts w:hint="eastAsia" w:ascii="仿宋" w:hAnsi="仿宋" w:eastAsia="仿宋" w:cs="仿宋"/>
          <w:spacing w:val="20"/>
          <w:sz w:val="28"/>
          <w:szCs w:val="28"/>
          <w:u w:val="single"/>
          <w:lang w:bidi="zh-CN"/>
        </w:rPr>
        <w:t>1</w:t>
      </w:r>
      <w:r>
        <w:rPr>
          <w:rFonts w:ascii="仿宋" w:hAnsi="仿宋" w:eastAsia="仿宋" w:cs="仿宋"/>
          <w:spacing w:val="20"/>
          <w:sz w:val="28"/>
          <w:szCs w:val="28"/>
          <w:u w:val="single"/>
          <w:lang w:bidi="zh-CN"/>
        </w:rPr>
        <w:t xml:space="preserve"> </w:t>
      </w:r>
      <w:r>
        <w:rPr>
          <w:rFonts w:hint="eastAsia" w:ascii="仿宋" w:hAnsi="仿宋" w:eastAsia="仿宋" w:cs="仿宋"/>
          <w:spacing w:val="20"/>
          <w:sz w:val="28"/>
          <w:szCs w:val="28"/>
          <w:lang w:val="zh-CN" w:bidi="zh-CN"/>
        </w:rPr>
        <w:t>年但项目未完工或未完成竣工验收时，我方不挑剔、不争辩，也不要求你方出具证明或说明理由，主动办理新保函续保，且新保函有效期不低于</w:t>
      </w:r>
      <w:r>
        <w:rPr>
          <w:rFonts w:hint="eastAsia" w:ascii="仿宋" w:hAnsi="仿宋" w:eastAsia="仿宋" w:cs="仿宋"/>
          <w:spacing w:val="20"/>
          <w:sz w:val="28"/>
          <w:szCs w:val="28"/>
          <w:u w:val="single"/>
          <w:lang w:bidi="zh-CN"/>
        </w:rPr>
        <w:t>1</w:t>
      </w:r>
      <w:r>
        <w:rPr>
          <w:rFonts w:ascii="仿宋" w:hAnsi="仿宋" w:eastAsia="仿宋" w:cs="仿宋"/>
          <w:spacing w:val="20"/>
          <w:sz w:val="28"/>
          <w:szCs w:val="28"/>
          <w:u w:val="single"/>
          <w:lang w:bidi="zh-CN"/>
        </w:rPr>
        <w:t xml:space="preserve"> </w:t>
      </w:r>
      <w:r>
        <w:rPr>
          <w:rFonts w:hint="eastAsia" w:ascii="仿宋" w:hAnsi="仿宋" w:eastAsia="仿宋" w:cs="仿宋"/>
          <w:spacing w:val="20"/>
          <w:sz w:val="28"/>
          <w:szCs w:val="28"/>
          <w:lang w:val="zh-CN" w:bidi="zh-CN"/>
        </w:rPr>
        <w:t>年。</w:t>
      </w:r>
    </w:p>
    <w:p w14:paraId="1577468B">
      <w:pPr>
        <w:spacing w:line="560" w:lineRule="exact"/>
        <w:jc w:val="left"/>
        <w:rPr>
          <w:rFonts w:hint="eastAsia" w:ascii="仿宋" w:hAnsi="仿宋" w:eastAsia="仿宋" w:cs="仿宋"/>
          <w:spacing w:val="20"/>
          <w:sz w:val="28"/>
          <w:szCs w:val="28"/>
          <w:lang w:val="zh-CN" w:bidi="zh-CN"/>
        </w:rPr>
      </w:pPr>
    </w:p>
    <w:p w14:paraId="4313132F">
      <w:pPr>
        <w:spacing w:line="560" w:lineRule="exact"/>
        <w:ind w:firstLine="640" w:firstLineChars="200"/>
        <w:jc w:val="left"/>
        <w:rPr>
          <w:rFonts w:hint="eastAsia" w:ascii="仿宋" w:hAnsi="仿宋" w:eastAsia="仿宋" w:cs="仿宋"/>
          <w:spacing w:val="20"/>
          <w:sz w:val="28"/>
          <w:szCs w:val="28"/>
          <w:lang w:val="zh-CN" w:bidi="zh-CN"/>
        </w:rPr>
      </w:pPr>
    </w:p>
    <w:p w14:paraId="7215FE85">
      <w:pPr>
        <w:widowControl/>
        <w:spacing w:line="360" w:lineRule="auto"/>
        <w:jc w:val="left"/>
        <w:rPr>
          <w:rFonts w:hint="eastAsia" w:ascii="仿宋" w:hAnsi="仿宋" w:eastAsia="仿宋" w:cs="仿宋"/>
          <w:spacing w:val="20"/>
          <w:sz w:val="28"/>
          <w:szCs w:val="28"/>
          <w:lang w:val="zh-CN" w:bidi="zh-CN"/>
        </w:rPr>
      </w:pPr>
      <w:r>
        <w:rPr>
          <w:rFonts w:hint="eastAsia" w:ascii="仿宋" w:hAnsi="仿宋" w:eastAsia="仿宋" w:cs="仿宋"/>
          <w:spacing w:val="20"/>
          <w:sz w:val="28"/>
          <w:szCs w:val="28"/>
          <w:lang w:val="zh-CN" w:bidi="zh-CN"/>
        </w:rPr>
        <w:t xml:space="preserve">单位名称：            </w:t>
      </w:r>
      <w:r>
        <w:rPr>
          <w:rFonts w:hint="eastAsia" w:ascii="宋体" w:hAnsi="宋体"/>
          <w:sz w:val="24"/>
        </w:rPr>
        <w:t>（公章）</w:t>
      </w:r>
    </w:p>
    <w:p w14:paraId="218D9803">
      <w:pPr>
        <w:spacing w:line="560" w:lineRule="exact"/>
        <w:jc w:val="left"/>
        <w:rPr>
          <w:rFonts w:hint="eastAsia" w:ascii="仿宋" w:hAnsi="仿宋" w:eastAsia="仿宋" w:cs="仿宋"/>
          <w:sz w:val="28"/>
          <w:szCs w:val="28"/>
          <w:lang w:val="zh-CN" w:bidi="zh-CN"/>
        </w:rPr>
      </w:pPr>
      <w:r>
        <w:rPr>
          <w:rFonts w:hint="eastAsia" w:ascii="仿宋" w:hAnsi="仿宋" w:eastAsia="仿宋" w:cs="仿宋"/>
          <w:sz w:val="28"/>
          <w:szCs w:val="28"/>
          <w:lang w:val="zh-CN" w:bidi="zh-CN"/>
        </w:rPr>
        <w:t>法定代表人：</w:t>
      </w:r>
    </w:p>
    <w:p w14:paraId="74E0A5F1">
      <w:pPr>
        <w:spacing w:line="560" w:lineRule="exact"/>
        <w:jc w:val="left"/>
        <w:rPr>
          <w:rFonts w:hint="eastAsia" w:ascii="仿宋" w:hAnsi="仿宋" w:eastAsia="仿宋" w:cs="仿宋"/>
          <w:sz w:val="28"/>
          <w:szCs w:val="28"/>
          <w:lang w:val="zh-CN" w:bidi="zh-CN"/>
        </w:rPr>
      </w:pPr>
      <w:r>
        <w:rPr>
          <w:rFonts w:hint="eastAsia" w:ascii="仿宋" w:hAnsi="仿宋" w:eastAsia="仿宋" w:cs="仿宋"/>
          <w:sz w:val="28"/>
          <w:szCs w:val="28"/>
          <w:lang w:val="zh-CN" w:bidi="zh-CN"/>
        </w:rPr>
        <w:t>联系电话：</w:t>
      </w:r>
    </w:p>
    <w:p w14:paraId="3FB02476">
      <w:pPr>
        <w:spacing w:line="560" w:lineRule="exact"/>
        <w:jc w:val="left"/>
        <w:rPr>
          <w:rFonts w:hint="eastAsia" w:ascii="仿宋" w:hAnsi="仿宋" w:eastAsia="仿宋" w:cs="仿宋"/>
          <w:sz w:val="28"/>
          <w:szCs w:val="28"/>
          <w:lang w:val="zh-CN" w:bidi="zh-CN"/>
        </w:rPr>
      </w:pPr>
      <w:r>
        <w:rPr>
          <w:rFonts w:hint="eastAsia" w:ascii="仿宋" w:hAnsi="仿宋" w:eastAsia="仿宋" w:cs="仿宋"/>
          <w:sz w:val="28"/>
          <w:szCs w:val="28"/>
          <w:lang w:val="zh-CN" w:bidi="zh-CN"/>
        </w:rPr>
        <w:t>地址：</w:t>
      </w:r>
    </w:p>
    <w:p w14:paraId="6118EBA3">
      <w:pPr>
        <w:spacing w:line="560" w:lineRule="exact"/>
        <w:jc w:val="left"/>
        <w:rPr>
          <w:sz w:val="20"/>
          <w:szCs w:val="18"/>
        </w:rPr>
      </w:pPr>
      <w:r>
        <w:rPr>
          <w:rFonts w:hint="eastAsia" w:ascii="仿宋" w:hAnsi="仿宋" w:eastAsia="仿宋" w:cs="仿宋"/>
          <w:sz w:val="28"/>
          <w:szCs w:val="28"/>
          <w:lang w:val="zh-CN" w:bidi="zh-CN"/>
        </w:rPr>
        <w:t>日期：</w:t>
      </w:r>
    </w:p>
    <w:p w14:paraId="4145E1A7">
      <w:pPr>
        <w:pStyle w:val="22"/>
        <w:rPr>
          <w:rFonts w:eastAsia="宋体"/>
        </w:rPr>
      </w:pPr>
    </w:p>
    <w:p w14:paraId="0190B72C">
      <w:pPr>
        <w:pStyle w:val="22"/>
        <w:rPr>
          <w:rFonts w:eastAsia="宋体"/>
        </w:rPr>
      </w:pPr>
    </w:p>
    <w:p w14:paraId="261978DB">
      <w:pPr>
        <w:pStyle w:val="22"/>
        <w:rPr>
          <w:rFonts w:eastAsia="宋体"/>
        </w:rPr>
      </w:pPr>
    </w:p>
    <w:p w14:paraId="36AB28B0">
      <w:pPr>
        <w:pStyle w:val="22"/>
        <w:pageBreakBefore/>
        <w:jc w:val="left"/>
        <w:rPr>
          <w:rStyle w:val="55"/>
          <w:rFonts w:hAnsi="宋体"/>
          <w:szCs w:val="24"/>
        </w:rPr>
      </w:pPr>
      <w:r>
        <w:rPr>
          <w:rStyle w:val="55"/>
          <w:rFonts w:hAnsi="宋体"/>
          <w:szCs w:val="24"/>
        </w:rPr>
        <w:t>附件4</w:t>
      </w:r>
      <w:r>
        <w:rPr>
          <w:rStyle w:val="55"/>
          <w:rFonts w:hint="eastAsia" w:hAnsi="宋体" w:eastAsia="宋体"/>
          <w:szCs w:val="24"/>
        </w:rPr>
        <w:t xml:space="preserve"> </w:t>
      </w:r>
      <w:r>
        <w:rPr>
          <w:rStyle w:val="55"/>
          <w:rFonts w:hAnsi="宋体"/>
          <w:szCs w:val="24"/>
        </w:rPr>
        <w:t>投标报价书及投标函</w:t>
      </w:r>
    </w:p>
    <w:p w14:paraId="0030CBC5">
      <w:pPr>
        <w:pStyle w:val="22"/>
        <w:pageBreakBefore/>
        <w:rPr>
          <w:rStyle w:val="55"/>
          <w:rFonts w:hAnsi="宋体"/>
          <w:szCs w:val="24"/>
        </w:rPr>
      </w:pPr>
    </w:p>
    <w:p w14:paraId="21CFF084">
      <w:pPr>
        <w:pStyle w:val="22"/>
        <w:rPr>
          <w:rStyle w:val="55"/>
          <w:rFonts w:hAnsi="宋体"/>
          <w:szCs w:val="24"/>
        </w:rPr>
      </w:pPr>
      <w:r>
        <w:rPr>
          <w:rStyle w:val="55"/>
          <w:rFonts w:hAnsi="宋体"/>
          <w:szCs w:val="24"/>
        </w:rPr>
        <w:t>附件</w:t>
      </w:r>
      <w:r>
        <w:rPr>
          <w:rStyle w:val="55"/>
          <w:rFonts w:hint="eastAsia" w:hAnsi="宋体" w:eastAsia="宋体"/>
          <w:szCs w:val="24"/>
        </w:rPr>
        <w:t xml:space="preserve">5 </w:t>
      </w:r>
      <w:r>
        <w:rPr>
          <w:rStyle w:val="55"/>
          <w:rFonts w:hAnsi="宋体"/>
          <w:szCs w:val="24"/>
        </w:rPr>
        <w:t>拟投入本项目造价人员一览表及项目负责人资质证明</w:t>
      </w:r>
    </w:p>
    <w:p w14:paraId="359C9B43">
      <w:pPr>
        <w:adjustRightInd w:val="0"/>
        <w:spacing w:line="480" w:lineRule="auto"/>
        <w:ind w:firstLine="3092" w:firstLineChars="1100"/>
        <w:outlineLvl w:val="2"/>
        <w:rPr>
          <w:rFonts w:hint="eastAsia" w:ascii="宋体" w:hAnsi="宋体" w:cs="宋体"/>
          <w:b/>
          <w:bCs/>
          <w:kern w:val="0"/>
          <w:sz w:val="28"/>
          <w:szCs w:val="28"/>
        </w:rPr>
      </w:pPr>
    </w:p>
    <w:p w14:paraId="074AEB0F">
      <w:pPr>
        <w:adjustRightInd w:val="0"/>
        <w:spacing w:line="480" w:lineRule="auto"/>
        <w:ind w:firstLine="3092" w:firstLineChars="1100"/>
        <w:outlineLvl w:val="2"/>
        <w:rPr>
          <w:rFonts w:hint="eastAsia" w:ascii="宋体" w:hAnsi="宋体" w:cs="宋体"/>
          <w:b/>
          <w:bCs/>
          <w:kern w:val="0"/>
          <w:sz w:val="28"/>
          <w:szCs w:val="28"/>
        </w:rPr>
      </w:pPr>
    </w:p>
    <w:p w14:paraId="356FE623">
      <w:pPr>
        <w:adjustRightInd w:val="0"/>
        <w:spacing w:line="480" w:lineRule="auto"/>
        <w:ind w:firstLine="3092" w:firstLineChars="1100"/>
        <w:outlineLvl w:val="2"/>
        <w:rPr>
          <w:rFonts w:hint="eastAsia" w:ascii="宋体" w:hAnsi="宋体" w:cs="宋体"/>
          <w:b/>
          <w:bCs/>
          <w:kern w:val="0"/>
          <w:sz w:val="28"/>
          <w:szCs w:val="28"/>
        </w:rPr>
      </w:pPr>
    </w:p>
    <w:p w14:paraId="57594790">
      <w:pPr>
        <w:adjustRightInd w:val="0"/>
        <w:spacing w:line="480" w:lineRule="auto"/>
        <w:outlineLvl w:val="2"/>
        <w:rPr>
          <w:rFonts w:hint="eastAsia" w:ascii="宋体" w:hAnsi="宋体" w:cs="宋体"/>
          <w:b/>
          <w:bCs/>
          <w:kern w:val="0"/>
          <w:sz w:val="28"/>
          <w:szCs w:val="28"/>
        </w:rPr>
      </w:pPr>
    </w:p>
    <w:p w14:paraId="2609F29B">
      <w:pPr>
        <w:spacing w:line="480" w:lineRule="auto"/>
        <w:outlineLvl w:val="2"/>
        <w:rPr>
          <w:rFonts w:hint="eastAsia" w:ascii="宋体" w:hAnsi="宋体" w:cs="宋体"/>
          <w:b/>
          <w:bCs/>
          <w:sz w:val="24"/>
        </w:rPr>
      </w:pPr>
    </w:p>
    <w:p w14:paraId="33E8F776">
      <w:pPr>
        <w:spacing w:line="480" w:lineRule="auto"/>
        <w:outlineLvl w:val="2"/>
        <w:rPr>
          <w:rFonts w:hint="eastAsia" w:ascii="宋体" w:hAnsi="宋体" w:cs="宋体"/>
          <w:b/>
          <w:bCs/>
          <w:sz w:val="24"/>
        </w:rPr>
      </w:pPr>
    </w:p>
    <w:p w14:paraId="68CD6383">
      <w:pPr>
        <w:spacing w:line="480" w:lineRule="auto"/>
        <w:outlineLvl w:val="2"/>
        <w:rPr>
          <w:rFonts w:hint="eastAsia" w:ascii="宋体" w:hAnsi="宋体" w:cs="宋体"/>
          <w:b/>
          <w:bCs/>
          <w:sz w:val="24"/>
        </w:rPr>
      </w:pPr>
    </w:p>
    <w:p w14:paraId="7B6FE2CB">
      <w:pPr>
        <w:spacing w:line="480" w:lineRule="auto"/>
        <w:outlineLvl w:val="2"/>
        <w:rPr>
          <w:rFonts w:hint="eastAsia" w:ascii="宋体" w:hAnsi="宋体" w:cs="宋体"/>
          <w:b/>
          <w:bCs/>
          <w:sz w:val="24"/>
        </w:rPr>
      </w:pPr>
    </w:p>
    <w:p w14:paraId="43F15012">
      <w:pPr>
        <w:spacing w:line="480" w:lineRule="auto"/>
        <w:outlineLvl w:val="2"/>
        <w:rPr>
          <w:rFonts w:hint="eastAsia" w:ascii="宋体" w:hAnsi="宋体" w:cs="宋体"/>
          <w:b/>
          <w:bCs/>
          <w:sz w:val="24"/>
        </w:rPr>
      </w:pPr>
    </w:p>
    <w:p w14:paraId="6494C296">
      <w:pPr>
        <w:spacing w:line="480" w:lineRule="auto"/>
        <w:outlineLvl w:val="2"/>
        <w:rPr>
          <w:rFonts w:hint="eastAsia" w:ascii="宋体" w:hAnsi="宋体" w:cs="宋体"/>
          <w:b/>
          <w:bCs/>
          <w:sz w:val="24"/>
        </w:rPr>
      </w:pPr>
    </w:p>
    <w:p w14:paraId="5D4C5592">
      <w:pPr>
        <w:spacing w:line="480" w:lineRule="auto"/>
        <w:outlineLvl w:val="2"/>
        <w:rPr>
          <w:rFonts w:hint="eastAsia" w:ascii="宋体" w:hAnsi="宋体" w:cs="宋体"/>
          <w:b/>
          <w:bCs/>
          <w:sz w:val="24"/>
        </w:rPr>
      </w:pPr>
    </w:p>
    <w:p w14:paraId="736A77C8">
      <w:pPr>
        <w:spacing w:line="480" w:lineRule="auto"/>
        <w:outlineLvl w:val="2"/>
        <w:rPr>
          <w:rFonts w:hint="eastAsia" w:ascii="宋体" w:hAnsi="宋体" w:cs="宋体"/>
          <w:b/>
          <w:bCs/>
          <w:sz w:val="24"/>
        </w:rPr>
      </w:pPr>
    </w:p>
    <w:p w14:paraId="5D0B155F">
      <w:pPr>
        <w:rPr>
          <w:rFonts w:hint="eastAsia" w:ascii="宋体" w:hAnsi="宋体" w:cs="宋体"/>
          <w:szCs w:val="22"/>
        </w:rPr>
        <w:sectPr>
          <w:headerReference r:id="rId5" w:type="default"/>
          <w:footerReference r:id="rId6" w:type="default"/>
          <w:pgSz w:w="11906" w:h="16838"/>
          <w:pgMar w:top="1531" w:right="1463" w:bottom="1531" w:left="1531" w:header="851" w:footer="992" w:gutter="0"/>
          <w:cols w:space="720" w:num="1"/>
          <w:docGrid w:linePitch="312" w:charSpace="0"/>
        </w:sectPr>
      </w:pPr>
    </w:p>
    <w:p w14:paraId="6C0D3C6D">
      <w:pPr>
        <w:pStyle w:val="22"/>
        <w:pageBreakBefore/>
        <w:rPr>
          <w:rStyle w:val="55"/>
          <w:rFonts w:hint="eastAsia" w:hAnsi="宋体" w:eastAsia="宋体"/>
          <w:szCs w:val="24"/>
        </w:rPr>
      </w:pPr>
      <w:r>
        <w:rPr>
          <w:rStyle w:val="55"/>
          <w:rFonts w:hAnsi="宋体"/>
          <w:szCs w:val="24"/>
        </w:rPr>
        <w:t>附件</w:t>
      </w:r>
      <w:r>
        <w:rPr>
          <w:rStyle w:val="55"/>
          <w:rFonts w:hint="eastAsia" w:hAnsi="宋体" w:eastAsia="宋体"/>
          <w:szCs w:val="24"/>
        </w:rPr>
        <w:t>6评估</w:t>
      </w:r>
      <w:r>
        <w:rPr>
          <w:rStyle w:val="55"/>
          <w:rFonts w:eastAsia="宋体"/>
          <w:szCs w:val="24"/>
        </w:rPr>
        <w:t>考核</w:t>
      </w:r>
      <w:r>
        <w:rPr>
          <w:rStyle w:val="55"/>
          <w:rFonts w:hint="eastAsia" w:hAnsi="宋体" w:eastAsia="宋体"/>
          <w:szCs w:val="24"/>
        </w:rPr>
        <w:t>表</w:t>
      </w:r>
    </w:p>
    <w:tbl>
      <w:tblPr>
        <w:tblStyle w:val="40"/>
        <w:tblW w:w="14780" w:type="dxa"/>
        <w:jc w:val="center"/>
        <w:tblLayout w:type="fixed"/>
        <w:tblCellMar>
          <w:top w:w="0" w:type="dxa"/>
          <w:left w:w="108" w:type="dxa"/>
          <w:bottom w:w="0" w:type="dxa"/>
          <w:right w:w="108" w:type="dxa"/>
        </w:tblCellMar>
      </w:tblPr>
      <w:tblGrid>
        <w:gridCol w:w="700"/>
        <w:gridCol w:w="1442"/>
        <w:gridCol w:w="2280"/>
        <w:gridCol w:w="1139"/>
        <w:gridCol w:w="5369"/>
        <w:gridCol w:w="992"/>
        <w:gridCol w:w="1418"/>
        <w:gridCol w:w="1440"/>
      </w:tblGrid>
      <w:tr w14:paraId="6AB95724">
        <w:tblPrEx>
          <w:tblCellMar>
            <w:top w:w="0" w:type="dxa"/>
            <w:left w:w="108" w:type="dxa"/>
            <w:bottom w:w="0" w:type="dxa"/>
            <w:right w:w="108" w:type="dxa"/>
          </w:tblCellMar>
        </w:tblPrEx>
        <w:trPr>
          <w:trHeight w:val="615" w:hRule="atLeast"/>
          <w:jc w:val="center"/>
        </w:trPr>
        <w:tc>
          <w:tcPr>
            <w:tcW w:w="14780" w:type="dxa"/>
            <w:gridSpan w:val="8"/>
            <w:tcBorders>
              <w:top w:val="nil"/>
              <w:left w:val="nil"/>
              <w:bottom w:val="nil"/>
              <w:right w:val="nil"/>
            </w:tcBorders>
            <w:noWrap/>
            <w:vAlign w:val="center"/>
          </w:tcPr>
          <w:p w14:paraId="4FA5E005">
            <w:pPr>
              <w:jc w:val="center"/>
              <w:rPr>
                <w:rFonts w:hint="eastAsia" w:ascii="宋体" w:hAnsi="宋体" w:cs="宋体"/>
                <w:sz w:val="28"/>
                <w:szCs w:val="28"/>
              </w:rPr>
            </w:pPr>
            <w:r>
              <w:rPr>
                <w:rFonts w:hint="eastAsia" w:ascii="宋体" w:hAnsi="宋体" w:cs="宋体"/>
                <w:sz w:val="28"/>
                <w:szCs w:val="28"/>
              </w:rPr>
              <w:t>全过程造价咨询服务  年  季度评估考核表</w:t>
            </w:r>
          </w:p>
        </w:tc>
      </w:tr>
      <w:tr w14:paraId="36F48AA5">
        <w:tblPrEx>
          <w:tblCellMar>
            <w:top w:w="0" w:type="dxa"/>
            <w:left w:w="108" w:type="dxa"/>
            <w:bottom w:w="0" w:type="dxa"/>
            <w:right w:w="108" w:type="dxa"/>
          </w:tblCellMar>
        </w:tblPrEx>
        <w:trPr>
          <w:trHeight w:val="345" w:hRule="atLeast"/>
          <w:jc w:val="center"/>
        </w:trPr>
        <w:tc>
          <w:tcPr>
            <w:tcW w:w="2142" w:type="dxa"/>
            <w:gridSpan w:val="2"/>
            <w:tcBorders>
              <w:top w:val="nil"/>
              <w:left w:val="nil"/>
              <w:bottom w:val="single" w:color="auto" w:sz="4" w:space="0"/>
              <w:right w:val="nil"/>
            </w:tcBorders>
            <w:noWrap/>
            <w:vAlign w:val="center"/>
          </w:tcPr>
          <w:p w14:paraId="4CD80066">
            <w:pPr>
              <w:rPr>
                <w:rFonts w:hint="eastAsia" w:ascii="宋体" w:hAnsi="宋体" w:cs="宋体"/>
              </w:rPr>
            </w:pPr>
            <w:r>
              <w:rPr>
                <w:rFonts w:hint="eastAsia" w:ascii="宋体" w:hAnsi="宋体" w:cs="宋体"/>
              </w:rPr>
              <w:t>咨询公司：</w:t>
            </w:r>
          </w:p>
        </w:tc>
        <w:tc>
          <w:tcPr>
            <w:tcW w:w="2280" w:type="dxa"/>
            <w:tcBorders>
              <w:top w:val="nil"/>
              <w:left w:val="nil"/>
              <w:bottom w:val="nil"/>
              <w:right w:val="nil"/>
            </w:tcBorders>
            <w:noWrap/>
            <w:vAlign w:val="center"/>
          </w:tcPr>
          <w:p w14:paraId="7046E614">
            <w:pPr>
              <w:rPr>
                <w:rFonts w:hint="eastAsia" w:ascii="宋体" w:hAnsi="宋体" w:cs="宋体"/>
                <w:b/>
                <w:bCs/>
              </w:rPr>
            </w:pPr>
          </w:p>
        </w:tc>
        <w:tc>
          <w:tcPr>
            <w:tcW w:w="1139" w:type="dxa"/>
            <w:tcBorders>
              <w:top w:val="nil"/>
              <w:left w:val="nil"/>
              <w:bottom w:val="nil"/>
              <w:right w:val="nil"/>
            </w:tcBorders>
            <w:noWrap/>
            <w:vAlign w:val="center"/>
          </w:tcPr>
          <w:p w14:paraId="42D322BC">
            <w:pPr>
              <w:jc w:val="center"/>
              <w:rPr>
                <w:rFonts w:hint="eastAsia" w:ascii="宋体" w:hAnsi="宋体" w:cs="宋体"/>
              </w:rPr>
            </w:pPr>
          </w:p>
        </w:tc>
        <w:tc>
          <w:tcPr>
            <w:tcW w:w="5369" w:type="dxa"/>
            <w:tcBorders>
              <w:top w:val="nil"/>
              <w:left w:val="nil"/>
              <w:bottom w:val="nil"/>
              <w:right w:val="nil"/>
            </w:tcBorders>
            <w:noWrap/>
            <w:vAlign w:val="center"/>
          </w:tcPr>
          <w:p w14:paraId="1F6BD0A6">
            <w:pPr>
              <w:jc w:val="center"/>
              <w:rPr>
                <w:rFonts w:hint="eastAsia" w:ascii="宋体" w:hAnsi="宋体" w:cs="宋体"/>
              </w:rPr>
            </w:pPr>
          </w:p>
        </w:tc>
        <w:tc>
          <w:tcPr>
            <w:tcW w:w="992" w:type="dxa"/>
            <w:tcBorders>
              <w:top w:val="nil"/>
              <w:left w:val="nil"/>
              <w:bottom w:val="nil"/>
              <w:right w:val="nil"/>
            </w:tcBorders>
            <w:noWrap/>
            <w:vAlign w:val="center"/>
          </w:tcPr>
          <w:p w14:paraId="1F4D0A59">
            <w:pPr>
              <w:jc w:val="right"/>
              <w:rPr>
                <w:rFonts w:hint="eastAsia" w:ascii="宋体" w:hAnsi="宋体" w:cs="宋体"/>
              </w:rPr>
            </w:pPr>
          </w:p>
        </w:tc>
        <w:tc>
          <w:tcPr>
            <w:tcW w:w="1418" w:type="dxa"/>
            <w:tcBorders>
              <w:top w:val="nil"/>
              <w:left w:val="nil"/>
              <w:bottom w:val="single" w:color="auto" w:sz="4" w:space="0"/>
              <w:right w:val="nil"/>
            </w:tcBorders>
            <w:noWrap/>
            <w:vAlign w:val="center"/>
          </w:tcPr>
          <w:p w14:paraId="18F48113">
            <w:pPr>
              <w:rPr>
                <w:rFonts w:hint="eastAsia" w:ascii="宋体" w:hAnsi="宋体" w:cs="宋体"/>
                <w:b/>
                <w:bCs/>
              </w:rPr>
            </w:pPr>
            <w:r>
              <w:rPr>
                <w:rFonts w:hint="eastAsia" w:ascii="宋体" w:hAnsi="宋体" w:cs="宋体"/>
                <w:b/>
                <w:bCs/>
              </w:rPr>
              <w:t>　</w:t>
            </w:r>
          </w:p>
        </w:tc>
        <w:tc>
          <w:tcPr>
            <w:tcW w:w="1440" w:type="dxa"/>
            <w:tcBorders>
              <w:top w:val="nil"/>
              <w:left w:val="nil"/>
              <w:bottom w:val="nil"/>
              <w:right w:val="nil"/>
            </w:tcBorders>
            <w:noWrap/>
            <w:vAlign w:val="center"/>
          </w:tcPr>
          <w:p w14:paraId="61723476">
            <w:pPr>
              <w:jc w:val="center"/>
              <w:rPr>
                <w:rFonts w:hint="eastAsia" w:ascii="宋体" w:hAnsi="宋体" w:cs="宋体"/>
                <w:sz w:val="24"/>
              </w:rPr>
            </w:pPr>
          </w:p>
        </w:tc>
      </w:tr>
      <w:tr w14:paraId="0464C45A">
        <w:tblPrEx>
          <w:tblCellMar>
            <w:top w:w="0" w:type="dxa"/>
            <w:left w:w="108" w:type="dxa"/>
            <w:bottom w:w="0" w:type="dxa"/>
            <w:right w:w="108" w:type="dxa"/>
          </w:tblCellMar>
        </w:tblPrEx>
        <w:trPr>
          <w:trHeight w:val="623" w:hRule="atLeast"/>
          <w:jc w:val="center"/>
        </w:trPr>
        <w:tc>
          <w:tcPr>
            <w:tcW w:w="700" w:type="dxa"/>
            <w:tcBorders>
              <w:top w:val="nil"/>
              <w:left w:val="single" w:color="auto" w:sz="4" w:space="0"/>
              <w:bottom w:val="single" w:color="auto" w:sz="4" w:space="0"/>
              <w:right w:val="single" w:color="auto" w:sz="4" w:space="0"/>
            </w:tcBorders>
            <w:shd w:val="clear" w:color="000000" w:fill="FFFF99"/>
            <w:vAlign w:val="center"/>
          </w:tcPr>
          <w:p w14:paraId="32334923">
            <w:pPr>
              <w:jc w:val="center"/>
              <w:rPr>
                <w:rFonts w:hint="eastAsia" w:ascii="宋体" w:hAnsi="宋体" w:cs="宋体"/>
                <w:b/>
                <w:bCs/>
              </w:rPr>
            </w:pPr>
            <w:r>
              <w:rPr>
                <w:rFonts w:hint="eastAsia" w:ascii="宋体" w:hAnsi="宋体" w:cs="宋体"/>
                <w:b/>
                <w:bCs/>
              </w:rPr>
              <w:t>序号</w:t>
            </w:r>
          </w:p>
        </w:tc>
        <w:tc>
          <w:tcPr>
            <w:tcW w:w="1442" w:type="dxa"/>
            <w:tcBorders>
              <w:top w:val="nil"/>
              <w:left w:val="nil"/>
              <w:bottom w:val="single" w:color="auto" w:sz="4" w:space="0"/>
              <w:right w:val="single" w:color="auto" w:sz="4" w:space="0"/>
            </w:tcBorders>
            <w:shd w:val="clear" w:color="000000" w:fill="FFFF99"/>
            <w:vAlign w:val="center"/>
          </w:tcPr>
          <w:p w14:paraId="24512303">
            <w:pPr>
              <w:jc w:val="center"/>
              <w:rPr>
                <w:rFonts w:hint="eastAsia" w:ascii="宋体" w:hAnsi="宋体" w:cs="宋体"/>
                <w:b/>
                <w:bCs/>
              </w:rPr>
            </w:pPr>
            <w:r>
              <w:rPr>
                <w:rFonts w:hint="eastAsia" w:ascii="宋体" w:hAnsi="宋体" w:cs="宋体"/>
                <w:b/>
                <w:bCs/>
              </w:rPr>
              <w:t>项目</w:t>
            </w:r>
          </w:p>
        </w:tc>
        <w:tc>
          <w:tcPr>
            <w:tcW w:w="2280" w:type="dxa"/>
            <w:tcBorders>
              <w:top w:val="single" w:color="auto" w:sz="4" w:space="0"/>
              <w:left w:val="nil"/>
              <w:bottom w:val="single" w:color="auto" w:sz="4" w:space="0"/>
              <w:right w:val="single" w:color="auto" w:sz="4" w:space="0"/>
            </w:tcBorders>
            <w:shd w:val="clear" w:color="000000" w:fill="FFFF99"/>
            <w:vAlign w:val="center"/>
          </w:tcPr>
          <w:p w14:paraId="45A3549B">
            <w:pPr>
              <w:jc w:val="center"/>
              <w:rPr>
                <w:rFonts w:hint="eastAsia" w:ascii="宋体" w:hAnsi="宋体" w:cs="宋体"/>
                <w:b/>
                <w:bCs/>
              </w:rPr>
            </w:pPr>
            <w:r>
              <w:rPr>
                <w:rFonts w:hint="eastAsia" w:ascii="宋体" w:hAnsi="宋体" w:cs="宋体"/>
                <w:b/>
                <w:bCs/>
              </w:rPr>
              <w:t>评估内容</w:t>
            </w:r>
          </w:p>
        </w:tc>
        <w:tc>
          <w:tcPr>
            <w:tcW w:w="1139" w:type="dxa"/>
            <w:tcBorders>
              <w:top w:val="single" w:color="auto" w:sz="4" w:space="0"/>
              <w:left w:val="nil"/>
              <w:bottom w:val="single" w:color="auto" w:sz="4" w:space="0"/>
              <w:right w:val="single" w:color="auto" w:sz="4" w:space="0"/>
            </w:tcBorders>
            <w:shd w:val="clear" w:color="000000" w:fill="FFFF99"/>
            <w:vAlign w:val="center"/>
          </w:tcPr>
          <w:p w14:paraId="39EEE973">
            <w:pPr>
              <w:jc w:val="center"/>
              <w:rPr>
                <w:rFonts w:hint="eastAsia" w:ascii="宋体" w:hAnsi="宋体" w:cs="宋体"/>
                <w:b/>
                <w:bCs/>
              </w:rPr>
            </w:pPr>
            <w:r>
              <w:rPr>
                <w:rFonts w:hint="eastAsia" w:ascii="宋体" w:hAnsi="宋体" w:cs="宋体"/>
                <w:b/>
                <w:bCs/>
              </w:rPr>
              <w:t>满分及权重（100%）</w:t>
            </w:r>
          </w:p>
        </w:tc>
        <w:tc>
          <w:tcPr>
            <w:tcW w:w="5369" w:type="dxa"/>
            <w:tcBorders>
              <w:top w:val="single" w:color="auto" w:sz="4" w:space="0"/>
              <w:left w:val="nil"/>
              <w:bottom w:val="single" w:color="auto" w:sz="4" w:space="0"/>
              <w:right w:val="single" w:color="auto" w:sz="4" w:space="0"/>
            </w:tcBorders>
            <w:shd w:val="clear" w:color="000000" w:fill="FFFF99"/>
            <w:vAlign w:val="center"/>
          </w:tcPr>
          <w:p w14:paraId="6477EA45">
            <w:pPr>
              <w:jc w:val="center"/>
              <w:rPr>
                <w:rFonts w:hint="eastAsia" w:ascii="宋体" w:hAnsi="宋体" w:cs="宋体"/>
                <w:b/>
                <w:bCs/>
              </w:rPr>
            </w:pPr>
            <w:r>
              <w:rPr>
                <w:rFonts w:hint="eastAsia" w:ascii="宋体" w:hAnsi="宋体" w:cs="宋体"/>
                <w:b/>
                <w:bCs/>
              </w:rPr>
              <w:t>评分细则</w:t>
            </w:r>
          </w:p>
        </w:tc>
        <w:tc>
          <w:tcPr>
            <w:tcW w:w="992" w:type="dxa"/>
            <w:tcBorders>
              <w:top w:val="single" w:color="auto" w:sz="4" w:space="0"/>
              <w:left w:val="nil"/>
              <w:bottom w:val="single" w:color="auto" w:sz="4" w:space="0"/>
              <w:right w:val="single" w:color="auto" w:sz="4" w:space="0"/>
            </w:tcBorders>
            <w:shd w:val="clear" w:color="000000" w:fill="FFFF99"/>
            <w:vAlign w:val="center"/>
          </w:tcPr>
          <w:p w14:paraId="6720F869">
            <w:pPr>
              <w:jc w:val="center"/>
              <w:rPr>
                <w:rFonts w:hint="eastAsia" w:ascii="宋体" w:hAnsi="宋体" w:cs="宋体"/>
                <w:b/>
                <w:bCs/>
              </w:rPr>
            </w:pPr>
            <w:r>
              <w:rPr>
                <w:rFonts w:hint="eastAsia" w:ascii="宋体" w:hAnsi="宋体" w:cs="宋体"/>
                <w:b/>
                <w:bCs/>
              </w:rPr>
              <w:t>自评</w:t>
            </w:r>
          </w:p>
        </w:tc>
        <w:tc>
          <w:tcPr>
            <w:tcW w:w="1418" w:type="dxa"/>
            <w:tcBorders>
              <w:top w:val="nil"/>
              <w:left w:val="nil"/>
              <w:bottom w:val="single" w:color="auto" w:sz="4" w:space="0"/>
              <w:right w:val="single" w:color="auto" w:sz="4" w:space="0"/>
            </w:tcBorders>
            <w:shd w:val="clear" w:color="000000" w:fill="FFFF99"/>
            <w:vAlign w:val="center"/>
          </w:tcPr>
          <w:p w14:paraId="157C8EA5">
            <w:pPr>
              <w:jc w:val="center"/>
              <w:rPr>
                <w:rFonts w:hint="eastAsia" w:ascii="宋体" w:hAnsi="宋体" w:cs="宋体"/>
                <w:b/>
                <w:bCs/>
              </w:rPr>
            </w:pPr>
            <w:r>
              <w:rPr>
                <w:rFonts w:hint="eastAsia" w:ascii="宋体" w:hAnsi="宋体" w:cs="宋体"/>
                <w:b/>
                <w:bCs/>
              </w:rPr>
              <w:t>终评</w:t>
            </w:r>
          </w:p>
        </w:tc>
        <w:tc>
          <w:tcPr>
            <w:tcW w:w="1440" w:type="dxa"/>
            <w:tcBorders>
              <w:top w:val="single" w:color="auto" w:sz="4" w:space="0"/>
              <w:left w:val="nil"/>
              <w:bottom w:val="single" w:color="auto" w:sz="4" w:space="0"/>
              <w:right w:val="single" w:color="auto" w:sz="4" w:space="0"/>
            </w:tcBorders>
            <w:shd w:val="clear" w:color="000000" w:fill="FFFF99"/>
            <w:vAlign w:val="center"/>
          </w:tcPr>
          <w:p w14:paraId="74736474">
            <w:pPr>
              <w:jc w:val="center"/>
              <w:rPr>
                <w:rFonts w:hint="eastAsia" w:ascii="宋体" w:hAnsi="宋体" w:cs="宋体"/>
                <w:b/>
                <w:bCs/>
              </w:rPr>
            </w:pPr>
            <w:r>
              <w:rPr>
                <w:rFonts w:hint="eastAsia" w:ascii="宋体" w:hAnsi="宋体" w:cs="宋体"/>
                <w:b/>
                <w:bCs/>
              </w:rPr>
              <w:t>评分说明</w:t>
            </w:r>
          </w:p>
        </w:tc>
      </w:tr>
      <w:tr w14:paraId="3CC41223">
        <w:tblPrEx>
          <w:tblCellMar>
            <w:top w:w="0" w:type="dxa"/>
            <w:left w:w="108" w:type="dxa"/>
            <w:bottom w:w="0" w:type="dxa"/>
            <w:right w:w="108" w:type="dxa"/>
          </w:tblCellMar>
        </w:tblPrEx>
        <w:trPr>
          <w:trHeight w:val="285" w:hRule="atLeast"/>
          <w:jc w:val="center"/>
        </w:trPr>
        <w:tc>
          <w:tcPr>
            <w:tcW w:w="2142" w:type="dxa"/>
            <w:gridSpan w:val="2"/>
            <w:tcBorders>
              <w:top w:val="single" w:color="auto" w:sz="4" w:space="0"/>
              <w:left w:val="single" w:color="auto" w:sz="4" w:space="0"/>
              <w:bottom w:val="single" w:color="auto" w:sz="4" w:space="0"/>
              <w:right w:val="single" w:color="auto" w:sz="4" w:space="0"/>
            </w:tcBorders>
            <w:shd w:val="clear" w:color="000000" w:fill="CCFFFF"/>
            <w:vAlign w:val="center"/>
          </w:tcPr>
          <w:p w14:paraId="7AA45D9D">
            <w:pPr>
              <w:rPr>
                <w:rFonts w:hint="eastAsia" w:ascii="黑体" w:hAnsi="黑体" w:eastAsia="黑体" w:cs="宋体"/>
                <w:b/>
                <w:bCs/>
              </w:rPr>
            </w:pPr>
            <w:r>
              <w:rPr>
                <w:rFonts w:hint="eastAsia" w:ascii="黑体" w:hAnsi="黑体" w:eastAsia="黑体" w:cs="宋体"/>
                <w:b/>
                <w:bCs/>
              </w:rPr>
              <w:t>一、职业操守</w:t>
            </w:r>
          </w:p>
        </w:tc>
        <w:tc>
          <w:tcPr>
            <w:tcW w:w="2280" w:type="dxa"/>
            <w:tcBorders>
              <w:top w:val="nil"/>
              <w:left w:val="nil"/>
              <w:bottom w:val="single" w:color="auto" w:sz="4" w:space="0"/>
              <w:right w:val="single" w:color="auto" w:sz="4" w:space="0"/>
            </w:tcBorders>
            <w:shd w:val="clear" w:color="000000" w:fill="CCFFFF"/>
            <w:vAlign w:val="center"/>
          </w:tcPr>
          <w:p w14:paraId="60426E86">
            <w:pPr>
              <w:jc w:val="center"/>
              <w:rPr>
                <w:rFonts w:hint="eastAsia" w:ascii="宋体" w:hAnsi="宋体" w:cs="宋体"/>
                <w:b/>
                <w:bCs/>
              </w:rPr>
            </w:pPr>
            <w:r>
              <w:rPr>
                <w:rFonts w:hint="eastAsia" w:ascii="宋体" w:hAnsi="宋体" w:cs="宋体"/>
                <w:b/>
                <w:bCs/>
              </w:rPr>
              <w:t>　</w:t>
            </w:r>
          </w:p>
        </w:tc>
        <w:tc>
          <w:tcPr>
            <w:tcW w:w="1139" w:type="dxa"/>
            <w:tcBorders>
              <w:top w:val="nil"/>
              <w:left w:val="nil"/>
              <w:bottom w:val="single" w:color="auto" w:sz="4" w:space="0"/>
              <w:right w:val="single" w:color="auto" w:sz="4" w:space="0"/>
            </w:tcBorders>
            <w:shd w:val="clear" w:color="000000" w:fill="CCFFFF"/>
            <w:vAlign w:val="center"/>
          </w:tcPr>
          <w:p w14:paraId="166B38ED">
            <w:pPr>
              <w:jc w:val="center"/>
              <w:rPr>
                <w:rFonts w:hint="eastAsia" w:ascii="宋体" w:hAnsi="宋体" w:cs="宋体"/>
                <w:b/>
                <w:bCs/>
              </w:rPr>
            </w:pPr>
            <w:r>
              <w:rPr>
                <w:rFonts w:hint="eastAsia" w:ascii="宋体" w:hAnsi="宋体" w:cs="宋体"/>
                <w:b/>
                <w:bCs/>
              </w:rPr>
              <w:t>5%</w:t>
            </w:r>
          </w:p>
        </w:tc>
        <w:tc>
          <w:tcPr>
            <w:tcW w:w="5369" w:type="dxa"/>
            <w:tcBorders>
              <w:top w:val="nil"/>
              <w:left w:val="nil"/>
              <w:bottom w:val="single" w:color="auto" w:sz="4" w:space="0"/>
              <w:right w:val="single" w:color="auto" w:sz="4" w:space="0"/>
            </w:tcBorders>
            <w:shd w:val="clear" w:color="000000" w:fill="CCFFFF"/>
            <w:vAlign w:val="center"/>
          </w:tcPr>
          <w:p w14:paraId="583D8E7F">
            <w:pPr>
              <w:rPr>
                <w:rFonts w:hint="eastAsia" w:ascii="宋体" w:hAnsi="宋体" w:cs="宋体"/>
                <w:b/>
                <w:bCs/>
              </w:rPr>
            </w:pPr>
            <w:r>
              <w:rPr>
                <w:rFonts w:hint="eastAsia" w:ascii="宋体" w:hAnsi="宋体" w:cs="宋体"/>
                <w:b/>
                <w:bCs/>
              </w:rPr>
              <w:t>　</w:t>
            </w:r>
          </w:p>
        </w:tc>
        <w:tc>
          <w:tcPr>
            <w:tcW w:w="992" w:type="dxa"/>
            <w:tcBorders>
              <w:top w:val="nil"/>
              <w:left w:val="nil"/>
              <w:bottom w:val="single" w:color="auto" w:sz="4" w:space="0"/>
              <w:right w:val="single" w:color="auto" w:sz="4" w:space="0"/>
            </w:tcBorders>
            <w:shd w:val="clear" w:color="000000" w:fill="CCFFFF"/>
            <w:vAlign w:val="center"/>
          </w:tcPr>
          <w:p w14:paraId="2AAA5BCE">
            <w:pPr>
              <w:jc w:val="center"/>
              <w:rPr>
                <w:rFonts w:hint="eastAsia" w:ascii="宋体" w:hAnsi="宋体" w:cs="宋体"/>
                <w:b/>
                <w:bCs/>
              </w:rPr>
            </w:pPr>
            <w:r>
              <w:rPr>
                <w:rFonts w:hint="eastAsia" w:ascii="宋体" w:hAnsi="宋体" w:cs="宋体"/>
                <w:b/>
                <w:bCs/>
              </w:rPr>
              <w:t>　</w:t>
            </w:r>
          </w:p>
        </w:tc>
        <w:tc>
          <w:tcPr>
            <w:tcW w:w="1418" w:type="dxa"/>
            <w:tcBorders>
              <w:top w:val="nil"/>
              <w:left w:val="nil"/>
              <w:bottom w:val="single" w:color="auto" w:sz="4" w:space="0"/>
              <w:right w:val="single" w:color="auto" w:sz="4" w:space="0"/>
            </w:tcBorders>
            <w:shd w:val="clear" w:color="000000" w:fill="CCFFFF"/>
            <w:vAlign w:val="center"/>
          </w:tcPr>
          <w:p w14:paraId="52424B00">
            <w:pPr>
              <w:jc w:val="center"/>
              <w:rPr>
                <w:rFonts w:hint="eastAsia" w:ascii="宋体" w:hAnsi="宋体" w:cs="宋体"/>
                <w:b/>
                <w:bCs/>
              </w:rPr>
            </w:pPr>
            <w:r>
              <w:rPr>
                <w:rFonts w:hint="eastAsia" w:ascii="宋体" w:hAnsi="宋体" w:cs="宋体"/>
                <w:b/>
                <w:bCs/>
              </w:rPr>
              <w:t>　</w:t>
            </w:r>
          </w:p>
        </w:tc>
        <w:tc>
          <w:tcPr>
            <w:tcW w:w="1440" w:type="dxa"/>
            <w:tcBorders>
              <w:top w:val="nil"/>
              <w:left w:val="nil"/>
              <w:bottom w:val="single" w:color="auto" w:sz="4" w:space="0"/>
              <w:right w:val="single" w:color="auto" w:sz="4" w:space="0"/>
            </w:tcBorders>
            <w:shd w:val="clear" w:color="000000" w:fill="CCFFFF"/>
            <w:vAlign w:val="center"/>
          </w:tcPr>
          <w:p w14:paraId="019D1EC1">
            <w:pPr>
              <w:jc w:val="center"/>
              <w:rPr>
                <w:rFonts w:hint="eastAsia" w:ascii="宋体" w:hAnsi="宋体" w:cs="宋体"/>
                <w:b/>
                <w:bCs/>
              </w:rPr>
            </w:pPr>
            <w:r>
              <w:rPr>
                <w:rFonts w:hint="eastAsia" w:ascii="宋体" w:hAnsi="宋体" w:cs="宋体"/>
                <w:b/>
                <w:bCs/>
              </w:rPr>
              <w:t>　</w:t>
            </w:r>
          </w:p>
        </w:tc>
      </w:tr>
      <w:tr w14:paraId="12F993E6">
        <w:tblPrEx>
          <w:tblCellMar>
            <w:top w:w="0" w:type="dxa"/>
            <w:left w:w="108" w:type="dxa"/>
            <w:bottom w:w="0" w:type="dxa"/>
            <w:right w:w="108" w:type="dxa"/>
          </w:tblCellMar>
        </w:tblPrEx>
        <w:trPr>
          <w:trHeight w:val="825" w:hRule="atLeast"/>
          <w:jc w:val="center"/>
        </w:trPr>
        <w:tc>
          <w:tcPr>
            <w:tcW w:w="700" w:type="dxa"/>
            <w:tcBorders>
              <w:top w:val="nil"/>
              <w:left w:val="single" w:color="auto" w:sz="4" w:space="0"/>
              <w:bottom w:val="single" w:color="auto" w:sz="4" w:space="0"/>
              <w:right w:val="single" w:color="auto" w:sz="4" w:space="0"/>
            </w:tcBorders>
            <w:shd w:val="clear" w:color="000000" w:fill="FFFFFF"/>
            <w:vAlign w:val="center"/>
          </w:tcPr>
          <w:p w14:paraId="7F5BA02C">
            <w:pPr>
              <w:jc w:val="center"/>
            </w:pPr>
            <w:r>
              <w:t>1</w:t>
            </w:r>
          </w:p>
        </w:tc>
        <w:tc>
          <w:tcPr>
            <w:tcW w:w="1442" w:type="dxa"/>
            <w:tcBorders>
              <w:top w:val="nil"/>
              <w:left w:val="nil"/>
              <w:bottom w:val="single" w:color="auto" w:sz="4" w:space="0"/>
              <w:right w:val="single" w:color="auto" w:sz="4" w:space="0"/>
            </w:tcBorders>
            <w:shd w:val="clear" w:color="000000" w:fill="FFFFFF"/>
            <w:vAlign w:val="center"/>
          </w:tcPr>
          <w:p w14:paraId="5536518B">
            <w:pPr>
              <w:jc w:val="center"/>
              <w:rPr>
                <w:rFonts w:hint="eastAsia" w:ascii="宋体" w:hAnsi="宋体" w:cs="宋体"/>
              </w:rPr>
            </w:pPr>
            <w:r>
              <w:rPr>
                <w:rFonts w:hint="eastAsia" w:ascii="宋体" w:hAnsi="宋体" w:cs="宋体"/>
              </w:rPr>
              <w:t>职业操守</w:t>
            </w:r>
          </w:p>
        </w:tc>
        <w:tc>
          <w:tcPr>
            <w:tcW w:w="2280" w:type="dxa"/>
            <w:tcBorders>
              <w:top w:val="nil"/>
              <w:left w:val="nil"/>
              <w:bottom w:val="single" w:color="auto" w:sz="4" w:space="0"/>
              <w:right w:val="single" w:color="auto" w:sz="4" w:space="0"/>
            </w:tcBorders>
            <w:shd w:val="clear" w:color="000000" w:fill="FFFFFF"/>
            <w:vAlign w:val="center"/>
          </w:tcPr>
          <w:p w14:paraId="0BAF08EF">
            <w:pPr>
              <w:jc w:val="center"/>
              <w:rPr>
                <w:rFonts w:hint="eastAsia" w:ascii="宋体" w:hAnsi="宋体" w:cs="宋体"/>
              </w:rPr>
            </w:pPr>
            <w:r>
              <w:rPr>
                <w:rFonts w:hint="eastAsia" w:ascii="宋体" w:hAnsi="宋体" w:cs="宋体"/>
              </w:rPr>
              <w:t>遵纪守法廉洁自律</w:t>
            </w:r>
          </w:p>
        </w:tc>
        <w:tc>
          <w:tcPr>
            <w:tcW w:w="1139" w:type="dxa"/>
            <w:tcBorders>
              <w:top w:val="nil"/>
              <w:left w:val="nil"/>
              <w:bottom w:val="single" w:color="auto" w:sz="4" w:space="0"/>
              <w:right w:val="single" w:color="auto" w:sz="4" w:space="0"/>
            </w:tcBorders>
            <w:shd w:val="clear" w:color="000000" w:fill="FFFFFF"/>
            <w:vAlign w:val="center"/>
          </w:tcPr>
          <w:p w14:paraId="41D1D9D6">
            <w:pPr>
              <w:jc w:val="center"/>
              <w:rPr>
                <w:rFonts w:hint="eastAsia" w:ascii="宋体" w:hAnsi="宋体" w:cs="宋体"/>
              </w:rPr>
            </w:pPr>
            <w:r>
              <w:rPr>
                <w:rFonts w:hint="eastAsia" w:ascii="宋体" w:hAnsi="宋体" w:cs="宋体"/>
              </w:rPr>
              <w:t>5</w:t>
            </w:r>
          </w:p>
        </w:tc>
        <w:tc>
          <w:tcPr>
            <w:tcW w:w="5369" w:type="dxa"/>
            <w:tcBorders>
              <w:top w:val="nil"/>
              <w:left w:val="nil"/>
              <w:bottom w:val="single" w:color="auto" w:sz="4" w:space="0"/>
              <w:right w:val="single" w:color="auto" w:sz="4" w:space="0"/>
            </w:tcBorders>
            <w:shd w:val="clear" w:color="000000" w:fill="FFFFFF"/>
            <w:vAlign w:val="center"/>
          </w:tcPr>
          <w:p w14:paraId="00374F9E">
            <w:pPr>
              <w:rPr>
                <w:sz w:val="18"/>
                <w:szCs w:val="18"/>
              </w:rPr>
            </w:pPr>
            <w:r>
              <w:rPr>
                <w:sz w:val="18"/>
                <w:szCs w:val="18"/>
              </w:rPr>
              <w:t>A</w:t>
            </w:r>
            <w:r>
              <w:rPr>
                <w:rFonts w:hint="eastAsia" w:ascii="宋体" w:hAnsi="宋体"/>
                <w:sz w:val="18"/>
                <w:szCs w:val="18"/>
              </w:rPr>
              <w:t>、保守公司机密，不私自与施工方接触（</w:t>
            </w:r>
            <w:r>
              <w:rPr>
                <w:rFonts w:hint="eastAsia"/>
                <w:sz w:val="18"/>
                <w:szCs w:val="18"/>
              </w:rPr>
              <w:t>5</w:t>
            </w:r>
            <w:r>
              <w:rPr>
                <w:rFonts w:hint="eastAsia" w:ascii="宋体" w:hAnsi="宋体"/>
                <w:sz w:val="18"/>
                <w:szCs w:val="18"/>
              </w:rPr>
              <w:t>分）；</w:t>
            </w:r>
            <w:r>
              <w:rPr>
                <w:sz w:val="18"/>
                <w:szCs w:val="18"/>
              </w:rPr>
              <w:t>B</w:t>
            </w:r>
            <w:r>
              <w:rPr>
                <w:rFonts w:hint="eastAsia" w:ascii="宋体" w:hAnsi="宋体"/>
                <w:sz w:val="18"/>
                <w:szCs w:val="18"/>
              </w:rPr>
              <w:t>、违反</w:t>
            </w:r>
            <w:r>
              <w:rPr>
                <w:sz w:val="18"/>
                <w:szCs w:val="18"/>
              </w:rPr>
              <w:t>A</w:t>
            </w:r>
            <w:r>
              <w:rPr>
                <w:rFonts w:hint="eastAsia" w:ascii="宋体" w:hAnsi="宋体"/>
                <w:sz w:val="18"/>
                <w:szCs w:val="18"/>
              </w:rPr>
              <w:t>条内容（</w:t>
            </w:r>
            <w:r>
              <w:rPr>
                <w:sz w:val="18"/>
                <w:szCs w:val="18"/>
              </w:rPr>
              <w:t>0</w:t>
            </w:r>
            <w:r>
              <w:rPr>
                <w:rFonts w:hint="eastAsia" w:ascii="宋体" w:hAnsi="宋体"/>
                <w:sz w:val="18"/>
                <w:szCs w:val="18"/>
              </w:rPr>
              <w:t>分）；</w:t>
            </w:r>
            <w:r>
              <w:rPr>
                <w:sz w:val="18"/>
                <w:szCs w:val="18"/>
              </w:rPr>
              <w:t>C</w:t>
            </w:r>
            <w:r>
              <w:rPr>
                <w:rFonts w:hint="eastAsia" w:ascii="宋体" w:hAnsi="宋体"/>
                <w:sz w:val="18"/>
                <w:szCs w:val="18"/>
              </w:rPr>
              <w:t>、索贿、受贿属严重纬纪，一经发现立即终止合同</w:t>
            </w:r>
            <w:r>
              <w:rPr>
                <w:sz w:val="18"/>
                <w:szCs w:val="18"/>
              </w:rPr>
              <w:t xml:space="preserve">  </w:t>
            </w:r>
          </w:p>
        </w:tc>
        <w:tc>
          <w:tcPr>
            <w:tcW w:w="992" w:type="dxa"/>
            <w:tcBorders>
              <w:top w:val="nil"/>
              <w:left w:val="nil"/>
              <w:bottom w:val="single" w:color="auto" w:sz="4" w:space="0"/>
              <w:right w:val="single" w:color="auto" w:sz="4" w:space="0"/>
            </w:tcBorders>
            <w:noWrap/>
            <w:vAlign w:val="bottom"/>
          </w:tcPr>
          <w:p w14:paraId="6724773D">
            <w:pPr>
              <w:rPr>
                <w:rFonts w:hint="eastAsia" w:ascii="宋体" w:hAnsi="宋体" w:cs="宋体"/>
                <w:sz w:val="24"/>
              </w:rPr>
            </w:pPr>
            <w:r>
              <w:rPr>
                <w:rFonts w:hint="eastAsia" w:ascii="宋体" w:hAnsi="宋体" w:cs="宋体"/>
                <w:sz w:val="24"/>
              </w:rPr>
              <w:t>　</w:t>
            </w:r>
          </w:p>
        </w:tc>
        <w:tc>
          <w:tcPr>
            <w:tcW w:w="1418" w:type="dxa"/>
            <w:tcBorders>
              <w:top w:val="nil"/>
              <w:left w:val="nil"/>
              <w:bottom w:val="single" w:color="auto" w:sz="4" w:space="0"/>
              <w:right w:val="single" w:color="auto" w:sz="4" w:space="0"/>
            </w:tcBorders>
            <w:noWrap/>
            <w:vAlign w:val="bottom"/>
          </w:tcPr>
          <w:p w14:paraId="4577DEF2">
            <w:pPr>
              <w:rPr>
                <w:rFonts w:hint="eastAsia" w:ascii="宋体" w:hAnsi="宋体" w:cs="宋体"/>
                <w:sz w:val="24"/>
              </w:rPr>
            </w:pPr>
            <w:r>
              <w:rPr>
                <w:rFonts w:hint="eastAsia" w:ascii="宋体" w:hAnsi="宋体" w:cs="宋体"/>
                <w:sz w:val="24"/>
              </w:rPr>
              <w:t>　</w:t>
            </w:r>
          </w:p>
        </w:tc>
        <w:tc>
          <w:tcPr>
            <w:tcW w:w="1440" w:type="dxa"/>
            <w:tcBorders>
              <w:top w:val="nil"/>
              <w:left w:val="nil"/>
              <w:bottom w:val="single" w:color="auto" w:sz="4" w:space="0"/>
              <w:right w:val="single" w:color="auto" w:sz="4" w:space="0"/>
            </w:tcBorders>
            <w:noWrap/>
            <w:vAlign w:val="bottom"/>
          </w:tcPr>
          <w:p w14:paraId="7CBC9AD5">
            <w:pPr>
              <w:rPr>
                <w:rFonts w:hint="eastAsia" w:ascii="宋体" w:hAnsi="宋体" w:cs="宋体"/>
                <w:sz w:val="24"/>
              </w:rPr>
            </w:pPr>
            <w:r>
              <w:rPr>
                <w:rFonts w:hint="eastAsia" w:ascii="宋体" w:hAnsi="宋体" w:cs="宋体"/>
                <w:sz w:val="24"/>
              </w:rPr>
              <w:t>　</w:t>
            </w:r>
          </w:p>
        </w:tc>
      </w:tr>
      <w:tr w14:paraId="66C90745">
        <w:tblPrEx>
          <w:tblCellMar>
            <w:top w:w="0" w:type="dxa"/>
            <w:left w:w="108" w:type="dxa"/>
            <w:bottom w:w="0" w:type="dxa"/>
            <w:right w:w="108" w:type="dxa"/>
          </w:tblCellMar>
        </w:tblPrEx>
        <w:trPr>
          <w:trHeight w:val="360" w:hRule="atLeast"/>
          <w:jc w:val="center"/>
        </w:trPr>
        <w:tc>
          <w:tcPr>
            <w:tcW w:w="2142" w:type="dxa"/>
            <w:gridSpan w:val="2"/>
            <w:tcBorders>
              <w:top w:val="single" w:color="auto" w:sz="4" w:space="0"/>
              <w:left w:val="single" w:color="auto" w:sz="4" w:space="0"/>
              <w:bottom w:val="single" w:color="auto" w:sz="4" w:space="0"/>
              <w:right w:val="single" w:color="auto" w:sz="4" w:space="0"/>
            </w:tcBorders>
            <w:shd w:val="clear" w:color="000000" w:fill="CCFFFF"/>
            <w:vAlign w:val="center"/>
          </w:tcPr>
          <w:p w14:paraId="4556F710">
            <w:pPr>
              <w:rPr>
                <w:rFonts w:hint="eastAsia" w:ascii="黑体" w:hAnsi="黑体" w:eastAsia="黑体" w:cs="宋体"/>
                <w:b/>
                <w:bCs/>
              </w:rPr>
            </w:pPr>
            <w:r>
              <w:rPr>
                <w:rFonts w:hint="eastAsia" w:ascii="黑体" w:hAnsi="黑体" w:eastAsia="黑体" w:cs="宋体"/>
                <w:b/>
                <w:bCs/>
              </w:rPr>
              <w:t>二、方案测算、优化</w:t>
            </w:r>
          </w:p>
        </w:tc>
        <w:tc>
          <w:tcPr>
            <w:tcW w:w="2280" w:type="dxa"/>
            <w:tcBorders>
              <w:top w:val="nil"/>
              <w:left w:val="nil"/>
              <w:bottom w:val="single" w:color="auto" w:sz="4" w:space="0"/>
              <w:right w:val="single" w:color="auto" w:sz="4" w:space="0"/>
            </w:tcBorders>
            <w:shd w:val="clear" w:color="000000" w:fill="CCFFFF"/>
            <w:vAlign w:val="center"/>
          </w:tcPr>
          <w:p w14:paraId="057B05F7">
            <w:pPr>
              <w:jc w:val="center"/>
              <w:rPr>
                <w:rFonts w:hint="eastAsia" w:ascii="宋体" w:hAnsi="宋体" w:cs="宋体"/>
                <w:b/>
                <w:bCs/>
              </w:rPr>
            </w:pPr>
            <w:r>
              <w:rPr>
                <w:rFonts w:hint="eastAsia" w:ascii="宋体" w:hAnsi="宋体" w:cs="宋体"/>
                <w:b/>
                <w:bCs/>
              </w:rPr>
              <w:t>　</w:t>
            </w:r>
          </w:p>
        </w:tc>
        <w:tc>
          <w:tcPr>
            <w:tcW w:w="1139" w:type="dxa"/>
            <w:tcBorders>
              <w:top w:val="nil"/>
              <w:left w:val="nil"/>
              <w:bottom w:val="single" w:color="auto" w:sz="4" w:space="0"/>
              <w:right w:val="single" w:color="auto" w:sz="4" w:space="0"/>
            </w:tcBorders>
            <w:shd w:val="clear" w:color="000000" w:fill="CCFFFF"/>
            <w:vAlign w:val="center"/>
          </w:tcPr>
          <w:p w14:paraId="49F024BE">
            <w:pPr>
              <w:jc w:val="center"/>
              <w:rPr>
                <w:rFonts w:hint="eastAsia" w:ascii="宋体" w:hAnsi="宋体" w:cs="宋体"/>
                <w:b/>
                <w:bCs/>
              </w:rPr>
            </w:pPr>
            <w:r>
              <w:rPr>
                <w:rFonts w:hint="eastAsia" w:ascii="宋体" w:hAnsi="宋体" w:cs="宋体"/>
                <w:b/>
                <w:bCs/>
              </w:rPr>
              <w:t>10%</w:t>
            </w:r>
          </w:p>
        </w:tc>
        <w:tc>
          <w:tcPr>
            <w:tcW w:w="5369" w:type="dxa"/>
            <w:tcBorders>
              <w:top w:val="nil"/>
              <w:left w:val="nil"/>
              <w:bottom w:val="single" w:color="auto" w:sz="4" w:space="0"/>
              <w:right w:val="single" w:color="auto" w:sz="4" w:space="0"/>
            </w:tcBorders>
            <w:shd w:val="clear" w:color="000000" w:fill="CCFFFF"/>
            <w:vAlign w:val="center"/>
          </w:tcPr>
          <w:p w14:paraId="47090BB5">
            <w:pPr>
              <w:rPr>
                <w:rFonts w:hint="eastAsia" w:ascii="宋体" w:hAnsi="宋体" w:cs="宋体"/>
                <w:b/>
                <w:bCs/>
              </w:rPr>
            </w:pPr>
            <w:r>
              <w:rPr>
                <w:rFonts w:hint="eastAsia" w:ascii="宋体" w:hAnsi="宋体" w:cs="宋体"/>
                <w:b/>
                <w:bCs/>
              </w:rPr>
              <w:t>　</w:t>
            </w:r>
          </w:p>
        </w:tc>
        <w:tc>
          <w:tcPr>
            <w:tcW w:w="992" w:type="dxa"/>
            <w:tcBorders>
              <w:top w:val="nil"/>
              <w:left w:val="nil"/>
              <w:bottom w:val="single" w:color="auto" w:sz="4" w:space="0"/>
              <w:right w:val="single" w:color="auto" w:sz="4" w:space="0"/>
            </w:tcBorders>
            <w:shd w:val="clear" w:color="000000" w:fill="CCFFFF"/>
            <w:vAlign w:val="center"/>
          </w:tcPr>
          <w:p w14:paraId="4098B293">
            <w:pPr>
              <w:jc w:val="center"/>
              <w:rPr>
                <w:rFonts w:hint="eastAsia" w:ascii="宋体" w:hAnsi="宋体" w:cs="宋体"/>
                <w:b/>
                <w:bCs/>
              </w:rPr>
            </w:pPr>
            <w:r>
              <w:rPr>
                <w:rFonts w:hint="eastAsia" w:ascii="宋体" w:hAnsi="宋体" w:cs="宋体"/>
                <w:b/>
                <w:bCs/>
              </w:rPr>
              <w:t>　</w:t>
            </w:r>
          </w:p>
        </w:tc>
        <w:tc>
          <w:tcPr>
            <w:tcW w:w="1418" w:type="dxa"/>
            <w:tcBorders>
              <w:top w:val="nil"/>
              <w:left w:val="nil"/>
              <w:bottom w:val="single" w:color="auto" w:sz="4" w:space="0"/>
              <w:right w:val="single" w:color="auto" w:sz="4" w:space="0"/>
            </w:tcBorders>
            <w:shd w:val="clear" w:color="000000" w:fill="CCFFFF"/>
            <w:vAlign w:val="center"/>
          </w:tcPr>
          <w:p w14:paraId="149F6321">
            <w:pPr>
              <w:jc w:val="center"/>
              <w:rPr>
                <w:rFonts w:hint="eastAsia" w:ascii="宋体" w:hAnsi="宋体" w:cs="宋体"/>
                <w:b/>
                <w:bCs/>
              </w:rPr>
            </w:pPr>
            <w:r>
              <w:rPr>
                <w:rFonts w:hint="eastAsia" w:ascii="宋体" w:hAnsi="宋体" w:cs="宋体"/>
                <w:b/>
                <w:bCs/>
              </w:rPr>
              <w:t>　</w:t>
            </w:r>
          </w:p>
        </w:tc>
        <w:tc>
          <w:tcPr>
            <w:tcW w:w="1440" w:type="dxa"/>
            <w:tcBorders>
              <w:top w:val="nil"/>
              <w:left w:val="nil"/>
              <w:bottom w:val="single" w:color="auto" w:sz="4" w:space="0"/>
              <w:right w:val="single" w:color="auto" w:sz="4" w:space="0"/>
            </w:tcBorders>
            <w:shd w:val="clear" w:color="000000" w:fill="CCFFFF"/>
            <w:vAlign w:val="center"/>
          </w:tcPr>
          <w:p w14:paraId="5A525EDC">
            <w:pPr>
              <w:jc w:val="center"/>
              <w:rPr>
                <w:rFonts w:hint="eastAsia" w:ascii="宋体" w:hAnsi="宋体" w:cs="宋体"/>
                <w:b/>
                <w:bCs/>
              </w:rPr>
            </w:pPr>
            <w:r>
              <w:rPr>
                <w:rFonts w:hint="eastAsia" w:ascii="宋体" w:hAnsi="宋体" w:cs="宋体"/>
                <w:b/>
                <w:bCs/>
              </w:rPr>
              <w:t>　</w:t>
            </w:r>
          </w:p>
        </w:tc>
      </w:tr>
      <w:tr w14:paraId="157D3426">
        <w:tblPrEx>
          <w:tblCellMar>
            <w:top w:w="0" w:type="dxa"/>
            <w:left w:w="108" w:type="dxa"/>
            <w:bottom w:w="0" w:type="dxa"/>
            <w:right w:w="108" w:type="dxa"/>
          </w:tblCellMar>
        </w:tblPrEx>
        <w:trPr>
          <w:trHeight w:val="645" w:hRule="atLeast"/>
          <w:jc w:val="center"/>
        </w:trPr>
        <w:tc>
          <w:tcPr>
            <w:tcW w:w="700" w:type="dxa"/>
            <w:tcBorders>
              <w:top w:val="nil"/>
              <w:left w:val="single" w:color="auto" w:sz="4" w:space="0"/>
              <w:bottom w:val="single" w:color="auto" w:sz="4" w:space="0"/>
              <w:right w:val="single" w:color="auto" w:sz="4" w:space="0"/>
            </w:tcBorders>
            <w:shd w:val="clear" w:color="000000" w:fill="FFFFFF"/>
            <w:vAlign w:val="center"/>
          </w:tcPr>
          <w:p w14:paraId="12EEA47D">
            <w:pPr>
              <w:jc w:val="center"/>
            </w:pPr>
            <w:r>
              <w:t>1</w:t>
            </w:r>
          </w:p>
        </w:tc>
        <w:tc>
          <w:tcPr>
            <w:tcW w:w="1442" w:type="dxa"/>
            <w:vMerge w:val="restart"/>
            <w:tcBorders>
              <w:top w:val="nil"/>
              <w:left w:val="single" w:color="auto" w:sz="4" w:space="0"/>
              <w:bottom w:val="single" w:color="auto" w:sz="4" w:space="0"/>
              <w:right w:val="single" w:color="auto" w:sz="4" w:space="0"/>
            </w:tcBorders>
            <w:shd w:val="clear" w:color="000000" w:fill="FFFFFF"/>
            <w:vAlign w:val="center"/>
          </w:tcPr>
          <w:p w14:paraId="0312D3F0">
            <w:pPr>
              <w:jc w:val="center"/>
              <w:rPr>
                <w:rFonts w:hint="eastAsia" w:ascii="宋体" w:hAnsi="宋体" w:cs="宋体"/>
              </w:rPr>
            </w:pPr>
            <w:r>
              <w:rPr>
                <w:rFonts w:hint="eastAsia" w:ascii="宋体" w:hAnsi="宋体" w:cs="宋体"/>
              </w:rPr>
              <w:t>方案测算及优化</w:t>
            </w:r>
          </w:p>
        </w:tc>
        <w:tc>
          <w:tcPr>
            <w:tcW w:w="2280" w:type="dxa"/>
            <w:tcBorders>
              <w:top w:val="nil"/>
              <w:left w:val="nil"/>
              <w:bottom w:val="single" w:color="auto" w:sz="4" w:space="0"/>
              <w:right w:val="single" w:color="auto" w:sz="4" w:space="0"/>
            </w:tcBorders>
            <w:shd w:val="clear" w:color="000000" w:fill="FFFFFF"/>
            <w:vAlign w:val="center"/>
          </w:tcPr>
          <w:p w14:paraId="4ECDA951">
            <w:pPr>
              <w:jc w:val="center"/>
              <w:rPr>
                <w:rFonts w:hint="eastAsia" w:ascii="宋体" w:hAnsi="宋体" w:cs="宋体"/>
              </w:rPr>
            </w:pPr>
            <w:r>
              <w:rPr>
                <w:rFonts w:hint="eastAsia" w:ascii="宋体" w:hAnsi="宋体" w:cs="宋体"/>
              </w:rPr>
              <w:t>方案测算准确性</w:t>
            </w:r>
          </w:p>
        </w:tc>
        <w:tc>
          <w:tcPr>
            <w:tcW w:w="1139" w:type="dxa"/>
            <w:tcBorders>
              <w:top w:val="nil"/>
              <w:left w:val="nil"/>
              <w:bottom w:val="single" w:color="auto" w:sz="4" w:space="0"/>
              <w:right w:val="single" w:color="auto" w:sz="4" w:space="0"/>
            </w:tcBorders>
            <w:shd w:val="clear" w:color="000000" w:fill="FFFFFF"/>
            <w:vAlign w:val="center"/>
          </w:tcPr>
          <w:p w14:paraId="4AC25219">
            <w:pPr>
              <w:jc w:val="center"/>
              <w:rPr>
                <w:rFonts w:hint="eastAsia" w:ascii="宋体" w:hAnsi="宋体" w:cs="宋体"/>
              </w:rPr>
            </w:pPr>
            <w:r>
              <w:rPr>
                <w:rFonts w:hint="eastAsia" w:ascii="宋体" w:hAnsi="宋体" w:cs="宋体"/>
              </w:rPr>
              <w:t>4</w:t>
            </w:r>
          </w:p>
        </w:tc>
        <w:tc>
          <w:tcPr>
            <w:tcW w:w="5369" w:type="dxa"/>
            <w:tcBorders>
              <w:top w:val="nil"/>
              <w:left w:val="nil"/>
              <w:bottom w:val="single" w:color="auto" w:sz="4" w:space="0"/>
              <w:right w:val="single" w:color="auto" w:sz="4" w:space="0"/>
            </w:tcBorders>
            <w:shd w:val="clear" w:color="000000" w:fill="FFFFFF"/>
            <w:vAlign w:val="center"/>
          </w:tcPr>
          <w:p w14:paraId="00868C81">
            <w:pPr>
              <w:rPr>
                <w:sz w:val="18"/>
                <w:szCs w:val="18"/>
              </w:rPr>
            </w:pPr>
            <w:r>
              <w:rPr>
                <w:sz w:val="18"/>
                <w:szCs w:val="18"/>
              </w:rPr>
              <w:t>A</w:t>
            </w:r>
            <w:r>
              <w:rPr>
                <w:rFonts w:hint="eastAsia" w:ascii="宋体" w:hAnsi="宋体"/>
                <w:sz w:val="18"/>
                <w:szCs w:val="18"/>
              </w:rPr>
              <w:t>、内容准确</w:t>
            </w:r>
            <w:r>
              <w:rPr>
                <w:sz w:val="18"/>
                <w:szCs w:val="18"/>
              </w:rPr>
              <w:t>(4</w:t>
            </w:r>
            <w:r>
              <w:rPr>
                <w:rFonts w:hint="eastAsia" w:ascii="宋体" w:hAnsi="宋体"/>
                <w:sz w:val="18"/>
                <w:szCs w:val="18"/>
              </w:rPr>
              <w:t>分</w:t>
            </w:r>
            <w:r>
              <w:rPr>
                <w:sz w:val="18"/>
                <w:szCs w:val="18"/>
              </w:rPr>
              <w:t>)</w:t>
            </w:r>
            <w:r>
              <w:rPr>
                <w:rFonts w:hint="eastAsia" w:ascii="宋体" w:hAnsi="宋体"/>
                <w:sz w:val="18"/>
                <w:szCs w:val="18"/>
              </w:rPr>
              <w:t>；</w:t>
            </w:r>
            <w:r>
              <w:rPr>
                <w:sz w:val="18"/>
                <w:szCs w:val="18"/>
              </w:rPr>
              <w:t>B</w:t>
            </w:r>
            <w:r>
              <w:rPr>
                <w:rFonts w:hint="eastAsia" w:ascii="宋体" w:hAnsi="宋体"/>
                <w:sz w:val="18"/>
                <w:szCs w:val="18"/>
              </w:rPr>
              <w:t>、</w:t>
            </w:r>
            <w:r>
              <w:rPr>
                <w:sz w:val="18"/>
                <w:szCs w:val="18"/>
              </w:rPr>
              <w:t>1</w:t>
            </w:r>
            <w:r>
              <w:rPr>
                <w:rFonts w:hint="eastAsia" w:ascii="宋体" w:hAnsi="宋体"/>
                <w:sz w:val="18"/>
                <w:szCs w:val="18"/>
              </w:rPr>
              <w:t>次≤发现不准确次数</w:t>
            </w:r>
            <w:r>
              <w:rPr>
                <w:sz w:val="18"/>
                <w:szCs w:val="18"/>
              </w:rPr>
              <w:t>N</w:t>
            </w:r>
            <w:r>
              <w:rPr>
                <w:rFonts w:hint="eastAsia" w:ascii="宋体" w:hAnsi="宋体"/>
                <w:sz w:val="18"/>
                <w:szCs w:val="18"/>
              </w:rPr>
              <w:t>≤</w:t>
            </w:r>
            <w:r>
              <w:rPr>
                <w:sz w:val="18"/>
                <w:szCs w:val="18"/>
              </w:rPr>
              <w:t>2</w:t>
            </w:r>
            <w:r>
              <w:rPr>
                <w:rFonts w:hint="eastAsia" w:ascii="宋体" w:hAnsi="宋体"/>
                <w:sz w:val="18"/>
                <w:szCs w:val="18"/>
              </w:rPr>
              <w:t>次</w:t>
            </w:r>
            <w:r>
              <w:rPr>
                <w:sz w:val="18"/>
                <w:szCs w:val="18"/>
              </w:rPr>
              <w:t>(2</w:t>
            </w:r>
            <w:r>
              <w:rPr>
                <w:rFonts w:hint="eastAsia" w:ascii="宋体" w:hAnsi="宋体"/>
                <w:sz w:val="18"/>
                <w:szCs w:val="18"/>
              </w:rPr>
              <w:t>分</w:t>
            </w:r>
            <w:r>
              <w:rPr>
                <w:sz w:val="18"/>
                <w:szCs w:val="18"/>
              </w:rPr>
              <w:t>)</w:t>
            </w:r>
            <w:r>
              <w:rPr>
                <w:rFonts w:hint="eastAsia" w:ascii="宋体" w:hAnsi="宋体"/>
                <w:sz w:val="18"/>
                <w:szCs w:val="18"/>
              </w:rPr>
              <w:t>；</w:t>
            </w:r>
            <w:r>
              <w:rPr>
                <w:sz w:val="18"/>
                <w:szCs w:val="18"/>
              </w:rPr>
              <w:t>C</w:t>
            </w:r>
            <w:r>
              <w:rPr>
                <w:rFonts w:hint="eastAsia" w:ascii="宋体" w:hAnsi="宋体"/>
                <w:sz w:val="18"/>
                <w:szCs w:val="18"/>
              </w:rPr>
              <w:t>、</w:t>
            </w:r>
            <w:r>
              <w:rPr>
                <w:sz w:val="18"/>
                <w:szCs w:val="18"/>
              </w:rPr>
              <w:t>2</w:t>
            </w:r>
            <w:r>
              <w:rPr>
                <w:rFonts w:hint="eastAsia" w:ascii="宋体" w:hAnsi="宋体"/>
                <w:sz w:val="18"/>
                <w:szCs w:val="18"/>
              </w:rPr>
              <w:t>次＜</w:t>
            </w:r>
            <w:r>
              <w:rPr>
                <w:sz w:val="18"/>
                <w:szCs w:val="18"/>
              </w:rPr>
              <w:t>N</w:t>
            </w:r>
            <w:r>
              <w:rPr>
                <w:rFonts w:hint="eastAsia" w:ascii="宋体" w:hAnsi="宋体"/>
                <w:sz w:val="18"/>
                <w:szCs w:val="18"/>
              </w:rPr>
              <w:t>≤</w:t>
            </w:r>
            <w:r>
              <w:rPr>
                <w:sz w:val="18"/>
                <w:szCs w:val="18"/>
              </w:rPr>
              <w:t>3</w:t>
            </w:r>
            <w:r>
              <w:rPr>
                <w:rFonts w:hint="eastAsia" w:ascii="宋体" w:hAnsi="宋体"/>
                <w:sz w:val="18"/>
                <w:szCs w:val="18"/>
              </w:rPr>
              <w:t>次</w:t>
            </w:r>
            <w:r>
              <w:rPr>
                <w:sz w:val="18"/>
                <w:szCs w:val="18"/>
              </w:rPr>
              <w:t>(1</w:t>
            </w:r>
            <w:r>
              <w:rPr>
                <w:rFonts w:hint="eastAsia" w:ascii="宋体" w:hAnsi="宋体"/>
                <w:sz w:val="18"/>
                <w:szCs w:val="18"/>
              </w:rPr>
              <w:t>分</w:t>
            </w:r>
            <w:r>
              <w:rPr>
                <w:sz w:val="18"/>
                <w:szCs w:val="18"/>
              </w:rPr>
              <w:t>)</w:t>
            </w:r>
            <w:r>
              <w:rPr>
                <w:rFonts w:hint="eastAsia" w:ascii="宋体" w:hAnsi="宋体"/>
                <w:sz w:val="18"/>
                <w:szCs w:val="18"/>
              </w:rPr>
              <w:t>；</w:t>
            </w:r>
            <w:r>
              <w:rPr>
                <w:sz w:val="18"/>
                <w:szCs w:val="18"/>
              </w:rPr>
              <w:t>D</w:t>
            </w:r>
            <w:r>
              <w:rPr>
                <w:rFonts w:hint="eastAsia" w:ascii="宋体" w:hAnsi="宋体"/>
                <w:sz w:val="18"/>
                <w:szCs w:val="18"/>
              </w:rPr>
              <w:t>、</w:t>
            </w:r>
            <w:r>
              <w:rPr>
                <w:sz w:val="18"/>
                <w:szCs w:val="18"/>
              </w:rPr>
              <w:t>N</w:t>
            </w:r>
            <w:r>
              <w:rPr>
                <w:rFonts w:hint="eastAsia" w:ascii="宋体" w:hAnsi="宋体"/>
                <w:sz w:val="18"/>
                <w:szCs w:val="18"/>
              </w:rPr>
              <w:t>＞</w:t>
            </w:r>
            <w:r>
              <w:rPr>
                <w:sz w:val="18"/>
                <w:szCs w:val="18"/>
              </w:rPr>
              <w:t>3</w:t>
            </w:r>
            <w:r>
              <w:rPr>
                <w:rFonts w:hint="eastAsia" w:ascii="宋体" w:hAnsi="宋体"/>
                <w:sz w:val="18"/>
                <w:szCs w:val="18"/>
              </w:rPr>
              <w:t>次</w:t>
            </w:r>
            <w:r>
              <w:rPr>
                <w:sz w:val="18"/>
                <w:szCs w:val="18"/>
              </w:rPr>
              <w:t>(0</w:t>
            </w:r>
            <w:r>
              <w:rPr>
                <w:rFonts w:hint="eastAsia" w:ascii="宋体" w:hAnsi="宋体"/>
                <w:sz w:val="18"/>
                <w:szCs w:val="18"/>
              </w:rPr>
              <w:t>分</w:t>
            </w:r>
            <w:r>
              <w:rPr>
                <w:sz w:val="18"/>
                <w:szCs w:val="18"/>
              </w:rPr>
              <w:t>)</w:t>
            </w:r>
          </w:p>
        </w:tc>
        <w:tc>
          <w:tcPr>
            <w:tcW w:w="992" w:type="dxa"/>
            <w:tcBorders>
              <w:top w:val="nil"/>
              <w:left w:val="nil"/>
              <w:bottom w:val="single" w:color="auto" w:sz="4" w:space="0"/>
              <w:right w:val="single" w:color="auto" w:sz="4" w:space="0"/>
            </w:tcBorders>
            <w:noWrap/>
            <w:vAlign w:val="bottom"/>
          </w:tcPr>
          <w:p w14:paraId="5BD778E8">
            <w:pPr>
              <w:rPr>
                <w:rFonts w:hint="eastAsia" w:ascii="宋体" w:hAnsi="宋体" w:cs="宋体"/>
                <w:sz w:val="24"/>
              </w:rPr>
            </w:pPr>
            <w:r>
              <w:rPr>
                <w:rFonts w:hint="eastAsia" w:ascii="宋体" w:hAnsi="宋体" w:cs="宋体"/>
                <w:sz w:val="24"/>
              </w:rPr>
              <w:t>　</w:t>
            </w:r>
          </w:p>
        </w:tc>
        <w:tc>
          <w:tcPr>
            <w:tcW w:w="1418" w:type="dxa"/>
            <w:tcBorders>
              <w:top w:val="nil"/>
              <w:left w:val="nil"/>
              <w:bottom w:val="single" w:color="auto" w:sz="4" w:space="0"/>
              <w:right w:val="single" w:color="auto" w:sz="4" w:space="0"/>
            </w:tcBorders>
            <w:noWrap/>
            <w:vAlign w:val="bottom"/>
          </w:tcPr>
          <w:p w14:paraId="69CD6383">
            <w:pPr>
              <w:rPr>
                <w:rFonts w:hint="eastAsia" w:ascii="宋体" w:hAnsi="宋体" w:cs="宋体"/>
                <w:sz w:val="24"/>
              </w:rPr>
            </w:pPr>
            <w:r>
              <w:rPr>
                <w:rFonts w:hint="eastAsia" w:ascii="宋体" w:hAnsi="宋体" w:cs="宋体"/>
                <w:sz w:val="24"/>
              </w:rPr>
              <w:t>　</w:t>
            </w:r>
          </w:p>
        </w:tc>
        <w:tc>
          <w:tcPr>
            <w:tcW w:w="1440" w:type="dxa"/>
            <w:tcBorders>
              <w:top w:val="nil"/>
              <w:left w:val="nil"/>
              <w:bottom w:val="single" w:color="auto" w:sz="4" w:space="0"/>
              <w:right w:val="single" w:color="auto" w:sz="4" w:space="0"/>
            </w:tcBorders>
            <w:noWrap/>
            <w:vAlign w:val="bottom"/>
          </w:tcPr>
          <w:p w14:paraId="37B6B644">
            <w:pPr>
              <w:rPr>
                <w:rFonts w:hint="eastAsia" w:ascii="宋体" w:hAnsi="宋体" w:cs="宋体"/>
                <w:sz w:val="24"/>
              </w:rPr>
            </w:pPr>
            <w:r>
              <w:rPr>
                <w:rFonts w:hint="eastAsia" w:ascii="宋体" w:hAnsi="宋体" w:cs="宋体"/>
                <w:sz w:val="24"/>
              </w:rPr>
              <w:t>　</w:t>
            </w:r>
          </w:p>
        </w:tc>
      </w:tr>
      <w:tr w14:paraId="1D663028">
        <w:tblPrEx>
          <w:tblCellMar>
            <w:top w:w="0" w:type="dxa"/>
            <w:left w:w="108" w:type="dxa"/>
            <w:bottom w:w="0" w:type="dxa"/>
            <w:right w:w="108" w:type="dxa"/>
          </w:tblCellMar>
        </w:tblPrEx>
        <w:trPr>
          <w:trHeight w:val="528" w:hRule="atLeast"/>
          <w:jc w:val="center"/>
        </w:trPr>
        <w:tc>
          <w:tcPr>
            <w:tcW w:w="700" w:type="dxa"/>
            <w:tcBorders>
              <w:top w:val="nil"/>
              <w:left w:val="single" w:color="auto" w:sz="4" w:space="0"/>
              <w:bottom w:val="single" w:color="auto" w:sz="4" w:space="0"/>
              <w:right w:val="single" w:color="auto" w:sz="4" w:space="0"/>
            </w:tcBorders>
            <w:shd w:val="clear" w:color="000000" w:fill="FFFFFF"/>
            <w:vAlign w:val="center"/>
          </w:tcPr>
          <w:p w14:paraId="022DD3AE">
            <w:pPr>
              <w:jc w:val="center"/>
            </w:pPr>
            <w:r>
              <w:t>2</w:t>
            </w:r>
          </w:p>
        </w:tc>
        <w:tc>
          <w:tcPr>
            <w:tcW w:w="1442" w:type="dxa"/>
            <w:vMerge w:val="continue"/>
            <w:tcBorders>
              <w:top w:val="nil"/>
              <w:left w:val="single" w:color="auto" w:sz="4" w:space="0"/>
              <w:bottom w:val="single" w:color="auto" w:sz="4" w:space="0"/>
              <w:right w:val="single" w:color="auto" w:sz="4" w:space="0"/>
            </w:tcBorders>
            <w:shd w:val="clear" w:color="auto" w:fill="auto"/>
            <w:vAlign w:val="center"/>
          </w:tcPr>
          <w:p w14:paraId="2E45AD1A">
            <w:pPr>
              <w:rPr>
                <w:rFonts w:hint="eastAsia" w:ascii="宋体" w:hAnsi="宋体" w:cs="宋体"/>
              </w:rPr>
            </w:pPr>
          </w:p>
        </w:tc>
        <w:tc>
          <w:tcPr>
            <w:tcW w:w="2280" w:type="dxa"/>
            <w:tcBorders>
              <w:top w:val="nil"/>
              <w:left w:val="nil"/>
              <w:bottom w:val="single" w:color="auto" w:sz="4" w:space="0"/>
              <w:right w:val="single" w:color="auto" w:sz="4" w:space="0"/>
            </w:tcBorders>
            <w:shd w:val="clear" w:color="000000" w:fill="FFFFFF"/>
            <w:vAlign w:val="center"/>
          </w:tcPr>
          <w:p w14:paraId="3DBC8457">
            <w:pPr>
              <w:jc w:val="center"/>
              <w:rPr>
                <w:rFonts w:hint="eastAsia" w:ascii="宋体" w:hAnsi="宋体" w:cs="宋体"/>
              </w:rPr>
            </w:pPr>
            <w:r>
              <w:rPr>
                <w:rFonts w:hint="eastAsia" w:ascii="宋体" w:hAnsi="宋体" w:cs="宋体"/>
              </w:rPr>
              <w:t>方案优化建议</w:t>
            </w:r>
          </w:p>
        </w:tc>
        <w:tc>
          <w:tcPr>
            <w:tcW w:w="1139" w:type="dxa"/>
            <w:tcBorders>
              <w:top w:val="nil"/>
              <w:left w:val="nil"/>
              <w:bottom w:val="single" w:color="auto" w:sz="4" w:space="0"/>
              <w:right w:val="single" w:color="auto" w:sz="4" w:space="0"/>
            </w:tcBorders>
            <w:shd w:val="clear" w:color="000000" w:fill="FFFFFF"/>
            <w:vAlign w:val="center"/>
          </w:tcPr>
          <w:p w14:paraId="27081480">
            <w:pPr>
              <w:jc w:val="center"/>
              <w:rPr>
                <w:rFonts w:hint="eastAsia" w:ascii="宋体" w:hAnsi="宋体" w:cs="宋体"/>
              </w:rPr>
            </w:pPr>
            <w:r>
              <w:rPr>
                <w:rFonts w:hint="eastAsia" w:ascii="宋体" w:hAnsi="宋体" w:cs="宋体"/>
              </w:rPr>
              <w:t>6</w:t>
            </w:r>
          </w:p>
        </w:tc>
        <w:tc>
          <w:tcPr>
            <w:tcW w:w="5369" w:type="dxa"/>
            <w:tcBorders>
              <w:top w:val="nil"/>
              <w:left w:val="nil"/>
              <w:bottom w:val="single" w:color="auto" w:sz="4" w:space="0"/>
              <w:right w:val="single" w:color="auto" w:sz="4" w:space="0"/>
            </w:tcBorders>
            <w:shd w:val="clear" w:color="000000" w:fill="FFFFFF"/>
            <w:vAlign w:val="center"/>
          </w:tcPr>
          <w:p w14:paraId="2476B2B8">
            <w:pPr>
              <w:rPr>
                <w:sz w:val="18"/>
                <w:szCs w:val="18"/>
              </w:rPr>
            </w:pPr>
            <w:r>
              <w:rPr>
                <w:sz w:val="18"/>
                <w:szCs w:val="18"/>
              </w:rPr>
              <w:t>A</w:t>
            </w:r>
            <w:r>
              <w:rPr>
                <w:rFonts w:hint="eastAsia" w:ascii="宋体" w:hAnsi="宋体"/>
                <w:sz w:val="18"/>
                <w:szCs w:val="18"/>
              </w:rPr>
              <w:t>、</w:t>
            </w:r>
            <w:r>
              <w:rPr>
                <w:sz w:val="18"/>
                <w:szCs w:val="18"/>
              </w:rPr>
              <w:t>3</w:t>
            </w:r>
            <w:r>
              <w:rPr>
                <w:rFonts w:hint="eastAsia" w:ascii="宋体" w:hAnsi="宋体"/>
                <w:sz w:val="18"/>
                <w:szCs w:val="18"/>
              </w:rPr>
              <w:t>次及以上合理优化建议</w:t>
            </w:r>
            <w:r>
              <w:rPr>
                <w:sz w:val="18"/>
                <w:szCs w:val="18"/>
              </w:rPr>
              <w:t>(6</w:t>
            </w:r>
            <w:r>
              <w:rPr>
                <w:rFonts w:hint="eastAsia" w:ascii="宋体" w:hAnsi="宋体"/>
                <w:sz w:val="18"/>
                <w:szCs w:val="18"/>
              </w:rPr>
              <w:t>分</w:t>
            </w:r>
            <w:r>
              <w:rPr>
                <w:sz w:val="18"/>
                <w:szCs w:val="18"/>
              </w:rPr>
              <w:t>)</w:t>
            </w:r>
            <w:r>
              <w:rPr>
                <w:rFonts w:hint="eastAsia" w:ascii="宋体" w:hAnsi="宋体"/>
                <w:sz w:val="18"/>
                <w:szCs w:val="18"/>
              </w:rPr>
              <w:t>；</w:t>
            </w:r>
            <w:r>
              <w:rPr>
                <w:sz w:val="18"/>
                <w:szCs w:val="18"/>
              </w:rPr>
              <w:t>B</w:t>
            </w:r>
            <w:r>
              <w:rPr>
                <w:rFonts w:hint="eastAsia" w:ascii="宋体" w:hAnsi="宋体"/>
                <w:sz w:val="18"/>
                <w:szCs w:val="18"/>
              </w:rPr>
              <w:t>、</w:t>
            </w:r>
            <w:r>
              <w:rPr>
                <w:sz w:val="18"/>
                <w:szCs w:val="18"/>
              </w:rPr>
              <w:t>1~2</w:t>
            </w:r>
            <w:r>
              <w:rPr>
                <w:rFonts w:hint="eastAsia" w:ascii="宋体" w:hAnsi="宋体"/>
                <w:sz w:val="18"/>
                <w:szCs w:val="18"/>
              </w:rPr>
              <w:t>次合理优化建议</w:t>
            </w:r>
            <w:r>
              <w:rPr>
                <w:sz w:val="18"/>
                <w:szCs w:val="18"/>
              </w:rPr>
              <w:t>(3</w:t>
            </w:r>
            <w:r>
              <w:rPr>
                <w:rFonts w:hint="eastAsia" w:ascii="宋体" w:hAnsi="宋体"/>
                <w:sz w:val="18"/>
                <w:szCs w:val="18"/>
              </w:rPr>
              <w:t>分</w:t>
            </w:r>
            <w:r>
              <w:rPr>
                <w:sz w:val="18"/>
                <w:szCs w:val="18"/>
              </w:rPr>
              <w:t>)</w:t>
            </w:r>
            <w:r>
              <w:rPr>
                <w:rFonts w:hint="eastAsia" w:ascii="宋体" w:hAnsi="宋体"/>
                <w:sz w:val="18"/>
                <w:szCs w:val="18"/>
              </w:rPr>
              <w:t>；</w:t>
            </w:r>
            <w:r>
              <w:rPr>
                <w:sz w:val="18"/>
                <w:szCs w:val="18"/>
              </w:rPr>
              <w:t>C</w:t>
            </w:r>
            <w:r>
              <w:rPr>
                <w:rFonts w:hint="eastAsia" w:ascii="宋体" w:hAnsi="宋体"/>
                <w:sz w:val="18"/>
                <w:szCs w:val="18"/>
              </w:rPr>
              <w:t>、无合理优化建议分析</w:t>
            </w:r>
            <w:r>
              <w:rPr>
                <w:sz w:val="18"/>
                <w:szCs w:val="18"/>
              </w:rPr>
              <w:t>(0</w:t>
            </w:r>
            <w:r>
              <w:rPr>
                <w:rFonts w:hint="eastAsia" w:ascii="宋体" w:hAnsi="宋体"/>
                <w:sz w:val="18"/>
                <w:szCs w:val="18"/>
              </w:rPr>
              <w:t>分</w:t>
            </w:r>
            <w:r>
              <w:rPr>
                <w:sz w:val="18"/>
                <w:szCs w:val="18"/>
              </w:rPr>
              <w:t>)</w:t>
            </w:r>
          </w:p>
        </w:tc>
        <w:tc>
          <w:tcPr>
            <w:tcW w:w="992" w:type="dxa"/>
            <w:tcBorders>
              <w:top w:val="nil"/>
              <w:left w:val="nil"/>
              <w:bottom w:val="single" w:color="auto" w:sz="4" w:space="0"/>
              <w:right w:val="single" w:color="auto" w:sz="4" w:space="0"/>
            </w:tcBorders>
            <w:noWrap/>
            <w:vAlign w:val="bottom"/>
          </w:tcPr>
          <w:p w14:paraId="328BEBBD">
            <w:pPr>
              <w:rPr>
                <w:rFonts w:hint="eastAsia" w:ascii="宋体" w:hAnsi="宋体" w:cs="宋体"/>
                <w:sz w:val="24"/>
              </w:rPr>
            </w:pPr>
            <w:r>
              <w:rPr>
                <w:rFonts w:hint="eastAsia" w:ascii="宋体" w:hAnsi="宋体" w:cs="宋体"/>
                <w:sz w:val="24"/>
              </w:rPr>
              <w:t>　</w:t>
            </w:r>
          </w:p>
        </w:tc>
        <w:tc>
          <w:tcPr>
            <w:tcW w:w="1418" w:type="dxa"/>
            <w:tcBorders>
              <w:top w:val="nil"/>
              <w:left w:val="nil"/>
              <w:bottom w:val="single" w:color="auto" w:sz="4" w:space="0"/>
              <w:right w:val="single" w:color="auto" w:sz="4" w:space="0"/>
            </w:tcBorders>
            <w:noWrap/>
            <w:vAlign w:val="bottom"/>
          </w:tcPr>
          <w:p w14:paraId="24407140">
            <w:pPr>
              <w:rPr>
                <w:rFonts w:hint="eastAsia" w:ascii="宋体" w:hAnsi="宋体" w:cs="宋体"/>
                <w:sz w:val="24"/>
              </w:rPr>
            </w:pPr>
            <w:r>
              <w:rPr>
                <w:rFonts w:hint="eastAsia" w:ascii="宋体" w:hAnsi="宋体" w:cs="宋体"/>
                <w:sz w:val="24"/>
              </w:rPr>
              <w:t>　</w:t>
            </w:r>
          </w:p>
        </w:tc>
        <w:tc>
          <w:tcPr>
            <w:tcW w:w="1440" w:type="dxa"/>
            <w:tcBorders>
              <w:top w:val="nil"/>
              <w:left w:val="nil"/>
              <w:bottom w:val="single" w:color="auto" w:sz="4" w:space="0"/>
              <w:right w:val="single" w:color="auto" w:sz="4" w:space="0"/>
            </w:tcBorders>
            <w:noWrap/>
            <w:vAlign w:val="bottom"/>
          </w:tcPr>
          <w:p w14:paraId="704110E4">
            <w:pPr>
              <w:rPr>
                <w:rFonts w:hint="eastAsia" w:ascii="宋体" w:hAnsi="宋体" w:cs="宋体"/>
                <w:sz w:val="24"/>
              </w:rPr>
            </w:pPr>
            <w:r>
              <w:rPr>
                <w:rFonts w:hint="eastAsia" w:ascii="宋体" w:hAnsi="宋体" w:cs="宋体"/>
                <w:sz w:val="24"/>
              </w:rPr>
              <w:t>　</w:t>
            </w:r>
          </w:p>
        </w:tc>
      </w:tr>
      <w:tr w14:paraId="57F2C78B">
        <w:tblPrEx>
          <w:tblCellMar>
            <w:top w:w="0" w:type="dxa"/>
            <w:left w:w="108" w:type="dxa"/>
            <w:bottom w:w="0" w:type="dxa"/>
            <w:right w:w="108" w:type="dxa"/>
          </w:tblCellMar>
        </w:tblPrEx>
        <w:trPr>
          <w:trHeight w:val="285" w:hRule="atLeast"/>
          <w:jc w:val="center"/>
        </w:trPr>
        <w:tc>
          <w:tcPr>
            <w:tcW w:w="2142" w:type="dxa"/>
            <w:gridSpan w:val="2"/>
            <w:tcBorders>
              <w:top w:val="single" w:color="auto" w:sz="4" w:space="0"/>
              <w:left w:val="single" w:color="auto" w:sz="4" w:space="0"/>
              <w:bottom w:val="single" w:color="auto" w:sz="4" w:space="0"/>
              <w:right w:val="single" w:color="auto" w:sz="4" w:space="0"/>
            </w:tcBorders>
            <w:shd w:val="clear" w:color="000000" w:fill="CCFFFF"/>
            <w:vAlign w:val="center"/>
          </w:tcPr>
          <w:p w14:paraId="3358BA35">
            <w:pPr>
              <w:rPr>
                <w:rFonts w:hint="eastAsia" w:ascii="黑体" w:hAnsi="黑体" w:eastAsia="黑体" w:cs="宋体"/>
                <w:b/>
                <w:bCs/>
              </w:rPr>
            </w:pPr>
            <w:r>
              <w:rPr>
                <w:rFonts w:hint="eastAsia" w:ascii="黑体" w:hAnsi="黑体" w:eastAsia="黑体" w:cs="宋体"/>
                <w:b/>
                <w:bCs/>
                <w:lang w:val="en-US" w:eastAsia="zh-CN"/>
              </w:rPr>
              <w:t>三</w:t>
            </w:r>
            <w:r>
              <w:rPr>
                <w:rFonts w:hint="eastAsia" w:ascii="黑体" w:hAnsi="黑体" w:eastAsia="黑体" w:cs="宋体"/>
                <w:b/>
                <w:bCs/>
              </w:rPr>
              <w:t>、招标配合</w:t>
            </w:r>
          </w:p>
        </w:tc>
        <w:tc>
          <w:tcPr>
            <w:tcW w:w="2280" w:type="dxa"/>
            <w:tcBorders>
              <w:top w:val="nil"/>
              <w:left w:val="nil"/>
              <w:bottom w:val="single" w:color="auto" w:sz="4" w:space="0"/>
              <w:right w:val="single" w:color="auto" w:sz="4" w:space="0"/>
            </w:tcBorders>
            <w:shd w:val="clear" w:color="000000" w:fill="CCFFFF"/>
            <w:vAlign w:val="center"/>
          </w:tcPr>
          <w:p w14:paraId="048CCA0E">
            <w:pPr>
              <w:jc w:val="center"/>
              <w:rPr>
                <w:rFonts w:hint="eastAsia" w:ascii="宋体" w:hAnsi="宋体" w:cs="宋体"/>
                <w:b/>
                <w:bCs/>
              </w:rPr>
            </w:pPr>
            <w:r>
              <w:rPr>
                <w:rFonts w:hint="eastAsia" w:ascii="宋体" w:hAnsi="宋体" w:cs="宋体"/>
                <w:b/>
                <w:bCs/>
              </w:rPr>
              <w:t>　</w:t>
            </w:r>
          </w:p>
        </w:tc>
        <w:tc>
          <w:tcPr>
            <w:tcW w:w="1139" w:type="dxa"/>
            <w:tcBorders>
              <w:top w:val="nil"/>
              <w:left w:val="nil"/>
              <w:bottom w:val="single" w:color="auto" w:sz="4" w:space="0"/>
              <w:right w:val="single" w:color="auto" w:sz="4" w:space="0"/>
            </w:tcBorders>
            <w:shd w:val="clear" w:color="000000" w:fill="CCFFFF"/>
            <w:vAlign w:val="center"/>
          </w:tcPr>
          <w:p w14:paraId="333E11FE">
            <w:pPr>
              <w:jc w:val="center"/>
              <w:rPr>
                <w:rFonts w:hint="eastAsia" w:ascii="宋体" w:hAnsi="宋体" w:cs="宋体"/>
                <w:b/>
                <w:bCs/>
              </w:rPr>
            </w:pPr>
            <w:r>
              <w:rPr>
                <w:rFonts w:hint="eastAsia" w:ascii="宋体" w:hAnsi="宋体" w:cs="宋体"/>
                <w:b/>
                <w:bCs/>
              </w:rPr>
              <w:t>20%</w:t>
            </w:r>
          </w:p>
        </w:tc>
        <w:tc>
          <w:tcPr>
            <w:tcW w:w="5369" w:type="dxa"/>
            <w:tcBorders>
              <w:top w:val="nil"/>
              <w:left w:val="nil"/>
              <w:bottom w:val="single" w:color="auto" w:sz="4" w:space="0"/>
              <w:right w:val="single" w:color="auto" w:sz="4" w:space="0"/>
            </w:tcBorders>
            <w:shd w:val="clear" w:color="000000" w:fill="CCFFFF"/>
            <w:vAlign w:val="center"/>
          </w:tcPr>
          <w:p w14:paraId="0BEF8FB7">
            <w:pPr>
              <w:rPr>
                <w:rFonts w:hint="eastAsia" w:ascii="宋体" w:hAnsi="宋体" w:cs="宋体"/>
                <w:b/>
                <w:bCs/>
              </w:rPr>
            </w:pPr>
            <w:r>
              <w:rPr>
                <w:rFonts w:hint="eastAsia" w:ascii="宋体" w:hAnsi="宋体" w:cs="宋体"/>
                <w:b/>
                <w:bCs/>
              </w:rPr>
              <w:t>　</w:t>
            </w:r>
          </w:p>
        </w:tc>
        <w:tc>
          <w:tcPr>
            <w:tcW w:w="992" w:type="dxa"/>
            <w:tcBorders>
              <w:top w:val="nil"/>
              <w:left w:val="nil"/>
              <w:bottom w:val="single" w:color="auto" w:sz="4" w:space="0"/>
              <w:right w:val="single" w:color="auto" w:sz="4" w:space="0"/>
            </w:tcBorders>
            <w:shd w:val="clear" w:color="000000" w:fill="CCFFFF"/>
            <w:vAlign w:val="center"/>
          </w:tcPr>
          <w:p w14:paraId="2AD677B8">
            <w:pPr>
              <w:jc w:val="center"/>
              <w:rPr>
                <w:rFonts w:hint="eastAsia" w:ascii="宋体" w:hAnsi="宋体" w:cs="宋体"/>
                <w:b/>
                <w:bCs/>
              </w:rPr>
            </w:pPr>
            <w:r>
              <w:rPr>
                <w:rFonts w:hint="eastAsia" w:ascii="宋体" w:hAnsi="宋体" w:cs="宋体"/>
                <w:b/>
                <w:bCs/>
              </w:rPr>
              <w:t>　</w:t>
            </w:r>
          </w:p>
        </w:tc>
        <w:tc>
          <w:tcPr>
            <w:tcW w:w="1418" w:type="dxa"/>
            <w:tcBorders>
              <w:top w:val="nil"/>
              <w:left w:val="nil"/>
              <w:bottom w:val="single" w:color="auto" w:sz="4" w:space="0"/>
              <w:right w:val="single" w:color="auto" w:sz="4" w:space="0"/>
            </w:tcBorders>
            <w:shd w:val="clear" w:color="000000" w:fill="CCFFFF"/>
            <w:vAlign w:val="center"/>
          </w:tcPr>
          <w:p w14:paraId="2A10DDF9">
            <w:pPr>
              <w:jc w:val="center"/>
              <w:rPr>
                <w:rFonts w:hint="eastAsia" w:ascii="宋体" w:hAnsi="宋体" w:cs="宋体"/>
                <w:b/>
                <w:bCs/>
              </w:rPr>
            </w:pPr>
            <w:r>
              <w:rPr>
                <w:rFonts w:hint="eastAsia" w:ascii="宋体" w:hAnsi="宋体" w:cs="宋体"/>
                <w:b/>
                <w:bCs/>
              </w:rPr>
              <w:t>　</w:t>
            </w:r>
          </w:p>
        </w:tc>
        <w:tc>
          <w:tcPr>
            <w:tcW w:w="1440" w:type="dxa"/>
            <w:tcBorders>
              <w:top w:val="nil"/>
              <w:left w:val="nil"/>
              <w:bottom w:val="single" w:color="auto" w:sz="4" w:space="0"/>
              <w:right w:val="single" w:color="auto" w:sz="4" w:space="0"/>
            </w:tcBorders>
            <w:shd w:val="clear" w:color="000000" w:fill="CCFFFF"/>
            <w:vAlign w:val="center"/>
          </w:tcPr>
          <w:p w14:paraId="296101F0">
            <w:pPr>
              <w:jc w:val="center"/>
              <w:rPr>
                <w:rFonts w:hint="eastAsia" w:ascii="宋体" w:hAnsi="宋体" w:cs="宋体"/>
                <w:b/>
                <w:bCs/>
              </w:rPr>
            </w:pPr>
            <w:r>
              <w:rPr>
                <w:rFonts w:hint="eastAsia" w:ascii="宋体" w:hAnsi="宋体" w:cs="宋体"/>
                <w:b/>
                <w:bCs/>
              </w:rPr>
              <w:t>　</w:t>
            </w:r>
          </w:p>
        </w:tc>
      </w:tr>
      <w:tr w14:paraId="69A4CE8A">
        <w:tblPrEx>
          <w:tblCellMar>
            <w:top w:w="0" w:type="dxa"/>
            <w:left w:w="108" w:type="dxa"/>
            <w:bottom w:w="0" w:type="dxa"/>
            <w:right w:w="108" w:type="dxa"/>
          </w:tblCellMar>
        </w:tblPrEx>
        <w:trPr>
          <w:trHeight w:val="750" w:hRule="atLeast"/>
          <w:jc w:val="center"/>
        </w:trPr>
        <w:tc>
          <w:tcPr>
            <w:tcW w:w="700" w:type="dxa"/>
            <w:tcBorders>
              <w:top w:val="nil"/>
              <w:left w:val="single" w:color="auto" w:sz="4" w:space="0"/>
              <w:bottom w:val="single" w:color="auto" w:sz="4" w:space="0"/>
              <w:right w:val="single" w:color="auto" w:sz="4" w:space="0"/>
            </w:tcBorders>
            <w:shd w:val="clear" w:color="000000" w:fill="FFFFFF"/>
            <w:vAlign w:val="center"/>
          </w:tcPr>
          <w:p w14:paraId="607BDB96">
            <w:pPr>
              <w:jc w:val="center"/>
            </w:pPr>
            <w:r>
              <w:t>1</w:t>
            </w:r>
          </w:p>
        </w:tc>
        <w:tc>
          <w:tcPr>
            <w:tcW w:w="1442" w:type="dxa"/>
            <w:vMerge w:val="restart"/>
            <w:tcBorders>
              <w:top w:val="nil"/>
              <w:left w:val="single" w:color="auto" w:sz="4" w:space="0"/>
              <w:bottom w:val="single" w:color="auto" w:sz="4" w:space="0"/>
              <w:right w:val="single" w:color="auto" w:sz="4" w:space="0"/>
            </w:tcBorders>
            <w:shd w:val="clear" w:color="000000" w:fill="FFFFFF"/>
            <w:vAlign w:val="center"/>
          </w:tcPr>
          <w:p w14:paraId="5D7F94CE">
            <w:pPr>
              <w:jc w:val="center"/>
              <w:rPr>
                <w:rFonts w:hint="eastAsia" w:ascii="宋体" w:hAnsi="宋体" w:cs="宋体"/>
              </w:rPr>
            </w:pPr>
            <w:r>
              <w:rPr>
                <w:rFonts w:hint="eastAsia" w:ascii="宋体" w:hAnsi="宋体" w:cs="宋体"/>
              </w:rPr>
              <w:t>招标文件及清单、套算价编制</w:t>
            </w:r>
          </w:p>
        </w:tc>
        <w:tc>
          <w:tcPr>
            <w:tcW w:w="2280" w:type="dxa"/>
            <w:tcBorders>
              <w:top w:val="nil"/>
              <w:left w:val="nil"/>
              <w:bottom w:val="single" w:color="auto" w:sz="4" w:space="0"/>
              <w:right w:val="single" w:color="auto" w:sz="4" w:space="0"/>
            </w:tcBorders>
            <w:shd w:val="clear" w:color="000000" w:fill="FFFFFF"/>
            <w:vAlign w:val="center"/>
          </w:tcPr>
          <w:p w14:paraId="3A877359">
            <w:pPr>
              <w:jc w:val="center"/>
              <w:rPr>
                <w:rFonts w:hint="eastAsia" w:ascii="宋体" w:hAnsi="宋体" w:cs="宋体"/>
              </w:rPr>
            </w:pPr>
            <w:r>
              <w:rPr>
                <w:rFonts w:hint="eastAsia" w:ascii="宋体" w:hAnsi="宋体" w:cs="宋体"/>
              </w:rPr>
              <w:t>招标文件配合、清单编制及时性</w:t>
            </w:r>
          </w:p>
        </w:tc>
        <w:tc>
          <w:tcPr>
            <w:tcW w:w="1139" w:type="dxa"/>
            <w:tcBorders>
              <w:top w:val="nil"/>
              <w:left w:val="nil"/>
              <w:bottom w:val="single" w:color="auto" w:sz="4" w:space="0"/>
              <w:right w:val="single" w:color="auto" w:sz="4" w:space="0"/>
            </w:tcBorders>
            <w:shd w:val="clear" w:color="000000" w:fill="FFFFFF"/>
            <w:vAlign w:val="center"/>
          </w:tcPr>
          <w:p w14:paraId="4827D9DE">
            <w:pPr>
              <w:jc w:val="center"/>
              <w:rPr>
                <w:rFonts w:hint="eastAsia" w:ascii="宋体" w:hAnsi="宋体" w:cs="宋体"/>
              </w:rPr>
            </w:pPr>
            <w:r>
              <w:rPr>
                <w:rFonts w:hint="eastAsia" w:ascii="宋体" w:hAnsi="宋体" w:cs="宋体"/>
              </w:rPr>
              <w:t>10</w:t>
            </w:r>
          </w:p>
        </w:tc>
        <w:tc>
          <w:tcPr>
            <w:tcW w:w="5369" w:type="dxa"/>
            <w:tcBorders>
              <w:top w:val="nil"/>
              <w:left w:val="nil"/>
              <w:bottom w:val="single" w:color="auto" w:sz="4" w:space="0"/>
              <w:right w:val="single" w:color="auto" w:sz="4" w:space="0"/>
            </w:tcBorders>
            <w:shd w:val="clear" w:color="000000" w:fill="FFFFFF"/>
            <w:vAlign w:val="center"/>
          </w:tcPr>
          <w:p w14:paraId="2D29EE81">
            <w:pPr>
              <w:rPr>
                <w:sz w:val="18"/>
                <w:szCs w:val="18"/>
              </w:rPr>
            </w:pPr>
            <w:r>
              <w:rPr>
                <w:sz w:val="18"/>
                <w:szCs w:val="18"/>
              </w:rPr>
              <w:t>A</w:t>
            </w:r>
            <w:r>
              <w:rPr>
                <w:rFonts w:hint="eastAsia" w:ascii="宋体" w:hAnsi="宋体"/>
                <w:sz w:val="18"/>
                <w:szCs w:val="18"/>
              </w:rPr>
              <w:t>按时完成</w:t>
            </w:r>
            <w:r>
              <w:rPr>
                <w:sz w:val="18"/>
                <w:szCs w:val="18"/>
              </w:rPr>
              <w:t>(10</w:t>
            </w:r>
            <w:r>
              <w:rPr>
                <w:rFonts w:hint="eastAsia" w:ascii="宋体" w:hAnsi="宋体"/>
                <w:sz w:val="18"/>
                <w:szCs w:val="18"/>
              </w:rPr>
              <w:t>分</w:t>
            </w:r>
            <w:r>
              <w:rPr>
                <w:sz w:val="18"/>
                <w:szCs w:val="18"/>
              </w:rPr>
              <w:t>)</w:t>
            </w:r>
            <w:r>
              <w:rPr>
                <w:rFonts w:hint="eastAsia" w:ascii="宋体" w:hAnsi="宋体"/>
                <w:sz w:val="18"/>
                <w:szCs w:val="18"/>
              </w:rPr>
              <w:t>；</w:t>
            </w:r>
            <w:r>
              <w:rPr>
                <w:sz w:val="18"/>
                <w:szCs w:val="18"/>
              </w:rPr>
              <w:t>B</w:t>
            </w:r>
            <w:r>
              <w:rPr>
                <w:rFonts w:hint="eastAsia" w:ascii="宋体" w:hAnsi="宋体"/>
                <w:sz w:val="18"/>
                <w:szCs w:val="18"/>
              </w:rPr>
              <w:t>、延迟</w:t>
            </w:r>
            <w:r>
              <w:rPr>
                <w:sz w:val="18"/>
                <w:szCs w:val="18"/>
              </w:rPr>
              <w:t>1</w:t>
            </w:r>
            <w:r>
              <w:rPr>
                <w:rFonts w:hint="eastAsia" w:ascii="宋体" w:hAnsi="宋体"/>
                <w:sz w:val="18"/>
                <w:szCs w:val="18"/>
              </w:rPr>
              <w:t>天</w:t>
            </w:r>
            <w:r>
              <w:rPr>
                <w:sz w:val="18"/>
                <w:szCs w:val="18"/>
              </w:rPr>
              <w:t>(8</w:t>
            </w:r>
            <w:r>
              <w:rPr>
                <w:rFonts w:hint="eastAsia" w:ascii="宋体" w:hAnsi="宋体"/>
                <w:sz w:val="18"/>
                <w:szCs w:val="18"/>
              </w:rPr>
              <w:t>分</w:t>
            </w:r>
            <w:r>
              <w:rPr>
                <w:sz w:val="18"/>
                <w:szCs w:val="18"/>
              </w:rPr>
              <w:t>)</w:t>
            </w:r>
            <w:r>
              <w:rPr>
                <w:rFonts w:hint="eastAsia" w:ascii="宋体" w:hAnsi="宋体"/>
                <w:sz w:val="18"/>
                <w:szCs w:val="18"/>
              </w:rPr>
              <w:t>；</w:t>
            </w:r>
            <w:r>
              <w:rPr>
                <w:sz w:val="18"/>
                <w:szCs w:val="18"/>
              </w:rPr>
              <w:t>C</w:t>
            </w:r>
            <w:r>
              <w:rPr>
                <w:rFonts w:hint="eastAsia" w:ascii="宋体" w:hAnsi="宋体"/>
                <w:sz w:val="18"/>
                <w:szCs w:val="18"/>
              </w:rPr>
              <w:t>、延迟2天</w:t>
            </w:r>
            <w:r>
              <w:rPr>
                <w:sz w:val="18"/>
                <w:szCs w:val="18"/>
              </w:rPr>
              <w:t xml:space="preserve"> (5</w:t>
            </w:r>
            <w:r>
              <w:rPr>
                <w:rFonts w:hint="eastAsia" w:ascii="宋体" w:hAnsi="宋体"/>
                <w:sz w:val="18"/>
                <w:szCs w:val="18"/>
              </w:rPr>
              <w:t>分</w:t>
            </w:r>
            <w:r>
              <w:rPr>
                <w:sz w:val="18"/>
                <w:szCs w:val="18"/>
              </w:rPr>
              <w:t>)</w:t>
            </w:r>
            <w:r>
              <w:rPr>
                <w:rFonts w:hint="eastAsia" w:ascii="宋体" w:hAnsi="宋体"/>
                <w:sz w:val="18"/>
                <w:szCs w:val="18"/>
              </w:rPr>
              <w:t>；</w:t>
            </w:r>
            <w:r>
              <w:rPr>
                <w:sz w:val="18"/>
                <w:szCs w:val="18"/>
              </w:rPr>
              <w:t>D</w:t>
            </w:r>
            <w:r>
              <w:rPr>
                <w:rFonts w:hint="eastAsia" w:ascii="宋体" w:hAnsi="宋体"/>
                <w:sz w:val="18"/>
                <w:szCs w:val="18"/>
              </w:rPr>
              <w:t>、延迟超</w:t>
            </w:r>
            <w:r>
              <w:rPr>
                <w:sz w:val="18"/>
                <w:szCs w:val="18"/>
              </w:rPr>
              <w:t>2</w:t>
            </w:r>
            <w:r>
              <w:rPr>
                <w:rFonts w:hint="eastAsia" w:ascii="宋体" w:hAnsi="宋体"/>
                <w:sz w:val="18"/>
                <w:szCs w:val="18"/>
              </w:rPr>
              <w:t>天</w:t>
            </w:r>
            <w:r>
              <w:rPr>
                <w:sz w:val="18"/>
                <w:szCs w:val="18"/>
              </w:rPr>
              <w:t xml:space="preserve"> (0</w:t>
            </w:r>
            <w:r>
              <w:rPr>
                <w:rFonts w:hint="eastAsia" w:ascii="宋体" w:hAnsi="宋体"/>
                <w:sz w:val="18"/>
                <w:szCs w:val="18"/>
              </w:rPr>
              <w:t>分</w:t>
            </w:r>
            <w:r>
              <w:rPr>
                <w:sz w:val="18"/>
                <w:szCs w:val="18"/>
              </w:rPr>
              <w:t>)</w:t>
            </w:r>
          </w:p>
        </w:tc>
        <w:tc>
          <w:tcPr>
            <w:tcW w:w="992" w:type="dxa"/>
            <w:tcBorders>
              <w:top w:val="nil"/>
              <w:left w:val="nil"/>
              <w:bottom w:val="single" w:color="auto" w:sz="4" w:space="0"/>
              <w:right w:val="single" w:color="auto" w:sz="4" w:space="0"/>
            </w:tcBorders>
            <w:noWrap/>
            <w:vAlign w:val="bottom"/>
          </w:tcPr>
          <w:p w14:paraId="63A2EF7D">
            <w:pPr>
              <w:rPr>
                <w:rFonts w:hint="eastAsia" w:ascii="宋体" w:hAnsi="宋体" w:cs="宋体"/>
                <w:sz w:val="24"/>
              </w:rPr>
            </w:pPr>
            <w:r>
              <w:rPr>
                <w:rFonts w:hint="eastAsia" w:ascii="宋体" w:hAnsi="宋体" w:cs="宋体"/>
                <w:sz w:val="24"/>
              </w:rPr>
              <w:t>　</w:t>
            </w:r>
          </w:p>
        </w:tc>
        <w:tc>
          <w:tcPr>
            <w:tcW w:w="1418" w:type="dxa"/>
            <w:tcBorders>
              <w:top w:val="nil"/>
              <w:left w:val="nil"/>
              <w:bottom w:val="single" w:color="auto" w:sz="4" w:space="0"/>
              <w:right w:val="single" w:color="auto" w:sz="4" w:space="0"/>
            </w:tcBorders>
            <w:noWrap/>
            <w:vAlign w:val="bottom"/>
          </w:tcPr>
          <w:p w14:paraId="5E3FF596">
            <w:pPr>
              <w:rPr>
                <w:rFonts w:hint="eastAsia" w:ascii="宋体" w:hAnsi="宋体" w:cs="宋体"/>
                <w:sz w:val="24"/>
              </w:rPr>
            </w:pPr>
            <w:r>
              <w:rPr>
                <w:rFonts w:hint="eastAsia" w:ascii="宋体" w:hAnsi="宋体" w:cs="宋体"/>
                <w:sz w:val="24"/>
              </w:rPr>
              <w:t>　</w:t>
            </w:r>
          </w:p>
        </w:tc>
        <w:tc>
          <w:tcPr>
            <w:tcW w:w="1440" w:type="dxa"/>
            <w:tcBorders>
              <w:top w:val="nil"/>
              <w:left w:val="nil"/>
              <w:bottom w:val="single" w:color="auto" w:sz="4" w:space="0"/>
              <w:right w:val="single" w:color="auto" w:sz="4" w:space="0"/>
            </w:tcBorders>
            <w:noWrap/>
            <w:vAlign w:val="bottom"/>
          </w:tcPr>
          <w:p w14:paraId="2B5BA421">
            <w:pPr>
              <w:rPr>
                <w:rFonts w:hint="eastAsia" w:ascii="宋体" w:hAnsi="宋体" w:cs="宋体"/>
                <w:sz w:val="24"/>
              </w:rPr>
            </w:pPr>
            <w:r>
              <w:rPr>
                <w:rFonts w:hint="eastAsia" w:ascii="宋体" w:hAnsi="宋体" w:cs="宋体"/>
                <w:sz w:val="24"/>
              </w:rPr>
              <w:t>　</w:t>
            </w:r>
          </w:p>
        </w:tc>
      </w:tr>
      <w:tr w14:paraId="022F66AD">
        <w:tblPrEx>
          <w:tblCellMar>
            <w:top w:w="0" w:type="dxa"/>
            <w:left w:w="108" w:type="dxa"/>
            <w:bottom w:w="0" w:type="dxa"/>
            <w:right w:w="108" w:type="dxa"/>
          </w:tblCellMar>
        </w:tblPrEx>
        <w:trPr>
          <w:trHeight w:val="1080" w:hRule="atLeast"/>
          <w:jc w:val="center"/>
        </w:trPr>
        <w:tc>
          <w:tcPr>
            <w:tcW w:w="700" w:type="dxa"/>
            <w:tcBorders>
              <w:top w:val="nil"/>
              <w:left w:val="single" w:color="auto" w:sz="4" w:space="0"/>
              <w:bottom w:val="single" w:color="auto" w:sz="4" w:space="0"/>
              <w:right w:val="single" w:color="auto" w:sz="4" w:space="0"/>
            </w:tcBorders>
            <w:shd w:val="clear" w:color="000000" w:fill="FFFFFF"/>
            <w:vAlign w:val="center"/>
          </w:tcPr>
          <w:p w14:paraId="6DD68AFA">
            <w:pPr>
              <w:jc w:val="center"/>
            </w:pPr>
            <w:r>
              <w:t>2</w:t>
            </w:r>
          </w:p>
        </w:tc>
        <w:tc>
          <w:tcPr>
            <w:tcW w:w="1442" w:type="dxa"/>
            <w:vMerge w:val="continue"/>
            <w:tcBorders>
              <w:top w:val="nil"/>
              <w:left w:val="single" w:color="auto" w:sz="4" w:space="0"/>
              <w:bottom w:val="single" w:color="auto" w:sz="4" w:space="0"/>
              <w:right w:val="single" w:color="auto" w:sz="4" w:space="0"/>
            </w:tcBorders>
            <w:shd w:val="clear" w:color="auto" w:fill="auto"/>
            <w:vAlign w:val="center"/>
          </w:tcPr>
          <w:p w14:paraId="5DB590F0">
            <w:pPr>
              <w:rPr>
                <w:rFonts w:hint="eastAsia" w:ascii="宋体" w:hAnsi="宋体" w:cs="宋体"/>
              </w:rPr>
            </w:pPr>
          </w:p>
        </w:tc>
        <w:tc>
          <w:tcPr>
            <w:tcW w:w="2280" w:type="dxa"/>
            <w:tcBorders>
              <w:top w:val="nil"/>
              <w:left w:val="nil"/>
              <w:bottom w:val="single" w:color="auto" w:sz="4" w:space="0"/>
              <w:right w:val="single" w:color="auto" w:sz="4" w:space="0"/>
            </w:tcBorders>
            <w:shd w:val="clear" w:color="000000" w:fill="FFFFFF"/>
            <w:vAlign w:val="center"/>
          </w:tcPr>
          <w:p w14:paraId="5202B264">
            <w:pPr>
              <w:jc w:val="center"/>
              <w:rPr>
                <w:rFonts w:hint="eastAsia" w:ascii="宋体" w:hAnsi="宋体" w:cs="宋体"/>
              </w:rPr>
            </w:pPr>
            <w:r>
              <w:rPr>
                <w:rFonts w:hint="eastAsia" w:ascii="宋体" w:hAnsi="宋体" w:cs="宋体"/>
              </w:rPr>
              <w:t>清单编制及套算价准确性</w:t>
            </w:r>
          </w:p>
        </w:tc>
        <w:tc>
          <w:tcPr>
            <w:tcW w:w="1139" w:type="dxa"/>
            <w:tcBorders>
              <w:top w:val="nil"/>
              <w:left w:val="nil"/>
              <w:bottom w:val="single" w:color="auto" w:sz="4" w:space="0"/>
              <w:right w:val="single" w:color="auto" w:sz="4" w:space="0"/>
            </w:tcBorders>
            <w:shd w:val="clear" w:color="000000" w:fill="FFFFFF"/>
            <w:vAlign w:val="center"/>
          </w:tcPr>
          <w:p w14:paraId="25257F60">
            <w:pPr>
              <w:jc w:val="center"/>
              <w:rPr>
                <w:rFonts w:hint="eastAsia" w:ascii="宋体" w:hAnsi="宋体" w:cs="宋体"/>
              </w:rPr>
            </w:pPr>
            <w:r>
              <w:rPr>
                <w:rFonts w:hint="eastAsia" w:ascii="宋体" w:hAnsi="宋体" w:cs="宋体"/>
              </w:rPr>
              <w:t>10</w:t>
            </w:r>
          </w:p>
        </w:tc>
        <w:tc>
          <w:tcPr>
            <w:tcW w:w="5369" w:type="dxa"/>
            <w:tcBorders>
              <w:top w:val="nil"/>
              <w:left w:val="nil"/>
              <w:bottom w:val="single" w:color="auto" w:sz="4" w:space="0"/>
              <w:right w:val="single" w:color="auto" w:sz="4" w:space="0"/>
            </w:tcBorders>
            <w:shd w:val="clear" w:color="000000" w:fill="FFFFFF"/>
            <w:vAlign w:val="center"/>
          </w:tcPr>
          <w:p w14:paraId="33D3A4DC">
            <w:pPr>
              <w:rPr>
                <w:rFonts w:hint="eastAsia" w:ascii="宋体" w:hAnsi="宋体"/>
                <w:sz w:val="18"/>
                <w:szCs w:val="18"/>
              </w:rPr>
            </w:pPr>
            <w:r>
              <w:rPr>
                <w:sz w:val="18"/>
                <w:szCs w:val="18"/>
              </w:rPr>
              <w:t>A</w:t>
            </w:r>
            <w:r>
              <w:rPr>
                <w:rFonts w:hint="eastAsia" w:ascii="宋体" w:hAnsi="宋体"/>
                <w:sz w:val="18"/>
                <w:szCs w:val="18"/>
              </w:rPr>
              <w:t>、(核对完毕增补造价</w:t>
            </w:r>
            <w:r>
              <w:rPr>
                <w:sz w:val="18"/>
                <w:szCs w:val="18"/>
              </w:rPr>
              <w:t>/</w:t>
            </w:r>
            <w:r>
              <w:rPr>
                <w:rFonts w:hint="eastAsia" w:ascii="宋体" w:hAnsi="宋体"/>
                <w:sz w:val="18"/>
                <w:szCs w:val="18"/>
              </w:rPr>
              <w:t xml:space="preserve">清单造价)≤1%（参考价准确） </w:t>
            </w:r>
            <w:r>
              <w:rPr>
                <w:sz w:val="18"/>
                <w:szCs w:val="18"/>
              </w:rPr>
              <w:t>(10</w:t>
            </w:r>
            <w:r>
              <w:rPr>
                <w:rFonts w:hint="eastAsia" w:ascii="宋体" w:hAnsi="宋体"/>
                <w:sz w:val="18"/>
                <w:szCs w:val="18"/>
              </w:rPr>
              <w:t>分</w:t>
            </w:r>
            <w:r>
              <w:rPr>
                <w:sz w:val="18"/>
                <w:szCs w:val="18"/>
              </w:rPr>
              <w:t>)</w:t>
            </w:r>
            <w:r>
              <w:rPr>
                <w:rFonts w:hint="eastAsia" w:ascii="宋体" w:hAnsi="宋体"/>
                <w:sz w:val="18"/>
                <w:szCs w:val="18"/>
              </w:rPr>
              <w:t>；</w:t>
            </w:r>
          </w:p>
          <w:p w14:paraId="691B7F74">
            <w:pPr>
              <w:rPr>
                <w:rFonts w:hint="eastAsia" w:ascii="宋体" w:hAnsi="宋体"/>
                <w:sz w:val="18"/>
                <w:szCs w:val="18"/>
              </w:rPr>
            </w:pPr>
            <w:r>
              <w:rPr>
                <w:sz w:val="18"/>
                <w:szCs w:val="18"/>
              </w:rPr>
              <w:t>B</w:t>
            </w:r>
            <w:r>
              <w:rPr>
                <w:rFonts w:hint="eastAsia" w:ascii="宋体" w:hAnsi="宋体"/>
                <w:sz w:val="18"/>
                <w:szCs w:val="18"/>
              </w:rPr>
              <w:t>、(核对完毕增补造价</w:t>
            </w:r>
            <w:r>
              <w:rPr>
                <w:sz w:val="18"/>
                <w:szCs w:val="18"/>
              </w:rPr>
              <w:t>/</w:t>
            </w:r>
            <w:r>
              <w:rPr>
                <w:rFonts w:hint="eastAsia" w:ascii="宋体" w:hAnsi="宋体"/>
                <w:sz w:val="18"/>
                <w:szCs w:val="18"/>
              </w:rPr>
              <w:t>清单造价)≤2%</w:t>
            </w:r>
            <w:r>
              <w:rPr>
                <w:sz w:val="18"/>
                <w:szCs w:val="18"/>
              </w:rPr>
              <w:t>(</w:t>
            </w:r>
            <w:r>
              <w:rPr>
                <w:rFonts w:hint="eastAsia" w:ascii="宋体" w:hAnsi="宋体"/>
                <w:sz w:val="18"/>
                <w:szCs w:val="18"/>
              </w:rPr>
              <w:t>一项明显错漏</w:t>
            </w:r>
            <w:r>
              <w:rPr>
                <w:sz w:val="18"/>
                <w:szCs w:val="18"/>
              </w:rPr>
              <w:t>)(6</w:t>
            </w:r>
            <w:r>
              <w:rPr>
                <w:rFonts w:hint="eastAsia" w:ascii="宋体" w:hAnsi="宋体"/>
                <w:sz w:val="18"/>
                <w:szCs w:val="18"/>
              </w:rPr>
              <w:t>分</w:t>
            </w:r>
            <w:r>
              <w:rPr>
                <w:sz w:val="18"/>
                <w:szCs w:val="18"/>
              </w:rPr>
              <w:t>)</w:t>
            </w:r>
            <w:r>
              <w:rPr>
                <w:rFonts w:hint="eastAsia" w:ascii="宋体" w:hAnsi="宋体"/>
                <w:sz w:val="18"/>
                <w:szCs w:val="18"/>
              </w:rPr>
              <w:t>；</w:t>
            </w:r>
          </w:p>
          <w:p w14:paraId="028952E6">
            <w:pPr>
              <w:rPr>
                <w:sz w:val="18"/>
                <w:szCs w:val="18"/>
              </w:rPr>
            </w:pPr>
            <w:r>
              <w:rPr>
                <w:sz w:val="18"/>
                <w:szCs w:val="18"/>
              </w:rPr>
              <w:t>C</w:t>
            </w:r>
            <w:r>
              <w:rPr>
                <w:rFonts w:hint="eastAsia" w:ascii="宋体" w:hAnsi="宋体"/>
                <w:sz w:val="18"/>
                <w:szCs w:val="18"/>
              </w:rPr>
              <w:t>、(核对完毕增补造价</w:t>
            </w:r>
            <w:r>
              <w:rPr>
                <w:sz w:val="18"/>
                <w:szCs w:val="18"/>
              </w:rPr>
              <w:t>/</w:t>
            </w:r>
            <w:r>
              <w:rPr>
                <w:rFonts w:hint="eastAsia" w:ascii="宋体" w:hAnsi="宋体"/>
                <w:sz w:val="18"/>
                <w:szCs w:val="18"/>
              </w:rPr>
              <w:t xml:space="preserve">清单造价)≤3%(二项明显错漏) </w:t>
            </w:r>
            <w:r>
              <w:rPr>
                <w:sz w:val="18"/>
                <w:szCs w:val="18"/>
              </w:rPr>
              <w:t>(3</w:t>
            </w:r>
            <w:r>
              <w:rPr>
                <w:rFonts w:hint="eastAsia" w:ascii="宋体" w:hAnsi="宋体"/>
                <w:sz w:val="18"/>
                <w:szCs w:val="18"/>
              </w:rPr>
              <w:t>分</w:t>
            </w:r>
            <w:r>
              <w:rPr>
                <w:sz w:val="18"/>
                <w:szCs w:val="18"/>
              </w:rPr>
              <w:t>)</w:t>
            </w:r>
          </w:p>
          <w:p w14:paraId="56FDE1AA">
            <w:pPr>
              <w:rPr>
                <w:sz w:val="18"/>
                <w:szCs w:val="18"/>
              </w:rPr>
            </w:pPr>
            <w:r>
              <w:rPr>
                <w:sz w:val="18"/>
                <w:szCs w:val="18"/>
              </w:rPr>
              <w:t>D</w:t>
            </w:r>
            <w:r>
              <w:rPr>
                <w:rFonts w:hint="eastAsia" w:ascii="宋体" w:hAnsi="宋体"/>
                <w:sz w:val="18"/>
                <w:szCs w:val="18"/>
              </w:rPr>
              <w:t>、</w:t>
            </w:r>
            <w:r>
              <w:rPr>
                <w:sz w:val="18"/>
                <w:szCs w:val="18"/>
              </w:rPr>
              <w:t>(</w:t>
            </w:r>
            <w:r>
              <w:rPr>
                <w:rFonts w:hint="eastAsia" w:ascii="宋体" w:hAnsi="宋体"/>
                <w:sz w:val="18"/>
                <w:szCs w:val="18"/>
              </w:rPr>
              <w:t>核对完毕增补造价</w:t>
            </w:r>
            <w:r>
              <w:rPr>
                <w:sz w:val="18"/>
                <w:szCs w:val="18"/>
              </w:rPr>
              <w:t>/</w:t>
            </w:r>
            <w:r>
              <w:rPr>
                <w:rFonts w:hint="eastAsia" w:ascii="宋体" w:hAnsi="宋体"/>
                <w:sz w:val="18"/>
                <w:szCs w:val="18"/>
              </w:rPr>
              <w:t>清单造价</w:t>
            </w:r>
            <w:r>
              <w:rPr>
                <w:sz w:val="18"/>
                <w:szCs w:val="18"/>
              </w:rPr>
              <w:t>)&gt;3%(</w:t>
            </w:r>
            <w:r>
              <w:rPr>
                <w:rFonts w:hint="eastAsia" w:ascii="宋体" w:hAnsi="宋体"/>
                <w:sz w:val="18"/>
                <w:szCs w:val="18"/>
              </w:rPr>
              <w:t>二项以上明显错漏</w:t>
            </w:r>
            <w:r>
              <w:rPr>
                <w:sz w:val="18"/>
                <w:szCs w:val="18"/>
              </w:rPr>
              <w:t>) (0</w:t>
            </w:r>
            <w:r>
              <w:rPr>
                <w:rFonts w:hint="eastAsia" w:ascii="宋体" w:hAnsi="宋体"/>
                <w:sz w:val="18"/>
                <w:szCs w:val="18"/>
              </w:rPr>
              <w:t>分</w:t>
            </w:r>
            <w:r>
              <w:rPr>
                <w:sz w:val="18"/>
                <w:szCs w:val="18"/>
              </w:rPr>
              <w:t>)</w:t>
            </w:r>
          </w:p>
        </w:tc>
        <w:tc>
          <w:tcPr>
            <w:tcW w:w="992" w:type="dxa"/>
            <w:tcBorders>
              <w:top w:val="nil"/>
              <w:left w:val="nil"/>
              <w:bottom w:val="single" w:color="auto" w:sz="4" w:space="0"/>
              <w:right w:val="single" w:color="auto" w:sz="4" w:space="0"/>
            </w:tcBorders>
            <w:noWrap/>
            <w:vAlign w:val="bottom"/>
          </w:tcPr>
          <w:p w14:paraId="7A857AF8">
            <w:pPr>
              <w:rPr>
                <w:rFonts w:hint="eastAsia" w:ascii="宋体" w:hAnsi="宋体" w:cs="宋体"/>
                <w:sz w:val="24"/>
              </w:rPr>
            </w:pPr>
            <w:r>
              <w:rPr>
                <w:rFonts w:hint="eastAsia" w:ascii="宋体" w:hAnsi="宋体" w:cs="宋体"/>
                <w:sz w:val="24"/>
              </w:rPr>
              <w:t>　</w:t>
            </w:r>
          </w:p>
        </w:tc>
        <w:tc>
          <w:tcPr>
            <w:tcW w:w="1418" w:type="dxa"/>
            <w:tcBorders>
              <w:top w:val="nil"/>
              <w:left w:val="nil"/>
              <w:bottom w:val="single" w:color="auto" w:sz="4" w:space="0"/>
              <w:right w:val="single" w:color="auto" w:sz="4" w:space="0"/>
            </w:tcBorders>
            <w:noWrap/>
            <w:vAlign w:val="bottom"/>
          </w:tcPr>
          <w:p w14:paraId="684D9BD4">
            <w:pPr>
              <w:rPr>
                <w:rFonts w:hint="eastAsia" w:ascii="宋体" w:hAnsi="宋体" w:cs="宋体"/>
                <w:sz w:val="24"/>
              </w:rPr>
            </w:pPr>
            <w:r>
              <w:rPr>
                <w:rFonts w:hint="eastAsia" w:ascii="宋体" w:hAnsi="宋体" w:cs="宋体"/>
                <w:sz w:val="24"/>
              </w:rPr>
              <w:t>　</w:t>
            </w:r>
          </w:p>
        </w:tc>
        <w:tc>
          <w:tcPr>
            <w:tcW w:w="1440" w:type="dxa"/>
            <w:tcBorders>
              <w:top w:val="nil"/>
              <w:left w:val="nil"/>
              <w:bottom w:val="single" w:color="auto" w:sz="4" w:space="0"/>
              <w:right w:val="single" w:color="auto" w:sz="4" w:space="0"/>
            </w:tcBorders>
            <w:noWrap/>
            <w:vAlign w:val="bottom"/>
          </w:tcPr>
          <w:p w14:paraId="24884710">
            <w:pPr>
              <w:rPr>
                <w:rFonts w:hint="eastAsia" w:ascii="宋体" w:hAnsi="宋体" w:cs="宋体"/>
                <w:sz w:val="24"/>
              </w:rPr>
            </w:pPr>
            <w:r>
              <w:rPr>
                <w:rFonts w:hint="eastAsia" w:ascii="宋体" w:hAnsi="宋体" w:cs="宋体"/>
                <w:sz w:val="24"/>
              </w:rPr>
              <w:t>　</w:t>
            </w:r>
          </w:p>
        </w:tc>
      </w:tr>
      <w:tr w14:paraId="3B30D38B">
        <w:tblPrEx>
          <w:tblCellMar>
            <w:top w:w="0" w:type="dxa"/>
            <w:left w:w="108" w:type="dxa"/>
            <w:bottom w:w="0" w:type="dxa"/>
            <w:right w:w="108" w:type="dxa"/>
          </w:tblCellMar>
        </w:tblPrEx>
        <w:trPr>
          <w:trHeight w:val="285" w:hRule="atLeast"/>
          <w:jc w:val="center"/>
        </w:trPr>
        <w:tc>
          <w:tcPr>
            <w:tcW w:w="2142" w:type="dxa"/>
            <w:gridSpan w:val="2"/>
            <w:tcBorders>
              <w:top w:val="single" w:color="auto" w:sz="4" w:space="0"/>
              <w:left w:val="single" w:color="auto" w:sz="4" w:space="0"/>
              <w:bottom w:val="single" w:color="auto" w:sz="4" w:space="0"/>
              <w:right w:val="single" w:color="000000" w:sz="4" w:space="0"/>
            </w:tcBorders>
            <w:shd w:val="clear" w:color="000000" w:fill="CCFFFF"/>
            <w:noWrap/>
            <w:vAlign w:val="center"/>
          </w:tcPr>
          <w:p w14:paraId="5BF67B43">
            <w:pPr>
              <w:rPr>
                <w:rFonts w:hint="eastAsia" w:ascii="黑体" w:hAnsi="黑体" w:eastAsia="黑体" w:cs="宋体"/>
                <w:b/>
                <w:bCs/>
              </w:rPr>
            </w:pPr>
            <w:r>
              <w:rPr>
                <w:rFonts w:hint="eastAsia" w:ascii="黑体" w:hAnsi="黑体" w:eastAsia="黑体" w:cs="宋体"/>
                <w:b/>
                <w:bCs/>
                <w:lang w:val="en-US" w:eastAsia="zh-CN"/>
              </w:rPr>
              <w:t>四</w:t>
            </w:r>
            <w:r>
              <w:rPr>
                <w:rFonts w:hint="eastAsia" w:ascii="黑体" w:hAnsi="黑体" w:eastAsia="黑体" w:cs="宋体"/>
                <w:b/>
                <w:bCs/>
              </w:rPr>
              <w:t>、变更签证与进度款管理</w:t>
            </w:r>
          </w:p>
        </w:tc>
        <w:tc>
          <w:tcPr>
            <w:tcW w:w="2280" w:type="dxa"/>
            <w:tcBorders>
              <w:top w:val="nil"/>
              <w:left w:val="nil"/>
              <w:bottom w:val="single" w:color="auto" w:sz="4" w:space="0"/>
              <w:right w:val="single" w:color="auto" w:sz="4" w:space="0"/>
            </w:tcBorders>
            <w:shd w:val="clear" w:color="000000" w:fill="CCFFFF"/>
            <w:vAlign w:val="center"/>
          </w:tcPr>
          <w:p w14:paraId="2D8D10EE">
            <w:pPr>
              <w:jc w:val="center"/>
              <w:rPr>
                <w:rFonts w:hint="eastAsia" w:ascii="宋体" w:hAnsi="宋体" w:cs="宋体"/>
                <w:b/>
                <w:bCs/>
              </w:rPr>
            </w:pPr>
            <w:r>
              <w:rPr>
                <w:rFonts w:hint="eastAsia" w:ascii="宋体" w:hAnsi="宋体" w:cs="宋体"/>
                <w:b/>
                <w:bCs/>
              </w:rPr>
              <w:t>　</w:t>
            </w:r>
          </w:p>
        </w:tc>
        <w:tc>
          <w:tcPr>
            <w:tcW w:w="1139" w:type="dxa"/>
            <w:tcBorders>
              <w:top w:val="nil"/>
              <w:left w:val="nil"/>
              <w:bottom w:val="single" w:color="auto" w:sz="4" w:space="0"/>
              <w:right w:val="single" w:color="auto" w:sz="4" w:space="0"/>
            </w:tcBorders>
            <w:shd w:val="clear" w:color="000000" w:fill="CCFFFF"/>
            <w:vAlign w:val="center"/>
          </w:tcPr>
          <w:p w14:paraId="5EB2BAB1">
            <w:pPr>
              <w:jc w:val="center"/>
              <w:rPr>
                <w:rFonts w:hint="eastAsia" w:ascii="宋体" w:hAnsi="宋体" w:cs="宋体"/>
                <w:b/>
                <w:bCs/>
              </w:rPr>
            </w:pPr>
            <w:r>
              <w:rPr>
                <w:rFonts w:hint="eastAsia" w:ascii="宋体" w:hAnsi="宋体" w:cs="宋体"/>
                <w:b/>
                <w:bCs/>
              </w:rPr>
              <w:t>10%</w:t>
            </w:r>
          </w:p>
        </w:tc>
        <w:tc>
          <w:tcPr>
            <w:tcW w:w="5369" w:type="dxa"/>
            <w:tcBorders>
              <w:top w:val="nil"/>
              <w:left w:val="nil"/>
              <w:bottom w:val="single" w:color="auto" w:sz="4" w:space="0"/>
              <w:right w:val="single" w:color="auto" w:sz="4" w:space="0"/>
            </w:tcBorders>
            <w:shd w:val="clear" w:color="000000" w:fill="CCFFFF"/>
            <w:vAlign w:val="center"/>
          </w:tcPr>
          <w:p w14:paraId="38CABA3B">
            <w:pPr>
              <w:rPr>
                <w:rFonts w:hint="eastAsia" w:ascii="宋体" w:hAnsi="宋体" w:cs="宋体"/>
                <w:b/>
                <w:bCs/>
              </w:rPr>
            </w:pPr>
            <w:r>
              <w:rPr>
                <w:rFonts w:hint="eastAsia" w:ascii="宋体" w:hAnsi="宋体" w:cs="宋体"/>
                <w:b/>
                <w:bCs/>
              </w:rPr>
              <w:t>　</w:t>
            </w:r>
          </w:p>
        </w:tc>
        <w:tc>
          <w:tcPr>
            <w:tcW w:w="992" w:type="dxa"/>
            <w:tcBorders>
              <w:top w:val="nil"/>
              <w:left w:val="nil"/>
              <w:bottom w:val="single" w:color="auto" w:sz="4" w:space="0"/>
              <w:right w:val="single" w:color="auto" w:sz="4" w:space="0"/>
            </w:tcBorders>
            <w:shd w:val="clear" w:color="000000" w:fill="CCFFFF"/>
            <w:vAlign w:val="center"/>
          </w:tcPr>
          <w:p w14:paraId="15A0E284">
            <w:pPr>
              <w:jc w:val="center"/>
              <w:rPr>
                <w:rFonts w:hint="eastAsia" w:ascii="宋体" w:hAnsi="宋体" w:cs="宋体"/>
                <w:b/>
                <w:bCs/>
              </w:rPr>
            </w:pPr>
            <w:r>
              <w:rPr>
                <w:rFonts w:hint="eastAsia" w:ascii="宋体" w:hAnsi="宋体" w:cs="宋体"/>
                <w:b/>
                <w:bCs/>
              </w:rPr>
              <w:t>　</w:t>
            </w:r>
          </w:p>
        </w:tc>
        <w:tc>
          <w:tcPr>
            <w:tcW w:w="1418" w:type="dxa"/>
            <w:tcBorders>
              <w:top w:val="nil"/>
              <w:left w:val="nil"/>
              <w:bottom w:val="single" w:color="auto" w:sz="4" w:space="0"/>
              <w:right w:val="single" w:color="auto" w:sz="4" w:space="0"/>
            </w:tcBorders>
            <w:shd w:val="clear" w:color="000000" w:fill="CCFFFF"/>
            <w:vAlign w:val="center"/>
          </w:tcPr>
          <w:p w14:paraId="7E8FF3BF">
            <w:pPr>
              <w:jc w:val="center"/>
              <w:rPr>
                <w:rFonts w:hint="eastAsia" w:ascii="宋体" w:hAnsi="宋体" w:cs="宋体"/>
                <w:b/>
                <w:bCs/>
              </w:rPr>
            </w:pPr>
            <w:r>
              <w:rPr>
                <w:rFonts w:hint="eastAsia" w:ascii="宋体" w:hAnsi="宋体" w:cs="宋体"/>
                <w:b/>
                <w:bCs/>
              </w:rPr>
              <w:t>　</w:t>
            </w:r>
          </w:p>
        </w:tc>
        <w:tc>
          <w:tcPr>
            <w:tcW w:w="1440" w:type="dxa"/>
            <w:tcBorders>
              <w:top w:val="nil"/>
              <w:left w:val="nil"/>
              <w:bottom w:val="single" w:color="auto" w:sz="4" w:space="0"/>
              <w:right w:val="single" w:color="auto" w:sz="4" w:space="0"/>
            </w:tcBorders>
            <w:shd w:val="clear" w:color="000000" w:fill="CCFFFF"/>
            <w:vAlign w:val="center"/>
          </w:tcPr>
          <w:p w14:paraId="0C87FF1F">
            <w:pPr>
              <w:jc w:val="center"/>
              <w:rPr>
                <w:rFonts w:hint="eastAsia" w:ascii="宋体" w:hAnsi="宋体" w:cs="宋体"/>
                <w:b/>
                <w:bCs/>
              </w:rPr>
            </w:pPr>
            <w:r>
              <w:rPr>
                <w:rFonts w:hint="eastAsia" w:ascii="宋体" w:hAnsi="宋体" w:cs="宋体"/>
                <w:b/>
                <w:bCs/>
              </w:rPr>
              <w:t>　</w:t>
            </w:r>
          </w:p>
        </w:tc>
      </w:tr>
      <w:tr w14:paraId="5B78DD46">
        <w:tblPrEx>
          <w:tblCellMar>
            <w:top w:w="0" w:type="dxa"/>
            <w:left w:w="108" w:type="dxa"/>
            <w:bottom w:w="0" w:type="dxa"/>
            <w:right w:w="108" w:type="dxa"/>
          </w:tblCellMar>
        </w:tblPrEx>
        <w:trPr>
          <w:trHeight w:val="630" w:hRule="atLeast"/>
          <w:jc w:val="center"/>
        </w:trPr>
        <w:tc>
          <w:tcPr>
            <w:tcW w:w="700" w:type="dxa"/>
            <w:tcBorders>
              <w:top w:val="nil"/>
              <w:left w:val="single" w:color="auto" w:sz="4" w:space="0"/>
              <w:bottom w:val="single" w:color="auto" w:sz="4" w:space="0"/>
              <w:right w:val="single" w:color="auto" w:sz="4" w:space="0"/>
            </w:tcBorders>
            <w:shd w:val="clear" w:color="000000" w:fill="FFFFFF"/>
            <w:vAlign w:val="center"/>
          </w:tcPr>
          <w:p w14:paraId="77DD04E0">
            <w:pPr>
              <w:jc w:val="center"/>
            </w:pPr>
            <w:r>
              <w:t>1</w:t>
            </w:r>
          </w:p>
        </w:tc>
        <w:tc>
          <w:tcPr>
            <w:tcW w:w="1442" w:type="dxa"/>
            <w:vMerge w:val="restart"/>
            <w:tcBorders>
              <w:top w:val="nil"/>
              <w:left w:val="single" w:color="auto" w:sz="4" w:space="0"/>
              <w:bottom w:val="single" w:color="auto" w:sz="4" w:space="0"/>
              <w:right w:val="single" w:color="auto" w:sz="4" w:space="0"/>
            </w:tcBorders>
            <w:shd w:val="clear" w:color="000000" w:fill="FFFFFF"/>
            <w:vAlign w:val="center"/>
          </w:tcPr>
          <w:p w14:paraId="462AFEA8">
            <w:pPr>
              <w:jc w:val="center"/>
              <w:rPr>
                <w:rFonts w:hint="eastAsia" w:ascii="宋体" w:hAnsi="宋体" w:cs="宋体"/>
              </w:rPr>
            </w:pPr>
            <w:r>
              <w:rPr>
                <w:rFonts w:hint="eastAsia" w:ascii="宋体" w:hAnsi="宋体" w:cs="宋体"/>
              </w:rPr>
              <w:t>变更签证与进度款管理</w:t>
            </w:r>
          </w:p>
        </w:tc>
        <w:tc>
          <w:tcPr>
            <w:tcW w:w="2280" w:type="dxa"/>
            <w:tcBorders>
              <w:top w:val="nil"/>
              <w:left w:val="nil"/>
              <w:bottom w:val="single" w:color="auto" w:sz="4" w:space="0"/>
              <w:right w:val="single" w:color="auto" w:sz="4" w:space="0"/>
            </w:tcBorders>
            <w:shd w:val="clear" w:color="000000" w:fill="FFFFFF"/>
            <w:vAlign w:val="center"/>
          </w:tcPr>
          <w:p w14:paraId="024C7C6A">
            <w:pPr>
              <w:jc w:val="both"/>
              <w:rPr>
                <w:rFonts w:hint="eastAsia" w:ascii="宋体" w:hAnsi="宋体" w:cs="宋体"/>
              </w:rPr>
            </w:pPr>
            <w:r>
              <w:rPr>
                <w:rFonts w:hint="eastAsia" w:ascii="宋体" w:hAnsi="宋体" w:cs="宋体"/>
              </w:rPr>
              <w:t>变更签证估算与结算、进度款审核及时性</w:t>
            </w:r>
          </w:p>
        </w:tc>
        <w:tc>
          <w:tcPr>
            <w:tcW w:w="1139" w:type="dxa"/>
            <w:tcBorders>
              <w:top w:val="nil"/>
              <w:left w:val="nil"/>
              <w:bottom w:val="single" w:color="auto" w:sz="4" w:space="0"/>
              <w:right w:val="single" w:color="auto" w:sz="4" w:space="0"/>
            </w:tcBorders>
            <w:shd w:val="clear" w:color="000000" w:fill="FFFFFF"/>
            <w:vAlign w:val="center"/>
          </w:tcPr>
          <w:p w14:paraId="79E6680F">
            <w:pPr>
              <w:jc w:val="center"/>
              <w:rPr>
                <w:rFonts w:hint="eastAsia" w:ascii="宋体" w:hAnsi="宋体" w:cs="宋体"/>
              </w:rPr>
            </w:pPr>
            <w:r>
              <w:rPr>
                <w:rFonts w:hint="eastAsia" w:ascii="宋体" w:hAnsi="宋体" w:cs="宋体"/>
              </w:rPr>
              <w:t>5</w:t>
            </w:r>
          </w:p>
        </w:tc>
        <w:tc>
          <w:tcPr>
            <w:tcW w:w="5369" w:type="dxa"/>
            <w:tcBorders>
              <w:top w:val="nil"/>
              <w:left w:val="nil"/>
              <w:bottom w:val="single" w:color="auto" w:sz="4" w:space="0"/>
              <w:right w:val="single" w:color="auto" w:sz="4" w:space="0"/>
            </w:tcBorders>
            <w:shd w:val="clear" w:color="000000" w:fill="FFFFFF"/>
            <w:vAlign w:val="center"/>
          </w:tcPr>
          <w:p w14:paraId="3D46F3FD">
            <w:pPr>
              <w:rPr>
                <w:sz w:val="18"/>
                <w:szCs w:val="18"/>
              </w:rPr>
            </w:pPr>
            <w:r>
              <w:rPr>
                <w:sz w:val="18"/>
                <w:szCs w:val="18"/>
              </w:rPr>
              <w:t>A</w:t>
            </w:r>
            <w:r>
              <w:rPr>
                <w:rFonts w:hint="eastAsia" w:ascii="宋体" w:hAnsi="宋体"/>
                <w:sz w:val="18"/>
                <w:szCs w:val="18"/>
              </w:rPr>
              <w:t>、及时</w:t>
            </w:r>
            <w:r>
              <w:rPr>
                <w:sz w:val="18"/>
                <w:szCs w:val="18"/>
              </w:rPr>
              <w:t>(5</w:t>
            </w:r>
            <w:r>
              <w:rPr>
                <w:rFonts w:hint="eastAsia" w:ascii="宋体" w:hAnsi="宋体"/>
                <w:sz w:val="18"/>
                <w:szCs w:val="18"/>
              </w:rPr>
              <w:t>分</w:t>
            </w:r>
            <w:r>
              <w:rPr>
                <w:sz w:val="18"/>
                <w:szCs w:val="18"/>
              </w:rPr>
              <w:t>)</w:t>
            </w:r>
            <w:r>
              <w:rPr>
                <w:rFonts w:hint="eastAsia" w:ascii="宋体" w:hAnsi="宋体"/>
                <w:sz w:val="18"/>
                <w:szCs w:val="18"/>
              </w:rPr>
              <w:t>；</w:t>
            </w:r>
            <w:r>
              <w:rPr>
                <w:sz w:val="18"/>
                <w:szCs w:val="18"/>
              </w:rPr>
              <w:t>B</w:t>
            </w:r>
            <w:r>
              <w:rPr>
                <w:rFonts w:hint="eastAsia" w:ascii="宋体" w:hAnsi="宋体"/>
                <w:sz w:val="18"/>
                <w:szCs w:val="18"/>
              </w:rPr>
              <w:t>、</w:t>
            </w:r>
            <w:r>
              <w:rPr>
                <w:sz w:val="18"/>
                <w:szCs w:val="18"/>
              </w:rPr>
              <w:t>1</w:t>
            </w:r>
            <w:r>
              <w:rPr>
                <w:rFonts w:hint="eastAsia" w:ascii="宋体" w:hAnsi="宋体"/>
                <w:sz w:val="18"/>
                <w:szCs w:val="18"/>
              </w:rPr>
              <w:t>次≤发现不及时份数</w:t>
            </w:r>
            <w:r>
              <w:rPr>
                <w:sz w:val="18"/>
                <w:szCs w:val="18"/>
              </w:rPr>
              <w:t>N</w:t>
            </w:r>
            <w:r>
              <w:rPr>
                <w:rFonts w:hint="eastAsia" w:ascii="宋体" w:hAnsi="宋体"/>
                <w:sz w:val="18"/>
                <w:szCs w:val="18"/>
              </w:rPr>
              <w:t>≤</w:t>
            </w:r>
            <w:r>
              <w:rPr>
                <w:sz w:val="18"/>
                <w:szCs w:val="18"/>
              </w:rPr>
              <w:t>2</w:t>
            </w:r>
            <w:r>
              <w:rPr>
                <w:rFonts w:hint="eastAsia" w:ascii="宋体" w:hAnsi="宋体"/>
                <w:sz w:val="18"/>
                <w:szCs w:val="18"/>
              </w:rPr>
              <w:t>次</w:t>
            </w:r>
            <w:r>
              <w:rPr>
                <w:sz w:val="18"/>
                <w:szCs w:val="18"/>
              </w:rPr>
              <w:t>(3</w:t>
            </w:r>
            <w:r>
              <w:rPr>
                <w:rFonts w:hint="eastAsia" w:ascii="宋体" w:hAnsi="宋体"/>
                <w:sz w:val="18"/>
                <w:szCs w:val="18"/>
              </w:rPr>
              <w:t>分</w:t>
            </w:r>
            <w:r>
              <w:rPr>
                <w:sz w:val="18"/>
                <w:szCs w:val="18"/>
              </w:rPr>
              <w:t>)</w:t>
            </w:r>
            <w:r>
              <w:rPr>
                <w:rFonts w:hint="eastAsia" w:ascii="宋体" w:hAnsi="宋体"/>
                <w:sz w:val="18"/>
                <w:szCs w:val="18"/>
              </w:rPr>
              <w:t>；</w:t>
            </w:r>
            <w:r>
              <w:rPr>
                <w:sz w:val="18"/>
                <w:szCs w:val="18"/>
              </w:rPr>
              <w:t>C</w:t>
            </w:r>
            <w:r>
              <w:rPr>
                <w:rFonts w:hint="eastAsia" w:ascii="宋体" w:hAnsi="宋体"/>
                <w:sz w:val="18"/>
                <w:szCs w:val="18"/>
              </w:rPr>
              <w:t>、</w:t>
            </w:r>
            <w:r>
              <w:rPr>
                <w:sz w:val="18"/>
                <w:szCs w:val="18"/>
              </w:rPr>
              <w:t>2</w:t>
            </w:r>
            <w:r>
              <w:rPr>
                <w:rFonts w:hint="eastAsia" w:ascii="宋体" w:hAnsi="宋体"/>
                <w:sz w:val="18"/>
                <w:szCs w:val="18"/>
              </w:rPr>
              <w:t>次＜</w:t>
            </w:r>
            <w:r>
              <w:rPr>
                <w:sz w:val="18"/>
                <w:szCs w:val="18"/>
              </w:rPr>
              <w:t>N</w:t>
            </w:r>
            <w:r>
              <w:rPr>
                <w:rFonts w:hint="eastAsia" w:ascii="宋体" w:hAnsi="宋体"/>
                <w:sz w:val="18"/>
                <w:szCs w:val="18"/>
              </w:rPr>
              <w:t>≤</w:t>
            </w:r>
            <w:r>
              <w:rPr>
                <w:sz w:val="18"/>
                <w:szCs w:val="18"/>
              </w:rPr>
              <w:t>3</w:t>
            </w:r>
            <w:r>
              <w:rPr>
                <w:rFonts w:hint="eastAsia" w:ascii="宋体" w:hAnsi="宋体"/>
                <w:sz w:val="18"/>
                <w:szCs w:val="18"/>
              </w:rPr>
              <w:t>次</w:t>
            </w:r>
            <w:r>
              <w:rPr>
                <w:sz w:val="18"/>
                <w:szCs w:val="18"/>
              </w:rPr>
              <w:t>(1</w:t>
            </w:r>
            <w:r>
              <w:rPr>
                <w:rFonts w:hint="eastAsia" w:ascii="宋体" w:hAnsi="宋体"/>
                <w:sz w:val="18"/>
                <w:szCs w:val="18"/>
              </w:rPr>
              <w:t>分</w:t>
            </w:r>
            <w:r>
              <w:rPr>
                <w:sz w:val="18"/>
                <w:szCs w:val="18"/>
              </w:rPr>
              <w:t>)</w:t>
            </w:r>
            <w:r>
              <w:rPr>
                <w:rFonts w:hint="eastAsia" w:ascii="宋体" w:hAnsi="宋体"/>
                <w:sz w:val="18"/>
                <w:szCs w:val="18"/>
              </w:rPr>
              <w:t>；</w:t>
            </w:r>
            <w:r>
              <w:rPr>
                <w:sz w:val="18"/>
                <w:szCs w:val="18"/>
              </w:rPr>
              <w:t>D</w:t>
            </w:r>
            <w:r>
              <w:rPr>
                <w:rFonts w:hint="eastAsia" w:ascii="宋体" w:hAnsi="宋体"/>
                <w:sz w:val="18"/>
                <w:szCs w:val="18"/>
              </w:rPr>
              <w:t>、</w:t>
            </w:r>
            <w:r>
              <w:rPr>
                <w:sz w:val="18"/>
                <w:szCs w:val="18"/>
              </w:rPr>
              <w:t>N</w:t>
            </w:r>
            <w:r>
              <w:rPr>
                <w:rFonts w:hint="eastAsia" w:ascii="宋体" w:hAnsi="宋体"/>
                <w:sz w:val="18"/>
                <w:szCs w:val="18"/>
              </w:rPr>
              <w:t>＞</w:t>
            </w:r>
            <w:r>
              <w:rPr>
                <w:sz w:val="18"/>
                <w:szCs w:val="18"/>
              </w:rPr>
              <w:t>3</w:t>
            </w:r>
            <w:r>
              <w:rPr>
                <w:rFonts w:hint="eastAsia" w:ascii="宋体" w:hAnsi="宋体"/>
                <w:sz w:val="18"/>
                <w:szCs w:val="18"/>
              </w:rPr>
              <w:t>次</w:t>
            </w:r>
            <w:r>
              <w:rPr>
                <w:sz w:val="18"/>
                <w:szCs w:val="18"/>
              </w:rPr>
              <w:t>(0</w:t>
            </w:r>
            <w:r>
              <w:rPr>
                <w:rFonts w:hint="eastAsia" w:ascii="宋体" w:hAnsi="宋体"/>
                <w:sz w:val="18"/>
                <w:szCs w:val="18"/>
              </w:rPr>
              <w:t>分</w:t>
            </w:r>
            <w:r>
              <w:rPr>
                <w:sz w:val="18"/>
                <w:szCs w:val="18"/>
              </w:rPr>
              <w:t>)</w:t>
            </w:r>
          </w:p>
        </w:tc>
        <w:tc>
          <w:tcPr>
            <w:tcW w:w="992" w:type="dxa"/>
            <w:tcBorders>
              <w:top w:val="nil"/>
              <w:left w:val="nil"/>
              <w:bottom w:val="single" w:color="auto" w:sz="4" w:space="0"/>
              <w:right w:val="single" w:color="auto" w:sz="4" w:space="0"/>
            </w:tcBorders>
            <w:noWrap/>
            <w:vAlign w:val="bottom"/>
          </w:tcPr>
          <w:p w14:paraId="13312FE6">
            <w:pPr>
              <w:rPr>
                <w:rFonts w:hint="eastAsia" w:ascii="宋体" w:hAnsi="宋体" w:cs="宋体"/>
                <w:sz w:val="24"/>
              </w:rPr>
            </w:pPr>
            <w:r>
              <w:rPr>
                <w:rFonts w:hint="eastAsia" w:ascii="宋体" w:hAnsi="宋体" w:cs="宋体"/>
                <w:sz w:val="24"/>
              </w:rPr>
              <w:t>　</w:t>
            </w:r>
          </w:p>
        </w:tc>
        <w:tc>
          <w:tcPr>
            <w:tcW w:w="1418" w:type="dxa"/>
            <w:tcBorders>
              <w:top w:val="nil"/>
              <w:left w:val="nil"/>
              <w:bottom w:val="single" w:color="auto" w:sz="4" w:space="0"/>
              <w:right w:val="single" w:color="auto" w:sz="4" w:space="0"/>
            </w:tcBorders>
            <w:noWrap/>
            <w:vAlign w:val="bottom"/>
          </w:tcPr>
          <w:p w14:paraId="56C9095C">
            <w:pPr>
              <w:rPr>
                <w:rFonts w:hint="eastAsia" w:ascii="宋体" w:hAnsi="宋体" w:cs="宋体"/>
                <w:sz w:val="24"/>
              </w:rPr>
            </w:pPr>
            <w:r>
              <w:rPr>
                <w:rFonts w:hint="eastAsia" w:ascii="宋体" w:hAnsi="宋体" w:cs="宋体"/>
                <w:sz w:val="24"/>
              </w:rPr>
              <w:t>　</w:t>
            </w:r>
          </w:p>
        </w:tc>
        <w:tc>
          <w:tcPr>
            <w:tcW w:w="1440" w:type="dxa"/>
            <w:tcBorders>
              <w:top w:val="nil"/>
              <w:left w:val="nil"/>
              <w:bottom w:val="single" w:color="auto" w:sz="4" w:space="0"/>
              <w:right w:val="single" w:color="auto" w:sz="4" w:space="0"/>
            </w:tcBorders>
            <w:noWrap/>
            <w:vAlign w:val="bottom"/>
          </w:tcPr>
          <w:p w14:paraId="0AA806BC">
            <w:pPr>
              <w:rPr>
                <w:rFonts w:hint="eastAsia" w:ascii="宋体" w:hAnsi="宋体" w:cs="宋体"/>
                <w:sz w:val="24"/>
              </w:rPr>
            </w:pPr>
            <w:r>
              <w:rPr>
                <w:rFonts w:hint="eastAsia" w:ascii="宋体" w:hAnsi="宋体" w:cs="宋体"/>
                <w:sz w:val="24"/>
              </w:rPr>
              <w:t>　</w:t>
            </w:r>
          </w:p>
        </w:tc>
      </w:tr>
      <w:tr w14:paraId="3A7119CF">
        <w:tblPrEx>
          <w:tblCellMar>
            <w:top w:w="0" w:type="dxa"/>
            <w:left w:w="108" w:type="dxa"/>
            <w:bottom w:w="0" w:type="dxa"/>
            <w:right w:w="108" w:type="dxa"/>
          </w:tblCellMar>
        </w:tblPrEx>
        <w:trPr>
          <w:trHeight w:val="655" w:hRule="atLeast"/>
          <w:jc w:val="center"/>
        </w:trPr>
        <w:tc>
          <w:tcPr>
            <w:tcW w:w="700" w:type="dxa"/>
            <w:tcBorders>
              <w:top w:val="nil"/>
              <w:left w:val="single" w:color="auto" w:sz="4" w:space="0"/>
              <w:bottom w:val="single" w:color="auto" w:sz="4" w:space="0"/>
              <w:right w:val="single" w:color="auto" w:sz="4" w:space="0"/>
            </w:tcBorders>
            <w:shd w:val="clear" w:color="000000" w:fill="FFFFFF"/>
            <w:vAlign w:val="center"/>
          </w:tcPr>
          <w:p w14:paraId="3BB0556B">
            <w:pPr>
              <w:jc w:val="center"/>
            </w:pPr>
            <w:r>
              <w:t>2</w:t>
            </w:r>
          </w:p>
        </w:tc>
        <w:tc>
          <w:tcPr>
            <w:tcW w:w="1442" w:type="dxa"/>
            <w:vMerge w:val="continue"/>
            <w:tcBorders>
              <w:top w:val="nil"/>
              <w:left w:val="single" w:color="auto" w:sz="4" w:space="0"/>
              <w:bottom w:val="single" w:color="auto" w:sz="4" w:space="0"/>
              <w:right w:val="single" w:color="auto" w:sz="4" w:space="0"/>
            </w:tcBorders>
            <w:shd w:val="clear" w:color="auto" w:fill="auto"/>
            <w:vAlign w:val="center"/>
          </w:tcPr>
          <w:p w14:paraId="1C7B0B28">
            <w:pPr>
              <w:rPr>
                <w:rFonts w:hint="eastAsia" w:ascii="宋体" w:hAnsi="宋体" w:cs="宋体"/>
              </w:rPr>
            </w:pPr>
          </w:p>
        </w:tc>
        <w:tc>
          <w:tcPr>
            <w:tcW w:w="2280" w:type="dxa"/>
            <w:tcBorders>
              <w:top w:val="nil"/>
              <w:left w:val="nil"/>
              <w:bottom w:val="single" w:color="auto" w:sz="4" w:space="0"/>
              <w:right w:val="single" w:color="auto" w:sz="4" w:space="0"/>
            </w:tcBorders>
            <w:shd w:val="clear" w:color="000000" w:fill="FFFFFF"/>
            <w:vAlign w:val="center"/>
          </w:tcPr>
          <w:p w14:paraId="1F429BB5">
            <w:pPr>
              <w:jc w:val="center"/>
              <w:rPr>
                <w:rFonts w:hint="eastAsia" w:ascii="宋体" w:hAnsi="宋体" w:cs="宋体"/>
              </w:rPr>
            </w:pPr>
            <w:r>
              <w:rPr>
                <w:rFonts w:hint="eastAsia" w:ascii="宋体" w:hAnsi="宋体" w:cs="宋体"/>
              </w:rPr>
              <w:t>变更签证估算与结算、进度款审核准确性</w:t>
            </w:r>
          </w:p>
        </w:tc>
        <w:tc>
          <w:tcPr>
            <w:tcW w:w="1139" w:type="dxa"/>
            <w:tcBorders>
              <w:top w:val="nil"/>
              <w:left w:val="nil"/>
              <w:bottom w:val="single" w:color="auto" w:sz="4" w:space="0"/>
              <w:right w:val="single" w:color="auto" w:sz="4" w:space="0"/>
            </w:tcBorders>
            <w:shd w:val="clear" w:color="000000" w:fill="FFFFFF"/>
            <w:vAlign w:val="center"/>
          </w:tcPr>
          <w:p w14:paraId="416E923F">
            <w:pPr>
              <w:jc w:val="center"/>
              <w:rPr>
                <w:rFonts w:hint="eastAsia" w:ascii="宋体" w:hAnsi="宋体" w:cs="宋体"/>
              </w:rPr>
            </w:pPr>
            <w:r>
              <w:rPr>
                <w:rFonts w:hint="eastAsia" w:ascii="宋体" w:hAnsi="宋体" w:cs="宋体"/>
              </w:rPr>
              <w:t>5</w:t>
            </w:r>
          </w:p>
        </w:tc>
        <w:tc>
          <w:tcPr>
            <w:tcW w:w="5369" w:type="dxa"/>
            <w:tcBorders>
              <w:top w:val="nil"/>
              <w:left w:val="nil"/>
              <w:bottom w:val="single" w:color="auto" w:sz="4" w:space="0"/>
              <w:right w:val="single" w:color="auto" w:sz="4" w:space="0"/>
            </w:tcBorders>
            <w:shd w:val="clear" w:color="000000" w:fill="FFFFFF"/>
            <w:vAlign w:val="center"/>
          </w:tcPr>
          <w:p w14:paraId="75A6181B">
            <w:pPr>
              <w:rPr>
                <w:sz w:val="18"/>
                <w:szCs w:val="18"/>
              </w:rPr>
            </w:pPr>
            <w:r>
              <w:rPr>
                <w:sz w:val="18"/>
                <w:szCs w:val="18"/>
              </w:rPr>
              <w:t>A</w:t>
            </w:r>
            <w:r>
              <w:rPr>
                <w:rFonts w:hint="eastAsia" w:ascii="宋体" w:hAnsi="宋体"/>
                <w:sz w:val="18"/>
                <w:szCs w:val="18"/>
              </w:rPr>
              <w:t>、准确</w:t>
            </w:r>
            <w:r>
              <w:rPr>
                <w:sz w:val="18"/>
                <w:szCs w:val="18"/>
              </w:rPr>
              <w:t>(5</w:t>
            </w:r>
            <w:r>
              <w:rPr>
                <w:rFonts w:hint="eastAsia" w:ascii="宋体" w:hAnsi="宋体"/>
                <w:sz w:val="18"/>
                <w:szCs w:val="18"/>
              </w:rPr>
              <w:t>分</w:t>
            </w:r>
            <w:r>
              <w:rPr>
                <w:sz w:val="18"/>
                <w:szCs w:val="18"/>
              </w:rPr>
              <w:t>)</w:t>
            </w:r>
            <w:r>
              <w:rPr>
                <w:rFonts w:hint="eastAsia" w:ascii="宋体" w:hAnsi="宋体"/>
                <w:sz w:val="18"/>
                <w:szCs w:val="18"/>
              </w:rPr>
              <w:t>；</w:t>
            </w:r>
            <w:r>
              <w:rPr>
                <w:sz w:val="18"/>
                <w:szCs w:val="18"/>
              </w:rPr>
              <w:t>B</w:t>
            </w:r>
            <w:r>
              <w:rPr>
                <w:rFonts w:hint="eastAsia" w:ascii="宋体" w:hAnsi="宋体"/>
                <w:sz w:val="18"/>
                <w:szCs w:val="18"/>
              </w:rPr>
              <w:t>、</w:t>
            </w:r>
            <w:r>
              <w:rPr>
                <w:sz w:val="18"/>
                <w:szCs w:val="18"/>
              </w:rPr>
              <w:t>1</w:t>
            </w:r>
            <w:r>
              <w:rPr>
                <w:rFonts w:hint="eastAsia" w:ascii="宋体" w:hAnsi="宋体"/>
                <w:sz w:val="18"/>
                <w:szCs w:val="18"/>
              </w:rPr>
              <w:t>次≤发现不符合要求N≤</w:t>
            </w:r>
            <w:r>
              <w:rPr>
                <w:sz w:val="18"/>
                <w:szCs w:val="18"/>
              </w:rPr>
              <w:t>2</w:t>
            </w:r>
            <w:r>
              <w:rPr>
                <w:rFonts w:hint="eastAsia" w:ascii="宋体" w:hAnsi="宋体"/>
                <w:sz w:val="18"/>
                <w:szCs w:val="18"/>
              </w:rPr>
              <w:t>次</w:t>
            </w:r>
            <w:r>
              <w:rPr>
                <w:sz w:val="18"/>
                <w:szCs w:val="18"/>
              </w:rPr>
              <w:t>(3</w:t>
            </w:r>
            <w:r>
              <w:rPr>
                <w:rFonts w:hint="eastAsia" w:ascii="宋体" w:hAnsi="宋体"/>
                <w:sz w:val="18"/>
                <w:szCs w:val="18"/>
              </w:rPr>
              <w:t>分</w:t>
            </w:r>
            <w:r>
              <w:rPr>
                <w:sz w:val="18"/>
                <w:szCs w:val="18"/>
              </w:rPr>
              <w:t>)</w:t>
            </w:r>
            <w:r>
              <w:rPr>
                <w:rFonts w:hint="eastAsia" w:ascii="宋体" w:hAnsi="宋体"/>
                <w:sz w:val="18"/>
                <w:szCs w:val="18"/>
              </w:rPr>
              <w:t>；</w:t>
            </w:r>
            <w:r>
              <w:rPr>
                <w:sz w:val="18"/>
                <w:szCs w:val="18"/>
              </w:rPr>
              <w:t>C</w:t>
            </w:r>
            <w:r>
              <w:rPr>
                <w:rFonts w:hint="eastAsia" w:ascii="宋体" w:hAnsi="宋体"/>
                <w:sz w:val="18"/>
                <w:szCs w:val="18"/>
              </w:rPr>
              <w:t>、</w:t>
            </w:r>
            <w:r>
              <w:rPr>
                <w:sz w:val="18"/>
                <w:szCs w:val="18"/>
              </w:rPr>
              <w:t>2</w:t>
            </w:r>
            <w:r>
              <w:rPr>
                <w:rFonts w:hint="eastAsia" w:ascii="宋体" w:hAnsi="宋体"/>
                <w:sz w:val="18"/>
                <w:szCs w:val="18"/>
              </w:rPr>
              <w:t>次＜N≤3次</w:t>
            </w:r>
            <w:r>
              <w:rPr>
                <w:sz w:val="18"/>
                <w:szCs w:val="18"/>
              </w:rPr>
              <w:t>(1</w:t>
            </w:r>
            <w:r>
              <w:rPr>
                <w:rFonts w:hint="eastAsia" w:ascii="宋体" w:hAnsi="宋体"/>
                <w:sz w:val="18"/>
                <w:szCs w:val="18"/>
              </w:rPr>
              <w:t>分</w:t>
            </w:r>
            <w:r>
              <w:rPr>
                <w:sz w:val="18"/>
                <w:szCs w:val="18"/>
              </w:rPr>
              <w:t>)</w:t>
            </w:r>
            <w:r>
              <w:rPr>
                <w:rFonts w:hint="eastAsia" w:ascii="宋体" w:hAnsi="宋体"/>
                <w:sz w:val="18"/>
                <w:szCs w:val="18"/>
              </w:rPr>
              <w:t>；</w:t>
            </w:r>
            <w:r>
              <w:rPr>
                <w:sz w:val="18"/>
                <w:szCs w:val="18"/>
              </w:rPr>
              <w:t>D</w:t>
            </w:r>
            <w:r>
              <w:rPr>
                <w:rFonts w:hint="eastAsia" w:ascii="宋体" w:hAnsi="宋体"/>
                <w:sz w:val="18"/>
                <w:szCs w:val="18"/>
              </w:rPr>
              <w:t>、</w:t>
            </w:r>
            <w:r>
              <w:rPr>
                <w:sz w:val="18"/>
                <w:szCs w:val="18"/>
              </w:rPr>
              <w:t>N</w:t>
            </w:r>
            <w:r>
              <w:rPr>
                <w:rFonts w:hint="eastAsia" w:ascii="宋体" w:hAnsi="宋体"/>
                <w:sz w:val="18"/>
                <w:szCs w:val="18"/>
              </w:rPr>
              <w:t>＞</w:t>
            </w:r>
            <w:r>
              <w:rPr>
                <w:sz w:val="18"/>
                <w:szCs w:val="18"/>
              </w:rPr>
              <w:t>3</w:t>
            </w:r>
            <w:r>
              <w:rPr>
                <w:rFonts w:hint="eastAsia" w:ascii="宋体" w:hAnsi="宋体"/>
                <w:sz w:val="18"/>
                <w:szCs w:val="18"/>
              </w:rPr>
              <w:t>次</w:t>
            </w:r>
            <w:r>
              <w:rPr>
                <w:sz w:val="18"/>
                <w:szCs w:val="18"/>
              </w:rPr>
              <w:t>(0</w:t>
            </w:r>
            <w:r>
              <w:rPr>
                <w:rFonts w:hint="eastAsia" w:ascii="宋体" w:hAnsi="宋体"/>
                <w:sz w:val="18"/>
                <w:szCs w:val="18"/>
              </w:rPr>
              <w:t>分</w:t>
            </w:r>
            <w:r>
              <w:rPr>
                <w:sz w:val="18"/>
                <w:szCs w:val="18"/>
              </w:rPr>
              <w:t>)</w:t>
            </w:r>
          </w:p>
        </w:tc>
        <w:tc>
          <w:tcPr>
            <w:tcW w:w="992" w:type="dxa"/>
            <w:tcBorders>
              <w:top w:val="nil"/>
              <w:left w:val="nil"/>
              <w:bottom w:val="single" w:color="auto" w:sz="4" w:space="0"/>
              <w:right w:val="single" w:color="auto" w:sz="4" w:space="0"/>
            </w:tcBorders>
            <w:noWrap/>
            <w:vAlign w:val="bottom"/>
          </w:tcPr>
          <w:p w14:paraId="29E5DF22">
            <w:pPr>
              <w:rPr>
                <w:rFonts w:hint="eastAsia" w:ascii="宋体" w:hAnsi="宋体" w:cs="宋体"/>
                <w:sz w:val="24"/>
              </w:rPr>
            </w:pPr>
            <w:r>
              <w:rPr>
                <w:rFonts w:hint="eastAsia" w:ascii="宋体" w:hAnsi="宋体" w:cs="宋体"/>
                <w:sz w:val="24"/>
              </w:rPr>
              <w:t>　</w:t>
            </w:r>
          </w:p>
        </w:tc>
        <w:tc>
          <w:tcPr>
            <w:tcW w:w="1418" w:type="dxa"/>
            <w:tcBorders>
              <w:top w:val="nil"/>
              <w:left w:val="nil"/>
              <w:bottom w:val="single" w:color="auto" w:sz="4" w:space="0"/>
              <w:right w:val="single" w:color="auto" w:sz="4" w:space="0"/>
            </w:tcBorders>
            <w:noWrap/>
            <w:vAlign w:val="bottom"/>
          </w:tcPr>
          <w:p w14:paraId="49BEF914">
            <w:pPr>
              <w:rPr>
                <w:rFonts w:hint="eastAsia" w:ascii="宋体" w:hAnsi="宋体" w:cs="宋体"/>
                <w:sz w:val="24"/>
              </w:rPr>
            </w:pPr>
            <w:r>
              <w:rPr>
                <w:rFonts w:hint="eastAsia" w:ascii="宋体" w:hAnsi="宋体" w:cs="宋体"/>
                <w:sz w:val="24"/>
              </w:rPr>
              <w:t>　</w:t>
            </w:r>
          </w:p>
        </w:tc>
        <w:tc>
          <w:tcPr>
            <w:tcW w:w="1440" w:type="dxa"/>
            <w:tcBorders>
              <w:top w:val="nil"/>
              <w:left w:val="nil"/>
              <w:bottom w:val="single" w:color="auto" w:sz="4" w:space="0"/>
              <w:right w:val="single" w:color="auto" w:sz="4" w:space="0"/>
            </w:tcBorders>
            <w:noWrap/>
            <w:vAlign w:val="bottom"/>
          </w:tcPr>
          <w:p w14:paraId="2680E8DA">
            <w:pPr>
              <w:rPr>
                <w:rFonts w:hint="eastAsia" w:ascii="宋体" w:hAnsi="宋体" w:cs="宋体"/>
                <w:sz w:val="24"/>
              </w:rPr>
            </w:pPr>
            <w:r>
              <w:rPr>
                <w:rFonts w:hint="eastAsia" w:ascii="宋体" w:hAnsi="宋体" w:cs="宋体"/>
                <w:sz w:val="24"/>
              </w:rPr>
              <w:t>　</w:t>
            </w:r>
          </w:p>
        </w:tc>
      </w:tr>
      <w:tr w14:paraId="1558224D">
        <w:tblPrEx>
          <w:tblCellMar>
            <w:top w:w="0" w:type="dxa"/>
            <w:left w:w="108" w:type="dxa"/>
            <w:bottom w:w="0" w:type="dxa"/>
            <w:right w:w="108" w:type="dxa"/>
          </w:tblCellMar>
        </w:tblPrEx>
        <w:trPr>
          <w:trHeight w:val="285" w:hRule="atLeast"/>
          <w:jc w:val="center"/>
        </w:trPr>
        <w:tc>
          <w:tcPr>
            <w:tcW w:w="2142" w:type="dxa"/>
            <w:gridSpan w:val="2"/>
            <w:tcBorders>
              <w:top w:val="single" w:color="auto" w:sz="4" w:space="0"/>
              <w:left w:val="single" w:color="auto" w:sz="4" w:space="0"/>
              <w:bottom w:val="single" w:color="auto" w:sz="4" w:space="0"/>
              <w:right w:val="single" w:color="auto" w:sz="4" w:space="0"/>
            </w:tcBorders>
            <w:shd w:val="clear" w:color="000000" w:fill="CCFFFF"/>
            <w:vAlign w:val="center"/>
          </w:tcPr>
          <w:p w14:paraId="10D48958">
            <w:pPr>
              <w:rPr>
                <w:rFonts w:hint="eastAsia" w:ascii="黑体" w:hAnsi="黑体" w:eastAsia="黑体" w:cs="宋体"/>
                <w:b/>
                <w:bCs/>
              </w:rPr>
            </w:pPr>
            <w:r>
              <w:rPr>
                <w:rFonts w:hint="eastAsia" w:ascii="黑体" w:hAnsi="黑体" w:eastAsia="黑体" w:cs="宋体"/>
                <w:b/>
                <w:bCs/>
                <w:lang w:val="en-US" w:eastAsia="zh-CN"/>
              </w:rPr>
              <w:t>五</w:t>
            </w:r>
            <w:r>
              <w:rPr>
                <w:rFonts w:hint="eastAsia" w:ascii="黑体" w:hAnsi="黑体" w:eastAsia="黑体" w:cs="宋体"/>
                <w:b/>
                <w:bCs/>
              </w:rPr>
              <w:t>、概预结算管理</w:t>
            </w:r>
          </w:p>
        </w:tc>
        <w:tc>
          <w:tcPr>
            <w:tcW w:w="2280" w:type="dxa"/>
            <w:tcBorders>
              <w:top w:val="nil"/>
              <w:left w:val="nil"/>
              <w:bottom w:val="single" w:color="auto" w:sz="4" w:space="0"/>
              <w:right w:val="single" w:color="auto" w:sz="4" w:space="0"/>
            </w:tcBorders>
            <w:shd w:val="clear" w:color="000000" w:fill="CCFFFF"/>
            <w:vAlign w:val="center"/>
          </w:tcPr>
          <w:p w14:paraId="15F9CBEE">
            <w:pPr>
              <w:jc w:val="center"/>
              <w:rPr>
                <w:rFonts w:hint="eastAsia" w:ascii="宋体" w:hAnsi="宋体" w:cs="宋体"/>
                <w:b/>
                <w:bCs/>
              </w:rPr>
            </w:pPr>
            <w:r>
              <w:rPr>
                <w:rFonts w:hint="eastAsia" w:ascii="宋体" w:hAnsi="宋体" w:cs="宋体"/>
                <w:b/>
                <w:bCs/>
              </w:rPr>
              <w:t>　</w:t>
            </w:r>
          </w:p>
        </w:tc>
        <w:tc>
          <w:tcPr>
            <w:tcW w:w="1139" w:type="dxa"/>
            <w:tcBorders>
              <w:top w:val="nil"/>
              <w:left w:val="nil"/>
              <w:bottom w:val="single" w:color="auto" w:sz="4" w:space="0"/>
              <w:right w:val="single" w:color="auto" w:sz="4" w:space="0"/>
            </w:tcBorders>
            <w:shd w:val="clear" w:color="000000" w:fill="CCFFFF"/>
            <w:vAlign w:val="center"/>
          </w:tcPr>
          <w:p w14:paraId="3712777E">
            <w:pPr>
              <w:jc w:val="center"/>
              <w:rPr>
                <w:rFonts w:hint="eastAsia" w:ascii="宋体" w:hAnsi="宋体" w:cs="宋体"/>
                <w:b/>
                <w:bCs/>
              </w:rPr>
            </w:pPr>
            <w:r>
              <w:rPr>
                <w:rFonts w:hint="eastAsia" w:ascii="宋体" w:hAnsi="宋体" w:cs="宋体"/>
                <w:b/>
                <w:bCs/>
              </w:rPr>
              <w:t>10%</w:t>
            </w:r>
          </w:p>
        </w:tc>
        <w:tc>
          <w:tcPr>
            <w:tcW w:w="5369" w:type="dxa"/>
            <w:tcBorders>
              <w:top w:val="nil"/>
              <w:left w:val="nil"/>
              <w:bottom w:val="single" w:color="auto" w:sz="4" w:space="0"/>
              <w:right w:val="single" w:color="auto" w:sz="4" w:space="0"/>
            </w:tcBorders>
            <w:shd w:val="clear" w:color="000000" w:fill="CCFFFF"/>
            <w:vAlign w:val="center"/>
          </w:tcPr>
          <w:p w14:paraId="1879B8B5">
            <w:pPr>
              <w:rPr>
                <w:rFonts w:hint="eastAsia" w:ascii="宋体" w:hAnsi="宋体" w:cs="宋体"/>
                <w:b/>
                <w:bCs/>
              </w:rPr>
            </w:pPr>
            <w:r>
              <w:rPr>
                <w:rFonts w:hint="eastAsia" w:ascii="宋体" w:hAnsi="宋体" w:cs="宋体"/>
                <w:b/>
                <w:bCs/>
              </w:rPr>
              <w:t>　</w:t>
            </w:r>
          </w:p>
        </w:tc>
        <w:tc>
          <w:tcPr>
            <w:tcW w:w="992" w:type="dxa"/>
            <w:tcBorders>
              <w:top w:val="nil"/>
              <w:left w:val="nil"/>
              <w:bottom w:val="single" w:color="auto" w:sz="4" w:space="0"/>
              <w:right w:val="single" w:color="auto" w:sz="4" w:space="0"/>
            </w:tcBorders>
            <w:shd w:val="clear" w:color="000000" w:fill="CCFFFF"/>
            <w:vAlign w:val="center"/>
          </w:tcPr>
          <w:p w14:paraId="3E202B41">
            <w:pPr>
              <w:jc w:val="center"/>
              <w:rPr>
                <w:rFonts w:hint="eastAsia" w:ascii="宋体" w:hAnsi="宋体" w:cs="宋体"/>
                <w:b/>
                <w:bCs/>
              </w:rPr>
            </w:pPr>
            <w:r>
              <w:rPr>
                <w:rFonts w:hint="eastAsia" w:ascii="宋体" w:hAnsi="宋体" w:cs="宋体"/>
                <w:b/>
                <w:bCs/>
              </w:rPr>
              <w:t>　</w:t>
            </w:r>
          </w:p>
        </w:tc>
        <w:tc>
          <w:tcPr>
            <w:tcW w:w="1418" w:type="dxa"/>
            <w:tcBorders>
              <w:top w:val="nil"/>
              <w:left w:val="nil"/>
              <w:bottom w:val="single" w:color="auto" w:sz="4" w:space="0"/>
              <w:right w:val="single" w:color="auto" w:sz="4" w:space="0"/>
            </w:tcBorders>
            <w:shd w:val="clear" w:color="000000" w:fill="CCFFFF"/>
            <w:vAlign w:val="center"/>
          </w:tcPr>
          <w:p w14:paraId="34FA51D8">
            <w:pPr>
              <w:jc w:val="center"/>
              <w:rPr>
                <w:rFonts w:hint="eastAsia" w:ascii="宋体" w:hAnsi="宋体" w:cs="宋体"/>
                <w:b/>
                <w:bCs/>
              </w:rPr>
            </w:pPr>
            <w:r>
              <w:rPr>
                <w:rFonts w:hint="eastAsia" w:ascii="宋体" w:hAnsi="宋体" w:cs="宋体"/>
                <w:b/>
                <w:bCs/>
              </w:rPr>
              <w:t>　</w:t>
            </w:r>
          </w:p>
        </w:tc>
        <w:tc>
          <w:tcPr>
            <w:tcW w:w="1440" w:type="dxa"/>
            <w:tcBorders>
              <w:top w:val="nil"/>
              <w:left w:val="nil"/>
              <w:bottom w:val="single" w:color="auto" w:sz="4" w:space="0"/>
              <w:right w:val="single" w:color="auto" w:sz="4" w:space="0"/>
            </w:tcBorders>
            <w:shd w:val="clear" w:color="000000" w:fill="CCFFFF"/>
            <w:vAlign w:val="center"/>
          </w:tcPr>
          <w:p w14:paraId="107005DE">
            <w:pPr>
              <w:jc w:val="center"/>
              <w:rPr>
                <w:rFonts w:hint="eastAsia" w:ascii="宋体" w:hAnsi="宋体" w:cs="宋体"/>
                <w:b/>
                <w:bCs/>
              </w:rPr>
            </w:pPr>
            <w:r>
              <w:rPr>
                <w:rFonts w:hint="eastAsia" w:ascii="宋体" w:hAnsi="宋体" w:cs="宋体"/>
                <w:b/>
                <w:bCs/>
              </w:rPr>
              <w:t>　</w:t>
            </w:r>
          </w:p>
        </w:tc>
      </w:tr>
      <w:tr w14:paraId="0D89D703">
        <w:tblPrEx>
          <w:tblCellMar>
            <w:top w:w="0" w:type="dxa"/>
            <w:left w:w="108" w:type="dxa"/>
            <w:bottom w:w="0" w:type="dxa"/>
            <w:right w:w="108" w:type="dxa"/>
          </w:tblCellMar>
        </w:tblPrEx>
        <w:trPr>
          <w:trHeight w:val="721" w:hRule="atLeast"/>
          <w:jc w:val="center"/>
        </w:trPr>
        <w:tc>
          <w:tcPr>
            <w:tcW w:w="700" w:type="dxa"/>
            <w:tcBorders>
              <w:top w:val="nil"/>
              <w:left w:val="single" w:color="auto" w:sz="4" w:space="0"/>
              <w:bottom w:val="single" w:color="auto" w:sz="4" w:space="0"/>
              <w:right w:val="single" w:color="auto" w:sz="4" w:space="0"/>
            </w:tcBorders>
            <w:shd w:val="clear" w:color="000000" w:fill="FFFFFF"/>
            <w:vAlign w:val="center"/>
          </w:tcPr>
          <w:p w14:paraId="3FD6F3B2">
            <w:pPr>
              <w:jc w:val="center"/>
            </w:pPr>
            <w:r>
              <w:t>1</w:t>
            </w:r>
          </w:p>
        </w:tc>
        <w:tc>
          <w:tcPr>
            <w:tcW w:w="1442" w:type="dxa"/>
            <w:vMerge w:val="restart"/>
            <w:tcBorders>
              <w:top w:val="nil"/>
              <w:left w:val="single" w:color="auto" w:sz="4" w:space="0"/>
              <w:bottom w:val="single" w:color="auto" w:sz="4" w:space="0"/>
              <w:right w:val="single" w:color="auto" w:sz="4" w:space="0"/>
            </w:tcBorders>
            <w:shd w:val="clear" w:color="000000" w:fill="FFFFFF"/>
            <w:vAlign w:val="center"/>
          </w:tcPr>
          <w:p w14:paraId="5B8F2287">
            <w:pPr>
              <w:jc w:val="center"/>
              <w:rPr>
                <w:rFonts w:hint="eastAsia" w:ascii="宋体" w:hAnsi="宋体" w:cs="宋体"/>
              </w:rPr>
            </w:pPr>
            <w:r>
              <w:rPr>
                <w:rFonts w:hint="eastAsia" w:ascii="宋体" w:hAnsi="宋体" w:cs="宋体"/>
              </w:rPr>
              <w:t>概预结算管理</w:t>
            </w:r>
          </w:p>
        </w:tc>
        <w:tc>
          <w:tcPr>
            <w:tcW w:w="2280" w:type="dxa"/>
            <w:tcBorders>
              <w:top w:val="nil"/>
              <w:left w:val="nil"/>
              <w:bottom w:val="single" w:color="auto" w:sz="4" w:space="0"/>
              <w:right w:val="single" w:color="auto" w:sz="4" w:space="0"/>
            </w:tcBorders>
            <w:shd w:val="clear" w:color="000000" w:fill="FFFFFF"/>
            <w:vAlign w:val="center"/>
          </w:tcPr>
          <w:p w14:paraId="002FCBD9">
            <w:pPr>
              <w:jc w:val="center"/>
              <w:rPr>
                <w:rFonts w:hint="eastAsia" w:ascii="宋体" w:hAnsi="宋体" w:cs="宋体"/>
              </w:rPr>
            </w:pPr>
            <w:r>
              <w:rPr>
                <w:rFonts w:hint="eastAsia" w:ascii="宋体" w:hAnsi="宋体" w:cs="宋体"/>
              </w:rPr>
              <w:t>概预结算及时性</w:t>
            </w:r>
          </w:p>
        </w:tc>
        <w:tc>
          <w:tcPr>
            <w:tcW w:w="1139" w:type="dxa"/>
            <w:tcBorders>
              <w:top w:val="nil"/>
              <w:left w:val="nil"/>
              <w:bottom w:val="single" w:color="auto" w:sz="4" w:space="0"/>
              <w:right w:val="single" w:color="auto" w:sz="4" w:space="0"/>
            </w:tcBorders>
            <w:shd w:val="clear" w:color="000000" w:fill="FFFFFF"/>
            <w:vAlign w:val="center"/>
          </w:tcPr>
          <w:p w14:paraId="36ADC6D4">
            <w:pPr>
              <w:jc w:val="center"/>
              <w:rPr>
                <w:rFonts w:hint="eastAsia" w:ascii="宋体" w:hAnsi="宋体" w:cs="宋体"/>
              </w:rPr>
            </w:pPr>
            <w:r>
              <w:rPr>
                <w:rFonts w:hint="eastAsia" w:ascii="宋体" w:hAnsi="宋体" w:cs="宋体"/>
              </w:rPr>
              <w:t>5</w:t>
            </w:r>
          </w:p>
        </w:tc>
        <w:tc>
          <w:tcPr>
            <w:tcW w:w="5369" w:type="dxa"/>
            <w:tcBorders>
              <w:top w:val="nil"/>
              <w:left w:val="nil"/>
              <w:bottom w:val="single" w:color="auto" w:sz="4" w:space="0"/>
              <w:right w:val="single" w:color="auto" w:sz="4" w:space="0"/>
            </w:tcBorders>
            <w:shd w:val="clear" w:color="000000" w:fill="FFFFFF"/>
            <w:vAlign w:val="center"/>
          </w:tcPr>
          <w:p w14:paraId="6FE36B5D">
            <w:pPr>
              <w:rPr>
                <w:sz w:val="18"/>
                <w:szCs w:val="18"/>
              </w:rPr>
            </w:pPr>
            <w:r>
              <w:rPr>
                <w:sz w:val="18"/>
                <w:szCs w:val="18"/>
              </w:rPr>
              <w:t>A</w:t>
            </w:r>
            <w:r>
              <w:rPr>
                <w:rFonts w:hint="eastAsia" w:ascii="宋体" w:hAnsi="宋体"/>
                <w:sz w:val="18"/>
                <w:szCs w:val="18"/>
              </w:rPr>
              <w:t>、按概预结算计划完成</w:t>
            </w:r>
            <w:r>
              <w:rPr>
                <w:sz w:val="18"/>
                <w:szCs w:val="18"/>
              </w:rPr>
              <w:t>(5</w:t>
            </w:r>
            <w:r>
              <w:rPr>
                <w:rFonts w:hint="eastAsia" w:ascii="宋体" w:hAnsi="宋体"/>
                <w:sz w:val="18"/>
                <w:szCs w:val="18"/>
              </w:rPr>
              <w:t>分</w:t>
            </w:r>
            <w:r>
              <w:rPr>
                <w:sz w:val="18"/>
                <w:szCs w:val="18"/>
              </w:rPr>
              <w:t>)</w:t>
            </w:r>
            <w:r>
              <w:rPr>
                <w:rFonts w:hint="eastAsia" w:ascii="宋体" w:hAnsi="宋体"/>
                <w:sz w:val="18"/>
                <w:szCs w:val="18"/>
              </w:rPr>
              <w:t>；</w:t>
            </w:r>
            <w:r>
              <w:rPr>
                <w:sz w:val="18"/>
                <w:szCs w:val="18"/>
              </w:rPr>
              <w:t>B</w:t>
            </w:r>
            <w:r>
              <w:rPr>
                <w:rFonts w:hint="eastAsia" w:ascii="宋体" w:hAnsi="宋体"/>
                <w:sz w:val="18"/>
                <w:szCs w:val="18"/>
              </w:rPr>
              <w:t>、</w:t>
            </w:r>
            <w:r>
              <w:rPr>
                <w:sz w:val="18"/>
                <w:szCs w:val="18"/>
              </w:rPr>
              <w:t>1</w:t>
            </w:r>
            <w:r>
              <w:rPr>
                <w:rFonts w:hint="eastAsia" w:ascii="宋体" w:hAnsi="宋体"/>
                <w:sz w:val="18"/>
                <w:szCs w:val="18"/>
              </w:rPr>
              <w:t>次≤发现不及时份数</w:t>
            </w:r>
            <w:r>
              <w:rPr>
                <w:sz w:val="18"/>
                <w:szCs w:val="18"/>
              </w:rPr>
              <w:t>N</w:t>
            </w:r>
            <w:r>
              <w:rPr>
                <w:rFonts w:hint="eastAsia" w:ascii="宋体" w:hAnsi="宋体"/>
                <w:sz w:val="18"/>
                <w:szCs w:val="18"/>
              </w:rPr>
              <w:t>≤</w:t>
            </w:r>
            <w:r>
              <w:rPr>
                <w:sz w:val="18"/>
                <w:szCs w:val="18"/>
              </w:rPr>
              <w:t>2</w:t>
            </w:r>
            <w:r>
              <w:rPr>
                <w:rFonts w:hint="eastAsia" w:ascii="宋体" w:hAnsi="宋体"/>
                <w:sz w:val="18"/>
                <w:szCs w:val="18"/>
              </w:rPr>
              <w:t>次</w:t>
            </w:r>
            <w:r>
              <w:rPr>
                <w:sz w:val="18"/>
                <w:szCs w:val="18"/>
              </w:rPr>
              <w:t>(3</w:t>
            </w:r>
            <w:r>
              <w:rPr>
                <w:rFonts w:hint="eastAsia" w:ascii="宋体" w:hAnsi="宋体"/>
                <w:sz w:val="18"/>
                <w:szCs w:val="18"/>
              </w:rPr>
              <w:t>分</w:t>
            </w:r>
            <w:r>
              <w:rPr>
                <w:sz w:val="18"/>
                <w:szCs w:val="18"/>
              </w:rPr>
              <w:t>)</w:t>
            </w:r>
            <w:r>
              <w:rPr>
                <w:rFonts w:hint="eastAsia" w:ascii="宋体" w:hAnsi="宋体"/>
                <w:sz w:val="18"/>
                <w:szCs w:val="18"/>
              </w:rPr>
              <w:t>；</w:t>
            </w:r>
            <w:r>
              <w:rPr>
                <w:sz w:val="18"/>
                <w:szCs w:val="18"/>
              </w:rPr>
              <w:t>C</w:t>
            </w:r>
            <w:r>
              <w:rPr>
                <w:rFonts w:hint="eastAsia" w:ascii="宋体" w:hAnsi="宋体"/>
                <w:sz w:val="18"/>
                <w:szCs w:val="18"/>
              </w:rPr>
              <w:t>、</w:t>
            </w:r>
            <w:r>
              <w:rPr>
                <w:sz w:val="18"/>
                <w:szCs w:val="18"/>
              </w:rPr>
              <w:t>2</w:t>
            </w:r>
            <w:r>
              <w:rPr>
                <w:rFonts w:hint="eastAsia" w:ascii="宋体" w:hAnsi="宋体"/>
                <w:sz w:val="18"/>
                <w:szCs w:val="18"/>
              </w:rPr>
              <w:t>次＜</w:t>
            </w:r>
            <w:r>
              <w:rPr>
                <w:sz w:val="18"/>
                <w:szCs w:val="18"/>
              </w:rPr>
              <w:t>N</w:t>
            </w:r>
            <w:r>
              <w:rPr>
                <w:rFonts w:hint="eastAsia" w:ascii="宋体" w:hAnsi="宋体"/>
                <w:sz w:val="18"/>
                <w:szCs w:val="18"/>
              </w:rPr>
              <w:t>≤</w:t>
            </w:r>
            <w:r>
              <w:rPr>
                <w:sz w:val="18"/>
                <w:szCs w:val="18"/>
              </w:rPr>
              <w:t>3</w:t>
            </w:r>
            <w:r>
              <w:rPr>
                <w:rFonts w:hint="eastAsia" w:ascii="宋体" w:hAnsi="宋体"/>
                <w:sz w:val="18"/>
                <w:szCs w:val="18"/>
              </w:rPr>
              <w:t>次</w:t>
            </w:r>
            <w:r>
              <w:rPr>
                <w:sz w:val="18"/>
                <w:szCs w:val="18"/>
              </w:rPr>
              <w:t>(1</w:t>
            </w:r>
            <w:r>
              <w:rPr>
                <w:rFonts w:hint="eastAsia" w:ascii="宋体" w:hAnsi="宋体"/>
                <w:sz w:val="18"/>
                <w:szCs w:val="18"/>
              </w:rPr>
              <w:t>分</w:t>
            </w:r>
            <w:r>
              <w:rPr>
                <w:sz w:val="18"/>
                <w:szCs w:val="18"/>
              </w:rPr>
              <w:t>)</w:t>
            </w:r>
            <w:r>
              <w:rPr>
                <w:rFonts w:hint="eastAsia" w:ascii="宋体" w:hAnsi="宋体"/>
                <w:sz w:val="18"/>
                <w:szCs w:val="18"/>
              </w:rPr>
              <w:t>；</w:t>
            </w:r>
            <w:r>
              <w:rPr>
                <w:sz w:val="18"/>
                <w:szCs w:val="18"/>
              </w:rPr>
              <w:t>D</w:t>
            </w:r>
            <w:r>
              <w:rPr>
                <w:rFonts w:hint="eastAsia" w:ascii="宋体" w:hAnsi="宋体"/>
                <w:sz w:val="18"/>
                <w:szCs w:val="18"/>
              </w:rPr>
              <w:t>、</w:t>
            </w:r>
            <w:r>
              <w:rPr>
                <w:sz w:val="18"/>
                <w:szCs w:val="18"/>
              </w:rPr>
              <w:t>N</w:t>
            </w:r>
            <w:r>
              <w:rPr>
                <w:rFonts w:hint="eastAsia" w:ascii="宋体" w:hAnsi="宋体"/>
                <w:sz w:val="18"/>
                <w:szCs w:val="18"/>
              </w:rPr>
              <w:t>＞</w:t>
            </w:r>
            <w:r>
              <w:rPr>
                <w:sz w:val="18"/>
                <w:szCs w:val="18"/>
              </w:rPr>
              <w:t>3</w:t>
            </w:r>
            <w:r>
              <w:rPr>
                <w:rFonts w:hint="eastAsia" w:ascii="宋体" w:hAnsi="宋体"/>
                <w:sz w:val="18"/>
                <w:szCs w:val="18"/>
              </w:rPr>
              <w:t>次</w:t>
            </w:r>
            <w:r>
              <w:rPr>
                <w:sz w:val="18"/>
                <w:szCs w:val="18"/>
              </w:rPr>
              <w:t>(0</w:t>
            </w:r>
            <w:r>
              <w:rPr>
                <w:rFonts w:hint="eastAsia" w:ascii="宋体" w:hAnsi="宋体"/>
                <w:sz w:val="18"/>
                <w:szCs w:val="18"/>
              </w:rPr>
              <w:t>分</w:t>
            </w:r>
            <w:r>
              <w:rPr>
                <w:sz w:val="18"/>
                <w:szCs w:val="18"/>
              </w:rPr>
              <w:t>)</w:t>
            </w:r>
          </w:p>
        </w:tc>
        <w:tc>
          <w:tcPr>
            <w:tcW w:w="992" w:type="dxa"/>
            <w:tcBorders>
              <w:top w:val="nil"/>
              <w:left w:val="nil"/>
              <w:bottom w:val="single" w:color="auto" w:sz="4" w:space="0"/>
              <w:right w:val="single" w:color="auto" w:sz="4" w:space="0"/>
            </w:tcBorders>
            <w:noWrap/>
            <w:vAlign w:val="bottom"/>
          </w:tcPr>
          <w:p w14:paraId="21ABF7DA">
            <w:pPr>
              <w:rPr>
                <w:rFonts w:hint="eastAsia" w:ascii="宋体" w:hAnsi="宋体" w:cs="宋体"/>
                <w:sz w:val="24"/>
              </w:rPr>
            </w:pPr>
            <w:r>
              <w:rPr>
                <w:rFonts w:hint="eastAsia" w:ascii="宋体" w:hAnsi="宋体" w:cs="宋体"/>
                <w:sz w:val="24"/>
              </w:rPr>
              <w:t>　</w:t>
            </w:r>
          </w:p>
        </w:tc>
        <w:tc>
          <w:tcPr>
            <w:tcW w:w="1418" w:type="dxa"/>
            <w:tcBorders>
              <w:top w:val="nil"/>
              <w:left w:val="nil"/>
              <w:bottom w:val="single" w:color="auto" w:sz="4" w:space="0"/>
              <w:right w:val="single" w:color="auto" w:sz="4" w:space="0"/>
            </w:tcBorders>
            <w:noWrap/>
            <w:vAlign w:val="bottom"/>
          </w:tcPr>
          <w:p w14:paraId="5218E33B">
            <w:pPr>
              <w:rPr>
                <w:rFonts w:hint="eastAsia" w:ascii="宋体" w:hAnsi="宋体" w:cs="宋体"/>
                <w:sz w:val="24"/>
              </w:rPr>
            </w:pPr>
            <w:r>
              <w:rPr>
                <w:rFonts w:hint="eastAsia" w:ascii="宋体" w:hAnsi="宋体" w:cs="宋体"/>
                <w:sz w:val="24"/>
              </w:rPr>
              <w:t>　</w:t>
            </w:r>
          </w:p>
        </w:tc>
        <w:tc>
          <w:tcPr>
            <w:tcW w:w="1440" w:type="dxa"/>
            <w:tcBorders>
              <w:top w:val="nil"/>
              <w:left w:val="nil"/>
              <w:bottom w:val="single" w:color="auto" w:sz="4" w:space="0"/>
              <w:right w:val="single" w:color="auto" w:sz="4" w:space="0"/>
            </w:tcBorders>
            <w:noWrap/>
            <w:vAlign w:val="bottom"/>
          </w:tcPr>
          <w:p w14:paraId="3D90AD71">
            <w:pPr>
              <w:rPr>
                <w:rFonts w:hint="eastAsia" w:ascii="宋体" w:hAnsi="宋体" w:cs="宋体"/>
                <w:sz w:val="24"/>
              </w:rPr>
            </w:pPr>
            <w:r>
              <w:rPr>
                <w:rFonts w:hint="eastAsia" w:ascii="宋体" w:hAnsi="宋体" w:cs="宋体"/>
                <w:sz w:val="24"/>
              </w:rPr>
              <w:t>　</w:t>
            </w:r>
          </w:p>
        </w:tc>
      </w:tr>
      <w:tr w14:paraId="5EE06903">
        <w:tblPrEx>
          <w:tblCellMar>
            <w:top w:w="0" w:type="dxa"/>
            <w:left w:w="108" w:type="dxa"/>
            <w:bottom w:w="0" w:type="dxa"/>
            <w:right w:w="108" w:type="dxa"/>
          </w:tblCellMar>
        </w:tblPrEx>
        <w:trPr>
          <w:trHeight w:val="872" w:hRule="atLeast"/>
          <w:jc w:val="center"/>
        </w:trPr>
        <w:tc>
          <w:tcPr>
            <w:tcW w:w="700" w:type="dxa"/>
            <w:tcBorders>
              <w:top w:val="nil"/>
              <w:left w:val="single" w:color="auto" w:sz="4" w:space="0"/>
              <w:bottom w:val="single" w:color="auto" w:sz="4" w:space="0"/>
              <w:right w:val="single" w:color="auto" w:sz="4" w:space="0"/>
            </w:tcBorders>
            <w:shd w:val="clear" w:color="000000" w:fill="FFFFFF"/>
            <w:vAlign w:val="center"/>
          </w:tcPr>
          <w:p w14:paraId="4D5AB01A">
            <w:pPr>
              <w:jc w:val="center"/>
              <w:rPr>
                <w:rFonts w:hint="eastAsia" w:ascii="宋体" w:hAnsi="宋体" w:cs="宋体"/>
              </w:rPr>
            </w:pPr>
            <w:r>
              <w:rPr>
                <w:rFonts w:hint="eastAsia" w:ascii="宋体" w:hAnsi="宋体" w:cs="宋体"/>
              </w:rPr>
              <w:t>2</w:t>
            </w:r>
          </w:p>
        </w:tc>
        <w:tc>
          <w:tcPr>
            <w:tcW w:w="1442" w:type="dxa"/>
            <w:vMerge w:val="continue"/>
            <w:tcBorders>
              <w:top w:val="nil"/>
              <w:left w:val="single" w:color="auto" w:sz="4" w:space="0"/>
              <w:bottom w:val="single" w:color="auto" w:sz="4" w:space="0"/>
              <w:right w:val="single" w:color="auto" w:sz="4" w:space="0"/>
            </w:tcBorders>
            <w:shd w:val="clear" w:color="auto" w:fill="auto"/>
            <w:vAlign w:val="center"/>
          </w:tcPr>
          <w:p w14:paraId="12088CAD">
            <w:pPr>
              <w:rPr>
                <w:rFonts w:hint="eastAsia" w:ascii="宋体" w:hAnsi="宋体" w:cs="宋体"/>
              </w:rPr>
            </w:pPr>
          </w:p>
        </w:tc>
        <w:tc>
          <w:tcPr>
            <w:tcW w:w="2280" w:type="dxa"/>
            <w:tcBorders>
              <w:top w:val="nil"/>
              <w:left w:val="nil"/>
              <w:bottom w:val="single" w:color="auto" w:sz="4" w:space="0"/>
              <w:right w:val="single" w:color="auto" w:sz="4" w:space="0"/>
            </w:tcBorders>
            <w:shd w:val="clear" w:color="000000" w:fill="FFFFFF"/>
            <w:vAlign w:val="center"/>
          </w:tcPr>
          <w:p w14:paraId="08E5850F">
            <w:pPr>
              <w:jc w:val="center"/>
              <w:rPr>
                <w:rFonts w:hint="eastAsia" w:ascii="宋体" w:hAnsi="宋体" w:cs="宋体"/>
              </w:rPr>
            </w:pPr>
            <w:r>
              <w:rPr>
                <w:rFonts w:hint="eastAsia" w:ascii="宋体" w:hAnsi="宋体" w:cs="宋体"/>
              </w:rPr>
              <w:t>概预结算准确性</w:t>
            </w:r>
          </w:p>
        </w:tc>
        <w:tc>
          <w:tcPr>
            <w:tcW w:w="1139" w:type="dxa"/>
            <w:tcBorders>
              <w:top w:val="nil"/>
              <w:left w:val="nil"/>
              <w:bottom w:val="single" w:color="auto" w:sz="4" w:space="0"/>
              <w:right w:val="single" w:color="auto" w:sz="4" w:space="0"/>
            </w:tcBorders>
            <w:shd w:val="clear" w:color="000000" w:fill="FFFFFF"/>
            <w:vAlign w:val="center"/>
          </w:tcPr>
          <w:p w14:paraId="6FA6594D">
            <w:pPr>
              <w:jc w:val="center"/>
              <w:rPr>
                <w:rFonts w:hint="eastAsia" w:ascii="宋体" w:hAnsi="宋体" w:cs="宋体"/>
              </w:rPr>
            </w:pPr>
            <w:r>
              <w:rPr>
                <w:rFonts w:hint="eastAsia" w:ascii="宋体" w:hAnsi="宋体" w:cs="宋体"/>
              </w:rPr>
              <w:t>5</w:t>
            </w:r>
          </w:p>
        </w:tc>
        <w:tc>
          <w:tcPr>
            <w:tcW w:w="5369" w:type="dxa"/>
            <w:tcBorders>
              <w:top w:val="nil"/>
              <w:left w:val="nil"/>
              <w:bottom w:val="single" w:color="auto" w:sz="4" w:space="0"/>
              <w:right w:val="single" w:color="auto" w:sz="4" w:space="0"/>
            </w:tcBorders>
            <w:shd w:val="clear" w:color="000000" w:fill="FFFFFF"/>
            <w:vAlign w:val="center"/>
          </w:tcPr>
          <w:p w14:paraId="000F56FC">
            <w:pPr>
              <w:rPr>
                <w:sz w:val="18"/>
                <w:szCs w:val="18"/>
              </w:rPr>
            </w:pPr>
            <w:r>
              <w:rPr>
                <w:sz w:val="18"/>
                <w:szCs w:val="18"/>
              </w:rPr>
              <w:t>A</w:t>
            </w:r>
            <w:r>
              <w:rPr>
                <w:rFonts w:hint="eastAsia" w:ascii="宋体" w:hAnsi="宋体"/>
                <w:sz w:val="18"/>
                <w:szCs w:val="18"/>
              </w:rPr>
              <w:t>、概预结算准确</w:t>
            </w:r>
            <w:r>
              <w:rPr>
                <w:sz w:val="18"/>
                <w:szCs w:val="18"/>
              </w:rPr>
              <w:t>(5</w:t>
            </w:r>
            <w:r>
              <w:rPr>
                <w:rFonts w:hint="eastAsia" w:ascii="宋体" w:hAnsi="宋体"/>
                <w:sz w:val="18"/>
                <w:szCs w:val="18"/>
              </w:rPr>
              <w:t>分</w:t>
            </w:r>
            <w:r>
              <w:rPr>
                <w:sz w:val="18"/>
                <w:szCs w:val="18"/>
              </w:rPr>
              <w:t>)</w:t>
            </w:r>
            <w:r>
              <w:rPr>
                <w:rFonts w:hint="eastAsia" w:ascii="宋体" w:hAnsi="宋体"/>
                <w:sz w:val="18"/>
                <w:szCs w:val="18"/>
              </w:rPr>
              <w:t>；</w:t>
            </w:r>
            <w:r>
              <w:rPr>
                <w:sz w:val="18"/>
                <w:szCs w:val="18"/>
              </w:rPr>
              <w:t>B</w:t>
            </w:r>
            <w:r>
              <w:rPr>
                <w:rFonts w:hint="eastAsia" w:ascii="宋体" w:hAnsi="宋体"/>
                <w:sz w:val="18"/>
                <w:szCs w:val="18"/>
              </w:rPr>
              <w:t>、</w:t>
            </w:r>
            <w:r>
              <w:rPr>
                <w:sz w:val="18"/>
                <w:szCs w:val="18"/>
              </w:rPr>
              <w:t>1</w:t>
            </w:r>
            <w:r>
              <w:rPr>
                <w:rFonts w:hint="eastAsia" w:ascii="宋体" w:hAnsi="宋体"/>
                <w:sz w:val="18"/>
                <w:szCs w:val="18"/>
              </w:rPr>
              <w:t>次≤发现概预结算错误次数</w:t>
            </w:r>
            <w:r>
              <w:rPr>
                <w:sz w:val="18"/>
                <w:szCs w:val="18"/>
              </w:rPr>
              <w:t>N</w:t>
            </w:r>
            <w:r>
              <w:rPr>
                <w:rFonts w:hint="eastAsia" w:ascii="宋体" w:hAnsi="宋体"/>
                <w:sz w:val="18"/>
                <w:szCs w:val="18"/>
              </w:rPr>
              <w:t>≤</w:t>
            </w:r>
            <w:r>
              <w:rPr>
                <w:sz w:val="18"/>
                <w:szCs w:val="18"/>
              </w:rPr>
              <w:t>2</w:t>
            </w:r>
            <w:r>
              <w:rPr>
                <w:rFonts w:hint="eastAsia" w:ascii="宋体" w:hAnsi="宋体"/>
                <w:sz w:val="18"/>
                <w:szCs w:val="18"/>
              </w:rPr>
              <w:t>次，且错误金额绝对值累计</w:t>
            </w:r>
            <w:r>
              <w:rPr>
                <w:sz w:val="18"/>
                <w:szCs w:val="18"/>
              </w:rPr>
              <w:t>M</w:t>
            </w:r>
            <w:r>
              <w:rPr>
                <w:rFonts w:hint="eastAsia" w:ascii="宋体" w:hAnsi="宋体"/>
                <w:sz w:val="18"/>
                <w:szCs w:val="18"/>
              </w:rPr>
              <w:t>≤</w:t>
            </w:r>
            <w:r>
              <w:rPr>
                <w:sz w:val="18"/>
                <w:szCs w:val="18"/>
              </w:rPr>
              <w:t>1</w:t>
            </w:r>
            <w:r>
              <w:rPr>
                <w:rFonts w:hint="eastAsia" w:ascii="宋体" w:hAnsi="宋体"/>
                <w:sz w:val="18"/>
                <w:szCs w:val="18"/>
              </w:rPr>
              <w:t>万元</w:t>
            </w:r>
            <w:r>
              <w:rPr>
                <w:sz w:val="18"/>
                <w:szCs w:val="18"/>
              </w:rPr>
              <w:t>(3</w:t>
            </w:r>
            <w:r>
              <w:rPr>
                <w:rFonts w:hint="eastAsia" w:ascii="宋体" w:hAnsi="宋体"/>
                <w:sz w:val="18"/>
                <w:szCs w:val="18"/>
              </w:rPr>
              <w:t>分</w:t>
            </w:r>
            <w:r>
              <w:rPr>
                <w:sz w:val="18"/>
                <w:szCs w:val="18"/>
              </w:rPr>
              <w:t>)</w:t>
            </w:r>
            <w:r>
              <w:rPr>
                <w:rFonts w:hint="eastAsia" w:ascii="宋体" w:hAnsi="宋体"/>
                <w:sz w:val="18"/>
                <w:szCs w:val="18"/>
              </w:rPr>
              <w:t>；</w:t>
            </w:r>
            <w:r>
              <w:rPr>
                <w:sz w:val="18"/>
                <w:szCs w:val="18"/>
              </w:rPr>
              <w:t>C</w:t>
            </w:r>
            <w:r>
              <w:rPr>
                <w:rFonts w:hint="eastAsia" w:ascii="宋体" w:hAnsi="宋体"/>
                <w:sz w:val="18"/>
                <w:szCs w:val="18"/>
              </w:rPr>
              <w:t>、</w:t>
            </w:r>
            <w:r>
              <w:rPr>
                <w:sz w:val="18"/>
                <w:szCs w:val="18"/>
              </w:rPr>
              <w:t>2</w:t>
            </w:r>
            <w:r>
              <w:rPr>
                <w:rFonts w:hint="eastAsia" w:ascii="宋体" w:hAnsi="宋体"/>
                <w:sz w:val="18"/>
                <w:szCs w:val="18"/>
              </w:rPr>
              <w:t>次＜</w:t>
            </w:r>
            <w:r>
              <w:rPr>
                <w:sz w:val="18"/>
                <w:szCs w:val="18"/>
              </w:rPr>
              <w:t>N</w:t>
            </w:r>
            <w:r>
              <w:rPr>
                <w:rFonts w:hint="eastAsia" w:ascii="宋体" w:hAnsi="宋体"/>
                <w:sz w:val="18"/>
                <w:szCs w:val="18"/>
              </w:rPr>
              <w:t>≤</w:t>
            </w:r>
            <w:r>
              <w:rPr>
                <w:sz w:val="18"/>
                <w:szCs w:val="18"/>
              </w:rPr>
              <w:t>4</w:t>
            </w:r>
            <w:r>
              <w:rPr>
                <w:rFonts w:hint="eastAsia" w:ascii="宋体" w:hAnsi="宋体"/>
                <w:sz w:val="18"/>
                <w:szCs w:val="18"/>
              </w:rPr>
              <w:t>次，</w:t>
            </w:r>
            <w:r>
              <w:rPr>
                <w:sz w:val="18"/>
                <w:szCs w:val="18"/>
              </w:rPr>
              <w:t>1</w:t>
            </w:r>
            <w:r>
              <w:rPr>
                <w:rFonts w:hint="eastAsia" w:ascii="宋体" w:hAnsi="宋体"/>
                <w:sz w:val="18"/>
                <w:szCs w:val="18"/>
              </w:rPr>
              <w:t>万元＜</w:t>
            </w:r>
            <w:r>
              <w:rPr>
                <w:sz w:val="18"/>
                <w:szCs w:val="18"/>
              </w:rPr>
              <w:t>M</w:t>
            </w:r>
            <w:r>
              <w:rPr>
                <w:rFonts w:hint="eastAsia" w:ascii="宋体" w:hAnsi="宋体"/>
                <w:sz w:val="18"/>
                <w:szCs w:val="18"/>
              </w:rPr>
              <w:t>≤</w:t>
            </w:r>
            <w:r>
              <w:rPr>
                <w:sz w:val="18"/>
                <w:szCs w:val="18"/>
              </w:rPr>
              <w:t>2</w:t>
            </w:r>
            <w:r>
              <w:rPr>
                <w:rFonts w:hint="eastAsia" w:ascii="宋体" w:hAnsi="宋体"/>
                <w:sz w:val="18"/>
                <w:szCs w:val="18"/>
              </w:rPr>
              <w:t>万元</w:t>
            </w:r>
            <w:r>
              <w:rPr>
                <w:sz w:val="18"/>
                <w:szCs w:val="18"/>
              </w:rPr>
              <w:t>(1</w:t>
            </w:r>
            <w:r>
              <w:rPr>
                <w:rFonts w:hint="eastAsia" w:ascii="宋体" w:hAnsi="宋体"/>
                <w:sz w:val="18"/>
                <w:szCs w:val="18"/>
              </w:rPr>
              <w:t>分</w:t>
            </w:r>
            <w:r>
              <w:rPr>
                <w:sz w:val="18"/>
                <w:szCs w:val="18"/>
              </w:rPr>
              <w:t>)</w:t>
            </w:r>
            <w:r>
              <w:rPr>
                <w:rFonts w:hint="eastAsia" w:ascii="宋体" w:hAnsi="宋体"/>
                <w:sz w:val="18"/>
                <w:szCs w:val="18"/>
              </w:rPr>
              <w:t>；</w:t>
            </w:r>
            <w:r>
              <w:rPr>
                <w:sz w:val="18"/>
                <w:szCs w:val="18"/>
              </w:rPr>
              <w:t>D</w:t>
            </w:r>
            <w:r>
              <w:rPr>
                <w:rFonts w:hint="eastAsia" w:ascii="宋体" w:hAnsi="宋体"/>
                <w:sz w:val="18"/>
                <w:szCs w:val="18"/>
              </w:rPr>
              <w:t>、</w:t>
            </w:r>
            <w:r>
              <w:rPr>
                <w:sz w:val="18"/>
                <w:szCs w:val="18"/>
              </w:rPr>
              <w:t>N</w:t>
            </w:r>
            <w:r>
              <w:rPr>
                <w:rFonts w:hint="eastAsia" w:ascii="宋体" w:hAnsi="宋体"/>
                <w:sz w:val="18"/>
                <w:szCs w:val="18"/>
              </w:rPr>
              <w:t>＞</w:t>
            </w:r>
            <w:r>
              <w:rPr>
                <w:sz w:val="18"/>
                <w:szCs w:val="18"/>
              </w:rPr>
              <w:t>4</w:t>
            </w:r>
            <w:r>
              <w:rPr>
                <w:rFonts w:hint="eastAsia" w:ascii="宋体" w:hAnsi="宋体"/>
                <w:sz w:val="18"/>
                <w:szCs w:val="18"/>
              </w:rPr>
              <w:t>次，或</w:t>
            </w:r>
            <w:r>
              <w:rPr>
                <w:sz w:val="18"/>
                <w:szCs w:val="18"/>
              </w:rPr>
              <w:t>M</w:t>
            </w:r>
            <w:r>
              <w:rPr>
                <w:rFonts w:hint="eastAsia" w:ascii="宋体" w:hAnsi="宋体"/>
                <w:sz w:val="18"/>
                <w:szCs w:val="18"/>
              </w:rPr>
              <w:t>＞</w:t>
            </w:r>
            <w:r>
              <w:rPr>
                <w:sz w:val="18"/>
                <w:szCs w:val="18"/>
              </w:rPr>
              <w:t>2</w:t>
            </w:r>
            <w:r>
              <w:rPr>
                <w:rFonts w:hint="eastAsia" w:ascii="宋体" w:hAnsi="宋体"/>
                <w:sz w:val="18"/>
                <w:szCs w:val="18"/>
              </w:rPr>
              <w:t>万元</w:t>
            </w:r>
            <w:r>
              <w:rPr>
                <w:sz w:val="18"/>
                <w:szCs w:val="18"/>
              </w:rPr>
              <w:t>(0</w:t>
            </w:r>
            <w:r>
              <w:rPr>
                <w:rFonts w:hint="eastAsia" w:ascii="宋体" w:hAnsi="宋体"/>
                <w:sz w:val="18"/>
                <w:szCs w:val="18"/>
              </w:rPr>
              <w:t>分</w:t>
            </w:r>
            <w:r>
              <w:rPr>
                <w:sz w:val="18"/>
                <w:szCs w:val="18"/>
              </w:rPr>
              <w:t>)</w:t>
            </w:r>
          </w:p>
        </w:tc>
        <w:tc>
          <w:tcPr>
            <w:tcW w:w="992" w:type="dxa"/>
            <w:tcBorders>
              <w:top w:val="nil"/>
              <w:left w:val="nil"/>
              <w:bottom w:val="single" w:color="auto" w:sz="4" w:space="0"/>
              <w:right w:val="single" w:color="auto" w:sz="4" w:space="0"/>
            </w:tcBorders>
            <w:noWrap/>
            <w:vAlign w:val="bottom"/>
          </w:tcPr>
          <w:p w14:paraId="62D47C47">
            <w:pPr>
              <w:rPr>
                <w:rFonts w:hint="eastAsia" w:ascii="宋体" w:hAnsi="宋体" w:cs="宋体"/>
                <w:sz w:val="24"/>
              </w:rPr>
            </w:pPr>
            <w:r>
              <w:rPr>
                <w:rFonts w:hint="eastAsia" w:ascii="宋体" w:hAnsi="宋体" w:cs="宋体"/>
                <w:sz w:val="24"/>
              </w:rPr>
              <w:t>　</w:t>
            </w:r>
          </w:p>
        </w:tc>
        <w:tc>
          <w:tcPr>
            <w:tcW w:w="1418" w:type="dxa"/>
            <w:tcBorders>
              <w:top w:val="nil"/>
              <w:left w:val="nil"/>
              <w:bottom w:val="single" w:color="auto" w:sz="4" w:space="0"/>
              <w:right w:val="single" w:color="auto" w:sz="4" w:space="0"/>
            </w:tcBorders>
            <w:noWrap/>
            <w:vAlign w:val="bottom"/>
          </w:tcPr>
          <w:p w14:paraId="195CAEB9">
            <w:pPr>
              <w:rPr>
                <w:rFonts w:hint="eastAsia" w:ascii="宋体" w:hAnsi="宋体" w:cs="宋体"/>
                <w:sz w:val="24"/>
              </w:rPr>
            </w:pPr>
            <w:r>
              <w:rPr>
                <w:rFonts w:hint="eastAsia" w:ascii="宋体" w:hAnsi="宋体" w:cs="宋体"/>
                <w:sz w:val="24"/>
              </w:rPr>
              <w:t>　</w:t>
            </w:r>
          </w:p>
        </w:tc>
        <w:tc>
          <w:tcPr>
            <w:tcW w:w="1440" w:type="dxa"/>
            <w:tcBorders>
              <w:top w:val="nil"/>
              <w:left w:val="nil"/>
              <w:bottom w:val="single" w:color="auto" w:sz="4" w:space="0"/>
              <w:right w:val="single" w:color="auto" w:sz="4" w:space="0"/>
            </w:tcBorders>
            <w:noWrap/>
            <w:vAlign w:val="bottom"/>
          </w:tcPr>
          <w:p w14:paraId="2983F4BC">
            <w:pPr>
              <w:rPr>
                <w:rFonts w:hint="eastAsia" w:ascii="宋体" w:hAnsi="宋体" w:cs="宋体"/>
                <w:sz w:val="24"/>
              </w:rPr>
            </w:pPr>
            <w:r>
              <w:rPr>
                <w:rFonts w:hint="eastAsia" w:ascii="宋体" w:hAnsi="宋体" w:cs="宋体"/>
                <w:sz w:val="24"/>
              </w:rPr>
              <w:t>　</w:t>
            </w:r>
          </w:p>
        </w:tc>
      </w:tr>
      <w:tr w14:paraId="564DEDAA">
        <w:tblPrEx>
          <w:tblCellMar>
            <w:top w:w="0" w:type="dxa"/>
            <w:left w:w="108" w:type="dxa"/>
            <w:bottom w:w="0" w:type="dxa"/>
            <w:right w:w="108" w:type="dxa"/>
          </w:tblCellMar>
        </w:tblPrEx>
        <w:trPr>
          <w:trHeight w:val="285" w:hRule="atLeast"/>
          <w:jc w:val="center"/>
        </w:trPr>
        <w:tc>
          <w:tcPr>
            <w:tcW w:w="2142" w:type="dxa"/>
            <w:gridSpan w:val="2"/>
            <w:tcBorders>
              <w:top w:val="single" w:color="auto" w:sz="4" w:space="0"/>
              <w:left w:val="single" w:color="auto" w:sz="4" w:space="0"/>
              <w:bottom w:val="single" w:color="auto" w:sz="4" w:space="0"/>
              <w:right w:val="single" w:color="auto" w:sz="4" w:space="0"/>
            </w:tcBorders>
            <w:shd w:val="clear" w:color="000000" w:fill="CCFFFF"/>
            <w:vAlign w:val="center"/>
          </w:tcPr>
          <w:p w14:paraId="60F1FC79">
            <w:pPr>
              <w:rPr>
                <w:rFonts w:hint="eastAsia" w:ascii="黑体" w:hAnsi="黑体" w:eastAsia="黑体" w:cs="宋体"/>
                <w:b/>
                <w:bCs/>
              </w:rPr>
            </w:pPr>
            <w:r>
              <w:rPr>
                <w:rFonts w:hint="eastAsia" w:ascii="黑体" w:hAnsi="黑体" w:eastAsia="黑体" w:cs="宋体"/>
                <w:b/>
                <w:bCs/>
                <w:lang w:val="en-US" w:eastAsia="zh-CN"/>
              </w:rPr>
              <w:t>六</w:t>
            </w:r>
            <w:r>
              <w:rPr>
                <w:rFonts w:hint="eastAsia" w:ascii="黑体" w:hAnsi="黑体" w:eastAsia="黑体" w:cs="宋体"/>
                <w:b/>
                <w:bCs/>
              </w:rPr>
              <w:t>、资料完善度</w:t>
            </w:r>
          </w:p>
        </w:tc>
        <w:tc>
          <w:tcPr>
            <w:tcW w:w="2280" w:type="dxa"/>
            <w:tcBorders>
              <w:top w:val="nil"/>
              <w:left w:val="nil"/>
              <w:bottom w:val="single" w:color="auto" w:sz="4" w:space="0"/>
              <w:right w:val="single" w:color="auto" w:sz="4" w:space="0"/>
            </w:tcBorders>
            <w:shd w:val="clear" w:color="000000" w:fill="CCFFFF"/>
            <w:vAlign w:val="center"/>
          </w:tcPr>
          <w:p w14:paraId="7BF3D3AF">
            <w:pPr>
              <w:jc w:val="center"/>
              <w:rPr>
                <w:rFonts w:hint="eastAsia" w:ascii="宋体" w:hAnsi="宋体" w:cs="宋体"/>
                <w:b/>
                <w:bCs/>
              </w:rPr>
            </w:pPr>
            <w:r>
              <w:rPr>
                <w:rFonts w:hint="eastAsia" w:ascii="宋体" w:hAnsi="宋体" w:cs="宋体"/>
                <w:b/>
                <w:bCs/>
              </w:rPr>
              <w:t>　</w:t>
            </w:r>
          </w:p>
        </w:tc>
        <w:tc>
          <w:tcPr>
            <w:tcW w:w="1139" w:type="dxa"/>
            <w:tcBorders>
              <w:top w:val="nil"/>
              <w:left w:val="nil"/>
              <w:bottom w:val="single" w:color="auto" w:sz="4" w:space="0"/>
              <w:right w:val="single" w:color="auto" w:sz="4" w:space="0"/>
            </w:tcBorders>
            <w:shd w:val="clear" w:color="000000" w:fill="CCFFFF"/>
            <w:vAlign w:val="center"/>
          </w:tcPr>
          <w:p w14:paraId="158D7230">
            <w:pPr>
              <w:jc w:val="center"/>
              <w:rPr>
                <w:rFonts w:hint="eastAsia" w:ascii="宋体" w:hAnsi="宋体" w:cs="宋体"/>
                <w:b/>
                <w:bCs/>
              </w:rPr>
            </w:pPr>
            <w:r>
              <w:rPr>
                <w:rFonts w:hint="eastAsia" w:ascii="宋体" w:hAnsi="宋体" w:cs="宋体"/>
                <w:b/>
                <w:bCs/>
              </w:rPr>
              <w:t>10%</w:t>
            </w:r>
          </w:p>
        </w:tc>
        <w:tc>
          <w:tcPr>
            <w:tcW w:w="5369" w:type="dxa"/>
            <w:tcBorders>
              <w:top w:val="nil"/>
              <w:left w:val="nil"/>
              <w:bottom w:val="single" w:color="auto" w:sz="4" w:space="0"/>
              <w:right w:val="single" w:color="auto" w:sz="4" w:space="0"/>
            </w:tcBorders>
            <w:shd w:val="clear" w:color="000000" w:fill="CCFFFF"/>
            <w:vAlign w:val="center"/>
          </w:tcPr>
          <w:p w14:paraId="40FDB015">
            <w:pPr>
              <w:rPr>
                <w:rFonts w:hint="eastAsia" w:ascii="宋体" w:hAnsi="宋体" w:cs="宋体"/>
                <w:b/>
                <w:bCs/>
              </w:rPr>
            </w:pPr>
            <w:r>
              <w:rPr>
                <w:rFonts w:hint="eastAsia" w:ascii="宋体" w:hAnsi="宋体" w:cs="宋体"/>
                <w:b/>
                <w:bCs/>
              </w:rPr>
              <w:t>　</w:t>
            </w:r>
          </w:p>
        </w:tc>
        <w:tc>
          <w:tcPr>
            <w:tcW w:w="992" w:type="dxa"/>
            <w:tcBorders>
              <w:top w:val="nil"/>
              <w:left w:val="nil"/>
              <w:bottom w:val="single" w:color="auto" w:sz="4" w:space="0"/>
              <w:right w:val="single" w:color="auto" w:sz="4" w:space="0"/>
            </w:tcBorders>
            <w:shd w:val="clear" w:color="000000" w:fill="CCFFFF"/>
            <w:vAlign w:val="center"/>
          </w:tcPr>
          <w:p w14:paraId="68FDE2F5">
            <w:pPr>
              <w:jc w:val="center"/>
              <w:rPr>
                <w:rFonts w:hint="eastAsia" w:ascii="宋体" w:hAnsi="宋体" w:cs="宋体"/>
                <w:b/>
                <w:bCs/>
              </w:rPr>
            </w:pPr>
            <w:r>
              <w:rPr>
                <w:rFonts w:hint="eastAsia" w:ascii="宋体" w:hAnsi="宋体" w:cs="宋体"/>
                <w:b/>
                <w:bCs/>
              </w:rPr>
              <w:t>　</w:t>
            </w:r>
          </w:p>
        </w:tc>
        <w:tc>
          <w:tcPr>
            <w:tcW w:w="1418" w:type="dxa"/>
            <w:tcBorders>
              <w:top w:val="nil"/>
              <w:left w:val="nil"/>
              <w:bottom w:val="single" w:color="auto" w:sz="4" w:space="0"/>
              <w:right w:val="single" w:color="auto" w:sz="4" w:space="0"/>
            </w:tcBorders>
            <w:shd w:val="clear" w:color="000000" w:fill="CCFFFF"/>
            <w:vAlign w:val="center"/>
          </w:tcPr>
          <w:p w14:paraId="1E8E5F63">
            <w:pPr>
              <w:jc w:val="center"/>
              <w:rPr>
                <w:rFonts w:hint="eastAsia" w:ascii="宋体" w:hAnsi="宋体" w:cs="宋体"/>
                <w:b/>
                <w:bCs/>
              </w:rPr>
            </w:pPr>
            <w:r>
              <w:rPr>
                <w:rFonts w:hint="eastAsia" w:ascii="宋体" w:hAnsi="宋体" w:cs="宋体"/>
                <w:b/>
                <w:bCs/>
              </w:rPr>
              <w:t>　</w:t>
            </w:r>
          </w:p>
        </w:tc>
        <w:tc>
          <w:tcPr>
            <w:tcW w:w="1440" w:type="dxa"/>
            <w:tcBorders>
              <w:top w:val="nil"/>
              <w:left w:val="nil"/>
              <w:bottom w:val="single" w:color="auto" w:sz="4" w:space="0"/>
              <w:right w:val="single" w:color="auto" w:sz="4" w:space="0"/>
            </w:tcBorders>
            <w:shd w:val="clear" w:color="000000" w:fill="CCFFFF"/>
            <w:vAlign w:val="center"/>
          </w:tcPr>
          <w:p w14:paraId="36AC710E">
            <w:pPr>
              <w:jc w:val="center"/>
              <w:rPr>
                <w:rFonts w:hint="eastAsia" w:ascii="宋体" w:hAnsi="宋体" w:cs="宋体"/>
                <w:b/>
                <w:bCs/>
              </w:rPr>
            </w:pPr>
            <w:r>
              <w:rPr>
                <w:rFonts w:hint="eastAsia" w:ascii="宋体" w:hAnsi="宋体" w:cs="宋体"/>
                <w:b/>
                <w:bCs/>
              </w:rPr>
              <w:t>　</w:t>
            </w:r>
          </w:p>
        </w:tc>
      </w:tr>
      <w:tr w14:paraId="543815F2">
        <w:tblPrEx>
          <w:tblCellMar>
            <w:top w:w="0" w:type="dxa"/>
            <w:left w:w="108" w:type="dxa"/>
            <w:bottom w:w="0" w:type="dxa"/>
            <w:right w:w="108" w:type="dxa"/>
          </w:tblCellMar>
        </w:tblPrEx>
        <w:trPr>
          <w:trHeight w:val="735" w:hRule="atLeast"/>
          <w:jc w:val="center"/>
        </w:trPr>
        <w:tc>
          <w:tcPr>
            <w:tcW w:w="700" w:type="dxa"/>
            <w:tcBorders>
              <w:top w:val="nil"/>
              <w:left w:val="single" w:color="auto" w:sz="4" w:space="0"/>
              <w:bottom w:val="single" w:color="auto" w:sz="4" w:space="0"/>
              <w:right w:val="single" w:color="auto" w:sz="4" w:space="0"/>
            </w:tcBorders>
            <w:shd w:val="clear" w:color="000000" w:fill="FFFFFF"/>
            <w:vAlign w:val="center"/>
          </w:tcPr>
          <w:p w14:paraId="52EE048C">
            <w:pPr>
              <w:jc w:val="center"/>
            </w:pPr>
            <w:r>
              <w:t>1</w:t>
            </w:r>
          </w:p>
        </w:tc>
        <w:tc>
          <w:tcPr>
            <w:tcW w:w="1442" w:type="dxa"/>
            <w:vMerge w:val="restart"/>
            <w:tcBorders>
              <w:top w:val="nil"/>
              <w:left w:val="single" w:color="auto" w:sz="4" w:space="0"/>
              <w:bottom w:val="single" w:color="auto" w:sz="4" w:space="0"/>
              <w:right w:val="single" w:color="auto" w:sz="4" w:space="0"/>
            </w:tcBorders>
            <w:shd w:val="clear" w:color="000000" w:fill="FFFFFF"/>
            <w:vAlign w:val="center"/>
          </w:tcPr>
          <w:p w14:paraId="2A54BD4A">
            <w:pPr>
              <w:jc w:val="center"/>
              <w:rPr>
                <w:rFonts w:hint="eastAsia" w:ascii="宋体" w:hAnsi="宋体" w:cs="宋体"/>
              </w:rPr>
            </w:pPr>
            <w:r>
              <w:rPr>
                <w:rFonts w:hint="eastAsia" w:ascii="宋体" w:hAnsi="宋体" w:cs="宋体"/>
              </w:rPr>
              <w:t>合同、变更签证、结算台账管理及资料完善度</w:t>
            </w:r>
          </w:p>
        </w:tc>
        <w:tc>
          <w:tcPr>
            <w:tcW w:w="2280" w:type="dxa"/>
            <w:tcBorders>
              <w:top w:val="nil"/>
              <w:left w:val="nil"/>
              <w:bottom w:val="single" w:color="auto" w:sz="4" w:space="0"/>
              <w:right w:val="single" w:color="auto" w:sz="4" w:space="0"/>
            </w:tcBorders>
            <w:shd w:val="clear" w:color="000000" w:fill="FFFFFF"/>
            <w:vAlign w:val="center"/>
          </w:tcPr>
          <w:p w14:paraId="19DD96C0">
            <w:pPr>
              <w:jc w:val="center"/>
              <w:rPr>
                <w:rFonts w:hint="eastAsia" w:ascii="宋体" w:hAnsi="宋体" w:cs="宋体"/>
              </w:rPr>
            </w:pPr>
            <w:r>
              <w:rPr>
                <w:rFonts w:hint="eastAsia" w:ascii="宋体" w:hAnsi="宋体" w:cs="宋体"/>
              </w:rPr>
              <w:t>台账登录及时性</w:t>
            </w:r>
          </w:p>
        </w:tc>
        <w:tc>
          <w:tcPr>
            <w:tcW w:w="1139" w:type="dxa"/>
            <w:tcBorders>
              <w:top w:val="nil"/>
              <w:left w:val="nil"/>
              <w:bottom w:val="single" w:color="auto" w:sz="4" w:space="0"/>
              <w:right w:val="single" w:color="auto" w:sz="4" w:space="0"/>
            </w:tcBorders>
            <w:shd w:val="clear" w:color="000000" w:fill="FFFFFF"/>
            <w:vAlign w:val="center"/>
          </w:tcPr>
          <w:p w14:paraId="2CF53DE1">
            <w:pPr>
              <w:jc w:val="center"/>
              <w:rPr>
                <w:rFonts w:hint="eastAsia" w:ascii="宋体" w:hAnsi="宋体" w:cs="宋体"/>
              </w:rPr>
            </w:pPr>
            <w:r>
              <w:rPr>
                <w:rFonts w:hint="eastAsia" w:ascii="宋体" w:hAnsi="宋体" w:cs="宋体"/>
              </w:rPr>
              <w:t>2</w:t>
            </w:r>
          </w:p>
        </w:tc>
        <w:tc>
          <w:tcPr>
            <w:tcW w:w="5369" w:type="dxa"/>
            <w:tcBorders>
              <w:top w:val="nil"/>
              <w:left w:val="nil"/>
              <w:bottom w:val="single" w:color="auto" w:sz="4" w:space="0"/>
              <w:right w:val="single" w:color="auto" w:sz="4" w:space="0"/>
            </w:tcBorders>
            <w:shd w:val="clear" w:color="000000" w:fill="FFFFFF"/>
            <w:vAlign w:val="center"/>
          </w:tcPr>
          <w:p w14:paraId="7AD48518">
            <w:pPr>
              <w:rPr>
                <w:sz w:val="18"/>
                <w:szCs w:val="18"/>
              </w:rPr>
            </w:pPr>
            <w:r>
              <w:rPr>
                <w:sz w:val="18"/>
                <w:szCs w:val="18"/>
              </w:rPr>
              <w:t>A</w:t>
            </w:r>
            <w:r>
              <w:rPr>
                <w:rFonts w:hint="eastAsia" w:ascii="宋体" w:hAnsi="宋体"/>
                <w:sz w:val="18"/>
                <w:szCs w:val="18"/>
              </w:rPr>
              <w:t>、资料即时录入</w:t>
            </w:r>
            <w:r>
              <w:rPr>
                <w:sz w:val="18"/>
                <w:szCs w:val="18"/>
              </w:rPr>
              <w:t>(</w:t>
            </w:r>
            <w:r>
              <w:rPr>
                <w:rFonts w:hint="eastAsia"/>
                <w:sz w:val="18"/>
                <w:szCs w:val="18"/>
              </w:rPr>
              <w:t>2</w:t>
            </w:r>
            <w:r>
              <w:rPr>
                <w:rFonts w:hint="eastAsia" w:ascii="宋体" w:hAnsi="宋体"/>
                <w:sz w:val="18"/>
                <w:szCs w:val="18"/>
              </w:rPr>
              <w:t>分</w:t>
            </w:r>
            <w:r>
              <w:rPr>
                <w:sz w:val="18"/>
                <w:szCs w:val="18"/>
              </w:rPr>
              <w:t>)</w:t>
            </w:r>
            <w:r>
              <w:rPr>
                <w:rFonts w:hint="eastAsia" w:ascii="宋体" w:hAnsi="宋体"/>
                <w:sz w:val="18"/>
                <w:szCs w:val="18"/>
              </w:rPr>
              <w:t>；</w:t>
            </w:r>
            <w:r>
              <w:rPr>
                <w:sz w:val="18"/>
                <w:szCs w:val="18"/>
              </w:rPr>
              <w:t>B</w:t>
            </w:r>
            <w:r>
              <w:rPr>
                <w:rFonts w:hint="eastAsia" w:ascii="宋体" w:hAnsi="宋体"/>
                <w:sz w:val="18"/>
                <w:szCs w:val="18"/>
              </w:rPr>
              <w:t>、</w:t>
            </w:r>
            <w:r>
              <w:rPr>
                <w:sz w:val="18"/>
                <w:szCs w:val="18"/>
              </w:rPr>
              <w:t>1</w:t>
            </w:r>
            <w:r>
              <w:rPr>
                <w:rFonts w:hint="eastAsia" w:ascii="宋体" w:hAnsi="宋体"/>
                <w:sz w:val="18"/>
                <w:szCs w:val="18"/>
              </w:rPr>
              <w:t>次≤发现不及时份数</w:t>
            </w:r>
            <w:r>
              <w:rPr>
                <w:sz w:val="18"/>
                <w:szCs w:val="18"/>
              </w:rPr>
              <w:t>N</w:t>
            </w:r>
            <w:r>
              <w:rPr>
                <w:rFonts w:hint="eastAsia" w:ascii="宋体" w:hAnsi="宋体"/>
                <w:sz w:val="18"/>
                <w:szCs w:val="18"/>
              </w:rPr>
              <w:t>≤</w:t>
            </w:r>
            <w:r>
              <w:rPr>
                <w:sz w:val="18"/>
                <w:szCs w:val="18"/>
              </w:rPr>
              <w:t>2</w:t>
            </w:r>
            <w:r>
              <w:rPr>
                <w:rFonts w:hint="eastAsia" w:ascii="宋体" w:hAnsi="宋体"/>
                <w:sz w:val="18"/>
                <w:szCs w:val="18"/>
              </w:rPr>
              <w:t>次</w:t>
            </w:r>
            <w:r>
              <w:rPr>
                <w:sz w:val="18"/>
                <w:szCs w:val="18"/>
              </w:rPr>
              <w:t>(</w:t>
            </w:r>
            <w:r>
              <w:rPr>
                <w:rFonts w:hint="eastAsia"/>
                <w:sz w:val="18"/>
                <w:szCs w:val="18"/>
              </w:rPr>
              <w:t>2</w:t>
            </w:r>
            <w:r>
              <w:rPr>
                <w:rFonts w:hint="eastAsia" w:ascii="宋体" w:hAnsi="宋体"/>
                <w:sz w:val="18"/>
                <w:szCs w:val="18"/>
              </w:rPr>
              <w:t>分</w:t>
            </w:r>
            <w:r>
              <w:rPr>
                <w:sz w:val="18"/>
                <w:szCs w:val="18"/>
              </w:rPr>
              <w:t>)</w:t>
            </w:r>
            <w:r>
              <w:rPr>
                <w:rFonts w:hint="eastAsia" w:ascii="宋体" w:hAnsi="宋体"/>
                <w:sz w:val="18"/>
                <w:szCs w:val="18"/>
              </w:rPr>
              <w:t>；</w:t>
            </w:r>
            <w:r>
              <w:rPr>
                <w:sz w:val="18"/>
                <w:szCs w:val="18"/>
              </w:rPr>
              <w:t>C</w:t>
            </w:r>
            <w:r>
              <w:rPr>
                <w:rFonts w:hint="eastAsia" w:ascii="宋体" w:hAnsi="宋体"/>
                <w:sz w:val="18"/>
                <w:szCs w:val="18"/>
              </w:rPr>
              <w:t>、</w:t>
            </w:r>
            <w:r>
              <w:rPr>
                <w:sz w:val="18"/>
                <w:szCs w:val="18"/>
              </w:rPr>
              <w:t>2</w:t>
            </w:r>
            <w:r>
              <w:rPr>
                <w:rFonts w:hint="eastAsia" w:ascii="宋体" w:hAnsi="宋体"/>
                <w:sz w:val="18"/>
                <w:szCs w:val="18"/>
              </w:rPr>
              <w:t>次＜</w:t>
            </w:r>
            <w:r>
              <w:rPr>
                <w:sz w:val="18"/>
                <w:szCs w:val="18"/>
              </w:rPr>
              <w:t>N</w:t>
            </w:r>
            <w:r>
              <w:rPr>
                <w:rFonts w:hint="eastAsia" w:ascii="宋体" w:hAnsi="宋体"/>
                <w:sz w:val="18"/>
                <w:szCs w:val="18"/>
              </w:rPr>
              <w:t>≤</w:t>
            </w:r>
            <w:r>
              <w:rPr>
                <w:sz w:val="18"/>
                <w:szCs w:val="18"/>
              </w:rPr>
              <w:t>3</w:t>
            </w:r>
            <w:r>
              <w:rPr>
                <w:rFonts w:hint="eastAsia" w:ascii="宋体" w:hAnsi="宋体"/>
                <w:sz w:val="18"/>
                <w:szCs w:val="18"/>
              </w:rPr>
              <w:t>次</w:t>
            </w:r>
            <w:r>
              <w:rPr>
                <w:sz w:val="18"/>
                <w:szCs w:val="18"/>
              </w:rPr>
              <w:t>(1</w:t>
            </w:r>
            <w:r>
              <w:rPr>
                <w:rFonts w:hint="eastAsia" w:ascii="宋体" w:hAnsi="宋体"/>
                <w:sz w:val="18"/>
                <w:szCs w:val="18"/>
              </w:rPr>
              <w:t>分</w:t>
            </w:r>
            <w:r>
              <w:rPr>
                <w:sz w:val="18"/>
                <w:szCs w:val="18"/>
              </w:rPr>
              <w:t>)</w:t>
            </w:r>
            <w:r>
              <w:rPr>
                <w:rFonts w:hint="eastAsia" w:ascii="宋体" w:hAnsi="宋体"/>
                <w:sz w:val="18"/>
                <w:szCs w:val="18"/>
              </w:rPr>
              <w:t>；</w:t>
            </w:r>
            <w:r>
              <w:rPr>
                <w:sz w:val="18"/>
                <w:szCs w:val="18"/>
              </w:rPr>
              <w:t>D</w:t>
            </w:r>
            <w:r>
              <w:rPr>
                <w:rFonts w:hint="eastAsia" w:ascii="宋体" w:hAnsi="宋体"/>
                <w:sz w:val="18"/>
                <w:szCs w:val="18"/>
              </w:rPr>
              <w:t>、</w:t>
            </w:r>
            <w:r>
              <w:rPr>
                <w:sz w:val="18"/>
                <w:szCs w:val="18"/>
              </w:rPr>
              <w:t>N</w:t>
            </w:r>
            <w:r>
              <w:rPr>
                <w:rFonts w:hint="eastAsia" w:ascii="宋体" w:hAnsi="宋体"/>
                <w:sz w:val="18"/>
                <w:szCs w:val="18"/>
              </w:rPr>
              <w:t>＞</w:t>
            </w:r>
            <w:r>
              <w:rPr>
                <w:sz w:val="18"/>
                <w:szCs w:val="18"/>
              </w:rPr>
              <w:t>3</w:t>
            </w:r>
            <w:r>
              <w:rPr>
                <w:rFonts w:hint="eastAsia" w:ascii="宋体" w:hAnsi="宋体"/>
                <w:sz w:val="18"/>
                <w:szCs w:val="18"/>
              </w:rPr>
              <w:t>次</w:t>
            </w:r>
            <w:r>
              <w:rPr>
                <w:sz w:val="18"/>
                <w:szCs w:val="18"/>
              </w:rPr>
              <w:t>(0</w:t>
            </w:r>
            <w:r>
              <w:rPr>
                <w:rFonts w:hint="eastAsia" w:ascii="宋体" w:hAnsi="宋体"/>
                <w:sz w:val="18"/>
                <w:szCs w:val="18"/>
              </w:rPr>
              <w:t>分</w:t>
            </w:r>
            <w:r>
              <w:rPr>
                <w:sz w:val="18"/>
                <w:szCs w:val="18"/>
              </w:rPr>
              <w:t>)</w:t>
            </w:r>
          </w:p>
        </w:tc>
        <w:tc>
          <w:tcPr>
            <w:tcW w:w="992" w:type="dxa"/>
            <w:tcBorders>
              <w:top w:val="nil"/>
              <w:left w:val="nil"/>
              <w:bottom w:val="single" w:color="auto" w:sz="4" w:space="0"/>
              <w:right w:val="single" w:color="auto" w:sz="4" w:space="0"/>
            </w:tcBorders>
            <w:noWrap/>
            <w:vAlign w:val="bottom"/>
          </w:tcPr>
          <w:p w14:paraId="5D4FA607">
            <w:pPr>
              <w:rPr>
                <w:rFonts w:hint="eastAsia" w:ascii="宋体" w:hAnsi="宋体" w:cs="宋体"/>
                <w:sz w:val="24"/>
              </w:rPr>
            </w:pPr>
            <w:r>
              <w:rPr>
                <w:rFonts w:hint="eastAsia" w:ascii="宋体" w:hAnsi="宋体" w:cs="宋体"/>
                <w:sz w:val="24"/>
              </w:rPr>
              <w:t>　</w:t>
            </w:r>
          </w:p>
        </w:tc>
        <w:tc>
          <w:tcPr>
            <w:tcW w:w="1418" w:type="dxa"/>
            <w:tcBorders>
              <w:top w:val="nil"/>
              <w:left w:val="nil"/>
              <w:bottom w:val="single" w:color="auto" w:sz="4" w:space="0"/>
              <w:right w:val="single" w:color="auto" w:sz="4" w:space="0"/>
            </w:tcBorders>
            <w:noWrap/>
            <w:vAlign w:val="bottom"/>
          </w:tcPr>
          <w:p w14:paraId="596090BB">
            <w:pPr>
              <w:rPr>
                <w:rFonts w:hint="eastAsia" w:ascii="宋体" w:hAnsi="宋体" w:cs="宋体"/>
                <w:sz w:val="24"/>
              </w:rPr>
            </w:pPr>
            <w:r>
              <w:rPr>
                <w:rFonts w:hint="eastAsia" w:ascii="宋体" w:hAnsi="宋体" w:cs="宋体"/>
                <w:sz w:val="24"/>
              </w:rPr>
              <w:t>　</w:t>
            </w:r>
          </w:p>
        </w:tc>
        <w:tc>
          <w:tcPr>
            <w:tcW w:w="1440" w:type="dxa"/>
            <w:tcBorders>
              <w:top w:val="nil"/>
              <w:left w:val="nil"/>
              <w:bottom w:val="single" w:color="auto" w:sz="4" w:space="0"/>
              <w:right w:val="single" w:color="auto" w:sz="4" w:space="0"/>
            </w:tcBorders>
            <w:noWrap/>
            <w:vAlign w:val="bottom"/>
          </w:tcPr>
          <w:p w14:paraId="2FC55631">
            <w:pPr>
              <w:rPr>
                <w:rFonts w:hint="eastAsia" w:ascii="宋体" w:hAnsi="宋体" w:cs="宋体"/>
                <w:sz w:val="24"/>
              </w:rPr>
            </w:pPr>
            <w:r>
              <w:rPr>
                <w:rFonts w:hint="eastAsia" w:ascii="宋体" w:hAnsi="宋体" w:cs="宋体"/>
                <w:sz w:val="24"/>
              </w:rPr>
              <w:t>　</w:t>
            </w:r>
          </w:p>
        </w:tc>
      </w:tr>
      <w:tr w14:paraId="6D886C50">
        <w:tblPrEx>
          <w:tblCellMar>
            <w:top w:w="0" w:type="dxa"/>
            <w:left w:w="108" w:type="dxa"/>
            <w:bottom w:w="0" w:type="dxa"/>
            <w:right w:w="108" w:type="dxa"/>
          </w:tblCellMar>
        </w:tblPrEx>
        <w:trPr>
          <w:trHeight w:val="831" w:hRule="atLeast"/>
          <w:jc w:val="center"/>
        </w:trPr>
        <w:tc>
          <w:tcPr>
            <w:tcW w:w="700" w:type="dxa"/>
            <w:tcBorders>
              <w:top w:val="nil"/>
              <w:left w:val="single" w:color="auto" w:sz="4" w:space="0"/>
              <w:bottom w:val="single" w:color="auto" w:sz="4" w:space="0"/>
              <w:right w:val="single" w:color="auto" w:sz="4" w:space="0"/>
            </w:tcBorders>
            <w:shd w:val="clear" w:color="000000" w:fill="FFFFFF"/>
            <w:vAlign w:val="center"/>
          </w:tcPr>
          <w:p w14:paraId="714E54AD">
            <w:pPr>
              <w:jc w:val="center"/>
              <w:rPr>
                <w:rFonts w:hint="eastAsia" w:ascii="宋体" w:hAnsi="宋体" w:cs="宋体"/>
              </w:rPr>
            </w:pPr>
            <w:r>
              <w:rPr>
                <w:rFonts w:hint="eastAsia" w:ascii="宋体" w:hAnsi="宋体" w:cs="宋体"/>
              </w:rPr>
              <w:t>2</w:t>
            </w:r>
          </w:p>
        </w:tc>
        <w:tc>
          <w:tcPr>
            <w:tcW w:w="1442" w:type="dxa"/>
            <w:vMerge w:val="continue"/>
            <w:tcBorders>
              <w:top w:val="nil"/>
              <w:left w:val="single" w:color="auto" w:sz="4" w:space="0"/>
              <w:bottom w:val="single" w:color="auto" w:sz="4" w:space="0"/>
              <w:right w:val="single" w:color="auto" w:sz="4" w:space="0"/>
            </w:tcBorders>
            <w:shd w:val="clear" w:color="auto" w:fill="auto"/>
            <w:vAlign w:val="center"/>
          </w:tcPr>
          <w:p w14:paraId="48E15461">
            <w:pPr>
              <w:rPr>
                <w:rFonts w:hint="eastAsia" w:ascii="宋体" w:hAnsi="宋体" w:cs="宋体"/>
              </w:rPr>
            </w:pPr>
          </w:p>
        </w:tc>
        <w:tc>
          <w:tcPr>
            <w:tcW w:w="2280" w:type="dxa"/>
            <w:tcBorders>
              <w:top w:val="nil"/>
              <w:left w:val="nil"/>
              <w:bottom w:val="single" w:color="auto" w:sz="4" w:space="0"/>
              <w:right w:val="single" w:color="auto" w:sz="4" w:space="0"/>
            </w:tcBorders>
            <w:shd w:val="clear" w:color="000000" w:fill="FFFFFF"/>
            <w:vAlign w:val="center"/>
          </w:tcPr>
          <w:p w14:paraId="10AFF141">
            <w:pPr>
              <w:jc w:val="center"/>
              <w:rPr>
                <w:rFonts w:hint="eastAsia" w:ascii="宋体" w:hAnsi="宋体" w:cs="宋体"/>
              </w:rPr>
            </w:pPr>
            <w:r>
              <w:rPr>
                <w:rFonts w:hint="eastAsia" w:ascii="宋体" w:hAnsi="宋体" w:cs="宋体"/>
              </w:rPr>
              <w:t>资料完善度</w:t>
            </w:r>
          </w:p>
        </w:tc>
        <w:tc>
          <w:tcPr>
            <w:tcW w:w="1139" w:type="dxa"/>
            <w:tcBorders>
              <w:top w:val="nil"/>
              <w:left w:val="nil"/>
              <w:bottom w:val="single" w:color="auto" w:sz="4" w:space="0"/>
              <w:right w:val="single" w:color="auto" w:sz="4" w:space="0"/>
            </w:tcBorders>
            <w:shd w:val="clear" w:color="000000" w:fill="FFFFFF"/>
            <w:vAlign w:val="center"/>
          </w:tcPr>
          <w:p w14:paraId="081EF5B9">
            <w:pPr>
              <w:jc w:val="center"/>
              <w:rPr>
                <w:rFonts w:hint="eastAsia" w:ascii="宋体" w:hAnsi="宋体" w:cs="宋体"/>
              </w:rPr>
            </w:pPr>
            <w:r>
              <w:rPr>
                <w:rFonts w:hint="eastAsia" w:ascii="宋体" w:hAnsi="宋体" w:cs="宋体"/>
              </w:rPr>
              <w:t>8</w:t>
            </w:r>
          </w:p>
        </w:tc>
        <w:tc>
          <w:tcPr>
            <w:tcW w:w="5369" w:type="dxa"/>
            <w:tcBorders>
              <w:top w:val="nil"/>
              <w:left w:val="nil"/>
              <w:bottom w:val="single" w:color="auto" w:sz="4" w:space="0"/>
              <w:right w:val="single" w:color="auto" w:sz="4" w:space="0"/>
            </w:tcBorders>
            <w:shd w:val="clear" w:color="000000" w:fill="FFFFFF"/>
            <w:vAlign w:val="center"/>
          </w:tcPr>
          <w:p w14:paraId="3AC19020">
            <w:pPr>
              <w:pStyle w:val="2"/>
              <w:ind w:firstLine="0"/>
            </w:pPr>
            <w:r>
              <w:rPr>
                <w:rFonts w:hint="eastAsia"/>
              </w:rPr>
              <w:t>成果移交资料完整性，图形及计算书完整（4分）、询价资料完善（4）</w:t>
            </w:r>
          </w:p>
        </w:tc>
        <w:tc>
          <w:tcPr>
            <w:tcW w:w="992" w:type="dxa"/>
            <w:tcBorders>
              <w:top w:val="nil"/>
              <w:left w:val="nil"/>
              <w:bottom w:val="single" w:color="auto" w:sz="4" w:space="0"/>
              <w:right w:val="single" w:color="auto" w:sz="4" w:space="0"/>
            </w:tcBorders>
            <w:noWrap/>
            <w:vAlign w:val="bottom"/>
          </w:tcPr>
          <w:p w14:paraId="14D3449C">
            <w:pPr>
              <w:rPr>
                <w:rFonts w:hint="eastAsia" w:ascii="宋体" w:hAnsi="宋体" w:cs="宋体"/>
                <w:sz w:val="24"/>
              </w:rPr>
            </w:pPr>
            <w:r>
              <w:rPr>
                <w:rFonts w:hint="eastAsia" w:ascii="宋体" w:hAnsi="宋体" w:cs="宋体"/>
                <w:sz w:val="24"/>
              </w:rPr>
              <w:t>　</w:t>
            </w:r>
          </w:p>
        </w:tc>
        <w:tc>
          <w:tcPr>
            <w:tcW w:w="1418" w:type="dxa"/>
            <w:tcBorders>
              <w:top w:val="nil"/>
              <w:left w:val="nil"/>
              <w:bottom w:val="single" w:color="auto" w:sz="4" w:space="0"/>
              <w:right w:val="single" w:color="auto" w:sz="4" w:space="0"/>
            </w:tcBorders>
            <w:noWrap/>
            <w:vAlign w:val="bottom"/>
          </w:tcPr>
          <w:p w14:paraId="1934D9F9">
            <w:pPr>
              <w:rPr>
                <w:rFonts w:hint="eastAsia" w:ascii="宋体" w:hAnsi="宋体" w:cs="宋体"/>
                <w:sz w:val="24"/>
              </w:rPr>
            </w:pPr>
            <w:r>
              <w:rPr>
                <w:rFonts w:hint="eastAsia" w:ascii="宋体" w:hAnsi="宋体" w:cs="宋体"/>
                <w:sz w:val="24"/>
              </w:rPr>
              <w:t>　</w:t>
            </w:r>
          </w:p>
        </w:tc>
        <w:tc>
          <w:tcPr>
            <w:tcW w:w="1440" w:type="dxa"/>
            <w:tcBorders>
              <w:top w:val="nil"/>
              <w:left w:val="nil"/>
              <w:bottom w:val="single" w:color="auto" w:sz="4" w:space="0"/>
              <w:right w:val="single" w:color="auto" w:sz="4" w:space="0"/>
            </w:tcBorders>
            <w:noWrap/>
            <w:vAlign w:val="bottom"/>
          </w:tcPr>
          <w:p w14:paraId="2F2A818E">
            <w:pPr>
              <w:rPr>
                <w:rFonts w:hint="eastAsia" w:ascii="宋体" w:hAnsi="宋体" w:cs="宋体"/>
                <w:sz w:val="24"/>
              </w:rPr>
            </w:pPr>
            <w:r>
              <w:rPr>
                <w:rFonts w:hint="eastAsia" w:ascii="宋体" w:hAnsi="宋体" w:cs="宋体"/>
                <w:sz w:val="24"/>
              </w:rPr>
              <w:t>　</w:t>
            </w:r>
          </w:p>
        </w:tc>
      </w:tr>
      <w:tr w14:paraId="05362805">
        <w:tblPrEx>
          <w:tblCellMar>
            <w:top w:w="0" w:type="dxa"/>
            <w:left w:w="108" w:type="dxa"/>
            <w:bottom w:w="0" w:type="dxa"/>
            <w:right w:w="108" w:type="dxa"/>
          </w:tblCellMar>
        </w:tblPrEx>
        <w:trPr>
          <w:trHeight w:val="285" w:hRule="atLeast"/>
          <w:jc w:val="center"/>
        </w:trPr>
        <w:tc>
          <w:tcPr>
            <w:tcW w:w="2142" w:type="dxa"/>
            <w:gridSpan w:val="2"/>
            <w:tcBorders>
              <w:top w:val="single" w:color="auto" w:sz="4" w:space="0"/>
              <w:left w:val="single" w:color="auto" w:sz="4" w:space="0"/>
              <w:bottom w:val="single" w:color="auto" w:sz="4" w:space="0"/>
              <w:right w:val="single" w:color="auto" w:sz="4" w:space="0"/>
            </w:tcBorders>
            <w:shd w:val="clear" w:color="000000" w:fill="CCFFFF"/>
            <w:vAlign w:val="center"/>
          </w:tcPr>
          <w:p w14:paraId="24F114C4">
            <w:pPr>
              <w:rPr>
                <w:rFonts w:hint="eastAsia" w:ascii="黑体" w:hAnsi="黑体" w:eastAsia="黑体" w:cs="宋体"/>
                <w:b/>
                <w:bCs/>
                <w:kern w:val="2"/>
                <w:sz w:val="21"/>
                <w:szCs w:val="24"/>
                <w:lang w:val="en-US" w:eastAsia="zh-CN" w:bidi="ar-SA"/>
              </w:rPr>
            </w:pPr>
            <w:r>
              <w:rPr>
                <w:rFonts w:hint="eastAsia" w:ascii="黑体" w:hAnsi="黑体" w:eastAsia="黑体" w:cs="宋体"/>
                <w:b/>
                <w:bCs/>
                <w:lang w:val="en-US" w:eastAsia="zh-CN"/>
              </w:rPr>
              <w:t>七</w:t>
            </w:r>
            <w:r>
              <w:rPr>
                <w:rFonts w:hint="eastAsia" w:ascii="黑体" w:hAnsi="黑体" w:eastAsia="黑体" w:cs="宋体"/>
                <w:b/>
                <w:bCs/>
              </w:rPr>
              <w:t>、</w:t>
            </w:r>
            <w:r>
              <w:rPr>
                <w:rFonts w:hint="eastAsia" w:ascii="黑体" w:hAnsi="黑体" w:eastAsia="黑体" w:cs="宋体"/>
                <w:b/>
                <w:bCs/>
                <w:lang w:val="en-US" w:eastAsia="zh-CN"/>
              </w:rPr>
              <w:t>招商推介配合</w:t>
            </w:r>
          </w:p>
        </w:tc>
        <w:tc>
          <w:tcPr>
            <w:tcW w:w="2280" w:type="dxa"/>
            <w:tcBorders>
              <w:top w:val="single" w:color="auto" w:sz="4" w:space="0"/>
              <w:left w:val="nil"/>
              <w:bottom w:val="single" w:color="auto" w:sz="4" w:space="0"/>
              <w:right w:val="single" w:color="auto" w:sz="4" w:space="0"/>
            </w:tcBorders>
            <w:shd w:val="clear" w:color="000000" w:fill="CCFFFF"/>
            <w:vAlign w:val="center"/>
          </w:tcPr>
          <w:p w14:paraId="5C6F092C">
            <w:pPr>
              <w:jc w:val="center"/>
              <w:rPr>
                <w:rFonts w:hint="eastAsia" w:ascii="宋体" w:hAnsi="宋体" w:eastAsia="宋体" w:cs="宋体"/>
                <w:b/>
                <w:bCs/>
                <w:kern w:val="2"/>
                <w:sz w:val="21"/>
                <w:szCs w:val="24"/>
                <w:lang w:val="en-US" w:eastAsia="zh-CN" w:bidi="ar-SA"/>
              </w:rPr>
            </w:pPr>
            <w:r>
              <w:rPr>
                <w:rFonts w:hint="eastAsia" w:ascii="宋体" w:hAnsi="宋体" w:cs="宋体"/>
                <w:b/>
                <w:bCs/>
              </w:rPr>
              <w:t>　</w:t>
            </w:r>
          </w:p>
        </w:tc>
        <w:tc>
          <w:tcPr>
            <w:tcW w:w="1139" w:type="dxa"/>
            <w:tcBorders>
              <w:top w:val="single" w:color="auto" w:sz="4" w:space="0"/>
              <w:left w:val="nil"/>
              <w:bottom w:val="single" w:color="auto" w:sz="4" w:space="0"/>
              <w:right w:val="single" w:color="auto" w:sz="4" w:space="0"/>
            </w:tcBorders>
            <w:shd w:val="clear" w:color="000000" w:fill="CCFFFF"/>
            <w:vAlign w:val="center"/>
          </w:tcPr>
          <w:p w14:paraId="58573284">
            <w:pPr>
              <w:jc w:val="center"/>
              <w:rPr>
                <w:rFonts w:hint="eastAsia" w:ascii="宋体" w:hAnsi="宋体" w:eastAsia="宋体" w:cs="宋体"/>
                <w:b/>
                <w:bCs/>
                <w:kern w:val="2"/>
                <w:sz w:val="21"/>
                <w:szCs w:val="24"/>
                <w:lang w:val="en-US" w:eastAsia="zh-CN" w:bidi="ar-SA"/>
              </w:rPr>
            </w:pPr>
            <w:r>
              <w:rPr>
                <w:rFonts w:hint="eastAsia" w:ascii="宋体" w:hAnsi="宋体" w:cs="宋体"/>
                <w:b/>
                <w:bCs/>
                <w:lang w:val="en-US" w:eastAsia="zh-CN"/>
              </w:rPr>
              <w:t>2</w:t>
            </w:r>
            <w:r>
              <w:rPr>
                <w:rFonts w:hint="eastAsia" w:ascii="宋体" w:hAnsi="宋体" w:cs="宋体"/>
                <w:b/>
                <w:bCs/>
              </w:rPr>
              <w:t>0%</w:t>
            </w:r>
          </w:p>
        </w:tc>
        <w:tc>
          <w:tcPr>
            <w:tcW w:w="5369" w:type="dxa"/>
            <w:tcBorders>
              <w:top w:val="single" w:color="auto" w:sz="4" w:space="0"/>
              <w:left w:val="nil"/>
              <w:bottom w:val="single" w:color="auto" w:sz="4" w:space="0"/>
              <w:right w:val="single" w:color="auto" w:sz="4" w:space="0"/>
            </w:tcBorders>
            <w:shd w:val="clear" w:color="000000" w:fill="CCFFFF"/>
            <w:vAlign w:val="center"/>
          </w:tcPr>
          <w:p w14:paraId="16A9F426">
            <w:pPr>
              <w:rPr>
                <w:rFonts w:hint="eastAsia" w:ascii="宋体" w:hAnsi="宋体" w:eastAsia="宋体" w:cs="宋体"/>
                <w:b/>
                <w:bCs/>
                <w:kern w:val="2"/>
                <w:sz w:val="21"/>
                <w:szCs w:val="24"/>
                <w:lang w:val="en-US" w:eastAsia="zh-CN" w:bidi="ar-SA"/>
              </w:rPr>
            </w:pPr>
            <w:r>
              <w:rPr>
                <w:rFonts w:hint="eastAsia" w:ascii="宋体" w:hAnsi="宋体" w:cs="宋体"/>
                <w:b/>
                <w:bCs/>
              </w:rPr>
              <w:t>　</w:t>
            </w:r>
          </w:p>
        </w:tc>
        <w:tc>
          <w:tcPr>
            <w:tcW w:w="992" w:type="dxa"/>
            <w:tcBorders>
              <w:top w:val="single" w:color="auto" w:sz="4" w:space="0"/>
              <w:left w:val="nil"/>
              <w:bottom w:val="single" w:color="auto" w:sz="4" w:space="0"/>
              <w:right w:val="single" w:color="auto" w:sz="4" w:space="0"/>
            </w:tcBorders>
            <w:shd w:val="clear" w:color="000000" w:fill="CCFFFF"/>
            <w:vAlign w:val="center"/>
          </w:tcPr>
          <w:p w14:paraId="0391B9B1">
            <w:pPr>
              <w:jc w:val="center"/>
              <w:rPr>
                <w:rFonts w:hint="eastAsia" w:ascii="宋体" w:hAnsi="宋体" w:eastAsia="宋体" w:cs="宋体"/>
                <w:b/>
                <w:bCs/>
                <w:kern w:val="2"/>
                <w:sz w:val="21"/>
                <w:szCs w:val="24"/>
                <w:lang w:val="en-US" w:eastAsia="zh-CN" w:bidi="ar-SA"/>
              </w:rPr>
            </w:pPr>
            <w:r>
              <w:rPr>
                <w:rFonts w:hint="eastAsia" w:ascii="宋体" w:hAnsi="宋体" w:cs="宋体"/>
                <w:b/>
                <w:bCs/>
              </w:rPr>
              <w:t>　</w:t>
            </w:r>
          </w:p>
        </w:tc>
        <w:tc>
          <w:tcPr>
            <w:tcW w:w="1418" w:type="dxa"/>
            <w:tcBorders>
              <w:top w:val="single" w:color="auto" w:sz="4" w:space="0"/>
              <w:left w:val="nil"/>
              <w:bottom w:val="single" w:color="auto" w:sz="4" w:space="0"/>
              <w:right w:val="single" w:color="auto" w:sz="4" w:space="0"/>
            </w:tcBorders>
            <w:shd w:val="clear" w:color="000000" w:fill="CCFFFF"/>
            <w:vAlign w:val="center"/>
          </w:tcPr>
          <w:p w14:paraId="70A6E6E7">
            <w:pPr>
              <w:jc w:val="center"/>
              <w:rPr>
                <w:rFonts w:hint="eastAsia" w:ascii="宋体" w:hAnsi="宋体" w:eastAsia="宋体" w:cs="宋体"/>
                <w:b/>
                <w:bCs/>
                <w:kern w:val="2"/>
                <w:sz w:val="21"/>
                <w:szCs w:val="24"/>
                <w:lang w:val="en-US" w:eastAsia="zh-CN" w:bidi="ar-SA"/>
              </w:rPr>
            </w:pPr>
            <w:r>
              <w:rPr>
                <w:rFonts w:hint="eastAsia" w:ascii="宋体" w:hAnsi="宋体" w:cs="宋体"/>
                <w:b/>
                <w:bCs/>
              </w:rPr>
              <w:t>　</w:t>
            </w:r>
          </w:p>
        </w:tc>
        <w:tc>
          <w:tcPr>
            <w:tcW w:w="1440" w:type="dxa"/>
            <w:tcBorders>
              <w:top w:val="single" w:color="auto" w:sz="4" w:space="0"/>
              <w:left w:val="nil"/>
              <w:bottom w:val="single" w:color="auto" w:sz="4" w:space="0"/>
              <w:right w:val="single" w:color="auto" w:sz="4" w:space="0"/>
            </w:tcBorders>
            <w:shd w:val="clear" w:color="000000" w:fill="CCFFFF"/>
            <w:vAlign w:val="center"/>
          </w:tcPr>
          <w:p w14:paraId="79A3F99F">
            <w:pPr>
              <w:jc w:val="center"/>
              <w:rPr>
                <w:rFonts w:hint="eastAsia" w:ascii="宋体" w:hAnsi="宋体" w:eastAsia="宋体" w:cs="宋体"/>
                <w:b/>
                <w:bCs/>
                <w:kern w:val="2"/>
                <w:sz w:val="21"/>
                <w:szCs w:val="24"/>
                <w:lang w:val="en-US" w:eastAsia="zh-CN" w:bidi="ar-SA"/>
              </w:rPr>
            </w:pPr>
            <w:r>
              <w:rPr>
                <w:rFonts w:hint="eastAsia" w:ascii="宋体" w:hAnsi="宋体" w:cs="宋体"/>
                <w:b/>
                <w:bCs/>
              </w:rPr>
              <w:t>　</w:t>
            </w:r>
          </w:p>
        </w:tc>
      </w:tr>
      <w:tr w14:paraId="38F84E22">
        <w:tblPrEx>
          <w:tblCellMar>
            <w:top w:w="0" w:type="dxa"/>
            <w:left w:w="108" w:type="dxa"/>
            <w:bottom w:w="0" w:type="dxa"/>
            <w:right w:w="108" w:type="dxa"/>
          </w:tblCellMar>
        </w:tblPrEx>
        <w:trPr>
          <w:trHeight w:val="285" w:hRule="atLeast"/>
          <w:jc w:val="center"/>
        </w:trPr>
        <w:tc>
          <w:tcPr>
            <w:tcW w:w="700" w:type="dxa"/>
            <w:tcBorders>
              <w:top w:val="single" w:color="auto" w:sz="4" w:space="0"/>
              <w:left w:val="single" w:color="auto" w:sz="4" w:space="0"/>
              <w:bottom w:val="single" w:color="auto" w:sz="4" w:space="0"/>
              <w:right w:val="single" w:color="auto" w:sz="4" w:space="0"/>
            </w:tcBorders>
            <w:shd w:val="clear" w:color="000000" w:fill="FFFFFF"/>
            <w:vAlign w:val="center"/>
          </w:tcPr>
          <w:p w14:paraId="75DC23F6">
            <w:pPr>
              <w:jc w:val="center"/>
              <w:rPr>
                <w:rFonts w:hint="eastAsia" w:ascii="Times New Roman" w:hAnsi="Times New Roman" w:eastAsia="宋体" w:cs="Times New Roman"/>
                <w:kern w:val="2"/>
                <w:sz w:val="21"/>
                <w:szCs w:val="24"/>
                <w:lang w:val="en-US" w:eastAsia="zh-CN" w:bidi="ar-SA"/>
              </w:rPr>
            </w:pPr>
            <w:r>
              <w:t>1</w:t>
            </w:r>
          </w:p>
        </w:tc>
        <w:tc>
          <w:tcPr>
            <w:tcW w:w="1442" w:type="dxa"/>
            <w:tcBorders>
              <w:top w:val="single" w:color="auto" w:sz="4" w:space="0"/>
              <w:left w:val="single" w:color="auto" w:sz="4" w:space="0"/>
              <w:bottom w:val="single" w:color="auto" w:sz="4" w:space="0"/>
              <w:right w:val="single" w:color="auto" w:sz="4" w:space="0"/>
            </w:tcBorders>
            <w:shd w:val="clear" w:color="000000" w:fill="FFFFFF"/>
            <w:vAlign w:val="center"/>
          </w:tcPr>
          <w:p w14:paraId="027F16A3">
            <w:pPr>
              <w:jc w:val="center"/>
              <w:rPr>
                <w:rFonts w:hint="eastAsia" w:ascii="宋体" w:hAnsi="宋体" w:eastAsia="宋体" w:cs="宋体"/>
                <w:kern w:val="2"/>
                <w:sz w:val="21"/>
                <w:szCs w:val="24"/>
                <w:lang w:val="en-US" w:eastAsia="zh-CN" w:bidi="ar-SA"/>
              </w:rPr>
            </w:pPr>
            <w:r>
              <w:rPr>
                <w:rFonts w:hint="eastAsia" w:ascii="宋体" w:hAnsi="宋体" w:cs="宋体"/>
                <w:lang w:val="en-US" w:eastAsia="zh-CN"/>
              </w:rPr>
              <w:t>招商推介配合</w:t>
            </w:r>
          </w:p>
        </w:tc>
        <w:tc>
          <w:tcPr>
            <w:tcW w:w="2280" w:type="dxa"/>
            <w:tcBorders>
              <w:top w:val="single" w:color="auto" w:sz="4" w:space="0"/>
              <w:left w:val="nil"/>
              <w:bottom w:val="single" w:color="auto" w:sz="4" w:space="0"/>
              <w:right w:val="single" w:color="auto" w:sz="4" w:space="0"/>
            </w:tcBorders>
            <w:shd w:val="clear" w:color="000000" w:fill="FFFFFF"/>
            <w:vAlign w:val="center"/>
          </w:tcPr>
          <w:p w14:paraId="196697BA">
            <w:pPr>
              <w:jc w:val="center"/>
              <w:rPr>
                <w:rFonts w:hint="eastAsia" w:ascii="宋体" w:hAnsi="宋体" w:eastAsia="宋体" w:cs="宋体"/>
                <w:kern w:val="2"/>
                <w:sz w:val="21"/>
                <w:szCs w:val="24"/>
                <w:lang w:val="en-US" w:eastAsia="zh-CN" w:bidi="ar-SA"/>
              </w:rPr>
            </w:pPr>
            <w:r>
              <w:rPr>
                <w:rFonts w:hint="eastAsia" w:ascii="宋体" w:hAnsi="宋体" w:cs="宋体"/>
                <w:lang w:val="en-US" w:eastAsia="zh-CN"/>
              </w:rPr>
              <w:t>推介客户有效性</w:t>
            </w:r>
          </w:p>
        </w:tc>
        <w:tc>
          <w:tcPr>
            <w:tcW w:w="1139" w:type="dxa"/>
            <w:tcBorders>
              <w:top w:val="single" w:color="auto" w:sz="4" w:space="0"/>
              <w:left w:val="nil"/>
              <w:bottom w:val="single" w:color="auto" w:sz="4" w:space="0"/>
              <w:right w:val="single" w:color="auto" w:sz="4" w:space="0"/>
            </w:tcBorders>
            <w:shd w:val="clear" w:color="000000" w:fill="FFFFFF"/>
            <w:vAlign w:val="center"/>
          </w:tcPr>
          <w:p w14:paraId="6B8C2510">
            <w:pPr>
              <w:jc w:val="center"/>
              <w:rPr>
                <w:rFonts w:hint="eastAsia" w:ascii="宋体" w:hAnsi="宋体" w:eastAsia="宋体" w:cs="宋体"/>
                <w:kern w:val="2"/>
                <w:sz w:val="21"/>
                <w:szCs w:val="24"/>
                <w:lang w:val="en-US" w:eastAsia="zh-CN" w:bidi="ar-SA"/>
              </w:rPr>
            </w:pPr>
            <w:r>
              <w:rPr>
                <w:rFonts w:hint="eastAsia" w:ascii="宋体" w:hAnsi="宋体" w:cs="宋体"/>
                <w:lang w:val="en-US" w:eastAsia="zh-CN"/>
              </w:rPr>
              <w:t>20</w:t>
            </w:r>
          </w:p>
        </w:tc>
        <w:tc>
          <w:tcPr>
            <w:tcW w:w="5369" w:type="dxa"/>
            <w:tcBorders>
              <w:top w:val="single" w:color="auto" w:sz="4" w:space="0"/>
              <w:left w:val="nil"/>
              <w:bottom w:val="single" w:color="auto" w:sz="4" w:space="0"/>
              <w:right w:val="single" w:color="auto" w:sz="4" w:space="0"/>
            </w:tcBorders>
            <w:shd w:val="clear" w:color="000000" w:fill="FFFFFF"/>
            <w:vAlign w:val="center"/>
          </w:tcPr>
          <w:p w14:paraId="11DBA718">
            <w:pPr>
              <w:rPr>
                <w:rFonts w:hint="eastAsia" w:ascii="Times New Roman" w:hAnsi="Times New Roman" w:eastAsia="宋体" w:cs="Times New Roman"/>
                <w:kern w:val="2"/>
                <w:sz w:val="18"/>
                <w:szCs w:val="18"/>
                <w:lang w:val="en-US" w:eastAsia="zh-CN" w:bidi="ar-SA"/>
              </w:rPr>
            </w:pPr>
            <w:r>
              <w:rPr>
                <w:sz w:val="18"/>
                <w:szCs w:val="18"/>
              </w:rPr>
              <w:t>A</w:t>
            </w:r>
            <w:r>
              <w:rPr>
                <w:rFonts w:hint="eastAsia" w:ascii="宋体" w:hAnsi="宋体"/>
                <w:sz w:val="18"/>
                <w:szCs w:val="18"/>
              </w:rPr>
              <w:t>、</w:t>
            </w:r>
            <w:r>
              <w:rPr>
                <w:rFonts w:hint="eastAsia" w:ascii="宋体" w:hAnsi="宋体"/>
                <w:sz w:val="18"/>
                <w:szCs w:val="18"/>
                <w:lang w:val="en-US" w:eastAsia="zh-CN"/>
              </w:rPr>
              <w:t>成交客户（2</w:t>
            </w:r>
            <w:r>
              <w:rPr>
                <w:rFonts w:hint="default" w:ascii="宋体" w:hAnsi="宋体"/>
                <w:sz w:val="18"/>
                <w:szCs w:val="18"/>
                <w:lang w:val="en-US" w:eastAsia="zh-CN"/>
              </w:rPr>
              <w:t>0分，且每季度有效）</w:t>
            </w:r>
            <w:r>
              <w:rPr>
                <w:rFonts w:hint="default" w:ascii="宋体" w:hAnsi="宋体"/>
                <w:sz w:val="18"/>
                <w:szCs w:val="18"/>
              </w:rPr>
              <w:t>；</w:t>
            </w:r>
            <w:r>
              <w:rPr>
                <w:rFonts w:ascii="宋体" w:hAnsi="宋体"/>
                <w:sz w:val="18"/>
                <w:szCs w:val="18"/>
              </w:rPr>
              <w:t>B</w:t>
            </w:r>
            <w:r>
              <w:rPr>
                <w:rFonts w:hint="default" w:ascii="宋体" w:hAnsi="宋体"/>
                <w:sz w:val="18"/>
                <w:szCs w:val="18"/>
              </w:rPr>
              <w:t>、</w:t>
            </w:r>
            <w:r>
              <w:rPr>
                <w:rFonts w:ascii="宋体" w:hAnsi="宋体" w:eastAsia="宋体" w:cs="Times New Roman"/>
                <w:kern w:val="2"/>
                <w:sz w:val="18"/>
                <w:szCs w:val="18"/>
              </w:rPr>
              <w:t>客户需求真实有效</w:t>
            </w:r>
            <w:r>
              <w:rPr>
                <w:rFonts w:hint="eastAsia" w:ascii="宋体" w:hAnsi="宋体" w:cs="Times New Roman"/>
                <w:kern w:val="2"/>
                <w:sz w:val="18"/>
                <w:szCs w:val="18"/>
                <w:lang w:eastAsia="zh-CN"/>
              </w:rPr>
              <w:t>，</w:t>
            </w:r>
            <w:r>
              <w:rPr>
                <w:rFonts w:hint="default" w:ascii="宋体" w:hAnsi="宋体" w:eastAsia="宋体" w:cs="Times New Roman"/>
                <w:kern w:val="2"/>
                <w:sz w:val="18"/>
                <w:szCs w:val="18"/>
              </w:rPr>
              <w:t>接触后，</w:t>
            </w:r>
            <w:r>
              <w:rPr>
                <w:rFonts w:hint="default" w:ascii="宋体" w:hAnsi="宋体" w:eastAsia="宋体" w:cs="Times New Roman"/>
                <w:kern w:val="2"/>
                <w:sz w:val="18"/>
                <w:szCs w:val="18"/>
                <w:lang w:val="en-US" w:eastAsia="zh-CN"/>
              </w:rPr>
              <w:t>客户</w:t>
            </w:r>
            <w:r>
              <w:rPr>
                <w:rFonts w:hint="default" w:ascii="宋体" w:hAnsi="宋体" w:eastAsia="宋体" w:cs="Times New Roman"/>
                <w:kern w:val="2"/>
                <w:sz w:val="18"/>
                <w:szCs w:val="18"/>
              </w:rPr>
              <w:t>有一定的意向落户</w:t>
            </w:r>
            <w:r>
              <w:rPr>
                <w:rFonts w:ascii="宋体" w:hAnsi="宋体"/>
                <w:sz w:val="18"/>
                <w:szCs w:val="18"/>
              </w:rPr>
              <w:t>(</w:t>
            </w:r>
            <w:r>
              <w:rPr>
                <w:rFonts w:hint="eastAsia" w:ascii="宋体" w:hAnsi="宋体"/>
                <w:sz w:val="18"/>
                <w:szCs w:val="18"/>
                <w:lang w:val="en-US" w:eastAsia="zh-CN"/>
              </w:rPr>
              <w:t>10</w:t>
            </w:r>
            <w:r>
              <w:rPr>
                <w:rFonts w:hint="default" w:ascii="宋体" w:hAnsi="宋体"/>
                <w:sz w:val="18"/>
                <w:szCs w:val="18"/>
              </w:rPr>
              <w:t>分</w:t>
            </w:r>
            <w:r>
              <w:rPr>
                <w:rFonts w:ascii="宋体" w:hAnsi="宋体"/>
                <w:sz w:val="18"/>
                <w:szCs w:val="18"/>
              </w:rPr>
              <w:t>)</w:t>
            </w:r>
            <w:r>
              <w:rPr>
                <w:rFonts w:hint="default" w:ascii="宋体" w:hAnsi="宋体"/>
                <w:sz w:val="18"/>
                <w:szCs w:val="18"/>
              </w:rPr>
              <w:t>；</w:t>
            </w:r>
          </w:p>
        </w:tc>
        <w:tc>
          <w:tcPr>
            <w:tcW w:w="992" w:type="dxa"/>
            <w:tcBorders>
              <w:top w:val="single" w:color="auto" w:sz="4" w:space="0"/>
              <w:left w:val="nil"/>
              <w:bottom w:val="single" w:color="auto" w:sz="4" w:space="0"/>
              <w:right w:val="single" w:color="auto" w:sz="4" w:space="0"/>
            </w:tcBorders>
            <w:shd w:val="clear" w:color="auto" w:fill="auto"/>
            <w:vAlign w:val="bottom"/>
          </w:tcPr>
          <w:p w14:paraId="0CC46143">
            <w:pPr>
              <w:rPr>
                <w:rFonts w:hint="eastAsia" w:ascii="宋体" w:hAnsi="宋体" w:eastAsia="宋体" w:cs="宋体"/>
                <w:kern w:val="2"/>
                <w:sz w:val="24"/>
                <w:szCs w:val="24"/>
                <w:lang w:val="en-US" w:eastAsia="zh-CN" w:bidi="ar-SA"/>
              </w:rPr>
            </w:pPr>
            <w:r>
              <w:rPr>
                <w:rFonts w:hint="eastAsia" w:ascii="宋体" w:hAnsi="宋体" w:cs="宋体"/>
                <w:sz w:val="24"/>
              </w:rPr>
              <w:t>　</w:t>
            </w:r>
          </w:p>
        </w:tc>
        <w:tc>
          <w:tcPr>
            <w:tcW w:w="1418" w:type="dxa"/>
            <w:tcBorders>
              <w:top w:val="single" w:color="auto" w:sz="4" w:space="0"/>
              <w:left w:val="nil"/>
              <w:bottom w:val="single" w:color="auto" w:sz="4" w:space="0"/>
              <w:right w:val="single" w:color="auto" w:sz="4" w:space="0"/>
            </w:tcBorders>
            <w:shd w:val="clear" w:color="auto" w:fill="auto"/>
            <w:vAlign w:val="bottom"/>
          </w:tcPr>
          <w:p w14:paraId="43AA87A8">
            <w:pPr>
              <w:rPr>
                <w:rFonts w:hint="eastAsia" w:ascii="宋体" w:hAnsi="宋体" w:eastAsia="宋体" w:cs="宋体"/>
                <w:kern w:val="2"/>
                <w:sz w:val="24"/>
                <w:szCs w:val="24"/>
                <w:lang w:val="en-US" w:eastAsia="zh-CN" w:bidi="ar-SA"/>
              </w:rPr>
            </w:pPr>
            <w:r>
              <w:rPr>
                <w:rFonts w:hint="eastAsia" w:ascii="宋体" w:hAnsi="宋体" w:cs="宋体"/>
                <w:sz w:val="24"/>
              </w:rPr>
              <w:t>　</w:t>
            </w:r>
          </w:p>
        </w:tc>
        <w:tc>
          <w:tcPr>
            <w:tcW w:w="1440" w:type="dxa"/>
            <w:tcBorders>
              <w:top w:val="single" w:color="auto" w:sz="4" w:space="0"/>
              <w:left w:val="nil"/>
              <w:bottom w:val="single" w:color="auto" w:sz="4" w:space="0"/>
              <w:right w:val="single" w:color="auto" w:sz="4" w:space="0"/>
            </w:tcBorders>
            <w:shd w:val="clear" w:color="auto" w:fill="auto"/>
            <w:vAlign w:val="bottom"/>
          </w:tcPr>
          <w:p w14:paraId="077532D1">
            <w:pPr>
              <w:rPr>
                <w:rFonts w:hint="eastAsia" w:ascii="宋体" w:hAnsi="宋体" w:eastAsia="宋体" w:cs="宋体"/>
                <w:kern w:val="2"/>
                <w:sz w:val="24"/>
                <w:szCs w:val="24"/>
                <w:lang w:val="en-US" w:eastAsia="zh-CN" w:bidi="ar-SA"/>
              </w:rPr>
            </w:pPr>
            <w:r>
              <w:rPr>
                <w:rFonts w:hint="eastAsia" w:ascii="宋体" w:hAnsi="宋体" w:cs="宋体"/>
                <w:sz w:val="24"/>
              </w:rPr>
              <w:t>　</w:t>
            </w:r>
          </w:p>
        </w:tc>
      </w:tr>
      <w:tr w14:paraId="5247AD0B">
        <w:tblPrEx>
          <w:tblCellMar>
            <w:top w:w="0" w:type="dxa"/>
            <w:left w:w="108" w:type="dxa"/>
            <w:bottom w:w="0" w:type="dxa"/>
            <w:right w:w="108" w:type="dxa"/>
          </w:tblCellMar>
        </w:tblPrEx>
        <w:trPr>
          <w:trHeight w:val="262" w:hRule="atLeast"/>
          <w:jc w:val="center"/>
        </w:trPr>
        <w:tc>
          <w:tcPr>
            <w:tcW w:w="2142" w:type="dxa"/>
            <w:gridSpan w:val="2"/>
            <w:tcBorders>
              <w:top w:val="single" w:color="auto" w:sz="4" w:space="0"/>
              <w:left w:val="single" w:color="auto" w:sz="4" w:space="0"/>
              <w:bottom w:val="single" w:color="auto" w:sz="4" w:space="0"/>
              <w:right w:val="single" w:color="auto" w:sz="4" w:space="0"/>
            </w:tcBorders>
            <w:shd w:val="clear" w:color="000000" w:fill="CCFFFF"/>
            <w:vAlign w:val="center"/>
          </w:tcPr>
          <w:p w14:paraId="05FE5E06">
            <w:pPr>
              <w:rPr>
                <w:rFonts w:hint="eastAsia" w:ascii="黑体" w:hAnsi="黑体" w:eastAsia="黑体" w:cs="宋体"/>
                <w:b/>
                <w:bCs/>
              </w:rPr>
            </w:pPr>
            <w:r>
              <w:rPr>
                <w:rFonts w:hint="eastAsia" w:ascii="黑体" w:hAnsi="黑体" w:eastAsia="黑体" w:cs="宋体"/>
                <w:b/>
                <w:bCs/>
                <w:lang w:val="en-US" w:eastAsia="zh-CN"/>
              </w:rPr>
              <w:t>八</w:t>
            </w:r>
            <w:r>
              <w:rPr>
                <w:rFonts w:hint="eastAsia" w:ascii="黑体" w:hAnsi="黑体" w:eastAsia="黑体" w:cs="宋体"/>
                <w:b/>
                <w:bCs/>
              </w:rPr>
              <w:t>、其他</w:t>
            </w:r>
          </w:p>
        </w:tc>
        <w:tc>
          <w:tcPr>
            <w:tcW w:w="2280" w:type="dxa"/>
            <w:tcBorders>
              <w:top w:val="single" w:color="auto" w:sz="4" w:space="0"/>
              <w:left w:val="nil"/>
              <w:bottom w:val="single" w:color="auto" w:sz="4" w:space="0"/>
              <w:right w:val="single" w:color="auto" w:sz="4" w:space="0"/>
            </w:tcBorders>
            <w:shd w:val="clear" w:color="000000" w:fill="CCFFFF"/>
            <w:vAlign w:val="center"/>
          </w:tcPr>
          <w:p w14:paraId="0CAB10A6">
            <w:pPr>
              <w:jc w:val="center"/>
              <w:rPr>
                <w:rFonts w:hint="eastAsia" w:ascii="宋体" w:hAnsi="宋体" w:cs="宋体"/>
                <w:b/>
                <w:bCs/>
              </w:rPr>
            </w:pPr>
            <w:r>
              <w:rPr>
                <w:rFonts w:hint="eastAsia" w:ascii="宋体" w:hAnsi="宋体" w:cs="宋体"/>
                <w:b/>
                <w:bCs/>
              </w:rPr>
              <w:t>　</w:t>
            </w:r>
          </w:p>
        </w:tc>
        <w:tc>
          <w:tcPr>
            <w:tcW w:w="1139" w:type="dxa"/>
            <w:tcBorders>
              <w:top w:val="single" w:color="auto" w:sz="4" w:space="0"/>
              <w:left w:val="nil"/>
              <w:bottom w:val="single" w:color="auto" w:sz="4" w:space="0"/>
              <w:right w:val="single" w:color="auto" w:sz="4" w:space="0"/>
            </w:tcBorders>
            <w:shd w:val="clear" w:color="000000" w:fill="CCFFFF"/>
            <w:vAlign w:val="center"/>
          </w:tcPr>
          <w:p w14:paraId="3764C013">
            <w:pPr>
              <w:jc w:val="center"/>
              <w:rPr>
                <w:rFonts w:hint="eastAsia" w:ascii="宋体" w:hAnsi="宋体" w:cs="宋体"/>
                <w:b/>
                <w:bCs/>
              </w:rPr>
            </w:pPr>
            <w:r>
              <w:rPr>
                <w:rFonts w:hint="eastAsia" w:ascii="宋体" w:hAnsi="宋体" w:cs="宋体"/>
                <w:b/>
                <w:bCs/>
              </w:rPr>
              <w:t>15%</w:t>
            </w:r>
          </w:p>
        </w:tc>
        <w:tc>
          <w:tcPr>
            <w:tcW w:w="5369" w:type="dxa"/>
            <w:tcBorders>
              <w:top w:val="single" w:color="auto" w:sz="4" w:space="0"/>
              <w:left w:val="nil"/>
              <w:bottom w:val="single" w:color="auto" w:sz="4" w:space="0"/>
              <w:right w:val="single" w:color="auto" w:sz="4" w:space="0"/>
            </w:tcBorders>
            <w:shd w:val="clear" w:color="000000" w:fill="CCFFFF"/>
            <w:vAlign w:val="center"/>
          </w:tcPr>
          <w:p w14:paraId="2115B4FE">
            <w:pPr>
              <w:rPr>
                <w:rFonts w:hint="eastAsia" w:ascii="宋体" w:hAnsi="宋体" w:cs="宋体"/>
                <w:b/>
                <w:bCs/>
              </w:rPr>
            </w:pPr>
            <w:r>
              <w:rPr>
                <w:rFonts w:hint="eastAsia" w:ascii="宋体" w:hAnsi="宋体" w:cs="宋体"/>
                <w:b/>
                <w:bCs/>
              </w:rPr>
              <w:t>　</w:t>
            </w:r>
          </w:p>
        </w:tc>
        <w:tc>
          <w:tcPr>
            <w:tcW w:w="992" w:type="dxa"/>
            <w:tcBorders>
              <w:top w:val="single" w:color="auto" w:sz="4" w:space="0"/>
              <w:left w:val="nil"/>
              <w:bottom w:val="single" w:color="auto" w:sz="4" w:space="0"/>
              <w:right w:val="single" w:color="auto" w:sz="4" w:space="0"/>
            </w:tcBorders>
            <w:shd w:val="clear" w:color="000000" w:fill="CCFFFF"/>
            <w:vAlign w:val="center"/>
          </w:tcPr>
          <w:p w14:paraId="42F5CA74">
            <w:pPr>
              <w:jc w:val="center"/>
              <w:rPr>
                <w:rFonts w:hint="eastAsia" w:ascii="宋体" w:hAnsi="宋体" w:cs="宋体"/>
                <w:b/>
                <w:bCs/>
              </w:rPr>
            </w:pPr>
            <w:r>
              <w:rPr>
                <w:rFonts w:hint="eastAsia" w:ascii="宋体" w:hAnsi="宋体" w:cs="宋体"/>
                <w:b/>
                <w:bCs/>
              </w:rPr>
              <w:t>　</w:t>
            </w:r>
          </w:p>
        </w:tc>
        <w:tc>
          <w:tcPr>
            <w:tcW w:w="1418" w:type="dxa"/>
            <w:tcBorders>
              <w:top w:val="single" w:color="auto" w:sz="4" w:space="0"/>
              <w:left w:val="nil"/>
              <w:bottom w:val="single" w:color="auto" w:sz="4" w:space="0"/>
              <w:right w:val="single" w:color="auto" w:sz="4" w:space="0"/>
            </w:tcBorders>
            <w:shd w:val="clear" w:color="000000" w:fill="CCFFFF"/>
            <w:vAlign w:val="center"/>
          </w:tcPr>
          <w:p w14:paraId="3BF7E09F">
            <w:pPr>
              <w:jc w:val="center"/>
              <w:rPr>
                <w:rFonts w:hint="eastAsia" w:ascii="宋体" w:hAnsi="宋体" w:cs="宋体"/>
                <w:b/>
                <w:bCs/>
              </w:rPr>
            </w:pPr>
            <w:r>
              <w:rPr>
                <w:rFonts w:hint="eastAsia" w:ascii="宋体" w:hAnsi="宋体" w:cs="宋体"/>
                <w:b/>
                <w:bCs/>
              </w:rPr>
              <w:t>　</w:t>
            </w:r>
          </w:p>
        </w:tc>
        <w:tc>
          <w:tcPr>
            <w:tcW w:w="1440" w:type="dxa"/>
            <w:tcBorders>
              <w:top w:val="single" w:color="auto" w:sz="4" w:space="0"/>
              <w:left w:val="nil"/>
              <w:bottom w:val="single" w:color="auto" w:sz="4" w:space="0"/>
              <w:right w:val="single" w:color="auto" w:sz="4" w:space="0"/>
            </w:tcBorders>
            <w:shd w:val="clear" w:color="000000" w:fill="CCFFFF"/>
            <w:vAlign w:val="center"/>
          </w:tcPr>
          <w:p w14:paraId="633B6DA1">
            <w:pPr>
              <w:jc w:val="center"/>
              <w:rPr>
                <w:rFonts w:hint="eastAsia" w:ascii="宋体" w:hAnsi="宋体" w:cs="宋体"/>
                <w:b/>
                <w:bCs/>
              </w:rPr>
            </w:pPr>
            <w:r>
              <w:rPr>
                <w:rFonts w:hint="eastAsia" w:ascii="宋体" w:hAnsi="宋体" w:cs="宋体"/>
                <w:b/>
                <w:bCs/>
              </w:rPr>
              <w:t>　</w:t>
            </w:r>
          </w:p>
        </w:tc>
      </w:tr>
      <w:tr w14:paraId="4668F804">
        <w:tblPrEx>
          <w:tblCellMar>
            <w:top w:w="0" w:type="dxa"/>
            <w:left w:w="108" w:type="dxa"/>
            <w:bottom w:w="0" w:type="dxa"/>
            <w:right w:w="108" w:type="dxa"/>
          </w:tblCellMar>
        </w:tblPrEx>
        <w:trPr>
          <w:trHeight w:val="1125" w:hRule="atLeast"/>
          <w:jc w:val="center"/>
        </w:trPr>
        <w:tc>
          <w:tcPr>
            <w:tcW w:w="700" w:type="dxa"/>
            <w:tcBorders>
              <w:top w:val="single" w:color="auto" w:sz="4" w:space="0"/>
              <w:left w:val="single" w:color="auto" w:sz="4" w:space="0"/>
              <w:bottom w:val="single" w:color="auto" w:sz="4" w:space="0"/>
              <w:right w:val="single" w:color="auto" w:sz="4" w:space="0"/>
            </w:tcBorders>
            <w:shd w:val="clear" w:color="000000" w:fill="FFFFFF"/>
            <w:vAlign w:val="center"/>
          </w:tcPr>
          <w:p w14:paraId="0E463B21">
            <w:pPr>
              <w:jc w:val="center"/>
            </w:pPr>
            <w:r>
              <w:t>1</w:t>
            </w:r>
          </w:p>
        </w:tc>
        <w:tc>
          <w:tcPr>
            <w:tcW w:w="1442" w:type="dxa"/>
            <w:tcBorders>
              <w:top w:val="single" w:color="auto" w:sz="4" w:space="0"/>
              <w:left w:val="nil"/>
              <w:bottom w:val="single" w:color="auto" w:sz="4" w:space="0"/>
              <w:right w:val="single" w:color="auto" w:sz="4" w:space="0"/>
            </w:tcBorders>
            <w:shd w:val="clear" w:color="000000" w:fill="FFFFFF"/>
            <w:vAlign w:val="center"/>
          </w:tcPr>
          <w:p w14:paraId="112521DF">
            <w:pPr>
              <w:jc w:val="center"/>
              <w:rPr>
                <w:rFonts w:hint="eastAsia" w:ascii="宋体" w:hAnsi="宋体" w:cs="宋体"/>
              </w:rPr>
            </w:pPr>
            <w:r>
              <w:rPr>
                <w:rFonts w:hint="eastAsia" w:ascii="宋体" w:hAnsi="宋体" w:cs="宋体"/>
              </w:rPr>
              <w:t>现场工程师出勤</w:t>
            </w:r>
          </w:p>
        </w:tc>
        <w:tc>
          <w:tcPr>
            <w:tcW w:w="2280" w:type="dxa"/>
            <w:tcBorders>
              <w:top w:val="single" w:color="auto" w:sz="4" w:space="0"/>
              <w:left w:val="nil"/>
              <w:bottom w:val="single" w:color="auto" w:sz="4" w:space="0"/>
              <w:right w:val="single" w:color="auto" w:sz="4" w:space="0"/>
            </w:tcBorders>
            <w:shd w:val="clear" w:color="000000" w:fill="FFFFFF"/>
            <w:vAlign w:val="center"/>
          </w:tcPr>
          <w:p w14:paraId="45060999">
            <w:pPr>
              <w:jc w:val="center"/>
              <w:rPr>
                <w:rFonts w:hint="eastAsia" w:ascii="宋体" w:hAnsi="宋体" w:cs="宋体"/>
              </w:rPr>
            </w:pPr>
            <w:r>
              <w:rPr>
                <w:rFonts w:hint="eastAsia" w:ascii="宋体" w:hAnsi="宋体" w:cs="宋体"/>
              </w:rPr>
              <w:t>出勤率</w:t>
            </w:r>
          </w:p>
        </w:tc>
        <w:tc>
          <w:tcPr>
            <w:tcW w:w="1139" w:type="dxa"/>
            <w:tcBorders>
              <w:top w:val="single" w:color="auto" w:sz="4" w:space="0"/>
              <w:left w:val="nil"/>
              <w:bottom w:val="single" w:color="auto" w:sz="4" w:space="0"/>
              <w:right w:val="single" w:color="auto" w:sz="4" w:space="0"/>
            </w:tcBorders>
            <w:shd w:val="clear" w:color="000000" w:fill="FFFFFF"/>
            <w:vAlign w:val="center"/>
          </w:tcPr>
          <w:p w14:paraId="7F729BA6">
            <w:pPr>
              <w:jc w:val="center"/>
              <w:rPr>
                <w:rFonts w:hint="eastAsia" w:ascii="宋体" w:hAnsi="宋体" w:cs="宋体"/>
              </w:rPr>
            </w:pPr>
            <w:r>
              <w:rPr>
                <w:rFonts w:hint="eastAsia" w:ascii="宋体" w:hAnsi="宋体" w:cs="宋体"/>
              </w:rPr>
              <w:t>5</w:t>
            </w:r>
          </w:p>
        </w:tc>
        <w:tc>
          <w:tcPr>
            <w:tcW w:w="5369" w:type="dxa"/>
            <w:tcBorders>
              <w:top w:val="single" w:color="auto" w:sz="4" w:space="0"/>
              <w:left w:val="nil"/>
              <w:bottom w:val="single" w:color="auto" w:sz="4" w:space="0"/>
              <w:right w:val="single" w:color="auto" w:sz="4" w:space="0"/>
            </w:tcBorders>
            <w:shd w:val="clear" w:color="000000" w:fill="FFFFFF"/>
            <w:vAlign w:val="center"/>
          </w:tcPr>
          <w:p w14:paraId="62D7AE1E">
            <w:pPr>
              <w:rPr>
                <w:rFonts w:hint="eastAsia" w:ascii="宋体" w:hAnsi="宋体" w:cs="宋体"/>
                <w:sz w:val="18"/>
                <w:szCs w:val="18"/>
              </w:rPr>
            </w:pPr>
            <w:r>
              <w:rPr>
                <w:rFonts w:hint="eastAsia" w:ascii="宋体" w:hAnsi="宋体" w:cs="宋体"/>
                <w:sz w:val="18"/>
                <w:szCs w:val="18"/>
              </w:rPr>
              <w:t>A、平均出勤率98%以上，得分5分；</w:t>
            </w:r>
          </w:p>
          <w:p w14:paraId="2453C3F5">
            <w:pPr>
              <w:rPr>
                <w:rFonts w:hint="eastAsia" w:ascii="宋体" w:hAnsi="宋体" w:cs="宋体"/>
                <w:sz w:val="18"/>
                <w:szCs w:val="18"/>
              </w:rPr>
            </w:pPr>
            <w:r>
              <w:rPr>
                <w:rFonts w:hint="eastAsia" w:ascii="宋体" w:hAnsi="宋体" w:cs="宋体"/>
                <w:sz w:val="18"/>
                <w:szCs w:val="18"/>
              </w:rPr>
              <w:t>B、平均出勤率95%以上，得分3分；</w:t>
            </w:r>
          </w:p>
          <w:p w14:paraId="011D9B85">
            <w:pPr>
              <w:rPr>
                <w:rFonts w:hint="eastAsia" w:ascii="宋体" w:hAnsi="宋体" w:cs="宋体"/>
                <w:sz w:val="18"/>
                <w:szCs w:val="18"/>
              </w:rPr>
            </w:pPr>
            <w:r>
              <w:rPr>
                <w:rFonts w:hint="eastAsia" w:ascii="宋体" w:hAnsi="宋体" w:cs="宋体"/>
                <w:sz w:val="18"/>
                <w:szCs w:val="18"/>
              </w:rPr>
              <w:t>C、平均出勤率95%以下，得分0分；</w:t>
            </w:r>
          </w:p>
          <w:p w14:paraId="1C472B32">
            <w:pPr>
              <w:rPr>
                <w:rFonts w:hint="eastAsia" w:ascii="宋体" w:hAnsi="宋体" w:cs="宋体"/>
                <w:sz w:val="18"/>
                <w:szCs w:val="18"/>
              </w:rPr>
            </w:pPr>
            <w:r>
              <w:rPr>
                <w:rFonts w:hint="eastAsia" w:ascii="宋体" w:hAnsi="宋体" w:cs="宋体"/>
                <w:sz w:val="18"/>
                <w:szCs w:val="18"/>
              </w:rPr>
              <w:t>D、如正常工作日无故旷工，得0分；</w:t>
            </w:r>
          </w:p>
        </w:tc>
        <w:tc>
          <w:tcPr>
            <w:tcW w:w="992" w:type="dxa"/>
            <w:tcBorders>
              <w:top w:val="single" w:color="auto" w:sz="4" w:space="0"/>
              <w:left w:val="nil"/>
              <w:bottom w:val="single" w:color="auto" w:sz="4" w:space="0"/>
              <w:right w:val="single" w:color="auto" w:sz="4" w:space="0"/>
            </w:tcBorders>
            <w:noWrap/>
            <w:vAlign w:val="bottom"/>
          </w:tcPr>
          <w:p w14:paraId="7586CC14">
            <w:pPr>
              <w:rPr>
                <w:rFonts w:hint="eastAsia" w:ascii="宋体" w:hAnsi="宋体" w:cs="宋体"/>
                <w:sz w:val="24"/>
              </w:rPr>
            </w:pPr>
            <w:r>
              <w:rPr>
                <w:rFonts w:hint="eastAsia" w:ascii="宋体" w:hAnsi="宋体" w:cs="宋体"/>
                <w:sz w:val="24"/>
              </w:rPr>
              <w:t>　</w:t>
            </w:r>
          </w:p>
        </w:tc>
        <w:tc>
          <w:tcPr>
            <w:tcW w:w="1418" w:type="dxa"/>
            <w:tcBorders>
              <w:top w:val="single" w:color="auto" w:sz="4" w:space="0"/>
              <w:left w:val="nil"/>
              <w:bottom w:val="single" w:color="auto" w:sz="4" w:space="0"/>
              <w:right w:val="single" w:color="auto" w:sz="4" w:space="0"/>
            </w:tcBorders>
            <w:noWrap/>
            <w:vAlign w:val="bottom"/>
          </w:tcPr>
          <w:p w14:paraId="175186FA">
            <w:pPr>
              <w:rPr>
                <w:rFonts w:hint="eastAsia" w:ascii="宋体" w:hAnsi="宋体" w:cs="宋体"/>
                <w:sz w:val="24"/>
              </w:rPr>
            </w:pPr>
            <w:r>
              <w:rPr>
                <w:rFonts w:hint="eastAsia" w:ascii="宋体" w:hAnsi="宋体" w:cs="宋体"/>
                <w:sz w:val="24"/>
              </w:rPr>
              <w:t>　</w:t>
            </w:r>
          </w:p>
        </w:tc>
        <w:tc>
          <w:tcPr>
            <w:tcW w:w="1440" w:type="dxa"/>
            <w:tcBorders>
              <w:top w:val="single" w:color="auto" w:sz="4" w:space="0"/>
              <w:left w:val="nil"/>
              <w:bottom w:val="single" w:color="auto" w:sz="4" w:space="0"/>
              <w:right w:val="single" w:color="auto" w:sz="4" w:space="0"/>
            </w:tcBorders>
            <w:noWrap/>
            <w:vAlign w:val="bottom"/>
          </w:tcPr>
          <w:p w14:paraId="2D1134FD">
            <w:pPr>
              <w:rPr>
                <w:rFonts w:hint="eastAsia" w:ascii="宋体" w:hAnsi="宋体" w:cs="宋体"/>
                <w:sz w:val="24"/>
              </w:rPr>
            </w:pPr>
            <w:r>
              <w:rPr>
                <w:rFonts w:hint="eastAsia" w:ascii="宋体" w:hAnsi="宋体" w:cs="宋体"/>
                <w:sz w:val="24"/>
              </w:rPr>
              <w:t>　</w:t>
            </w:r>
          </w:p>
        </w:tc>
      </w:tr>
      <w:tr w14:paraId="412E118F">
        <w:tblPrEx>
          <w:tblCellMar>
            <w:top w:w="0" w:type="dxa"/>
            <w:left w:w="108" w:type="dxa"/>
            <w:bottom w:w="0" w:type="dxa"/>
            <w:right w:w="108" w:type="dxa"/>
          </w:tblCellMar>
        </w:tblPrEx>
        <w:trPr>
          <w:trHeight w:val="990" w:hRule="atLeast"/>
          <w:jc w:val="center"/>
        </w:trPr>
        <w:tc>
          <w:tcPr>
            <w:tcW w:w="700" w:type="dxa"/>
            <w:tcBorders>
              <w:top w:val="nil"/>
              <w:left w:val="single" w:color="auto" w:sz="4" w:space="0"/>
              <w:bottom w:val="single" w:color="auto" w:sz="4" w:space="0"/>
              <w:right w:val="single" w:color="auto" w:sz="4" w:space="0"/>
            </w:tcBorders>
            <w:shd w:val="clear" w:color="000000" w:fill="FFFFFF"/>
            <w:vAlign w:val="center"/>
          </w:tcPr>
          <w:p w14:paraId="2DA832F3">
            <w:pPr>
              <w:jc w:val="center"/>
            </w:pPr>
            <w:r>
              <w:t>2</w:t>
            </w:r>
          </w:p>
        </w:tc>
        <w:tc>
          <w:tcPr>
            <w:tcW w:w="1442" w:type="dxa"/>
            <w:tcBorders>
              <w:top w:val="nil"/>
              <w:left w:val="nil"/>
              <w:bottom w:val="single" w:color="auto" w:sz="4" w:space="0"/>
              <w:right w:val="single" w:color="auto" w:sz="4" w:space="0"/>
            </w:tcBorders>
            <w:shd w:val="clear" w:color="000000" w:fill="FFFFFF"/>
            <w:vAlign w:val="center"/>
          </w:tcPr>
          <w:p w14:paraId="0F86E243">
            <w:pPr>
              <w:jc w:val="center"/>
              <w:rPr>
                <w:rFonts w:hint="eastAsia" w:ascii="宋体" w:hAnsi="宋体" w:cs="宋体"/>
              </w:rPr>
            </w:pPr>
            <w:r>
              <w:rPr>
                <w:rFonts w:hint="eastAsia" w:ascii="宋体" w:hAnsi="宋体" w:cs="宋体"/>
              </w:rPr>
              <w:t>工作配合及沟通</w:t>
            </w:r>
          </w:p>
        </w:tc>
        <w:tc>
          <w:tcPr>
            <w:tcW w:w="2280" w:type="dxa"/>
            <w:tcBorders>
              <w:top w:val="nil"/>
              <w:left w:val="nil"/>
              <w:bottom w:val="single" w:color="auto" w:sz="4" w:space="0"/>
              <w:right w:val="single" w:color="auto" w:sz="4" w:space="0"/>
            </w:tcBorders>
            <w:shd w:val="clear" w:color="000000" w:fill="FFFFFF"/>
            <w:vAlign w:val="center"/>
          </w:tcPr>
          <w:p w14:paraId="2656EE60">
            <w:pPr>
              <w:jc w:val="center"/>
              <w:rPr>
                <w:rFonts w:hint="eastAsia" w:ascii="宋体" w:hAnsi="宋体" w:cs="宋体"/>
              </w:rPr>
            </w:pPr>
            <w:r>
              <w:rPr>
                <w:rFonts w:hint="eastAsia" w:ascii="宋体" w:hAnsi="宋体" w:cs="宋体"/>
              </w:rPr>
              <w:t>配合响应程度</w:t>
            </w:r>
          </w:p>
        </w:tc>
        <w:tc>
          <w:tcPr>
            <w:tcW w:w="1139" w:type="dxa"/>
            <w:tcBorders>
              <w:top w:val="nil"/>
              <w:left w:val="nil"/>
              <w:bottom w:val="single" w:color="auto" w:sz="4" w:space="0"/>
              <w:right w:val="single" w:color="auto" w:sz="4" w:space="0"/>
            </w:tcBorders>
            <w:shd w:val="clear" w:color="000000" w:fill="FFFFFF"/>
            <w:vAlign w:val="center"/>
          </w:tcPr>
          <w:p w14:paraId="6FD3C57C">
            <w:pPr>
              <w:jc w:val="center"/>
              <w:rPr>
                <w:rFonts w:hint="eastAsia" w:ascii="宋体" w:hAnsi="宋体" w:cs="宋体"/>
              </w:rPr>
            </w:pPr>
            <w:r>
              <w:rPr>
                <w:rFonts w:hint="eastAsia" w:ascii="宋体" w:hAnsi="宋体" w:cs="宋体"/>
              </w:rPr>
              <w:t>10</w:t>
            </w:r>
          </w:p>
        </w:tc>
        <w:tc>
          <w:tcPr>
            <w:tcW w:w="5369" w:type="dxa"/>
            <w:tcBorders>
              <w:top w:val="nil"/>
              <w:left w:val="nil"/>
              <w:bottom w:val="single" w:color="auto" w:sz="4" w:space="0"/>
              <w:right w:val="single" w:color="auto" w:sz="4" w:space="0"/>
            </w:tcBorders>
            <w:shd w:val="clear" w:color="000000" w:fill="FFFFFF"/>
            <w:vAlign w:val="center"/>
          </w:tcPr>
          <w:p w14:paraId="6B97176F">
            <w:pPr>
              <w:rPr>
                <w:rFonts w:hint="eastAsia" w:ascii="宋体" w:hAnsi="宋体" w:cs="宋体"/>
                <w:sz w:val="18"/>
                <w:szCs w:val="18"/>
              </w:rPr>
            </w:pPr>
            <w:r>
              <w:rPr>
                <w:rFonts w:hint="eastAsia" w:ascii="宋体" w:hAnsi="宋体" w:cs="宋体"/>
                <w:sz w:val="18"/>
                <w:szCs w:val="18"/>
              </w:rPr>
              <w:t>A、无故推脱工作安排，发生一次扣2分；</w:t>
            </w:r>
          </w:p>
          <w:p w14:paraId="6DC33CCE">
            <w:pPr>
              <w:rPr>
                <w:rFonts w:hint="eastAsia" w:ascii="宋体" w:hAnsi="宋体" w:cs="宋体"/>
                <w:sz w:val="18"/>
                <w:szCs w:val="18"/>
              </w:rPr>
            </w:pPr>
            <w:r>
              <w:rPr>
                <w:rFonts w:hint="eastAsia" w:ascii="宋体" w:hAnsi="宋体" w:cs="宋体"/>
                <w:sz w:val="18"/>
                <w:szCs w:val="18"/>
              </w:rPr>
              <w:t>B、工作不积极主动，遇到困难不反馈，导致工作无法按时、按质完成，发生一次扣2分；</w:t>
            </w:r>
          </w:p>
        </w:tc>
        <w:tc>
          <w:tcPr>
            <w:tcW w:w="992" w:type="dxa"/>
            <w:tcBorders>
              <w:top w:val="nil"/>
              <w:left w:val="nil"/>
              <w:bottom w:val="single" w:color="auto" w:sz="4" w:space="0"/>
              <w:right w:val="single" w:color="auto" w:sz="4" w:space="0"/>
            </w:tcBorders>
            <w:noWrap/>
            <w:vAlign w:val="bottom"/>
          </w:tcPr>
          <w:p w14:paraId="2A499325">
            <w:pPr>
              <w:rPr>
                <w:rFonts w:hint="eastAsia" w:ascii="宋体" w:hAnsi="宋体" w:cs="宋体"/>
                <w:sz w:val="24"/>
              </w:rPr>
            </w:pPr>
            <w:r>
              <w:rPr>
                <w:rFonts w:hint="eastAsia" w:ascii="宋体" w:hAnsi="宋体" w:cs="宋体"/>
                <w:sz w:val="24"/>
              </w:rPr>
              <w:t>　</w:t>
            </w:r>
          </w:p>
        </w:tc>
        <w:tc>
          <w:tcPr>
            <w:tcW w:w="1418" w:type="dxa"/>
            <w:tcBorders>
              <w:top w:val="nil"/>
              <w:left w:val="nil"/>
              <w:bottom w:val="single" w:color="auto" w:sz="4" w:space="0"/>
              <w:right w:val="single" w:color="auto" w:sz="4" w:space="0"/>
            </w:tcBorders>
            <w:noWrap/>
            <w:vAlign w:val="bottom"/>
          </w:tcPr>
          <w:p w14:paraId="25D70B1A">
            <w:pPr>
              <w:rPr>
                <w:rFonts w:hint="eastAsia" w:ascii="宋体" w:hAnsi="宋体" w:cs="宋体"/>
                <w:sz w:val="24"/>
              </w:rPr>
            </w:pPr>
            <w:r>
              <w:rPr>
                <w:rFonts w:hint="eastAsia" w:ascii="宋体" w:hAnsi="宋体" w:cs="宋体"/>
                <w:sz w:val="24"/>
              </w:rPr>
              <w:t>　</w:t>
            </w:r>
          </w:p>
        </w:tc>
        <w:tc>
          <w:tcPr>
            <w:tcW w:w="1440" w:type="dxa"/>
            <w:tcBorders>
              <w:top w:val="nil"/>
              <w:left w:val="nil"/>
              <w:bottom w:val="single" w:color="auto" w:sz="4" w:space="0"/>
              <w:right w:val="single" w:color="auto" w:sz="4" w:space="0"/>
            </w:tcBorders>
            <w:noWrap/>
            <w:vAlign w:val="bottom"/>
          </w:tcPr>
          <w:p w14:paraId="0A5BFF13">
            <w:pPr>
              <w:rPr>
                <w:rFonts w:hint="eastAsia" w:ascii="宋体" w:hAnsi="宋体" w:cs="宋体"/>
                <w:sz w:val="24"/>
              </w:rPr>
            </w:pPr>
            <w:r>
              <w:rPr>
                <w:rFonts w:hint="eastAsia" w:ascii="宋体" w:hAnsi="宋体" w:cs="宋体"/>
                <w:sz w:val="24"/>
              </w:rPr>
              <w:t>　</w:t>
            </w:r>
          </w:p>
        </w:tc>
      </w:tr>
      <w:tr w14:paraId="66240021">
        <w:tblPrEx>
          <w:tblCellMar>
            <w:top w:w="0" w:type="dxa"/>
            <w:left w:w="108" w:type="dxa"/>
            <w:bottom w:w="0" w:type="dxa"/>
            <w:right w:w="108" w:type="dxa"/>
          </w:tblCellMar>
        </w:tblPrEx>
        <w:trPr>
          <w:trHeight w:val="510" w:hRule="atLeast"/>
          <w:jc w:val="center"/>
        </w:trPr>
        <w:tc>
          <w:tcPr>
            <w:tcW w:w="700" w:type="dxa"/>
            <w:tcBorders>
              <w:top w:val="nil"/>
              <w:left w:val="single" w:color="auto" w:sz="4" w:space="0"/>
              <w:bottom w:val="single" w:color="auto" w:sz="4" w:space="0"/>
              <w:right w:val="single" w:color="auto" w:sz="4" w:space="0"/>
            </w:tcBorders>
            <w:shd w:val="clear" w:color="000000" w:fill="FAC090"/>
            <w:noWrap/>
            <w:vAlign w:val="center"/>
          </w:tcPr>
          <w:p w14:paraId="34A70319">
            <w:pPr>
              <w:jc w:val="center"/>
              <w:rPr>
                <w:rFonts w:hint="eastAsia" w:ascii="宋体" w:hAnsi="宋体" w:eastAsia="宋体" w:cs="宋体"/>
                <w:b/>
                <w:bCs/>
                <w:sz w:val="22"/>
                <w:szCs w:val="22"/>
                <w:lang w:eastAsia="zh-CN"/>
              </w:rPr>
            </w:pPr>
            <w:r>
              <w:rPr>
                <w:rFonts w:hint="eastAsia" w:ascii="宋体" w:hAnsi="宋体" w:cs="宋体"/>
                <w:b/>
                <w:bCs/>
                <w:sz w:val="22"/>
                <w:szCs w:val="22"/>
                <w:lang w:val="en-US" w:eastAsia="zh-CN"/>
              </w:rPr>
              <w:t>九</w:t>
            </w:r>
          </w:p>
        </w:tc>
        <w:tc>
          <w:tcPr>
            <w:tcW w:w="1442" w:type="dxa"/>
            <w:tcBorders>
              <w:top w:val="nil"/>
              <w:left w:val="nil"/>
              <w:bottom w:val="single" w:color="auto" w:sz="4" w:space="0"/>
              <w:right w:val="single" w:color="auto" w:sz="4" w:space="0"/>
            </w:tcBorders>
            <w:shd w:val="clear" w:color="000000" w:fill="FAC090"/>
            <w:noWrap/>
            <w:vAlign w:val="center"/>
          </w:tcPr>
          <w:p w14:paraId="797BB39D">
            <w:pPr>
              <w:jc w:val="center"/>
              <w:rPr>
                <w:rFonts w:hint="eastAsia" w:ascii="宋体" w:hAnsi="宋体" w:cs="宋体"/>
                <w:b/>
                <w:bCs/>
                <w:sz w:val="22"/>
                <w:szCs w:val="22"/>
              </w:rPr>
            </w:pPr>
            <w:r>
              <w:rPr>
                <w:rFonts w:hint="eastAsia" w:ascii="宋体" w:hAnsi="宋体" w:cs="宋体"/>
                <w:b/>
                <w:bCs/>
                <w:sz w:val="22"/>
                <w:szCs w:val="22"/>
              </w:rPr>
              <w:t>得分</w:t>
            </w:r>
          </w:p>
        </w:tc>
        <w:tc>
          <w:tcPr>
            <w:tcW w:w="2280" w:type="dxa"/>
            <w:tcBorders>
              <w:top w:val="nil"/>
              <w:left w:val="nil"/>
              <w:bottom w:val="single" w:color="auto" w:sz="4" w:space="0"/>
              <w:right w:val="single" w:color="auto" w:sz="4" w:space="0"/>
            </w:tcBorders>
            <w:shd w:val="clear" w:color="000000" w:fill="FAC090"/>
            <w:noWrap/>
            <w:vAlign w:val="center"/>
          </w:tcPr>
          <w:p w14:paraId="78C021B3">
            <w:pPr>
              <w:jc w:val="center"/>
              <w:rPr>
                <w:rFonts w:hint="eastAsia" w:ascii="宋体" w:hAnsi="宋体" w:cs="宋体"/>
                <w:b/>
                <w:bCs/>
                <w:sz w:val="22"/>
                <w:szCs w:val="22"/>
              </w:rPr>
            </w:pPr>
            <w:r>
              <w:rPr>
                <w:rFonts w:hint="eastAsia" w:ascii="宋体" w:hAnsi="宋体" w:cs="宋体"/>
                <w:b/>
                <w:bCs/>
                <w:sz w:val="22"/>
                <w:szCs w:val="22"/>
              </w:rPr>
              <w:t>　</w:t>
            </w:r>
          </w:p>
        </w:tc>
        <w:tc>
          <w:tcPr>
            <w:tcW w:w="1139" w:type="dxa"/>
            <w:tcBorders>
              <w:top w:val="nil"/>
              <w:left w:val="nil"/>
              <w:bottom w:val="single" w:color="auto" w:sz="4" w:space="0"/>
              <w:right w:val="single" w:color="auto" w:sz="4" w:space="0"/>
            </w:tcBorders>
            <w:shd w:val="clear" w:color="000000" w:fill="FAC090"/>
            <w:noWrap/>
            <w:vAlign w:val="center"/>
          </w:tcPr>
          <w:p w14:paraId="78FE28CA">
            <w:pPr>
              <w:jc w:val="center"/>
              <w:rPr>
                <w:rFonts w:hint="eastAsia" w:ascii="宋体" w:hAnsi="宋体" w:cs="宋体"/>
                <w:b/>
                <w:bCs/>
                <w:sz w:val="22"/>
                <w:szCs w:val="22"/>
              </w:rPr>
            </w:pPr>
            <w:r>
              <w:rPr>
                <w:rFonts w:hint="eastAsia" w:ascii="宋体" w:hAnsi="宋体" w:cs="宋体"/>
                <w:b/>
                <w:bCs/>
                <w:sz w:val="22"/>
                <w:szCs w:val="22"/>
              </w:rPr>
              <w:t>100%</w:t>
            </w:r>
          </w:p>
        </w:tc>
        <w:tc>
          <w:tcPr>
            <w:tcW w:w="5369" w:type="dxa"/>
            <w:tcBorders>
              <w:top w:val="nil"/>
              <w:left w:val="nil"/>
              <w:bottom w:val="single" w:color="auto" w:sz="4" w:space="0"/>
              <w:right w:val="single" w:color="auto" w:sz="4" w:space="0"/>
            </w:tcBorders>
            <w:shd w:val="clear" w:color="000000" w:fill="FAC090"/>
            <w:noWrap/>
            <w:vAlign w:val="center"/>
          </w:tcPr>
          <w:p w14:paraId="1A0DB71B">
            <w:pPr>
              <w:jc w:val="center"/>
              <w:rPr>
                <w:rFonts w:hint="eastAsia" w:ascii="宋体" w:hAnsi="宋体" w:cs="宋体"/>
                <w:b/>
                <w:bCs/>
                <w:sz w:val="22"/>
                <w:szCs w:val="22"/>
              </w:rPr>
            </w:pPr>
            <w:r>
              <w:rPr>
                <w:rFonts w:hint="eastAsia" w:ascii="宋体" w:hAnsi="宋体" w:cs="宋体"/>
                <w:b/>
                <w:bCs/>
                <w:sz w:val="22"/>
                <w:szCs w:val="22"/>
              </w:rPr>
              <w:t>　</w:t>
            </w:r>
          </w:p>
        </w:tc>
        <w:tc>
          <w:tcPr>
            <w:tcW w:w="992" w:type="dxa"/>
            <w:tcBorders>
              <w:top w:val="nil"/>
              <w:left w:val="nil"/>
              <w:bottom w:val="single" w:color="auto" w:sz="4" w:space="0"/>
              <w:right w:val="single" w:color="auto" w:sz="4" w:space="0"/>
            </w:tcBorders>
            <w:shd w:val="clear" w:color="000000" w:fill="FAC090"/>
            <w:noWrap/>
            <w:vAlign w:val="center"/>
          </w:tcPr>
          <w:p w14:paraId="31C48CA2">
            <w:pPr>
              <w:jc w:val="center"/>
              <w:rPr>
                <w:rFonts w:hint="eastAsia" w:ascii="宋体" w:hAnsi="宋体" w:cs="宋体"/>
                <w:b/>
                <w:bCs/>
                <w:sz w:val="22"/>
                <w:szCs w:val="22"/>
              </w:rPr>
            </w:pPr>
            <w:r>
              <w:rPr>
                <w:rFonts w:hint="eastAsia" w:ascii="宋体" w:hAnsi="宋体" w:cs="宋体"/>
                <w:b/>
                <w:bCs/>
                <w:sz w:val="22"/>
                <w:szCs w:val="22"/>
              </w:rPr>
              <w:t>　</w:t>
            </w:r>
          </w:p>
        </w:tc>
        <w:tc>
          <w:tcPr>
            <w:tcW w:w="1418" w:type="dxa"/>
            <w:tcBorders>
              <w:top w:val="nil"/>
              <w:left w:val="nil"/>
              <w:bottom w:val="single" w:color="auto" w:sz="4" w:space="0"/>
              <w:right w:val="single" w:color="auto" w:sz="4" w:space="0"/>
            </w:tcBorders>
            <w:shd w:val="clear" w:color="000000" w:fill="FAC090"/>
            <w:noWrap/>
            <w:vAlign w:val="center"/>
          </w:tcPr>
          <w:p w14:paraId="76441CA3">
            <w:pPr>
              <w:jc w:val="center"/>
              <w:rPr>
                <w:rFonts w:hint="eastAsia" w:ascii="宋体" w:hAnsi="宋体" w:cs="宋体"/>
                <w:b/>
                <w:bCs/>
                <w:sz w:val="22"/>
                <w:szCs w:val="22"/>
              </w:rPr>
            </w:pPr>
            <w:r>
              <w:rPr>
                <w:rFonts w:hint="eastAsia" w:ascii="宋体" w:hAnsi="宋体" w:cs="宋体"/>
                <w:b/>
                <w:bCs/>
                <w:sz w:val="22"/>
                <w:szCs w:val="22"/>
              </w:rPr>
              <w:t>　</w:t>
            </w:r>
          </w:p>
        </w:tc>
        <w:tc>
          <w:tcPr>
            <w:tcW w:w="1440" w:type="dxa"/>
            <w:tcBorders>
              <w:top w:val="nil"/>
              <w:left w:val="nil"/>
              <w:bottom w:val="single" w:color="auto" w:sz="4" w:space="0"/>
              <w:right w:val="single" w:color="auto" w:sz="4" w:space="0"/>
            </w:tcBorders>
            <w:shd w:val="clear" w:color="000000" w:fill="FAC090"/>
            <w:noWrap/>
            <w:vAlign w:val="center"/>
          </w:tcPr>
          <w:p w14:paraId="1260DD4F">
            <w:pPr>
              <w:jc w:val="center"/>
              <w:rPr>
                <w:rFonts w:hint="eastAsia" w:ascii="宋体" w:hAnsi="宋体" w:cs="宋体"/>
                <w:b/>
                <w:bCs/>
                <w:sz w:val="22"/>
                <w:szCs w:val="22"/>
              </w:rPr>
            </w:pPr>
            <w:r>
              <w:rPr>
                <w:rFonts w:hint="eastAsia" w:ascii="宋体" w:hAnsi="宋体" w:cs="宋体"/>
                <w:b/>
                <w:bCs/>
                <w:sz w:val="22"/>
                <w:szCs w:val="22"/>
              </w:rPr>
              <w:t>　</w:t>
            </w:r>
          </w:p>
        </w:tc>
      </w:tr>
      <w:tr w14:paraId="6B977A26">
        <w:tblPrEx>
          <w:tblCellMar>
            <w:top w:w="0" w:type="dxa"/>
            <w:left w:w="108" w:type="dxa"/>
            <w:bottom w:w="0" w:type="dxa"/>
            <w:right w:w="108" w:type="dxa"/>
          </w:tblCellMar>
        </w:tblPrEx>
        <w:trPr>
          <w:trHeight w:val="353" w:hRule="atLeast"/>
          <w:jc w:val="center"/>
        </w:trPr>
        <w:tc>
          <w:tcPr>
            <w:tcW w:w="14780" w:type="dxa"/>
            <w:gridSpan w:val="8"/>
            <w:tcBorders>
              <w:top w:val="single" w:color="auto" w:sz="4" w:space="0"/>
              <w:left w:val="single" w:color="auto" w:sz="4" w:space="0"/>
              <w:bottom w:val="single" w:color="auto" w:sz="4" w:space="0"/>
              <w:right w:val="single" w:color="auto" w:sz="4" w:space="0"/>
            </w:tcBorders>
            <w:shd w:val="clear" w:color="000000" w:fill="FFFFFF"/>
          </w:tcPr>
          <w:p w14:paraId="4DF70538">
            <w:pPr>
              <w:rPr>
                <w:rFonts w:hint="eastAsia" w:ascii="宋体" w:hAnsi="宋体" w:cs="宋体"/>
                <w:b/>
                <w:bCs/>
                <w:sz w:val="24"/>
              </w:rPr>
            </w:pPr>
            <w:r>
              <w:rPr>
                <w:rFonts w:hint="eastAsia" w:ascii="宋体" w:hAnsi="宋体" w:cs="宋体"/>
                <w:b/>
                <w:bCs/>
                <w:sz w:val="24"/>
              </w:rPr>
              <w:t>总结评语：</w:t>
            </w:r>
          </w:p>
        </w:tc>
      </w:tr>
    </w:tbl>
    <w:p w14:paraId="03690D7E">
      <w:pPr>
        <w:pStyle w:val="22"/>
        <w:rPr>
          <w:rFonts w:eastAsia="宋体"/>
        </w:rPr>
      </w:pPr>
    </w:p>
    <w:sectPr>
      <w:headerReference r:id="rId7" w:type="default"/>
      <w:footerReference r:id="rId8" w:type="default"/>
      <w:pgSz w:w="16838" w:h="11906" w:orient="landscape"/>
      <w:pgMar w:top="1531" w:right="1531" w:bottom="1463" w:left="1531"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Microsoft YaHei UI">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CG Times (W1)">
    <w:altName w:val="Times New Roman"/>
    <w:panose1 w:val="00000000000000000000"/>
    <w:charset w:val="00"/>
    <w:family w:val="roman"/>
    <w:pitch w:val="default"/>
    <w:sig w:usb0="00000000" w:usb1="00000000" w:usb2="00000000" w:usb3="00000000" w:csb0="00000001" w:csb1="00000000"/>
  </w:font>
  <w:font w:name="Calisto MT">
    <w:panose1 w:val="02040603050505030304"/>
    <w:charset w:val="00"/>
    <w:family w:val="roman"/>
    <w:pitch w:val="default"/>
    <w:sig w:usb0="00000003" w:usb1="00000000" w:usb2="00000000" w:usb3="00000000" w:csb0="2000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2">
    <w:altName w:val="Times New Roman"/>
    <w:panose1 w:val="00000000000000000000"/>
    <w:charset w:val="00"/>
    <w:family w:val="roman"/>
    <w:pitch w:val="default"/>
    <w:sig w:usb0="00000000" w:usb1="00000000" w:usb2="00000804" w:usb3="00000000" w:csb0="00000000" w:csb1="0062EF54"/>
  </w:font>
  <w:font w:name="Mongolian Baiti">
    <w:panose1 w:val="03000500000000000000"/>
    <w:charset w:val="00"/>
    <w:family w:val="script"/>
    <w:pitch w:val="default"/>
    <w:sig w:usb0="80000023" w:usb1="00000000" w:usb2="00020000" w:usb3="00000000" w:csb0="0000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4A19D">
    <w:pPr>
      <w:pStyle w:val="28"/>
      <w:jc w:val="center"/>
    </w:pPr>
    <w:r>
      <mc:AlternateContent>
        <mc:Choice Requires="wps">
          <w:drawing>
            <wp:anchor distT="0" distB="0" distL="114300" distR="114300" simplePos="0" relativeHeight="251659264" behindDoc="0" locked="0" layoutInCell="1" allowOverlap="1">
              <wp:simplePos x="0" y="0"/>
              <wp:positionH relativeFrom="margin">
                <wp:posOffset>2804160</wp:posOffset>
              </wp:positionH>
              <wp:positionV relativeFrom="paragraph">
                <wp:posOffset>-1905</wp:posOffset>
              </wp:positionV>
              <wp:extent cx="24765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247650" cy="1828800"/>
                      </a:xfrm>
                      <a:prstGeom prst="rect">
                        <a:avLst/>
                      </a:prstGeom>
                      <a:noFill/>
                      <a:ln>
                        <a:noFill/>
                      </a:ln>
                      <a:effectLst/>
                    </wps:spPr>
                    <wps:txbx>
                      <w:txbxContent>
                        <w:p w14:paraId="74AF85D8">
                          <w:pPr>
                            <w:pStyle w:val="28"/>
                            <w:jc w:val="center"/>
                          </w:pPr>
                          <w:r>
                            <w:fldChar w:fldCharType="begin"/>
                          </w:r>
                          <w:r>
                            <w:instrText xml:space="preserve">PAGE   \* MERGEFORMAT</w:instrText>
                          </w:r>
                          <w:r>
                            <w:fldChar w:fldCharType="separate"/>
                          </w:r>
                          <w:r>
                            <w:rPr>
                              <w:lang w:val="zh-CN"/>
                            </w:rPr>
                            <w:t>12</w:t>
                          </w:r>
                          <w:r>
                            <w:rPr>
                              <w:lang w:val="zh-CN"/>
                            </w:rPr>
                            <w:fldChar w:fldCharType="end"/>
                          </w:r>
                        </w:p>
                      </w:txbxContent>
                    </wps:txbx>
                    <wps:bodyPr lIns="0" tIns="0" rIns="0" bIns="0" upright="1">
                      <a:spAutoFit/>
                    </wps:bodyPr>
                  </wps:wsp>
                </a:graphicData>
              </a:graphic>
            </wp:anchor>
          </w:drawing>
        </mc:Choice>
        <mc:Fallback>
          <w:pict>
            <v:shape id="文本框 2" o:spid="_x0000_s1026" o:spt="202" type="#_x0000_t202" style="position:absolute;left:0pt;margin-left:220.8pt;margin-top:-0.15pt;height:144pt;width:19.5pt;mso-position-horizontal-relative:margin;z-index:251659264;mso-width-relative:page;mso-height-relative:page;" filled="f" stroked="f" coordsize="21600,21600" o:gfxdata="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nmajj1gAAAAkBAAAPAAAAAAAAAAEAIAAAACIAAABkcnMv&#10;ZG93bnJldi54bWxQSwECFAAUAAAACACHTuJAU8EcRMwBAACaAwAADgAAAAAAAAABACAAAAAlAQAA&#10;ZHJzL2Uyb0RvYy54bWxQSwUGAAAAAAYABgBZAQAAYwUAAAAA&#10;">
              <v:fill on="f" focussize="0,0"/>
              <v:stroke on="f"/>
              <v:imagedata o:title=""/>
              <o:lock v:ext="edit" aspectratio="f"/>
              <v:textbox inset="0mm,0mm,0mm,0mm" style="mso-fit-shape-to-text:t;">
                <w:txbxContent>
                  <w:p w14:paraId="74AF85D8">
                    <w:pPr>
                      <w:pStyle w:val="28"/>
                      <w:jc w:val="center"/>
                    </w:pPr>
                    <w:r>
                      <w:fldChar w:fldCharType="begin"/>
                    </w:r>
                    <w:r>
                      <w:instrText xml:space="preserve">PAGE   \* MERGEFORMAT</w:instrText>
                    </w:r>
                    <w:r>
                      <w:fldChar w:fldCharType="separate"/>
                    </w:r>
                    <w:r>
                      <w:rPr>
                        <w:lang w:val="zh-CN"/>
                      </w:rPr>
                      <w:t>12</w:t>
                    </w:r>
                    <w:r>
                      <w:rPr>
                        <w:lang w:val="zh-CN"/>
                      </w:rPr>
                      <w:fldChar w:fldCharType="end"/>
                    </w:r>
                  </w:p>
                </w:txbxContent>
              </v:textbox>
            </v:shape>
          </w:pict>
        </mc:Fallback>
      </mc:AlternateContent>
    </w:r>
  </w:p>
  <w:p w14:paraId="4CE1EBE3">
    <w:pPr>
      <w:pStyle w:val="28"/>
      <w:jc w:val="both"/>
      <w:rPr>
        <w:rStyle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529F6">
    <w:pPr>
      <w:pStyle w:val="28"/>
      <w:jc w:val="center"/>
    </w:pPr>
    <w:r>
      <mc:AlternateContent>
        <mc:Choice Requires="wps">
          <w:drawing>
            <wp:anchor distT="0" distB="0" distL="114300" distR="114300" simplePos="0" relativeHeight="251661312" behindDoc="0" locked="0" layoutInCell="1" allowOverlap="1">
              <wp:simplePos x="0" y="0"/>
              <wp:positionH relativeFrom="margin">
                <wp:posOffset>2804160</wp:posOffset>
              </wp:positionH>
              <wp:positionV relativeFrom="paragraph">
                <wp:posOffset>-1905</wp:posOffset>
              </wp:positionV>
              <wp:extent cx="24765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247650" cy="1828800"/>
                      </a:xfrm>
                      <a:prstGeom prst="rect">
                        <a:avLst/>
                      </a:prstGeom>
                      <a:noFill/>
                      <a:ln>
                        <a:noFill/>
                      </a:ln>
                      <a:effectLst/>
                    </wps:spPr>
                    <wps:txbx>
                      <w:txbxContent>
                        <w:p w14:paraId="149478FF">
                          <w:pPr>
                            <w:pStyle w:val="28"/>
                            <w:jc w:val="center"/>
                          </w:pPr>
                          <w:r>
                            <w:fldChar w:fldCharType="begin"/>
                          </w:r>
                          <w:r>
                            <w:instrText xml:space="preserve">PAGE   \* MERGEFORMAT</w:instrText>
                          </w:r>
                          <w:r>
                            <w:fldChar w:fldCharType="separate"/>
                          </w:r>
                          <w:r>
                            <w:rPr>
                              <w:lang w:val="zh-CN"/>
                            </w:rPr>
                            <w:t>23</w:t>
                          </w:r>
                          <w:r>
                            <w:rPr>
                              <w:lang w:val="zh-CN"/>
                            </w:rPr>
                            <w:fldChar w:fldCharType="end"/>
                          </w:r>
                        </w:p>
                      </w:txbxContent>
                    </wps:txbx>
                    <wps:bodyPr lIns="0" tIns="0" rIns="0" bIns="0" upright="1">
                      <a:spAutoFit/>
                    </wps:bodyPr>
                  </wps:wsp>
                </a:graphicData>
              </a:graphic>
            </wp:anchor>
          </w:drawing>
        </mc:Choice>
        <mc:Fallback>
          <w:pict>
            <v:shape id="文本框 3" o:spid="_x0000_s1026" o:spt="202" type="#_x0000_t202" style="position:absolute;left:0pt;margin-left:220.8pt;margin-top:-0.15pt;height:144pt;width:19.5pt;mso-position-horizontal-relative:margin;z-index:251661312;mso-width-relative:page;mso-height-relative:page;" filled="f" stroked="f" coordsize="21600,21600" o:gfxdata="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nmajj1gAAAAkBAAAPAAAAAAAAAAEAIAAAACIAAABkcnMv&#10;ZG93bnJldi54bWxQSwECFAAUAAAACACHTuJAk+ldfcwBAACaAwAADgAAAAAAAAABACAAAAAlAQAA&#10;ZHJzL2Uyb0RvYy54bWxQSwUGAAAAAAYABgBZAQAAYwUAAAAA&#10;">
              <v:fill on="f" focussize="0,0"/>
              <v:stroke on="f"/>
              <v:imagedata o:title=""/>
              <o:lock v:ext="edit" aspectratio="f"/>
              <v:textbox inset="0mm,0mm,0mm,0mm" style="mso-fit-shape-to-text:t;">
                <w:txbxContent>
                  <w:p w14:paraId="149478FF">
                    <w:pPr>
                      <w:pStyle w:val="28"/>
                      <w:jc w:val="center"/>
                    </w:pPr>
                    <w:r>
                      <w:fldChar w:fldCharType="begin"/>
                    </w:r>
                    <w:r>
                      <w:instrText xml:space="preserve">PAGE   \* MERGEFORMAT</w:instrText>
                    </w:r>
                    <w:r>
                      <w:fldChar w:fldCharType="separate"/>
                    </w:r>
                    <w:r>
                      <w:rPr>
                        <w:lang w:val="zh-CN"/>
                      </w:rPr>
                      <w:t>23</w:t>
                    </w:r>
                    <w:r>
                      <w:rPr>
                        <w:lang w:val="zh-CN"/>
                      </w:rPr>
                      <w:fldChar w:fldCharType="end"/>
                    </w:r>
                  </w:p>
                </w:txbxContent>
              </v:textbox>
            </v:shape>
          </w:pict>
        </mc:Fallback>
      </mc:AlternateContent>
    </w:r>
  </w:p>
  <w:p w14:paraId="75130589">
    <w:pPr>
      <w:pStyle w:val="28"/>
      <w:jc w:val="both"/>
      <w:rPr>
        <w:rStyle w:val="4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EC82C">
    <w:pPr>
      <w:pStyle w:val="28"/>
      <w:jc w:val="center"/>
    </w:pPr>
    <w:r>
      <mc:AlternateContent>
        <mc:Choice Requires="wps">
          <w:drawing>
            <wp:anchor distT="0" distB="0" distL="114300" distR="114300" simplePos="0" relativeHeight="251660288" behindDoc="0" locked="0" layoutInCell="1" allowOverlap="1">
              <wp:simplePos x="0" y="0"/>
              <wp:positionH relativeFrom="margin">
                <wp:posOffset>2804160</wp:posOffset>
              </wp:positionH>
              <wp:positionV relativeFrom="paragraph">
                <wp:posOffset>-1905</wp:posOffset>
              </wp:positionV>
              <wp:extent cx="24765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247650" cy="1828800"/>
                      </a:xfrm>
                      <a:prstGeom prst="rect">
                        <a:avLst/>
                      </a:prstGeom>
                      <a:noFill/>
                      <a:ln>
                        <a:noFill/>
                      </a:ln>
                      <a:effectLst/>
                    </wps:spPr>
                    <wps:txbx>
                      <w:txbxContent>
                        <w:p w14:paraId="4795F9B7">
                          <w:pPr>
                            <w:pStyle w:val="28"/>
                            <w:jc w:val="center"/>
                          </w:pPr>
                          <w:r>
                            <w:fldChar w:fldCharType="begin"/>
                          </w:r>
                          <w:r>
                            <w:instrText xml:space="preserve">PAGE   \* MERGEFORMAT</w:instrText>
                          </w:r>
                          <w:r>
                            <w:fldChar w:fldCharType="separate"/>
                          </w:r>
                          <w:r>
                            <w:rPr>
                              <w:lang w:val="zh-CN"/>
                            </w:rPr>
                            <w:t>23</w:t>
                          </w:r>
                          <w:r>
                            <w:rPr>
                              <w:lang w:val="zh-CN"/>
                            </w:rPr>
                            <w:fldChar w:fldCharType="end"/>
                          </w:r>
                        </w:p>
                      </w:txbxContent>
                    </wps:txbx>
                    <wps:bodyPr lIns="0" tIns="0" rIns="0" bIns="0" upright="1">
                      <a:spAutoFit/>
                    </wps:bodyPr>
                  </wps:wsp>
                </a:graphicData>
              </a:graphic>
            </wp:anchor>
          </w:drawing>
        </mc:Choice>
        <mc:Fallback>
          <w:pict>
            <v:shape id="文本框 1" o:spid="_x0000_s1026" o:spt="202" type="#_x0000_t202" style="position:absolute;left:0pt;margin-left:220.8pt;margin-top:-0.15pt;height:144pt;width:19.5pt;mso-position-horizontal-relative:margin;z-index:251660288;mso-width-relative:page;mso-height-relative:page;" filled="f" stroked="f" coordsize="21600,21600" o:gfxdata="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nmajj1gAAAAkBAAAPAAAAAAAAAAEAIAAAACIAAABkcnMv&#10;ZG93bnJldi54bWxQSwECFAAUAAAACACHTuJAj0OuF8wBAACaAwAADgAAAAAAAAABACAAAAAlAQAA&#10;ZHJzL2Uyb0RvYy54bWxQSwUGAAAAAAYABgBZAQAAYwUAAAAA&#10;">
              <v:fill on="f" focussize="0,0"/>
              <v:stroke on="f"/>
              <v:imagedata o:title=""/>
              <o:lock v:ext="edit" aspectratio="f"/>
              <v:textbox inset="0mm,0mm,0mm,0mm" style="mso-fit-shape-to-text:t;">
                <w:txbxContent>
                  <w:p w14:paraId="4795F9B7">
                    <w:pPr>
                      <w:pStyle w:val="28"/>
                      <w:jc w:val="center"/>
                    </w:pPr>
                    <w:r>
                      <w:fldChar w:fldCharType="begin"/>
                    </w:r>
                    <w:r>
                      <w:instrText xml:space="preserve">PAGE   \* MERGEFORMAT</w:instrText>
                    </w:r>
                    <w:r>
                      <w:fldChar w:fldCharType="separate"/>
                    </w:r>
                    <w:r>
                      <w:rPr>
                        <w:lang w:val="zh-CN"/>
                      </w:rPr>
                      <w:t>23</w:t>
                    </w:r>
                    <w:r>
                      <w:rPr>
                        <w:lang w:val="zh-CN"/>
                      </w:rPr>
                      <w:fldChar w:fldCharType="end"/>
                    </w:r>
                  </w:p>
                </w:txbxContent>
              </v:textbox>
            </v:shape>
          </w:pict>
        </mc:Fallback>
      </mc:AlternateContent>
    </w:r>
  </w:p>
  <w:p w14:paraId="7C5A1EDB">
    <w:pPr>
      <w:pStyle w:val="28"/>
      <w:jc w:val="both"/>
      <w:rPr>
        <w:rStyle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2B193">
    <w:pPr>
      <w:pStyle w:val="29"/>
      <w:jc w:val="left"/>
      <w:rPr>
        <w:sz w:val="15"/>
      </w:rPr>
    </w:pPr>
    <w:r>
      <w:rPr>
        <w:rFonts w:hint="eastAsia"/>
        <w:sz w:val="15"/>
      </w:rPr>
      <w:t xml:space="preserve"> 南沙交投先进智造园</w:t>
    </w:r>
    <w:r>
      <w:rPr>
        <w:rFonts w:hint="eastAsia"/>
        <w:sz w:val="15"/>
        <w:lang w:val="en-US" w:eastAsia="zh-CN"/>
      </w:rPr>
      <w:t>一期</w:t>
    </w:r>
    <w:r>
      <w:rPr>
        <w:rFonts w:hint="eastAsia"/>
        <w:sz w:val="15"/>
      </w:rPr>
      <w:t>项目全过程造价咨询服务合同文件</w:t>
    </w:r>
  </w:p>
  <w:p w14:paraId="2228FB88">
    <w:pPr>
      <w:pStyle w:val="29"/>
      <w:pBdr>
        <w:bottom w:val="none" w:color="auto" w:sz="0" w:space="0"/>
      </w:pBdr>
      <w:jc w:val="both"/>
      <w:rPr>
        <w:rFonts w:hint="eastAsia" w:eastAsia="宋体"/>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758EB">
    <w:pPr>
      <w:pStyle w:val="29"/>
      <w:jc w:val="left"/>
      <w:rPr>
        <w:sz w:val="15"/>
      </w:rPr>
    </w:pPr>
    <w:r>
      <w:rPr>
        <w:rFonts w:hint="eastAsia"/>
        <w:sz w:val="15"/>
      </w:rPr>
      <w:t xml:space="preserve"> 南沙交投先进智造园项目全过程造价咨询服务合同文件</w:t>
    </w:r>
  </w:p>
  <w:p w14:paraId="65FBA75E">
    <w:pPr>
      <w:pStyle w:val="29"/>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89FB6">
    <w:pPr>
      <w:pStyle w:val="29"/>
      <w:jc w:val="left"/>
      <w:rPr>
        <w:sz w:val="15"/>
      </w:rPr>
    </w:pPr>
    <w:r>
      <w:rPr>
        <w:rFonts w:hint="eastAsia"/>
        <w:sz w:val="15"/>
      </w:rPr>
      <w:t xml:space="preserve"> 南沙交投先进智造园项目全过程造价咨询服务合同文件</w:t>
    </w:r>
  </w:p>
  <w:p w14:paraId="79E857A9">
    <w:pPr>
      <w:pStyle w:val="29"/>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B96659"/>
    <w:multiLevelType w:val="singleLevel"/>
    <w:tmpl w:val="AFB96659"/>
    <w:lvl w:ilvl="0" w:tentative="0">
      <w:start w:val="8"/>
      <w:numFmt w:val="chineseCounting"/>
      <w:suff w:val="space"/>
      <w:lvlText w:val="第%1条"/>
      <w:lvlJc w:val="left"/>
      <w:rPr>
        <w:rFonts w:hint="eastAsia"/>
      </w:rPr>
    </w:lvl>
  </w:abstractNum>
  <w:abstractNum w:abstractNumId="1">
    <w:nsid w:val="352BED88"/>
    <w:multiLevelType w:val="singleLevel"/>
    <w:tmpl w:val="352BED88"/>
    <w:lvl w:ilvl="0" w:tentative="0">
      <w:start w:val="5"/>
      <w:numFmt w:val="chineseCounting"/>
      <w:suff w:val="nothing"/>
      <w:lvlText w:val="（%1）"/>
      <w:lvlJc w:val="left"/>
      <w:rPr>
        <w:rFonts w:hint="eastAsia"/>
      </w:rPr>
    </w:lvl>
  </w:abstractNum>
  <w:abstractNum w:abstractNumId="2">
    <w:nsid w:val="514346EB"/>
    <w:multiLevelType w:val="multilevel"/>
    <w:tmpl w:val="514346EB"/>
    <w:lvl w:ilvl="0" w:tentative="0">
      <w:start w:val="6"/>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71714A77"/>
    <w:multiLevelType w:val="multilevel"/>
    <w:tmpl w:val="71714A77"/>
    <w:lvl w:ilvl="0" w:tentative="0">
      <w:start w:val="1"/>
      <w:numFmt w:val="bullet"/>
      <w:pStyle w:val="19"/>
      <w:lvlText w:val="□"/>
      <w:lvlJc w:val="left"/>
      <w:pPr>
        <w:ind w:left="840" w:hanging="360"/>
      </w:pPr>
      <w:rPr>
        <w:rFonts w:hint="eastAsia" w:ascii="宋体" w:hAnsi="宋体" w:eastAsia="宋体" w:cs="Times New Roman"/>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hMDNlYTE3OTdjOWE0ZmNhODE1YjAxZTUxZjFjYTUifQ=="/>
  </w:docVars>
  <w:rsids>
    <w:rsidRoot w:val="505B6A39"/>
    <w:rsid w:val="00000172"/>
    <w:rsid w:val="00005CB1"/>
    <w:rsid w:val="000067BE"/>
    <w:rsid w:val="00017DC5"/>
    <w:rsid w:val="0003203C"/>
    <w:rsid w:val="00066A12"/>
    <w:rsid w:val="00075ECB"/>
    <w:rsid w:val="000833F4"/>
    <w:rsid w:val="000979E2"/>
    <w:rsid w:val="000A6878"/>
    <w:rsid w:val="000D4F14"/>
    <w:rsid w:val="000F3EF8"/>
    <w:rsid w:val="000F4421"/>
    <w:rsid w:val="000F58F0"/>
    <w:rsid w:val="00106E6E"/>
    <w:rsid w:val="00114D4A"/>
    <w:rsid w:val="0012343A"/>
    <w:rsid w:val="00144160"/>
    <w:rsid w:val="001623DA"/>
    <w:rsid w:val="00172E91"/>
    <w:rsid w:val="00185FEE"/>
    <w:rsid w:val="001A2473"/>
    <w:rsid w:val="001C22F3"/>
    <w:rsid w:val="001D475F"/>
    <w:rsid w:val="001D5B99"/>
    <w:rsid w:val="001F2284"/>
    <w:rsid w:val="00217B86"/>
    <w:rsid w:val="0022352A"/>
    <w:rsid w:val="002309B0"/>
    <w:rsid w:val="00240D8B"/>
    <w:rsid w:val="00254728"/>
    <w:rsid w:val="002713D5"/>
    <w:rsid w:val="00271B19"/>
    <w:rsid w:val="00284E6F"/>
    <w:rsid w:val="002900B9"/>
    <w:rsid w:val="00290F99"/>
    <w:rsid w:val="002A2C7F"/>
    <w:rsid w:val="002B5AB8"/>
    <w:rsid w:val="002C0E43"/>
    <w:rsid w:val="002C2069"/>
    <w:rsid w:val="002C5D5E"/>
    <w:rsid w:val="002D65B0"/>
    <w:rsid w:val="002F42DC"/>
    <w:rsid w:val="00306E5C"/>
    <w:rsid w:val="00315CDC"/>
    <w:rsid w:val="0031679F"/>
    <w:rsid w:val="0032334B"/>
    <w:rsid w:val="00332CB8"/>
    <w:rsid w:val="003432AB"/>
    <w:rsid w:val="00351865"/>
    <w:rsid w:val="00365EE4"/>
    <w:rsid w:val="003951B9"/>
    <w:rsid w:val="00396630"/>
    <w:rsid w:val="00396FDC"/>
    <w:rsid w:val="003A143A"/>
    <w:rsid w:val="003B1308"/>
    <w:rsid w:val="003C0AD5"/>
    <w:rsid w:val="003C292A"/>
    <w:rsid w:val="003C685B"/>
    <w:rsid w:val="003D1905"/>
    <w:rsid w:val="003E0A44"/>
    <w:rsid w:val="003E0DAB"/>
    <w:rsid w:val="003F4482"/>
    <w:rsid w:val="00402DB5"/>
    <w:rsid w:val="0040376A"/>
    <w:rsid w:val="0040517E"/>
    <w:rsid w:val="00407DB2"/>
    <w:rsid w:val="00424E96"/>
    <w:rsid w:val="00437FAC"/>
    <w:rsid w:val="00442CD1"/>
    <w:rsid w:val="00461D2C"/>
    <w:rsid w:val="00464CC7"/>
    <w:rsid w:val="00490E34"/>
    <w:rsid w:val="004B5337"/>
    <w:rsid w:val="004D7FBC"/>
    <w:rsid w:val="004E0727"/>
    <w:rsid w:val="00516756"/>
    <w:rsid w:val="00522064"/>
    <w:rsid w:val="00524619"/>
    <w:rsid w:val="0054243D"/>
    <w:rsid w:val="00550819"/>
    <w:rsid w:val="00555A03"/>
    <w:rsid w:val="00556285"/>
    <w:rsid w:val="00562E9D"/>
    <w:rsid w:val="005722CA"/>
    <w:rsid w:val="0057578C"/>
    <w:rsid w:val="00590B4F"/>
    <w:rsid w:val="0059458F"/>
    <w:rsid w:val="00596A3E"/>
    <w:rsid w:val="005C3EE1"/>
    <w:rsid w:val="005C6331"/>
    <w:rsid w:val="005D02A2"/>
    <w:rsid w:val="005D46AF"/>
    <w:rsid w:val="005F2A59"/>
    <w:rsid w:val="005F6E27"/>
    <w:rsid w:val="00603F0C"/>
    <w:rsid w:val="006045BB"/>
    <w:rsid w:val="0060737F"/>
    <w:rsid w:val="006146CA"/>
    <w:rsid w:val="00617B6F"/>
    <w:rsid w:val="00622114"/>
    <w:rsid w:val="006241F4"/>
    <w:rsid w:val="00625C75"/>
    <w:rsid w:val="00636356"/>
    <w:rsid w:val="0064702E"/>
    <w:rsid w:val="00651D94"/>
    <w:rsid w:val="006759A7"/>
    <w:rsid w:val="00680168"/>
    <w:rsid w:val="0068650B"/>
    <w:rsid w:val="006916B1"/>
    <w:rsid w:val="0069460C"/>
    <w:rsid w:val="006951FB"/>
    <w:rsid w:val="006B120A"/>
    <w:rsid w:val="006B2A71"/>
    <w:rsid w:val="006B2CA8"/>
    <w:rsid w:val="006B64BE"/>
    <w:rsid w:val="006B6F4B"/>
    <w:rsid w:val="006C0087"/>
    <w:rsid w:val="006C1D5E"/>
    <w:rsid w:val="006C471A"/>
    <w:rsid w:val="006C5225"/>
    <w:rsid w:val="006D4E23"/>
    <w:rsid w:val="006E485C"/>
    <w:rsid w:val="006E49F1"/>
    <w:rsid w:val="006E78B4"/>
    <w:rsid w:val="006F04DB"/>
    <w:rsid w:val="00702678"/>
    <w:rsid w:val="00702ECE"/>
    <w:rsid w:val="007376F7"/>
    <w:rsid w:val="00782775"/>
    <w:rsid w:val="00794734"/>
    <w:rsid w:val="007A4446"/>
    <w:rsid w:val="007A73AC"/>
    <w:rsid w:val="007B2D51"/>
    <w:rsid w:val="007C15E4"/>
    <w:rsid w:val="007D1307"/>
    <w:rsid w:val="007D1D6D"/>
    <w:rsid w:val="007E4ABB"/>
    <w:rsid w:val="00802920"/>
    <w:rsid w:val="00821D3A"/>
    <w:rsid w:val="00840F16"/>
    <w:rsid w:val="00856FA4"/>
    <w:rsid w:val="0085799F"/>
    <w:rsid w:val="00883237"/>
    <w:rsid w:val="00885D67"/>
    <w:rsid w:val="008A193D"/>
    <w:rsid w:val="008A7B7C"/>
    <w:rsid w:val="008B02B3"/>
    <w:rsid w:val="008B1F74"/>
    <w:rsid w:val="008D58FB"/>
    <w:rsid w:val="008D5A27"/>
    <w:rsid w:val="008F0C4B"/>
    <w:rsid w:val="0090026A"/>
    <w:rsid w:val="0090571E"/>
    <w:rsid w:val="00926A6F"/>
    <w:rsid w:val="0094013B"/>
    <w:rsid w:val="00944A7A"/>
    <w:rsid w:val="00946A1B"/>
    <w:rsid w:val="009776BC"/>
    <w:rsid w:val="009B01C1"/>
    <w:rsid w:val="009E0674"/>
    <w:rsid w:val="009E1A69"/>
    <w:rsid w:val="009F2906"/>
    <w:rsid w:val="00A20AAB"/>
    <w:rsid w:val="00A2371A"/>
    <w:rsid w:val="00A36AAC"/>
    <w:rsid w:val="00A42CB9"/>
    <w:rsid w:val="00A55AA3"/>
    <w:rsid w:val="00A60058"/>
    <w:rsid w:val="00A6511E"/>
    <w:rsid w:val="00AA527F"/>
    <w:rsid w:val="00AC2BBD"/>
    <w:rsid w:val="00AC5606"/>
    <w:rsid w:val="00AC7358"/>
    <w:rsid w:val="00AD129F"/>
    <w:rsid w:val="00AE01BF"/>
    <w:rsid w:val="00AE15E9"/>
    <w:rsid w:val="00AF4BF9"/>
    <w:rsid w:val="00AF6ABA"/>
    <w:rsid w:val="00B02759"/>
    <w:rsid w:val="00B04CDC"/>
    <w:rsid w:val="00B141B0"/>
    <w:rsid w:val="00B15752"/>
    <w:rsid w:val="00B16B1C"/>
    <w:rsid w:val="00B20D28"/>
    <w:rsid w:val="00B47024"/>
    <w:rsid w:val="00B94B43"/>
    <w:rsid w:val="00BB01F3"/>
    <w:rsid w:val="00BC51BF"/>
    <w:rsid w:val="00BC74E7"/>
    <w:rsid w:val="00BE3A39"/>
    <w:rsid w:val="00BF4288"/>
    <w:rsid w:val="00C01BD6"/>
    <w:rsid w:val="00C16B03"/>
    <w:rsid w:val="00C23CC7"/>
    <w:rsid w:val="00C517EA"/>
    <w:rsid w:val="00C56C99"/>
    <w:rsid w:val="00C61277"/>
    <w:rsid w:val="00C612C8"/>
    <w:rsid w:val="00C623B9"/>
    <w:rsid w:val="00C62BCA"/>
    <w:rsid w:val="00C6577F"/>
    <w:rsid w:val="00C71BFE"/>
    <w:rsid w:val="00C816C6"/>
    <w:rsid w:val="00C857BF"/>
    <w:rsid w:val="00CA4AE3"/>
    <w:rsid w:val="00CC3A44"/>
    <w:rsid w:val="00CD32D6"/>
    <w:rsid w:val="00CD619B"/>
    <w:rsid w:val="00CF7989"/>
    <w:rsid w:val="00D03B33"/>
    <w:rsid w:val="00D052D8"/>
    <w:rsid w:val="00D13A7E"/>
    <w:rsid w:val="00D20955"/>
    <w:rsid w:val="00D35A72"/>
    <w:rsid w:val="00D3657C"/>
    <w:rsid w:val="00D462EE"/>
    <w:rsid w:val="00D5091C"/>
    <w:rsid w:val="00D52452"/>
    <w:rsid w:val="00D5374F"/>
    <w:rsid w:val="00D551CD"/>
    <w:rsid w:val="00D559CA"/>
    <w:rsid w:val="00D55F03"/>
    <w:rsid w:val="00D56F96"/>
    <w:rsid w:val="00D62F50"/>
    <w:rsid w:val="00D64AC7"/>
    <w:rsid w:val="00D70484"/>
    <w:rsid w:val="00D73446"/>
    <w:rsid w:val="00D76299"/>
    <w:rsid w:val="00D82D41"/>
    <w:rsid w:val="00DA0744"/>
    <w:rsid w:val="00DA28B1"/>
    <w:rsid w:val="00DA4EEB"/>
    <w:rsid w:val="00DB4C23"/>
    <w:rsid w:val="00DD087D"/>
    <w:rsid w:val="00DE2B93"/>
    <w:rsid w:val="00E15274"/>
    <w:rsid w:val="00E22503"/>
    <w:rsid w:val="00E42FF7"/>
    <w:rsid w:val="00E46955"/>
    <w:rsid w:val="00E46C9F"/>
    <w:rsid w:val="00E6353A"/>
    <w:rsid w:val="00E94338"/>
    <w:rsid w:val="00EA04B6"/>
    <w:rsid w:val="00EA30D9"/>
    <w:rsid w:val="00EE1700"/>
    <w:rsid w:val="00EE2FFD"/>
    <w:rsid w:val="00EE5CC4"/>
    <w:rsid w:val="00EF0EBC"/>
    <w:rsid w:val="00EF4AD2"/>
    <w:rsid w:val="00F16B6C"/>
    <w:rsid w:val="00F246FC"/>
    <w:rsid w:val="00F25C77"/>
    <w:rsid w:val="00F50D7F"/>
    <w:rsid w:val="00F534CD"/>
    <w:rsid w:val="00F67E6B"/>
    <w:rsid w:val="00F721DD"/>
    <w:rsid w:val="00FA2CC4"/>
    <w:rsid w:val="00FA5857"/>
    <w:rsid w:val="00FB4712"/>
    <w:rsid w:val="00FE3CBB"/>
    <w:rsid w:val="01003E12"/>
    <w:rsid w:val="01675739"/>
    <w:rsid w:val="0246650F"/>
    <w:rsid w:val="02C50E3E"/>
    <w:rsid w:val="02CE6D6F"/>
    <w:rsid w:val="02D00371"/>
    <w:rsid w:val="02F71282"/>
    <w:rsid w:val="03165668"/>
    <w:rsid w:val="035360F4"/>
    <w:rsid w:val="04180141"/>
    <w:rsid w:val="04AD25F9"/>
    <w:rsid w:val="0525378B"/>
    <w:rsid w:val="05485CA4"/>
    <w:rsid w:val="0569453D"/>
    <w:rsid w:val="059742BF"/>
    <w:rsid w:val="066B102C"/>
    <w:rsid w:val="069937E0"/>
    <w:rsid w:val="069D0A86"/>
    <w:rsid w:val="06AB3EED"/>
    <w:rsid w:val="06E26E45"/>
    <w:rsid w:val="06F02E77"/>
    <w:rsid w:val="07510073"/>
    <w:rsid w:val="07857B1F"/>
    <w:rsid w:val="07A05BAC"/>
    <w:rsid w:val="07AD5CE6"/>
    <w:rsid w:val="0859552D"/>
    <w:rsid w:val="08AB36CB"/>
    <w:rsid w:val="08C06582"/>
    <w:rsid w:val="08E14BE4"/>
    <w:rsid w:val="09CC1D53"/>
    <w:rsid w:val="0A307814"/>
    <w:rsid w:val="0AFB0018"/>
    <w:rsid w:val="0B05556B"/>
    <w:rsid w:val="0B09578C"/>
    <w:rsid w:val="0B5011E4"/>
    <w:rsid w:val="0B85419B"/>
    <w:rsid w:val="0B922D00"/>
    <w:rsid w:val="0BB94399"/>
    <w:rsid w:val="0C240657"/>
    <w:rsid w:val="0D645034"/>
    <w:rsid w:val="0DED0B09"/>
    <w:rsid w:val="0E224550"/>
    <w:rsid w:val="0E227BB9"/>
    <w:rsid w:val="0E3E1491"/>
    <w:rsid w:val="0E57755D"/>
    <w:rsid w:val="0EC85606"/>
    <w:rsid w:val="0ED42BE8"/>
    <w:rsid w:val="0FDC46F6"/>
    <w:rsid w:val="0FDC6901"/>
    <w:rsid w:val="106733BF"/>
    <w:rsid w:val="10B70857"/>
    <w:rsid w:val="10D80643"/>
    <w:rsid w:val="10DE14CE"/>
    <w:rsid w:val="11176B5B"/>
    <w:rsid w:val="11323ECA"/>
    <w:rsid w:val="11507C36"/>
    <w:rsid w:val="11B757C0"/>
    <w:rsid w:val="11F34C13"/>
    <w:rsid w:val="11F523D4"/>
    <w:rsid w:val="1288122C"/>
    <w:rsid w:val="1296483B"/>
    <w:rsid w:val="133E2F8F"/>
    <w:rsid w:val="14011E9C"/>
    <w:rsid w:val="140A39B3"/>
    <w:rsid w:val="14226311"/>
    <w:rsid w:val="142442CE"/>
    <w:rsid w:val="14424E30"/>
    <w:rsid w:val="14522278"/>
    <w:rsid w:val="145F7B37"/>
    <w:rsid w:val="14640C3A"/>
    <w:rsid w:val="14D00369"/>
    <w:rsid w:val="14E12814"/>
    <w:rsid w:val="153E1730"/>
    <w:rsid w:val="15AB3061"/>
    <w:rsid w:val="15F5735F"/>
    <w:rsid w:val="163559AE"/>
    <w:rsid w:val="163813AF"/>
    <w:rsid w:val="166C5148"/>
    <w:rsid w:val="16802117"/>
    <w:rsid w:val="16C8111B"/>
    <w:rsid w:val="16FC7CC4"/>
    <w:rsid w:val="176955A9"/>
    <w:rsid w:val="17987C7E"/>
    <w:rsid w:val="18013EBE"/>
    <w:rsid w:val="18D23F3A"/>
    <w:rsid w:val="19630049"/>
    <w:rsid w:val="1A004889"/>
    <w:rsid w:val="1A096DE4"/>
    <w:rsid w:val="1A960FD8"/>
    <w:rsid w:val="1AC1448E"/>
    <w:rsid w:val="1B003779"/>
    <w:rsid w:val="1B7C74E7"/>
    <w:rsid w:val="1B8C6626"/>
    <w:rsid w:val="1BDA1A67"/>
    <w:rsid w:val="1BF03BD4"/>
    <w:rsid w:val="1C0774D4"/>
    <w:rsid w:val="1C1450AB"/>
    <w:rsid w:val="1C203FF8"/>
    <w:rsid w:val="1C5B3C94"/>
    <w:rsid w:val="1D0B0CF7"/>
    <w:rsid w:val="1D883AC0"/>
    <w:rsid w:val="1DD52914"/>
    <w:rsid w:val="1E0A1FF5"/>
    <w:rsid w:val="1E424FE8"/>
    <w:rsid w:val="1E493A48"/>
    <w:rsid w:val="1EC2122B"/>
    <w:rsid w:val="1F130856"/>
    <w:rsid w:val="1F1B413E"/>
    <w:rsid w:val="1FA813B0"/>
    <w:rsid w:val="1FD7378A"/>
    <w:rsid w:val="20750289"/>
    <w:rsid w:val="20B7665E"/>
    <w:rsid w:val="21BD4E85"/>
    <w:rsid w:val="222C235B"/>
    <w:rsid w:val="22D850E9"/>
    <w:rsid w:val="22E64750"/>
    <w:rsid w:val="230975B1"/>
    <w:rsid w:val="23202A2A"/>
    <w:rsid w:val="23515533"/>
    <w:rsid w:val="238805E9"/>
    <w:rsid w:val="23AA1C51"/>
    <w:rsid w:val="245A7205"/>
    <w:rsid w:val="249A184D"/>
    <w:rsid w:val="24C47376"/>
    <w:rsid w:val="253558D3"/>
    <w:rsid w:val="25AD2FD3"/>
    <w:rsid w:val="25F01BCD"/>
    <w:rsid w:val="26041FD0"/>
    <w:rsid w:val="26225820"/>
    <w:rsid w:val="265D420B"/>
    <w:rsid w:val="26920BFA"/>
    <w:rsid w:val="269B7AAF"/>
    <w:rsid w:val="270536E7"/>
    <w:rsid w:val="276F548D"/>
    <w:rsid w:val="27A417C9"/>
    <w:rsid w:val="282559F7"/>
    <w:rsid w:val="283D5074"/>
    <w:rsid w:val="28530E16"/>
    <w:rsid w:val="28A44D1B"/>
    <w:rsid w:val="28EA7CE3"/>
    <w:rsid w:val="29577041"/>
    <w:rsid w:val="298D11C9"/>
    <w:rsid w:val="2A116B64"/>
    <w:rsid w:val="2A1557D9"/>
    <w:rsid w:val="2A815C52"/>
    <w:rsid w:val="2AE26E08"/>
    <w:rsid w:val="2AF43FE8"/>
    <w:rsid w:val="2B4B7402"/>
    <w:rsid w:val="2BB510E1"/>
    <w:rsid w:val="2BC7395E"/>
    <w:rsid w:val="2BCA513F"/>
    <w:rsid w:val="2C3E447A"/>
    <w:rsid w:val="2C516D63"/>
    <w:rsid w:val="2C8001F1"/>
    <w:rsid w:val="2CB755E0"/>
    <w:rsid w:val="2D536DB2"/>
    <w:rsid w:val="2D967F06"/>
    <w:rsid w:val="2DB72CF5"/>
    <w:rsid w:val="2E1A7DF4"/>
    <w:rsid w:val="2E2C7D07"/>
    <w:rsid w:val="2E8A5607"/>
    <w:rsid w:val="2EDD789E"/>
    <w:rsid w:val="2F236443"/>
    <w:rsid w:val="2F704D20"/>
    <w:rsid w:val="2FB048DD"/>
    <w:rsid w:val="2FB73BFC"/>
    <w:rsid w:val="3048677D"/>
    <w:rsid w:val="305042E9"/>
    <w:rsid w:val="30F46578"/>
    <w:rsid w:val="30FE1445"/>
    <w:rsid w:val="311066F6"/>
    <w:rsid w:val="3145688A"/>
    <w:rsid w:val="31950475"/>
    <w:rsid w:val="31966A4E"/>
    <w:rsid w:val="31D178C7"/>
    <w:rsid w:val="320157E2"/>
    <w:rsid w:val="32A13857"/>
    <w:rsid w:val="33BC5467"/>
    <w:rsid w:val="344C24FC"/>
    <w:rsid w:val="345179FF"/>
    <w:rsid w:val="34CB403E"/>
    <w:rsid w:val="351547F8"/>
    <w:rsid w:val="35552C2C"/>
    <w:rsid w:val="36167FBB"/>
    <w:rsid w:val="36942718"/>
    <w:rsid w:val="36A20539"/>
    <w:rsid w:val="36AA22CC"/>
    <w:rsid w:val="36C70E99"/>
    <w:rsid w:val="36CE45A9"/>
    <w:rsid w:val="36F86858"/>
    <w:rsid w:val="37340799"/>
    <w:rsid w:val="37A709CB"/>
    <w:rsid w:val="37B37F65"/>
    <w:rsid w:val="37B9683C"/>
    <w:rsid w:val="38062BC3"/>
    <w:rsid w:val="382D344A"/>
    <w:rsid w:val="38F96D28"/>
    <w:rsid w:val="39615516"/>
    <w:rsid w:val="39B25C0F"/>
    <w:rsid w:val="39DE0776"/>
    <w:rsid w:val="3A072166"/>
    <w:rsid w:val="3A875D3A"/>
    <w:rsid w:val="3AD968C0"/>
    <w:rsid w:val="3ADA107F"/>
    <w:rsid w:val="3B027E40"/>
    <w:rsid w:val="3B5120C5"/>
    <w:rsid w:val="3C180A92"/>
    <w:rsid w:val="3C85706F"/>
    <w:rsid w:val="3CA66AE9"/>
    <w:rsid w:val="3CCA7DA0"/>
    <w:rsid w:val="3D1A4E4F"/>
    <w:rsid w:val="3D9853C9"/>
    <w:rsid w:val="3E2E0DB1"/>
    <w:rsid w:val="3E5500EC"/>
    <w:rsid w:val="3E8F7522"/>
    <w:rsid w:val="3F2821C2"/>
    <w:rsid w:val="3F5C6238"/>
    <w:rsid w:val="3FAE2DB3"/>
    <w:rsid w:val="400B5262"/>
    <w:rsid w:val="405A4338"/>
    <w:rsid w:val="40686AC6"/>
    <w:rsid w:val="40934154"/>
    <w:rsid w:val="40950AD4"/>
    <w:rsid w:val="40AD6027"/>
    <w:rsid w:val="40EE15F5"/>
    <w:rsid w:val="40F93A3C"/>
    <w:rsid w:val="41087697"/>
    <w:rsid w:val="411354E7"/>
    <w:rsid w:val="41233082"/>
    <w:rsid w:val="417F14DE"/>
    <w:rsid w:val="41A23071"/>
    <w:rsid w:val="41B703AD"/>
    <w:rsid w:val="421A652F"/>
    <w:rsid w:val="424E7033"/>
    <w:rsid w:val="42707EAF"/>
    <w:rsid w:val="439B10E1"/>
    <w:rsid w:val="43B72D49"/>
    <w:rsid w:val="43CC0E50"/>
    <w:rsid w:val="44602B57"/>
    <w:rsid w:val="447C4C02"/>
    <w:rsid w:val="454560B0"/>
    <w:rsid w:val="46596C0F"/>
    <w:rsid w:val="465C5A79"/>
    <w:rsid w:val="469667B4"/>
    <w:rsid w:val="46DB0AE1"/>
    <w:rsid w:val="46DC4B83"/>
    <w:rsid w:val="470F43A6"/>
    <w:rsid w:val="47382D65"/>
    <w:rsid w:val="4754306C"/>
    <w:rsid w:val="475F1FDB"/>
    <w:rsid w:val="477147C7"/>
    <w:rsid w:val="479C6A6B"/>
    <w:rsid w:val="479F062A"/>
    <w:rsid w:val="483B234D"/>
    <w:rsid w:val="487817C3"/>
    <w:rsid w:val="48876BAD"/>
    <w:rsid w:val="49276B29"/>
    <w:rsid w:val="49A41A72"/>
    <w:rsid w:val="4A3B26A5"/>
    <w:rsid w:val="4A501132"/>
    <w:rsid w:val="4A617F8F"/>
    <w:rsid w:val="4ACF4499"/>
    <w:rsid w:val="4AFE09BF"/>
    <w:rsid w:val="4B08376E"/>
    <w:rsid w:val="4B386DCB"/>
    <w:rsid w:val="4B6B0863"/>
    <w:rsid w:val="4BA601FC"/>
    <w:rsid w:val="4C303F79"/>
    <w:rsid w:val="4C5E1CD5"/>
    <w:rsid w:val="4C616C61"/>
    <w:rsid w:val="4D5135DF"/>
    <w:rsid w:val="4D600ACA"/>
    <w:rsid w:val="4D8A7D75"/>
    <w:rsid w:val="4DE10AE8"/>
    <w:rsid w:val="4E0117C1"/>
    <w:rsid w:val="4E303D57"/>
    <w:rsid w:val="4E310988"/>
    <w:rsid w:val="4E5D3ACD"/>
    <w:rsid w:val="4F8B0045"/>
    <w:rsid w:val="4FB3573E"/>
    <w:rsid w:val="502471A0"/>
    <w:rsid w:val="504F5F7E"/>
    <w:rsid w:val="505B6A39"/>
    <w:rsid w:val="50A867A1"/>
    <w:rsid w:val="50FC0BD7"/>
    <w:rsid w:val="51111CE4"/>
    <w:rsid w:val="51901C8F"/>
    <w:rsid w:val="52374280"/>
    <w:rsid w:val="52394C0D"/>
    <w:rsid w:val="525F1FA3"/>
    <w:rsid w:val="529232BD"/>
    <w:rsid w:val="52E9287D"/>
    <w:rsid w:val="53126595"/>
    <w:rsid w:val="53676C63"/>
    <w:rsid w:val="53EC138C"/>
    <w:rsid w:val="53ED31F1"/>
    <w:rsid w:val="543939BF"/>
    <w:rsid w:val="54834FEE"/>
    <w:rsid w:val="54903E64"/>
    <w:rsid w:val="55E0078B"/>
    <w:rsid w:val="55E97687"/>
    <w:rsid w:val="5610680B"/>
    <w:rsid w:val="561B35FD"/>
    <w:rsid w:val="568674D2"/>
    <w:rsid w:val="569900AE"/>
    <w:rsid w:val="56A33C92"/>
    <w:rsid w:val="56D76520"/>
    <w:rsid w:val="573E3484"/>
    <w:rsid w:val="57580C55"/>
    <w:rsid w:val="577A20EB"/>
    <w:rsid w:val="58136BF6"/>
    <w:rsid w:val="582560F4"/>
    <w:rsid w:val="5835032F"/>
    <w:rsid w:val="58AB16A9"/>
    <w:rsid w:val="59554E6C"/>
    <w:rsid w:val="59856595"/>
    <w:rsid w:val="5B066E54"/>
    <w:rsid w:val="5B217EC3"/>
    <w:rsid w:val="5BAC16F6"/>
    <w:rsid w:val="5BE10AD3"/>
    <w:rsid w:val="5C70352E"/>
    <w:rsid w:val="5C72060B"/>
    <w:rsid w:val="5C9D0131"/>
    <w:rsid w:val="5CC91F79"/>
    <w:rsid w:val="5D1C33D9"/>
    <w:rsid w:val="5D60197C"/>
    <w:rsid w:val="5DD60926"/>
    <w:rsid w:val="5DD77B66"/>
    <w:rsid w:val="5F123606"/>
    <w:rsid w:val="5F6F2470"/>
    <w:rsid w:val="5F7C4CA7"/>
    <w:rsid w:val="5F816B3B"/>
    <w:rsid w:val="5FE647A1"/>
    <w:rsid w:val="60184AED"/>
    <w:rsid w:val="60632781"/>
    <w:rsid w:val="60920607"/>
    <w:rsid w:val="60B71050"/>
    <w:rsid w:val="612E026A"/>
    <w:rsid w:val="613720DD"/>
    <w:rsid w:val="61586915"/>
    <w:rsid w:val="617D27E5"/>
    <w:rsid w:val="619C1A0A"/>
    <w:rsid w:val="61A86679"/>
    <w:rsid w:val="61BA2B40"/>
    <w:rsid w:val="61BC6B2E"/>
    <w:rsid w:val="61FF417C"/>
    <w:rsid w:val="6247541D"/>
    <w:rsid w:val="62734ADF"/>
    <w:rsid w:val="62E77EF5"/>
    <w:rsid w:val="63033E09"/>
    <w:rsid w:val="63F561DB"/>
    <w:rsid w:val="64387F3D"/>
    <w:rsid w:val="64616F3B"/>
    <w:rsid w:val="64C04B40"/>
    <w:rsid w:val="65165CAD"/>
    <w:rsid w:val="65511613"/>
    <w:rsid w:val="65BB5D46"/>
    <w:rsid w:val="65D04D3B"/>
    <w:rsid w:val="66665CAD"/>
    <w:rsid w:val="66B94E0C"/>
    <w:rsid w:val="66D47EC5"/>
    <w:rsid w:val="671D4570"/>
    <w:rsid w:val="673E6784"/>
    <w:rsid w:val="67414F97"/>
    <w:rsid w:val="678A0A4F"/>
    <w:rsid w:val="67C34A87"/>
    <w:rsid w:val="68030E0A"/>
    <w:rsid w:val="6869520A"/>
    <w:rsid w:val="69FD4D0C"/>
    <w:rsid w:val="6A3E29B7"/>
    <w:rsid w:val="6A5D7AD9"/>
    <w:rsid w:val="6B163275"/>
    <w:rsid w:val="6B2705FC"/>
    <w:rsid w:val="6B640707"/>
    <w:rsid w:val="6B696039"/>
    <w:rsid w:val="6BA103C1"/>
    <w:rsid w:val="6C33237C"/>
    <w:rsid w:val="6C375932"/>
    <w:rsid w:val="6CA91877"/>
    <w:rsid w:val="6CCA5F4F"/>
    <w:rsid w:val="6CEF4EB6"/>
    <w:rsid w:val="6D0146CF"/>
    <w:rsid w:val="6E9D2810"/>
    <w:rsid w:val="6E9F7335"/>
    <w:rsid w:val="6ED10C42"/>
    <w:rsid w:val="6EDA3732"/>
    <w:rsid w:val="6FA04DBB"/>
    <w:rsid w:val="6FEA304E"/>
    <w:rsid w:val="701A3A63"/>
    <w:rsid w:val="7023779A"/>
    <w:rsid w:val="70562D72"/>
    <w:rsid w:val="706501F7"/>
    <w:rsid w:val="7084073C"/>
    <w:rsid w:val="709D24D6"/>
    <w:rsid w:val="70D35770"/>
    <w:rsid w:val="712F0CCB"/>
    <w:rsid w:val="716A100A"/>
    <w:rsid w:val="718F1333"/>
    <w:rsid w:val="729B1A85"/>
    <w:rsid w:val="73214465"/>
    <w:rsid w:val="73267AB1"/>
    <w:rsid w:val="73EF1E6D"/>
    <w:rsid w:val="73F071B9"/>
    <w:rsid w:val="74143896"/>
    <w:rsid w:val="741C28AD"/>
    <w:rsid w:val="74B409D3"/>
    <w:rsid w:val="74BF544C"/>
    <w:rsid w:val="75080DA0"/>
    <w:rsid w:val="752735B4"/>
    <w:rsid w:val="75813824"/>
    <w:rsid w:val="75B9563F"/>
    <w:rsid w:val="75C476DA"/>
    <w:rsid w:val="75DC1AAB"/>
    <w:rsid w:val="764876B3"/>
    <w:rsid w:val="76661704"/>
    <w:rsid w:val="76D63920"/>
    <w:rsid w:val="77381181"/>
    <w:rsid w:val="7783600D"/>
    <w:rsid w:val="779D05CB"/>
    <w:rsid w:val="78362F70"/>
    <w:rsid w:val="78C855F6"/>
    <w:rsid w:val="78D70C0A"/>
    <w:rsid w:val="78FD6405"/>
    <w:rsid w:val="7961074A"/>
    <w:rsid w:val="799A7DA0"/>
    <w:rsid w:val="799E178B"/>
    <w:rsid w:val="79A76A8A"/>
    <w:rsid w:val="79F55F51"/>
    <w:rsid w:val="7A1D0F76"/>
    <w:rsid w:val="7A8B6CAA"/>
    <w:rsid w:val="7AB4263A"/>
    <w:rsid w:val="7AE30A72"/>
    <w:rsid w:val="7B364826"/>
    <w:rsid w:val="7B763853"/>
    <w:rsid w:val="7B7F1463"/>
    <w:rsid w:val="7B8C6B3B"/>
    <w:rsid w:val="7BF30AE7"/>
    <w:rsid w:val="7BF4216D"/>
    <w:rsid w:val="7C10545A"/>
    <w:rsid w:val="7C8D6E2E"/>
    <w:rsid w:val="7D7C6A8D"/>
    <w:rsid w:val="7DCB68F6"/>
    <w:rsid w:val="7E386228"/>
    <w:rsid w:val="7F69223E"/>
    <w:rsid w:val="7F9758CA"/>
    <w:rsid w:val="7FA50FA0"/>
    <w:rsid w:val="7FD52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iPriority="0" w:name="table of authorities"/>
    <w:lsdException w:unhideWhenUsed="0" w:uiPriority="0" w:semiHidden="0" w:name="macro"/>
    <w:lsdException w:qFormat="1" w:unhideWhenUsed="0" w:uiPriority="0" w:semiHidden="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9"/>
    <w:qFormat/>
    <w:uiPriority w:val="0"/>
    <w:pPr>
      <w:keepNext/>
      <w:keepLines/>
      <w:spacing w:before="340" w:after="330" w:line="578" w:lineRule="auto"/>
      <w:outlineLvl w:val="0"/>
    </w:pPr>
    <w:rPr>
      <w:bCs/>
      <w:kern w:val="44"/>
      <w:szCs w:val="44"/>
    </w:rPr>
  </w:style>
  <w:style w:type="paragraph" w:styleId="5">
    <w:name w:val="heading 2"/>
    <w:basedOn w:val="1"/>
    <w:next w:val="1"/>
    <w:link w:val="50"/>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51"/>
    <w:qFormat/>
    <w:uiPriority w:val="0"/>
    <w:pPr>
      <w:keepNext/>
      <w:keepLines/>
      <w:spacing w:before="260" w:after="260" w:line="416" w:lineRule="auto"/>
      <w:outlineLvl w:val="2"/>
    </w:pPr>
    <w:rPr>
      <w:b/>
      <w:bCs/>
      <w:sz w:val="32"/>
      <w:szCs w:val="32"/>
    </w:rPr>
  </w:style>
  <w:style w:type="paragraph" w:styleId="7">
    <w:name w:val="heading 4"/>
    <w:basedOn w:val="1"/>
    <w:next w:val="1"/>
    <w:link w:val="52"/>
    <w:unhideWhenUsed/>
    <w:qFormat/>
    <w:uiPriority w:val="0"/>
    <w:pPr>
      <w:keepNext/>
      <w:keepLines/>
      <w:spacing w:before="100" w:after="100"/>
      <w:outlineLvl w:val="3"/>
    </w:pPr>
    <w:rPr>
      <w:rFonts w:ascii="Arial" w:hAnsi="Arial"/>
      <w:b/>
      <w:bCs/>
      <w:sz w:val="28"/>
      <w:szCs w:val="28"/>
    </w:rPr>
  </w:style>
  <w:style w:type="paragraph" w:styleId="8">
    <w:name w:val="heading 5"/>
    <w:basedOn w:val="1"/>
    <w:next w:val="1"/>
    <w:link w:val="53"/>
    <w:unhideWhenUsed/>
    <w:qFormat/>
    <w:uiPriority w:val="0"/>
    <w:pPr>
      <w:keepNext/>
      <w:keepLines/>
      <w:spacing w:before="100" w:after="100"/>
      <w:outlineLvl w:val="4"/>
    </w:pPr>
    <w:rPr>
      <w:rFonts w:ascii="Calibri" w:hAnsi="Calibri"/>
      <w:b/>
      <w:bCs/>
      <w:sz w:val="28"/>
      <w:szCs w:val="28"/>
    </w:rPr>
  </w:style>
  <w:style w:type="paragraph" w:styleId="9">
    <w:name w:val="heading 6"/>
    <w:basedOn w:val="1"/>
    <w:next w:val="1"/>
    <w:link w:val="54"/>
    <w:qFormat/>
    <w:uiPriority w:val="0"/>
    <w:pPr>
      <w:keepNext/>
      <w:keepLines/>
      <w:numPr>
        <w:ilvl w:val="5"/>
        <w:numId w:val="1"/>
      </w:numPr>
      <w:spacing w:before="240" w:after="64" w:line="319" w:lineRule="auto"/>
      <w:outlineLvl w:val="5"/>
    </w:pPr>
    <w:rPr>
      <w:rFonts w:ascii="Arial" w:hAnsi="Arial" w:eastAsia="黑体"/>
      <w:b/>
      <w:bCs/>
      <w:sz w:val="24"/>
    </w:rPr>
  </w:style>
  <w:style w:type="paragraph" w:styleId="10">
    <w:name w:val="heading 7"/>
    <w:basedOn w:val="1"/>
    <w:next w:val="11"/>
    <w:link w:val="55"/>
    <w:qFormat/>
    <w:uiPriority w:val="0"/>
    <w:pPr>
      <w:keepNext/>
      <w:keepLines/>
      <w:spacing w:before="240" w:after="64" w:line="319" w:lineRule="auto"/>
      <w:outlineLvl w:val="6"/>
    </w:pPr>
    <w:rPr>
      <w:rFonts w:ascii="Calibri" w:hAnsi="Calibri"/>
      <w:b/>
      <w:sz w:val="24"/>
      <w:szCs w:val="20"/>
    </w:rPr>
  </w:style>
  <w:style w:type="paragraph" w:styleId="12">
    <w:name w:val="heading 8"/>
    <w:basedOn w:val="1"/>
    <w:next w:val="11"/>
    <w:link w:val="56"/>
    <w:qFormat/>
    <w:uiPriority w:val="0"/>
    <w:pPr>
      <w:keepNext/>
      <w:keepLines/>
      <w:spacing w:before="240" w:after="64" w:line="319" w:lineRule="auto"/>
      <w:outlineLvl w:val="7"/>
    </w:pPr>
    <w:rPr>
      <w:rFonts w:ascii="Arial" w:hAnsi="Arial" w:eastAsia="黑体"/>
      <w:sz w:val="24"/>
      <w:szCs w:val="20"/>
    </w:rPr>
  </w:style>
  <w:style w:type="paragraph" w:styleId="13">
    <w:name w:val="heading 9"/>
    <w:basedOn w:val="1"/>
    <w:next w:val="11"/>
    <w:link w:val="57"/>
    <w:qFormat/>
    <w:uiPriority w:val="0"/>
    <w:pPr>
      <w:keepNext/>
      <w:keepLines/>
      <w:spacing w:before="240" w:after="64" w:line="319" w:lineRule="auto"/>
      <w:outlineLvl w:val="8"/>
    </w:pPr>
    <w:rPr>
      <w:rFonts w:ascii="Arial" w:hAnsi="Arial" w:eastAsia="黑体"/>
      <w:szCs w:val="20"/>
    </w:rPr>
  </w:style>
  <w:style w:type="character" w:default="1" w:styleId="42">
    <w:name w:val="Default Paragraph Font"/>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3"/>
    <w:link w:val="71"/>
    <w:qFormat/>
    <w:uiPriority w:val="0"/>
    <w:pPr>
      <w:ind w:firstLine="420"/>
    </w:pPr>
  </w:style>
  <w:style w:type="paragraph" w:styleId="3">
    <w:name w:val="Body Text"/>
    <w:basedOn w:val="1"/>
    <w:link w:val="60"/>
    <w:qFormat/>
    <w:uiPriority w:val="0"/>
    <w:pPr>
      <w:spacing w:after="120"/>
    </w:pPr>
    <w:rPr>
      <w:szCs w:val="20"/>
    </w:rPr>
  </w:style>
  <w:style w:type="paragraph" w:styleId="11">
    <w:name w:val="Normal Indent"/>
    <w:basedOn w:val="1"/>
    <w:qFormat/>
    <w:uiPriority w:val="0"/>
    <w:pPr>
      <w:ind w:firstLine="420"/>
    </w:pPr>
    <w:rPr>
      <w:rFonts w:ascii="Calibri" w:hAnsi="Calibri"/>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Document Map"/>
    <w:basedOn w:val="1"/>
    <w:link w:val="58"/>
    <w:qFormat/>
    <w:uiPriority w:val="0"/>
    <w:pPr>
      <w:shd w:val="clear" w:color="auto" w:fill="000080"/>
    </w:pPr>
    <w:rPr>
      <w:rFonts w:ascii="Calibri" w:hAnsi="Calibri"/>
      <w:szCs w:val="20"/>
    </w:rPr>
  </w:style>
  <w:style w:type="paragraph" w:styleId="16">
    <w:name w:val="toa heading"/>
    <w:basedOn w:val="1"/>
    <w:next w:val="1"/>
    <w:qFormat/>
    <w:uiPriority w:val="0"/>
    <w:pPr>
      <w:spacing w:before="120"/>
    </w:pPr>
    <w:rPr>
      <w:rFonts w:ascii="Arial" w:hAnsi="Arial"/>
      <w:sz w:val="24"/>
    </w:rPr>
  </w:style>
  <w:style w:type="paragraph" w:styleId="17">
    <w:name w:val="annotation text"/>
    <w:basedOn w:val="1"/>
    <w:link w:val="59"/>
    <w:qFormat/>
    <w:uiPriority w:val="0"/>
    <w:pPr>
      <w:jc w:val="left"/>
    </w:pPr>
  </w:style>
  <w:style w:type="paragraph" w:styleId="18">
    <w:name w:val="Body Text Indent"/>
    <w:basedOn w:val="1"/>
    <w:link w:val="61"/>
    <w:qFormat/>
    <w:uiPriority w:val="0"/>
    <w:pPr>
      <w:spacing w:after="120"/>
      <w:ind w:left="420" w:leftChars="200"/>
    </w:pPr>
    <w:rPr>
      <w:rFonts w:ascii="Calibri" w:hAnsi="Calibri"/>
      <w:szCs w:val="20"/>
    </w:rPr>
  </w:style>
  <w:style w:type="paragraph" w:styleId="19">
    <w:name w:val="List Bullet 2"/>
    <w:basedOn w:val="1"/>
    <w:qFormat/>
    <w:uiPriority w:val="0"/>
    <w:pPr>
      <w:widowControl/>
      <w:numPr>
        <w:ilvl w:val="0"/>
        <w:numId w:val="2"/>
      </w:numPr>
      <w:tabs>
        <w:tab w:val="left" w:pos="720"/>
      </w:tabs>
      <w:ind w:left="720"/>
      <w:jc w:val="left"/>
    </w:pPr>
    <w:rPr>
      <w:rFonts w:ascii="Calibri" w:hAnsi="Calibri" w:eastAsia="Times New Roman"/>
      <w:kern w:val="0"/>
      <w:sz w:val="20"/>
      <w:szCs w:val="20"/>
    </w:rPr>
  </w:style>
  <w:style w:type="paragraph" w:styleId="20">
    <w:name w:val="toc 5"/>
    <w:basedOn w:val="1"/>
    <w:next w:val="1"/>
    <w:qFormat/>
    <w:uiPriority w:val="39"/>
    <w:pPr>
      <w:ind w:left="840"/>
      <w:jc w:val="left"/>
    </w:pPr>
    <w:rPr>
      <w:rFonts w:ascii="Calibri" w:hAnsi="Calibri"/>
      <w:sz w:val="18"/>
      <w:szCs w:val="18"/>
    </w:rPr>
  </w:style>
  <w:style w:type="paragraph" w:styleId="21">
    <w:name w:val="toc 3"/>
    <w:basedOn w:val="1"/>
    <w:next w:val="1"/>
    <w:qFormat/>
    <w:uiPriority w:val="39"/>
    <w:pPr>
      <w:ind w:left="840" w:leftChars="400"/>
    </w:pPr>
  </w:style>
  <w:style w:type="paragraph" w:styleId="22">
    <w:name w:val="Plain Text"/>
    <w:basedOn w:val="1"/>
    <w:link w:val="62"/>
    <w:qFormat/>
    <w:uiPriority w:val="0"/>
    <w:rPr>
      <w:rFonts w:ascii="宋体" w:hAnsi="Courier New" w:eastAsia="Times New Roman"/>
      <w:szCs w:val="20"/>
    </w:rPr>
  </w:style>
  <w:style w:type="paragraph" w:styleId="23">
    <w:name w:val="toc 8"/>
    <w:basedOn w:val="1"/>
    <w:next w:val="1"/>
    <w:qFormat/>
    <w:uiPriority w:val="39"/>
    <w:pPr>
      <w:ind w:left="1470"/>
      <w:jc w:val="left"/>
    </w:pPr>
    <w:rPr>
      <w:rFonts w:ascii="Calibri" w:hAnsi="Calibri"/>
      <w:sz w:val="18"/>
      <w:szCs w:val="18"/>
    </w:rPr>
  </w:style>
  <w:style w:type="paragraph" w:styleId="24">
    <w:name w:val="Date"/>
    <w:basedOn w:val="1"/>
    <w:next w:val="1"/>
    <w:link w:val="63"/>
    <w:qFormat/>
    <w:uiPriority w:val="0"/>
    <w:pPr>
      <w:ind w:left="100" w:leftChars="2500"/>
    </w:pPr>
  </w:style>
  <w:style w:type="paragraph" w:styleId="25">
    <w:name w:val="Body Text Indent 2"/>
    <w:basedOn w:val="1"/>
    <w:link w:val="64"/>
    <w:qFormat/>
    <w:uiPriority w:val="0"/>
    <w:pPr>
      <w:ind w:firstLine="720" w:firstLineChars="225"/>
    </w:pPr>
    <w:rPr>
      <w:rFonts w:ascii="仿宋_GB2312" w:hAnsi="Calibri" w:eastAsia="仿宋_GB2312"/>
      <w:sz w:val="32"/>
    </w:rPr>
  </w:style>
  <w:style w:type="paragraph" w:styleId="26">
    <w:name w:val="endnote text"/>
    <w:basedOn w:val="1"/>
    <w:link w:val="65"/>
    <w:qFormat/>
    <w:uiPriority w:val="0"/>
    <w:pPr>
      <w:snapToGrid w:val="0"/>
      <w:jc w:val="left"/>
    </w:pPr>
    <w:rPr>
      <w:rFonts w:ascii="宋体" w:hAnsi="宋体"/>
      <w:szCs w:val="20"/>
    </w:rPr>
  </w:style>
  <w:style w:type="paragraph" w:styleId="27">
    <w:name w:val="Balloon Text"/>
    <w:basedOn w:val="1"/>
    <w:link w:val="66"/>
    <w:qFormat/>
    <w:uiPriority w:val="0"/>
    <w:rPr>
      <w:sz w:val="18"/>
      <w:szCs w:val="18"/>
    </w:rPr>
  </w:style>
  <w:style w:type="paragraph" w:styleId="28">
    <w:name w:val="footer"/>
    <w:basedOn w:val="1"/>
    <w:link w:val="67"/>
    <w:qFormat/>
    <w:uiPriority w:val="99"/>
    <w:pPr>
      <w:tabs>
        <w:tab w:val="center" w:pos="4153"/>
        <w:tab w:val="right" w:pos="8306"/>
      </w:tabs>
      <w:snapToGrid w:val="0"/>
      <w:jc w:val="left"/>
    </w:pPr>
    <w:rPr>
      <w:sz w:val="18"/>
      <w:szCs w:val="18"/>
    </w:rPr>
  </w:style>
  <w:style w:type="paragraph" w:styleId="2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style>
  <w:style w:type="paragraph" w:styleId="31">
    <w:name w:val="toc 4"/>
    <w:basedOn w:val="1"/>
    <w:next w:val="1"/>
    <w:qFormat/>
    <w:uiPriority w:val="39"/>
    <w:pPr>
      <w:ind w:left="630"/>
      <w:jc w:val="left"/>
    </w:pPr>
    <w:rPr>
      <w:rFonts w:ascii="Calibri" w:hAnsi="Calibri"/>
      <w:sz w:val="18"/>
      <w:szCs w:val="18"/>
    </w:rPr>
  </w:style>
  <w:style w:type="paragraph" w:styleId="32">
    <w:name w:val="toc 6"/>
    <w:basedOn w:val="1"/>
    <w:next w:val="1"/>
    <w:qFormat/>
    <w:uiPriority w:val="39"/>
    <w:pPr>
      <w:ind w:left="1050"/>
      <w:jc w:val="left"/>
    </w:pPr>
    <w:rPr>
      <w:rFonts w:ascii="Calibri" w:hAnsi="Calibri"/>
      <w:sz w:val="18"/>
      <w:szCs w:val="18"/>
    </w:rPr>
  </w:style>
  <w:style w:type="paragraph" w:styleId="33">
    <w:name w:val="Body Text Indent 3"/>
    <w:basedOn w:val="1"/>
    <w:link w:val="68"/>
    <w:qFormat/>
    <w:uiPriority w:val="0"/>
    <w:pPr>
      <w:spacing w:after="120"/>
      <w:ind w:left="420" w:leftChars="200"/>
    </w:pPr>
    <w:rPr>
      <w:rFonts w:ascii="Calibri" w:hAnsi="Calibri"/>
      <w:sz w:val="16"/>
      <w:szCs w:val="16"/>
    </w:rPr>
  </w:style>
  <w:style w:type="paragraph" w:styleId="34">
    <w:name w:val="toc 2"/>
    <w:basedOn w:val="1"/>
    <w:next w:val="1"/>
    <w:qFormat/>
    <w:uiPriority w:val="39"/>
    <w:pPr>
      <w:ind w:left="420" w:leftChars="200"/>
    </w:pPr>
  </w:style>
  <w:style w:type="paragraph" w:styleId="35">
    <w:name w:val="toc 9"/>
    <w:basedOn w:val="1"/>
    <w:next w:val="1"/>
    <w:qFormat/>
    <w:uiPriority w:val="39"/>
    <w:pPr>
      <w:ind w:left="1680"/>
      <w:jc w:val="left"/>
    </w:pPr>
    <w:rPr>
      <w:rFonts w:ascii="Calibri" w:hAnsi="Calibri"/>
      <w:sz w:val="18"/>
      <w:szCs w:val="18"/>
    </w:rPr>
  </w:style>
  <w:style w:type="paragraph" w:styleId="36">
    <w:name w:val="Body Text 2"/>
    <w:basedOn w:val="1"/>
    <w:qFormat/>
    <w:uiPriority w:val="0"/>
    <w:pPr>
      <w:spacing w:line="280" w:lineRule="exact"/>
      <w:jc w:val="center"/>
    </w:pPr>
  </w:style>
  <w:style w:type="paragraph" w:styleId="37">
    <w:name w:val="Normal (Web)"/>
    <w:basedOn w:val="1"/>
    <w:qFormat/>
    <w:uiPriority w:val="99"/>
    <w:pPr>
      <w:widowControl/>
      <w:spacing w:before="100" w:beforeAutospacing="1" w:after="100" w:afterAutospacing="1"/>
      <w:jc w:val="left"/>
    </w:pPr>
    <w:rPr>
      <w:rFonts w:ascii="宋体" w:hAnsi="宋体"/>
      <w:kern w:val="0"/>
      <w:sz w:val="24"/>
    </w:rPr>
  </w:style>
  <w:style w:type="paragraph" w:styleId="38">
    <w:name w:val="Title"/>
    <w:basedOn w:val="1"/>
    <w:link w:val="69"/>
    <w:qFormat/>
    <w:uiPriority w:val="0"/>
    <w:pPr>
      <w:spacing w:before="120" w:after="60"/>
      <w:jc w:val="center"/>
    </w:pPr>
    <w:rPr>
      <w:rFonts w:ascii="Arial" w:hAnsi="Arial"/>
      <w:b/>
      <w:sz w:val="44"/>
      <w:szCs w:val="20"/>
    </w:rPr>
  </w:style>
  <w:style w:type="paragraph" w:styleId="39">
    <w:name w:val="annotation subject"/>
    <w:basedOn w:val="17"/>
    <w:next w:val="17"/>
    <w:link w:val="70"/>
    <w:qFormat/>
    <w:uiPriority w:val="0"/>
    <w:rPr>
      <w:b/>
      <w:bCs/>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page number"/>
    <w:qFormat/>
    <w:uiPriority w:val="0"/>
  </w:style>
  <w:style w:type="character" w:styleId="45">
    <w:name w:val="FollowedHyperlink"/>
    <w:qFormat/>
    <w:uiPriority w:val="0"/>
    <w:rPr>
      <w:color w:val="800080"/>
      <w:u w:val="single"/>
    </w:rPr>
  </w:style>
  <w:style w:type="character" w:styleId="46">
    <w:name w:val="Hyperlink"/>
    <w:unhideWhenUsed/>
    <w:qFormat/>
    <w:uiPriority w:val="99"/>
    <w:rPr>
      <w:color w:val="0563C1"/>
      <w:u w:val="single"/>
    </w:rPr>
  </w:style>
  <w:style w:type="character" w:styleId="47">
    <w:name w:val="annotation reference"/>
    <w:qFormat/>
    <w:uiPriority w:val="0"/>
    <w:rPr>
      <w:sz w:val="21"/>
      <w:szCs w:val="21"/>
    </w:rPr>
  </w:style>
  <w:style w:type="paragraph" w:customStyle="1" w:styleId="4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9">
    <w:name w:val="标题 1 字符"/>
    <w:link w:val="4"/>
    <w:qFormat/>
    <w:uiPriority w:val="0"/>
    <w:rPr>
      <w:rFonts w:ascii="Arial" w:hAnsi="Arial"/>
      <w:bCs/>
      <w:kern w:val="44"/>
      <w:sz w:val="44"/>
      <w:szCs w:val="44"/>
    </w:rPr>
  </w:style>
  <w:style w:type="character" w:customStyle="1" w:styleId="50">
    <w:name w:val="标题 2 字符"/>
    <w:link w:val="5"/>
    <w:qFormat/>
    <w:uiPriority w:val="0"/>
    <w:rPr>
      <w:rFonts w:ascii="Arial" w:hAnsi="Arial" w:eastAsia="黑体"/>
      <w:b/>
      <w:bCs/>
      <w:kern w:val="2"/>
      <w:sz w:val="32"/>
      <w:szCs w:val="32"/>
    </w:rPr>
  </w:style>
  <w:style w:type="character" w:customStyle="1" w:styleId="51">
    <w:name w:val="标题 3 字符"/>
    <w:link w:val="6"/>
    <w:qFormat/>
    <w:uiPriority w:val="0"/>
    <w:rPr>
      <w:b/>
      <w:bCs/>
      <w:kern w:val="2"/>
      <w:sz w:val="32"/>
      <w:szCs w:val="32"/>
    </w:rPr>
  </w:style>
  <w:style w:type="character" w:customStyle="1" w:styleId="52">
    <w:name w:val="标题 4 字符"/>
    <w:link w:val="7"/>
    <w:qFormat/>
    <w:uiPriority w:val="0"/>
    <w:rPr>
      <w:rFonts w:ascii="Arial" w:hAnsi="Arial"/>
      <w:b/>
      <w:bCs/>
      <w:kern w:val="2"/>
      <w:sz w:val="28"/>
      <w:szCs w:val="28"/>
    </w:rPr>
  </w:style>
  <w:style w:type="character" w:customStyle="1" w:styleId="53">
    <w:name w:val="标题 5 字符"/>
    <w:link w:val="8"/>
    <w:qFormat/>
    <w:uiPriority w:val="0"/>
    <w:rPr>
      <w:rFonts w:ascii="Calibri" w:hAnsi="Calibri"/>
      <w:b/>
      <w:bCs/>
      <w:kern w:val="2"/>
      <w:sz w:val="28"/>
      <w:szCs w:val="28"/>
    </w:rPr>
  </w:style>
  <w:style w:type="character" w:customStyle="1" w:styleId="54">
    <w:name w:val="标题 6 字符"/>
    <w:link w:val="9"/>
    <w:qFormat/>
    <w:uiPriority w:val="0"/>
    <w:rPr>
      <w:rFonts w:ascii="Arial" w:hAnsi="Arial" w:eastAsia="黑体"/>
      <w:b/>
      <w:bCs/>
      <w:kern w:val="2"/>
      <w:sz w:val="24"/>
      <w:szCs w:val="24"/>
    </w:rPr>
  </w:style>
  <w:style w:type="character" w:customStyle="1" w:styleId="55">
    <w:name w:val="标题 7 字符"/>
    <w:link w:val="10"/>
    <w:qFormat/>
    <w:uiPriority w:val="0"/>
    <w:rPr>
      <w:rFonts w:ascii="Calibri" w:hAnsi="Calibri"/>
      <w:b/>
      <w:kern w:val="2"/>
      <w:sz w:val="24"/>
    </w:rPr>
  </w:style>
  <w:style w:type="character" w:customStyle="1" w:styleId="56">
    <w:name w:val="标题 8 字符"/>
    <w:link w:val="12"/>
    <w:qFormat/>
    <w:uiPriority w:val="0"/>
    <w:rPr>
      <w:rFonts w:ascii="Arial" w:hAnsi="Arial" w:eastAsia="黑体"/>
      <w:kern w:val="2"/>
      <w:sz w:val="24"/>
    </w:rPr>
  </w:style>
  <w:style w:type="character" w:customStyle="1" w:styleId="57">
    <w:name w:val="标题 9 字符"/>
    <w:link w:val="13"/>
    <w:qFormat/>
    <w:uiPriority w:val="0"/>
    <w:rPr>
      <w:rFonts w:ascii="Arial" w:hAnsi="Arial" w:eastAsia="黑体"/>
      <w:kern w:val="2"/>
      <w:sz w:val="21"/>
    </w:rPr>
  </w:style>
  <w:style w:type="character" w:customStyle="1" w:styleId="58">
    <w:name w:val="文档结构图 字符"/>
    <w:link w:val="15"/>
    <w:qFormat/>
    <w:uiPriority w:val="0"/>
    <w:rPr>
      <w:rFonts w:ascii="Calibri" w:hAnsi="Calibri"/>
      <w:kern w:val="2"/>
      <w:sz w:val="21"/>
      <w:shd w:val="clear" w:color="auto" w:fill="000080"/>
    </w:rPr>
  </w:style>
  <w:style w:type="character" w:customStyle="1" w:styleId="59">
    <w:name w:val="批注文字 字符1"/>
    <w:link w:val="17"/>
    <w:qFormat/>
    <w:uiPriority w:val="0"/>
    <w:rPr>
      <w:kern w:val="2"/>
      <w:sz w:val="21"/>
      <w:szCs w:val="24"/>
    </w:rPr>
  </w:style>
  <w:style w:type="character" w:customStyle="1" w:styleId="60">
    <w:name w:val="正文文本 字符"/>
    <w:link w:val="3"/>
    <w:qFormat/>
    <w:uiPriority w:val="0"/>
    <w:rPr>
      <w:kern w:val="2"/>
      <w:sz w:val="21"/>
    </w:rPr>
  </w:style>
  <w:style w:type="character" w:customStyle="1" w:styleId="61">
    <w:name w:val="正文文本缩进 字符"/>
    <w:link w:val="18"/>
    <w:qFormat/>
    <w:uiPriority w:val="0"/>
    <w:rPr>
      <w:rFonts w:ascii="Calibri" w:hAnsi="Calibri"/>
      <w:kern w:val="2"/>
      <w:sz w:val="21"/>
    </w:rPr>
  </w:style>
  <w:style w:type="character" w:customStyle="1" w:styleId="62">
    <w:name w:val="纯文本 字符"/>
    <w:link w:val="22"/>
    <w:qFormat/>
    <w:uiPriority w:val="0"/>
    <w:rPr>
      <w:rFonts w:ascii="宋体" w:hAnsi="Courier New" w:eastAsia="Times New Roman"/>
      <w:kern w:val="2"/>
      <w:sz w:val="21"/>
    </w:rPr>
  </w:style>
  <w:style w:type="character" w:customStyle="1" w:styleId="63">
    <w:name w:val="日期 字符"/>
    <w:link w:val="24"/>
    <w:qFormat/>
    <w:uiPriority w:val="0"/>
    <w:rPr>
      <w:kern w:val="2"/>
      <w:sz w:val="21"/>
      <w:szCs w:val="24"/>
    </w:rPr>
  </w:style>
  <w:style w:type="character" w:customStyle="1" w:styleId="64">
    <w:name w:val="正文文本缩进 2 字符"/>
    <w:link w:val="25"/>
    <w:qFormat/>
    <w:uiPriority w:val="0"/>
    <w:rPr>
      <w:rFonts w:ascii="仿宋_GB2312" w:hAnsi="Calibri" w:eastAsia="仿宋_GB2312"/>
      <w:kern w:val="2"/>
      <w:sz w:val="32"/>
      <w:szCs w:val="24"/>
    </w:rPr>
  </w:style>
  <w:style w:type="character" w:customStyle="1" w:styleId="65">
    <w:name w:val="尾注文本 字符"/>
    <w:link w:val="26"/>
    <w:qFormat/>
    <w:uiPriority w:val="0"/>
    <w:rPr>
      <w:rFonts w:ascii="宋体" w:hAnsi="宋体"/>
      <w:kern w:val="2"/>
      <w:sz w:val="21"/>
    </w:rPr>
  </w:style>
  <w:style w:type="character" w:customStyle="1" w:styleId="66">
    <w:name w:val="批注框文本 字符"/>
    <w:link w:val="27"/>
    <w:qFormat/>
    <w:uiPriority w:val="0"/>
    <w:rPr>
      <w:kern w:val="2"/>
      <w:sz w:val="18"/>
      <w:szCs w:val="18"/>
    </w:rPr>
  </w:style>
  <w:style w:type="character" w:customStyle="1" w:styleId="67">
    <w:name w:val="页脚 字符"/>
    <w:link w:val="28"/>
    <w:qFormat/>
    <w:uiPriority w:val="99"/>
    <w:rPr>
      <w:kern w:val="2"/>
      <w:sz w:val="18"/>
      <w:szCs w:val="18"/>
    </w:rPr>
  </w:style>
  <w:style w:type="character" w:customStyle="1" w:styleId="68">
    <w:name w:val="正文文本缩进 3 字符"/>
    <w:link w:val="33"/>
    <w:qFormat/>
    <w:uiPriority w:val="0"/>
    <w:rPr>
      <w:rFonts w:ascii="Calibri" w:hAnsi="Calibri"/>
      <w:kern w:val="2"/>
      <w:sz w:val="16"/>
      <w:szCs w:val="16"/>
    </w:rPr>
  </w:style>
  <w:style w:type="character" w:customStyle="1" w:styleId="69">
    <w:name w:val="标题 字符"/>
    <w:link w:val="38"/>
    <w:qFormat/>
    <w:uiPriority w:val="0"/>
    <w:rPr>
      <w:rFonts w:ascii="Arial" w:hAnsi="Arial"/>
      <w:b/>
      <w:kern w:val="2"/>
      <w:sz w:val="44"/>
    </w:rPr>
  </w:style>
  <w:style w:type="character" w:customStyle="1" w:styleId="70">
    <w:name w:val="批注主题 字符"/>
    <w:link w:val="39"/>
    <w:qFormat/>
    <w:uiPriority w:val="0"/>
    <w:rPr>
      <w:b/>
      <w:bCs/>
      <w:kern w:val="2"/>
      <w:sz w:val="21"/>
      <w:szCs w:val="24"/>
    </w:rPr>
  </w:style>
  <w:style w:type="character" w:customStyle="1" w:styleId="71">
    <w:name w:val="正文文本首行缩进 字符"/>
    <w:link w:val="2"/>
    <w:qFormat/>
    <w:uiPriority w:val="0"/>
    <w:rPr>
      <w:kern w:val="2"/>
      <w:sz w:val="21"/>
    </w:rPr>
  </w:style>
  <w:style w:type="paragraph" w:customStyle="1" w:styleId="72">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73">
    <w:name w:val="标题 1 Char Char"/>
    <w:qFormat/>
    <w:uiPriority w:val="0"/>
    <w:rPr>
      <w:rFonts w:ascii="Arial" w:hAnsi="Arial" w:eastAsia="宋体"/>
      <w:b/>
      <w:bCs/>
      <w:kern w:val="44"/>
      <w:sz w:val="36"/>
      <w:szCs w:val="36"/>
      <w:lang w:val="en-US" w:eastAsia="zh-CN" w:bidi="ar-SA"/>
    </w:rPr>
  </w:style>
  <w:style w:type="character" w:customStyle="1" w:styleId="74">
    <w:name w:val="尾注文本 字符1"/>
    <w:qFormat/>
    <w:uiPriority w:val="0"/>
    <w:rPr>
      <w:kern w:val="2"/>
      <w:sz w:val="21"/>
      <w:szCs w:val="24"/>
    </w:rPr>
  </w:style>
  <w:style w:type="character" w:customStyle="1" w:styleId="75">
    <w:name w:val="样式2 字符"/>
    <w:link w:val="76"/>
    <w:qFormat/>
    <w:uiPriority w:val="0"/>
    <w:rPr>
      <w:rFonts w:ascii="Arial" w:hAnsi="宋体" w:eastAsia="华文中宋"/>
      <w:b/>
      <w:bCs/>
      <w:kern w:val="28"/>
      <w:sz w:val="36"/>
      <w:szCs w:val="36"/>
    </w:rPr>
  </w:style>
  <w:style w:type="paragraph" w:customStyle="1" w:styleId="76">
    <w:name w:val="样式2"/>
    <w:basedOn w:val="5"/>
    <w:link w:val="75"/>
    <w:qFormat/>
    <w:uiPriority w:val="0"/>
    <w:pPr>
      <w:spacing w:line="415" w:lineRule="auto"/>
      <w:jc w:val="center"/>
    </w:pPr>
    <w:rPr>
      <w:rFonts w:hAnsi="宋体" w:eastAsia="华文中宋"/>
      <w:kern w:val="28"/>
      <w:sz w:val="36"/>
      <w:szCs w:val="36"/>
    </w:rPr>
  </w:style>
  <w:style w:type="character" w:customStyle="1" w:styleId="77">
    <w:name w:val="表格文字 Char"/>
    <w:qFormat/>
    <w:uiPriority w:val="0"/>
    <w:rPr>
      <w:rFonts w:ascii="宋体" w:hAnsi="Courier New" w:eastAsia="宋体"/>
      <w:kern w:val="2"/>
      <w:sz w:val="21"/>
      <w:lang w:val="en-US" w:eastAsia="zh-CN" w:bidi="ar-SA"/>
    </w:rPr>
  </w:style>
  <w:style w:type="character" w:customStyle="1" w:styleId="78">
    <w:name w:val="正文文本缩进 3 字符1"/>
    <w:qFormat/>
    <w:uiPriority w:val="0"/>
    <w:rPr>
      <w:kern w:val="2"/>
      <w:sz w:val="16"/>
      <w:szCs w:val="16"/>
    </w:rPr>
  </w:style>
  <w:style w:type="character" w:customStyle="1" w:styleId="79">
    <w:name w:val="文一 Char Char"/>
    <w:link w:val="80"/>
    <w:qFormat/>
    <w:uiPriority w:val="0"/>
    <w:rPr>
      <w:spacing w:val="4"/>
      <w:sz w:val="24"/>
      <w:szCs w:val="24"/>
    </w:rPr>
  </w:style>
  <w:style w:type="paragraph" w:customStyle="1" w:styleId="80">
    <w:name w:val="文一"/>
    <w:basedOn w:val="1"/>
    <w:link w:val="79"/>
    <w:qFormat/>
    <w:uiPriority w:val="0"/>
    <w:pPr>
      <w:topLinePunct/>
      <w:adjustRightInd w:val="0"/>
      <w:snapToGrid w:val="0"/>
      <w:spacing w:line="360" w:lineRule="auto"/>
      <w:ind w:firstLine="200" w:firstLineChars="200"/>
    </w:pPr>
    <w:rPr>
      <w:spacing w:val="4"/>
      <w:kern w:val="0"/>
      <w:sz w:val="24"/>
    </w:rPr>
  </w:style>
  <w:style w:type="character" w:customStyle="1" w:styleId="81">
    <w:name w:val="文档结构图 字符1"/>
    <w:qFormat/>
    <w:uiPriority w:val="0"/>
    <w:rPr>
      <w:rFonts w:ascii="Microsoft YaHei UI" w:eastAsia="Microsoft YaHei UI"/>
      <w:kern w:val="2"/>
      <w:sz w:val="18"/>
      <w:szCs w:val="18"/>
    </w:rPr>
  </w:style>
  <w:style w:type="character" w:customStyle="1" w:styleId="82">
    <w:name w:val="正文首行缩进 Char1"/>
    <w:qFormat/>
    <w:uiPriority w:val="0"/>
    <w:rPr>
      <w:kern w:val="2"/>
      <w:sz w:val="21"/>
      <w:szCs w:val="24"/>
    </w:rPr>
  </w:style>
  <w:style w:type="character" w:customStyle="1" w:styleId="83">
    <w:name w:val="正文文本缩进 2 字符1"/>
    <w:qFormat/>
    <w:uiPriority w:val="0"/>
    <w:rPr>
      <w:kern w:val="2"/>
      <w:sz w:val="21"/>
      <w:szCs w:val="24"/>
    </w:rPr>
  </w:style>
  <w:style w:type="character" w:customStyle="1" w:styleId="84">
    <w:name w:val="纯文本 Char1"/>
    <w:qFormat/>
    <w:uiPriority w:val="0"/>
    <w:rPr>
      <w:rFonts w:ascii="宋体" w:hAnsi="Courier New" w:eastAsia="宋体" w:cs="Courier New"/>
      <w:kern w:val="2"/>
      <w:sz w:val="21"/>
      <w:szCs w:val="21"/>
    </w:rPr>
  </w:style>
  <w:style w:type="character" w:customStyle="1" w:styleId="85">
    <w:name w:val="图（居中） Char Char"/>
    <w:link w:val="86"/>
    <w:qFormat/>
    <w:uiPriority w:val="0"/>
    <w:rPr>
      <w:rFonts w:ascii="Verdana" w:hAnsi="Verdana" w:eastAsia="华文仿宋"/>
      <w:kern w:val="2"/>
      <w:sz w:val="28"/>
      <w:szCs w:val="28"/>
    </w:rPr>
  </w:style>
  <w:style w:type="paragraph" w:customStyle="1" w:styleId="86">
    <w:name w:val="图（居中）"/>
    <w:basedOn w:val="1"/>
    <w:link w:val="85"/>
    <w:qFormat/>
    <w:uiPriority w:val="0"/>
    <w:pPr>
      <w:adjustRightInd w:val="0"/>
      <w:spacing w:after="120" w:line="360" w:lineRule="auto"/>
      <w:jc w:val="center"/>
      <w:textAlignment w:val="baseline"/>
    </w:pPr>
    <w:rPr>
      <w:rFonts w:ascii="Verdana" w:hAnsi="Verdana" w:eastAsia="华文仿宋"/>
      <w:sz w:val="28"/>
      <w:szCs w:val="28"/>
    </w:rPr>
  </w:style>
  <w:style w:type="character" w:customStyle="1" w:styleId="87">
    <w:name w:val="批注主题 字符1"/>
    <w:qFormat/>
    <w:uiPriority w:val="0"/>
    <w:rPr>
      <w:b/>
      <w:bCs/>
      <w:kern w:val="2"/>
      <w:sz w:val="21"/>
      <w:szCs w:val="24"/>
    </w:rPr>
  </w:style>
  <w:style w:type="character" w:customStyle="1" w:styleId="88">
    <w:name w:val="标题 Char Char"/>
    <w:qFormat/>
    <w:uiPriority w:val="0"/>
    <w:rPr>
      <w:rFonts w:ascii="Arial" w:hAnsi="Arial" w:eastAsia="宋体"/>
      <w:b/>
      <w:kern w:val="2"/>
      <w:sz w:val="44"/>
      <w:lang w:val="en-US" w:eastAsia="zh-CN" w:bidi="ar-SA"/>
    </w:rPr>
  </w:style>
  <w:style w:type="character" w:customStyle="1" w:styleId="89">
    <w:name w:val="批注文字 字符"/>
    <w:qFormat/>
    <w:uiPriority w:val="0"/>
    <w:rPr>
      <w:kern w:val="2"/>
      <w:sz w:val="21"/>
      <w:szCs w:val="24"/>
    </w:rPr>
  </w:style>
  <w:style w:type="character" w:customStyle="1" w:styleId="90">
    <w:name w:val="表格文字 Char Char"/>
    <w:link w:val="91"/>
    <w:qFormat/>
    <w:uiPriority w:val="0"/>
    <w:rPr>
      <w:rFonts w:eastAsia="仿宋_GB2312"/>
      <w:kern w:val="2"/>
      <w:sz w:val="24"/>
      <w:szCs w:val="21"/>
    </w:rPr>
  </w:style>
  <w:style w:type="paragraph" w:customStyle="1" w:styleId="91">
    <w:name w:val="表格文字"/>
    <w:basedOn w:val="1"/>
    <w:link w:val="90"/>
    <w:qFormat/>
    <w:uiPriority w:val="0"/>
    <w:rPr>
      <w:rFonts w:eastAsia="仿宋_GB2312"/>
      <w:sz w:val="24"/>
      <w:szCs w:val="21"/>
    </w:rPr>
  </w:style>
  <w:style w:type="character" w:customStyle="1" w:styleId="92">
    <w:name w:val="Char Char2"/>
    <w:qFormat/>
    <w:uiPriority w:val="0"/>
    <w:rPr>
      <w:rFonts w:eastAsia="宋体"/>
      <w:kern w:val="2"/>
      <w:sz w:val="21"/>
      <w:lang w:val="en-US" w:eastAsia="zh-CN" w:bidi="ar-SA"/>
    </w:rPr>
  </w:style>
  <w:style w:type="character" w:customStyle="1" w:styleId="93">
    <w:name w:val="正文文本 Char1"/>
    <w:qFormat/>
    <w:uiPriority w:val="0"/>
    <w:rPr>
      <w:kern w:val="2"/>
      <w:sz w:val="21"/>
      <w:szCs w:val="24"/>
    </w:rPr>
  </w:style>
  <w:style w:type="character" w:customStyle="1" w:styleId="94">
    <w:name w:val="图表 Char1 Char Char Char"/>
    <w:link w:val="95"/>
    <w:qFormat/>
    <w:uiPriority w:val="0"/>
    <w:rPr>
      <w:rFonts w:eastAsia="华文中宋"/>
      <w:kern w:val="24"/>
      <w:sz w:val="24"/>
    </w:rPr>
  </w:style>
  <w:style w:type="paragraph" w:customStyle="1" w:styleId="95">
    <w:name w:val="图表 Char1 Char"/>
    <w:basedOn w:val="1"/>
    <w:link w:val="94"/>
    <w:qFormat/>
    <w:uiPriority w:val="0"/>
    <w:pPr>
      <w:snapToGrid w:val="0"/>
      <w:spacing w:line="360" w:lineRule="auto"/>
      <w:ind w:firstLine="200" w:firstLineChars="200"/>
      <w:jc w:val="center"/>
    </w:pPr>
    <w:rPr>
      <w:rFonts w:eastAsia="华文中宋"/>
      <w:kern w:val="24"/>
      <w:sz w:val="24"/>
      <w:szCs w:val="20"/>
    </w:rPr>
  </w:style>
  <w:style w:type="character" w:customStyle="1" w:styleId="96">
    <w:name w:val="尾注文本 Char1"/>
    <w:qFormat/>
    <w:uiPriority w:val="0"/>
    <w:rPr>
      <w:kern w:val="2"/>
      <w:sz w:val="21"/>
      <w:szCs w:val="24"/>
    </w:rPr>
  </w:style>
  <w:style w:type="paragraph" w:customStyle="1" w:styleId="97">
    <w:name w:val="TOC 标题1"/>
    <w:basedOn w:val="4"/>
    <w:next w:val="1"/>
    <w:unhideWhenUsed/>
    <w:qFormat/>
    <w:uiPriority w:val="39"/>
    <w:pPr>
      <w:widowControl/>
      <w:spacing w:before="240" w:after="120" w:line="259" w:lineRule="auto"/>
      <w:outlineLvl w:val="9"/>
    </w:pPr>
    <w:rPr>
      <w:rFonts w:ascii="Cambria" w:hAnsi="Cambria"/>
      <w:b/>
      <w:bCs w:val="0"/>
      <w:color w:val="366091"/>
      <w:kern w:val="0"/>
      <w:sz w:val="32"/>
      <w:szCs w:val="32"/>
    </w:rPr>
  </w:style>
  <w:style w:type="paragraph" w:customStyle="1" w:styleId="98">
    <w:name w:val="Blockquote"/>
    <w:basedOn w:val="1"/>
    <w:qFormat/>
    <w:uiPriority w:val="0"/>
    <w:pPr>
      <w:autoSpaceDE w:val="0"/>
      <w:autoSpaceDN w:val="0"/>
      <w:adjustRightInd w:val="0"/>
      <w:spacing w:before="100" w:after="100"/>
      <w:ind w:left="360" w:right="360"/>
      <w:jc w:val="left"/>
    </w:pPr>
    <w:rPr>
      <w:rFonts w:ascii="Calibri" w:hAnsi="Calibri"/>
      <w:kern w:val="0"/>
      <w:sz w:val="24"/>
      <w:szCs w:val="20"/>
    </w:rPr>
  </w:style>
  <w:style w:type="paragraph" w:customStyle="1" w:styleId="99">
    <w:name w:val="样式1"/>
    <w:basedOn w:val="1"/>
    <w:qFormat/>
    <w:uiPriority w:val="0"/>
    <w:pPr>
      <w:adjustRightInd w:val="0"/>
      <w:snapToGrid w:val="0"/>
      <w:spacing w:line="360" w:lineRule="auto"/>
      <w:ind w:firstLine="482" w:firstLineChars="200"/>
      <w:jc w:val="left"/>
    </w:pPr>
    <w:rPr>
      <w:rFonts w:ascii="宋体" w:hAnsi="宋体"/>
      <w:b/>
      <w:bCs/>
      <w:kern w:val="0"/>
      <w:sz w:val="24"/>
      <w:szCs w:val="20"/>
    </w:rPr>
  </w:style>
  <w:style w:type="paragraph" w:customStyle="1" w:styleId="10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01">
    <w:name w:val="Char11"/>
    <w:basedOn w:val="1"/>
    <w:qFormat/>
    <w:uiPriority w:val="0"/>
    <w:pPr>
      <w:snapToGrid w:val="0"/>
      <w:spacing w:line="420" w:lineRule="auto"/>
    </w:pPr>
    <w:rPr>
      <w:rFonts w:ascii="Calibri" w:hAnsi="Calibri"/>
      <w:szCs w:val="21"/>
    </w:rPr>
  </w:style>
  <w:style w:type="paragraph" w:customStyle="1" w:styleId="102">
    <w:name w:val="_Style 41"/>
    <w:basedOn w:val="1"/>
    <w:qFormat/>
    <w:uiPriority w:val="0"/>
    <w:rPr>
      <w:rFonts w:ascii="宋体" w:hAnsi="CG Times (W1)"/>
      <w:kern w:val="0"/>
      <w:szCs w:val="20"/>
    </w:rPr>
  </w:style>
  <w:style w:type="paragraph" w:customStyle="1" w:styleId="103">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104">
    <w:name w:val="xl37"/>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05">
    <w:name w:val="xl3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06">
    <w:name w:val="修订1"/>
    <w:qFormat/>
    <w:uiPriority w:val="0"/>
    <w:rPr>
      <w:rFonts w:ascii="Times New Roman" w:hAnsi="Times New Roman" w:eastAsia="宋体" w:cs="Times New Roman"/>
      <w:kern w:val="2"/>
      <w:sz w:val="21"/>
      <w:szCs w:val="24"/>
      <w:lang w:val="en-US" w:eastAsia="zh-CN" w:bidi="ar-SA"/>
    </w:rPr>
  </w:style>
  <w:style w:type="paragraph" w:customStyle="1" w:styleId="107">
    <w:name w:val="默认段落字体 Para Char"/>
    <w:basedOn w:val="1"/>
    <w:qFormat/>
    <w:uiPriority w:val="0"/>
    <w:rPr>
      <w:rFonts w:ascii="Calibri" w:hAnsi="Calibri"/>
      <w:sz w:val="30"/>
    </w:rPr>
  </w:style>
  <w:style w:type="paragraph" w:customStyle="1" w:styleId="108">
    <w:name w:val="WPS Plain"/>
    <w:qFormat/>
    <w:uiPriority w:val="0"/>
    <w:rPr>
      <w:rFonts w:ascii="Times New Roman" w:hAnsi="Times New Roman" w:eastAsia="宋体" w:cs="Times New Roman"/>
      <w:lang w:val="en-US" w:eastAsia="zh-CN" w:bidi="ar-SA"/>
    </w:rPr>
  </w:style>
  <w:style w:type="paragraph" w:customStyle="1" w:styleId="109">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10">
    <w:name w:val="列出段落1"/>
    <w:basedOn w:val="1"/>
    <w:unhideWhenUsed/>
    <w:qFormat/>
    <w:uiPriority w:val="99"/>
    <w:pPr>
      <w:ind w:firstLine="420" w:firstLineChars="200"/>
    </w:pPr>
    <w:rPr>
      <w:rFonts w:ascii="Calibri" w:hAnsi="Calibri"/>
    </w:rPr>
  </w:style>
  <w:style w:type="paragraph" w:customStyle="1" w:styleId="11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1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13">
    <w:name w:val="xl2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14">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5">
    <w:name w:val="xl3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16">
    <w:name w:val="xl4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1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18">
    <w:name w:val="Header or footer|11"/>
    <w:basedOn w:val="1"/>
    <w:qFormat/>
    <w:uiPriority w:val="0"/>
    <w:pPr>
      <w:shd w:val="clear" w:color="auto" w:fill="FFFFFF"/>
      <w:spacing w:line="220" w:lineRule="exact"/>
    </w:pPr>
    <w:rPr>
      <w:rFonts w:ascii="PMingLiU" w:hAnsi="PMingLiU" w:eastAsia="PMingLiU" w:cs="PMingLiU"/>
      <w:spacing w:val="30"/>
      <w:sz w:val="22"/>
      <w:szCs w:val="22"/>
    </w:rPr>
  </w:style>
  <w:style w:type="paragraph" w:customStyle="1" w:styleId="119">
    <w:name w:val="修订4"/>
    <w:semiHidden/>
    <w:qFormat/>
    <w:uiPriority w:val="99"/>
    <w:rPr>
      <w:rFonts w:ascii="Times New Roman" w:hAnsi="Times New Roman" w:eastAsia="宋体" w:cs="Times New Roman"/>
      <w:kern w:val="2"/>
      <w:sz w:val="21"/>
      <w:szCs w:val="24"/>
      <w:lang w:val="en-US" w:eastAsia="zh-CN" w:bidi="ar-SA"/>
    </w:rPr>
  </w:style>
  <w:style w:type="paragraph" w:customStyle="1" w:styleId="120">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21">
    <w:name w:val="p0"/>
    <w:basedOn w:val="1"/>
    <w:qFormat/>
    <w:uiPriority w:val="0"/>
    <w:pPr>
      <w:widowControl/>
    </w:pPr>
    <w:rPr>
      <w:rFonts w:ascii="Calibri" w:hAnsi="Calibri"/>
      <w:kern w:val="0"/>
      <w:szCs w:val="21"/>
    </w:rPr>
  </w:style>
  <w:style w:type="paragraph" w:customStyle="1" w:styleId="122">
    <w:name w:val="WPSOffice手动目录 1"/>
    <w:qFormat/>
    <w:uiPriority w:val="0"/>
    <w:rPr>
      <w:rFonts w:ascii="Times New Roman" w:hAnsi="Times New Roman" w:eastAsia="宋体" w:cs="Times New Roman"/>
      <w:lang w:val="en-US" w:eastAsia="zh-CN" w:bidi="ar-SA"/>
    </w:rPr>
  </w:style>
  <w:style w:type="paragraph" w:customStyle="1" w:styleId="123">
    <w:name w:val="Char1"/>
    <w:basedOn w:val="1"/>
    <w:qFormat/>
    <w:uiPriority w:val="0"/>
    <w:rPr>
      <w:rFonts w:ascii="Calibri" w:hAnsi="Calibri"/>
      <w:sz w:val="30"/>
    </w:rPr>
  </w:style>
  <w:style w:type="paragraph" w:customStyle="1" w:styleId="124">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1"/>
    <w:basedOn w:val="1"/>
    <w:next w:val="22"/>
    <w:qFormat/>
    <w:uiPriority w:val="0"/>
    <w:rPr>
      <w:rFonts w:ascii="宋体" w:hAnsi="Courier New"/>
      <w:szCs w:val="20"/>
    </w:rPr>
  </w:style>
  <w:style w:type="paragraph" w:customStyle="1" w:styleId="127">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28">
    <w:name w:val="标正文"/>
    <w:basedOn w:val="1"/>
    <w:qFormat/>
    <w:uiPriority w:val="0"/>
    <w:rPr>
      <w:rFonts w:ascii="仿宋_GB2312" w:hAnsi="Calibri" w:eastAsia="仿宋_GB2312"/>
      <w:sz w:val="32"/>
    </w:rPr>
  </w:style>
  <w:style w:type="paragraph" w:customStyle="1" w:styleId="12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30">
    <w:name w:val="样式"/>
    <w:basedOn w:val="1"/>
    <w:next w:val="18"/>
    <w:qFormat/>
    <w:uiPriority w:val="0"/>
    <w:pPr>
      <w:jc w:val="center"/>
    </w:pPr>
    <w:rPr>
      <w:rFonts w:ascii="宋体" w:hAnsi="宋体"/>
      <w:color w:val="FF0000"/>
      <w:sz w:val="24"/>
    </w:rPr>
  </w:style>
  <w:style w:type="paragraph" w:customStyle="1" w:styleId="131">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2">
    <w:name w:val="xl3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styleId="133">
    <w:name w:val="List Paragraph"/>
    <w:basedOn w:val="1"/>
    <w:qFormat/>
    <w:uiPriority w:val="99"/>
    <w:pPr>
      <w:ind w:firstLine="420" w:firstLineChars="200"/>
    </w:pPr>
    <w:rPr>
      <w:rFonts w:ascii="Calibri" w:hAnsi="Calibri"/>
      <w:szCs w:val="20"/>
    </w:rPr>
  </w:style>
  <w:style w:type="paragraph" w:customStyle="1" w:styleId="134">
    <w:name w:val="Table Paragraph"/>
    <w:basedOn w:val="1"/>
    <w:qFormat/>
    <w:uiPriority w:val="1"/>
    <w:rPr>
      <w:rFonts w:ascii="Calibri" w:hAnsi="Calibri"/>
      <w:szCs w:val="20"/>
    </w:rPr>
  </w:style>
  <w:style w:type="paragraph" w:customStyle="1" w:styleId="135">
    <w:name w:val="2"/>
    <w:basedOn w:val="1"/>
    <w:qFormat/>
    <w:uiPriority w:val="0"/>
    <w:rPr>
      <w:rFonts w:ascii="2" w:hAnsi="2"/>
      <w:szCs w:val="20"/>
    </w:rPr>
  </w:style>
  <w:style w:type="paragraph" w:customStyle="1" w:styleId="136">
    <w:name w:val="xl27"/>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37">
    <w:name w:val="Char Char Char Char"/>
    <w:basedOn w:val="1"/>
    <w:qFormat/>
    <w:uiPriority w:val="0"/>
    <w:rPr>
      <w:rFonts w:ascii="Calibri" w:hAnsi="Calibri"/>
      <w:sz w:val="24"/>
    </w:rPr>
  </w:style>
  <w:style w:type="paragraph" w:customStyle="1" w:styleId="138">
    <w:name w:val="1 Char Char Char Char Char Char Char"/>
    <w:basedOn w:val="1"/>
    <w:qFormat/>
    <w:uiPriority w:val="0"/>
    <w:rPr>
      <w:rFonts w:ascii="Calibri" w:hAnsi="Calibri"/>
      <w:sz w:val="30"/>
      <w:szCs w:val="20"/>
    </w:rPr>
  </w:style>
  <w:style w:type="paragraph" w:customStyle="1" w:styleId="139">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4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41">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42">
    <w:name w:val="修订3"/>
    <w:unhideWhenUsed/>
    <w:qFormat/>
    <w:uiPriority w:val="99"/>
    <w:rPr>
      <w:rFonts w:ascii="Times New Roman" w:hAnsi="Times New Roman" w:eastAsia="宋体" w:cs="Times New Roman"/>
      <w:kern w:val="2"/>
      <w:sz w:val="21"/>
      <w:szCs w:val="24"/>
      <w:lang w:val="en-US" w:eastAsia="zh-CN" w:bidi="ar-SA"/>
    </w:rPr>
  </w:style>
  <w:style w:type="table" w:customStyle="1" w:styleId="143">
    <w:name w:val="Table Normal"/>
    <w:unhideWhenUsed/>
    <w:qFormat/>
    <w:uiPriority w:val="2"/>
    <w:tblPr>
      <w:tblCellMar>
        <w:top w:w="0" w:type="dxa"/>
        <w:left w:w="0" w:type="dxa"/>
        <w:bottom w:w="0" w:type="dxa"/>
        <w:right w:w="0" w:type="dxa"/>
      </w:tblCellMar>
    </w:tblPr>
  </w:style>
  <w:style w:type="paragraph" w:customStyle="1" w:styleId="144">
    <w:name w:val="正文首行缩进1"/>
    <w:basedOn w:val="3"/>
    <w:unhideWhenUsed/>
    <w:qFormat/>
    <w:uiPriority w:val="99"/>
    <w:pPr>
      <w:ind w:firstLine="420" w:firstLineChars="100"/>
    </w:pPr>
  </w:style>
  <w:style w:type="paragraph" w:customStyle="1" w:styleId="145">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ITianKong.Com</Company>
  <Pages>30</Pages>
  <Words>14233</Words>
  <Characters>14492</Characters>
  <Lines>127</Lines>
  <Paragraphs>35</Paragraphs>
  <TotalTime>12</TotalTime>
  <ScaleCrop>false</ScaleCrop>
  <LinksUpToDate>false</LinksUpToDate>
  <CharactersWithSpaces>14974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2022-04-22T03:33:00Z</dcterms:created>
  <dc:creator>Administrator</dc:creator>
  <cp:lastModifiedBy>hxh</cp:lastModifiedBy>
  <cp:lastPrinted>2025-02-24T03:34:00Z</cp:lastPrinted>
  <dcterms:modified xsi:type="dcterms:W3CDTF">2025-11-20T06:45:00Z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9A8951FC9010461AA9D74C0012862F89_13</vt:lpwstr>
  </property>
  <property fmtid="{D5CDD505-2E9C-101B-9397-08002B2CF9AE}" pid="4" name="commondata">
    <vt:lpwstr>eyJoZGlkIjoiODVhYjdhMjQ1Zjk4ZWQ5NDlmYzU1MGYxYjI5NGNkNjgifQ==</vt:lpwstr>
  </property>
  <property fmtid="{D5CDD505-2E9C-101B-9397-08002B2CF9AE}" pid="5" name="KSOTemplateDocerSaveRecord">
    <vt:lpwstr>eyJoZGlkIjoiZDhkZmVhYWM5Y2ZhNzdlMGMwZTU3YWVmMmZmZTI0ZDEiLCJ1c2VySWQiOiIyNzA4MjcyMTAifQ==</vt:lpwstr>
  </property>
</Properties>
</file>