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40"/>
          <w:szCs w:val="40"/>
          <w:highlight w:val="none"/>
          <w:lang w:val="en-US" w:eastAsia="zh-CN"/>
        </w:rPr>
        <w:t>企业物流周转中心及配套设施项目施工（JG2025-5255）补充公告</w:t>
      </w:r>
    </w:p>
    <w:p>
      <w:pPr>
        <w:keepNext w:val="0"/>
        <w:keepLines w:val="0"/>
        <w:pageBreakBefore w:val="0"/>
        <w:pBdr>
          <w:bottom w:val="single" w:color="auto" w:sz="4" w:space="0"/>
        </w:pBdr>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b w:val="0"/>
          <w:bCs/>
          <w:i w:val="0"/>
          <w:iCs w:val="0"/>
          <w:caps w:val="0"/>
          <w:color w:val="333333"/>
          <w:spacing w:val="0"/>
          <w:sz w:val="24"/>
          <w:szCs w:val="24"/>
          <w:highlight w:val="none"/>
          <w:shd w:val="clear" w:color="auto" w:fill="FFFFFF"/>
          <w:lang w:eastAsia="zh-CN"/>
        </w:rPr>
      </w:pPr>
      <w:r>
        <w:rPr>
          <w:rFonts w:hint="eastAsia" w:ascii="宋体" w:hAnsi="宋体" w:eastAsia="宋体" w:cs="宋体"/>
          <w:b w:val="0"/>
          <w:bCs/>
          <w:color w:val="auto"/>
          <w:sz w:val="24"/>
          <w:szCs w:val="24"/>
          <w:highlight w:val="none"/>
          <w:lang w:val="en-US" w:eastAsia="zh-CN"/>
        </w:rPr>
        <w:t>企业物流周转中心及配套设施项目施工（JG2025-5255）于2025年11月19日在广州交易集团有限公司（广州公共资源交易中心）网站、广东省招标投标监管网、中国招标投标公共服务平台发布了招标公告、招标文件及附件，现</w:t>
      </w:r>
      <w:r>
        <w:rPr>
          <w:rFonts w:hint="eastAsia" w:ascii="宋体" w:hAnsi="宋体" w:eastAsia="宋体" w:cs="宋体"/>
          <w:b w:val="0"/>
          <w:bCs/>
          <w:i w:val="0"/>
          <w:iCs w:val="0"/>
          <w:caps w:val="0"/>
          <w:color w:val="333333"/>
          <w:spacing w:val="0"/>
          <w:sz w:val="24"/>
          <w:szCs w:val="24"/>
          <w:highlight w:val="none"/>
          <w:shd w:val="clear" w:color="auto" w:fill="FFFFFF"/>
        </w:rPr>
        <w:t>对原</w:t>
      </w:r>
      <w:r>
        <w:rPr>
          <w:rFonts w:hint="eastAsia" w:ascii="宋体" w:hAnsi="宋体" w:eastAsia="宋体" w:cs="宋体"/>
          <w:b w:val="0"/>
          <w:bCs/>
          <w:i w:val="0"/>
          <w:iCs w:val="0"/>
          <w:caps w:val="0"/>
          <w:color w:val="333333"/>
          <w:spacing w:val="0"/>
          <w:sz w:val="24"/>
          <w:szCs w:val="24"/>
          <w:highlight w:val="none"/>
          <w:shd w:val="clear" w:color="auto" w:fill="FFFFFF"/>
          <w:lang w:val="en-US" w:eastAsia="zh-CN"/>
        </w:rPr>
        <w:t>招标公告、</w:t>
      </w:r>
      <w:r>
        <w:rPr>
          <w:rFonts w:hint="eastAsia" w:ascii="宋体" w:hAnsi="宋体" w:eastAsia="宋体" w:cs="宋体"/>
          <w:b w:val="0"/>
          <w:bCs/>
          <w:i w:val="0"/>
          <w:iCs w:val="0"/>
          <w:caps w:val="0"/>
          <w:color w:val="333333"/>
          <w:spacing w:val="0"/>
          <w:sz w:val="24"/>
          <w:szCs w:val="24"/>
          <w:highlight w:val="none"/>
          <w:shd w:val="clear" w:color="auto" w:fill="FFFFFF"/>
        </w:rPr>
        <w:t>招标文件的相关内容进行修改，</w:t>
      </w:r>
      <w:r>
        <w:rPr>
          <w:rFonts w:hint="eastAsia" w:ascii="宋体" w:hAnsi="宋体" w:eastAsia="宋体" w:cs="宋体"/>
          <w:b w:val="0"/>
          <w:bCs/>
          <w:i w:val="0"/>
          <w:iCs w:val="0"/>
          <w:caps w:val="0"/>
          <w:color w:val="333333"/>
          <w:spacing w:val="0"/>
          <w:sz w:val="24"/>
          <w:szCs w:val="24"/>
          <w:highlight w:val="none"/>
          <w:shd w:val="clear" w:color="auto" w:fill="FFFFFF"/>
          <w:lang w:val="en-US" w:eastAsia="zh-CN"/>
        </w:rPr>
        <w:t>发布补充公告</w:t>
      </w:r>
      <w:r>
        <w:rPr>
          <w:rFonts w:hint="eastAsia" w:ascii="宋体" w:hAnsi="宋体" w:eastAsia="宋体" w:cs="宋体"/>
          <w:b w:val="0"/>
          <w:bCs/>
          <w:i w:val="0"/>
          <w:iCs w:val="0"/>
          <w:caps w:val="0"/>
          <w:color w:val="333333"/>
          <w:spacing w:val="0"/>
          <w:sz w:val="24"/>
          <w:szCs w:val="24"/>
          <w:highlight w:val="none"/>
          <w:shd w:val="clear" w:color="auto" w:fill="FFFFFF"/>
          <w:lang w:eastAsia="zh-CN"/>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180" w:lineRule="atLeast"/>
        <w:ind w:firstLine="482" w:firstLineChars="200"/>
        <w:jc w:val="left"/>
        <w:textAlignment w:val="auto"/>
        <w:rPr>
          <w:rFonts w:hint="eastAsia" w:ascii="宋体" w:hAnsi="宋体" w:eastAsia="宋体" w:cs="宋体"/>
          <w:b/>
          <w:bCs w:val="0"/>
          <w:color w:val="auto"/>
          <w:sz w:val="24"/>
          <w:szCs w:val="24"/>
          <w:highlight w:val="none"/>
          <w:lang w:val="en-US" w:eastAsia="zh-CN"/>
        </w:rPr>
      </w:pPr>
    </w:p>
    <w:p>
      <w:pPr>
        <w:pStyle w:val="8"/>
        <w:keepNext w:val="0"/>
        <w:keepLines w:val="0"/>
        <w:pageBreakBefore w:val="0"/>
        <w:widowControl/>
        <w:kinsoku/>
        <w:wordWrap/>
        <w:overflowPunct/>
        <w:topLinePunct w:val="0"/>
        <w:autoSpaceDE/>
        <w:autoSpaceDN/>
        <w:bidi w:val="0"/>
        <w:adjustRightInd/>
        <w:snapToGrid/>
        <w:spacing w:beforeAutospacing="0" w:afterAutospacing="0" w:line="180" w:lineRule="atLeast"/>
        <w:ind w:firstLine="482" w:firstLineChars="200"/>
        <w:jc w:val="left"/>
        <w:textAlignment w:val="auto"/>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一、对招标文件的相关内容修改如下：</w:t>
      </w:r>
    </w:p>
    <w:tbl>
      <w:tblPr>
        <w:tblStyle w:val="10"/>
        <w:tblW w:w="53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948"/>
        <w:gridCol w:w="1314"/>
        <w:gridCol w:w="3510"/>
        <w:gridCol w:w="3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trPr>
        <w:tc>
          <w:tcPr>
            <w:tcW w:w="928" w:type="pct"/>
            <w:noWrap w:val="0"/>
            <w:tcMar>
              <w:top w:w="0" w:type="dxa"/>
              <w:left w:w="108" w:type="dxa"/>
              <w:bottom w:w="0" w:type="dxa"/>
              <w:right w:w="108" w:type="dxa"/>
            </w:tcMar>
            <w:vAlign w:val="top"/>
          </w:tcPr>
          <w:p>
            <w:pPr>
              <w:pStyle w:val="8"/>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Style w:val="12"/>
                <w:rFonts w:hint="eastAsia" w:ascii="宋体" w:hAnsi="宋体" w:eastAsia="宋体" w:cs="宋体"/>
                <w:b w:val="0"/>
                <w:bCs w:val="0"/>
                <w:color w:val="auto"/>
                <w:sz w:val="24"/>
                <w:szCs w:val="24"/>
                <w:highlight w:val="none"/>
                <w:lang w:val="en-US" w:eastAsia="zh-CN"/>
              </w:rPr>
            </w:pPr>
            <w:r>
              <w:rPr>
                <w:rStyle w:val="12"/>
                <w:rFonts w:hint="eastAsia" w:ascii="宋体" w:hAnsi="宋体" w:eastAsia="宋体" w:cs="宋体"/>
                <w:b w:val="0"/>
                <w:bCs w:val="0"/>
                <w:color w:val="auto"/>
                <w:sz w:val="24"/>
                <w:szCs w:val="24"/>
                <w:highlight w:val="none"/>
                <w:lang w:val="en-US" w:eastAsia="zh-CN"/>
              </w:rPr>
              <w:t>条款/页码</w:t>
            </w:r>
          </w:p>
        </w:tc>
        <w:tc>
          <w:tcPr>
            <w:tcW w:w="626" w:type="pct"/>
            <w:noWrap w:val="0"/>
            <w:tcMar>
              <w:top w:w="0" w:type="dxa"/>
              <w:left w:w="108" w:type="dxa"/>
              <w:bottom w:w="0" w:type="dxa"/>
              <w:right w:w="108" w:type="dxa"/>
            </w:tcMar>
            <w:vAlign w:val="top"/>
          </w:tcPr>
          <w:p>
            <w:pPr>
              <w:pStyle w:val="8"/>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Style w:val="12"/>
                <w:rFonts w:hint="default" w:ascii="宋体" w:hAnsi="宋体" w:eastAsia="宋体" w:cs="宋体"/>
                <w:b w:val="0"/>
                <w:bCs w:val="0"/>
                <w:color w:val="auto"/>
                <w:sz w:val="24"/>
                <w:szCs w:val="24"/>
                <w:highlight w:val="none"/>
                <w:lang w:val="en-US" w:eastAsia="zh-CN"/>
              </w:rPr>
            </w:pPr>
            <w:r>
              <w:rPr>
                <w:rStyle w:val="12"/>
                <w:rFonts w:hint="eastAsia" w:ascii="宋体" w:hAnsi="宋体" w:eastAsia="宋体" w:cs="宋体"/>
                <w:b w:val="0"/>
                <w:bCs w:val="0"/>
                <w:color w:val="auto"/>
                <w:sz w:val="24"/>
                <w:szCs w:val="24"/>
                <w:highlight w:val="none"/>
                <w:lang w:val="en-US" w:eastAsia="zh-CN"/>
              </w:rPr>
              <w:t>修改类型</w:t>
            </w:r>
          </w:p>
        </w:tc>
        <w:tc>
          <w:tcPr>
            <w:tcW w:w="1672" w:type="pct"/>
            <w:noWrap w:val="0"/>
            <w:tcMar>
              <w:top w:w="0" w:type="dxa"/>
              <w:left w:w="108" w:type="dxa"/>
              <w:bottom w:w="0" w:type="dxa"/>
              <w:right w:w="108" w:type="dxa"/>
            </w:tcMar>
            <w:vAlign w:val="top"/>
          </w:tcPr>
          <w:p>
            <w:pPr>
              <w:pStyle w:val="8"/>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Style w:val="12"/>
                <w:rFonts w:hint="eastAsia" w:ascii="宋体" w:hAnsi="宋体" w:eastAsia="宋体" w:cs="宋体"/>
                <w:b w:val="0"/>
                <w:bCs w:val="0"/>
                <w:color w:val="auto"/>
                <w:sz w:val="24"/>
                <w:szCs w:val="24"/>
                <w:highlight w:val="none"/>
                <w:lang w:val="en-US" w:eastAsia="zh-CN"/>
              </w:rPr>
            </w:pPr>
            <w:r>
              <w:rPr>
                <w:rStyle w:val="12"/>
                <w:rFonts w:hint="eastAsia" w:ascii="宋体" w:hAnsi="宋体" w:eastAsia="宋体" w:cs="宋体"/>
                <w:b w:val="0"/>
                <w:bCs w:val="0"/>
                <w:color w:val="auto"/>
                <w:sz w:val="24"/>
                <w:szCs w:val="24"/>
                <w:highlight w:val="none"/>
                <w:lang w:val="en-US" w:eastAsia="zh-CN"/>
              </w:rPr>
              <w:t>原文</w:t>
            </w:r>
          </w:p>
        </w:tc>
        <w:tc>
          <w:tcPr>
            <w:tcW w:w="1773" w:type="pct"/>
            <w:noWrap w:val="0"/>
            <w:tcMar>
              <w:top w:w="0" w:type="dxa"/>
              <w:left w:w="108" w:type="dxa"/>
              <w:bottom w:w="0" w:type="dxa"/>
              <w:right w:w="108" w:type="dxa"/>
            </w:tcMar>
            <w:vAlign w:val="top"/>
          </w:tcPr>
          <w:p>
            <w:pPr>
              <w:pStyle w:val="8"/>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Style w:val="12"/>
                <w:rFonts w:hint="eastAsia" w:ascii="宋体" w:hAnsi="宋体" w:eastAsia="宋体" w:cs="宋体"/>
                <w:b w:val="0"/>
                <w:bCs w:val="0"/>
                <w:color w:val="auto"/>
                <w:sz w:val="24"/>
                <w:szCs w:val="24"/>
                <w:highlight w:val="none"/>
                <w:lang w:val="en-US" w:eastAsia="zh-CN"/>
              </w:rPr>
            </w:pPr>
            <w:r>
              <w:rPr>
                <w:rStyle w:val="12"/>
                <w:rFonts w:hint="eastAsia" w:ascii="宋体" w:hAnsi="宋体" w:eastAsia="宋体" w:cs="宋体"/>
                <w:b w:val="0"/>
                <w:bCs w:val="0"/>
                <w:color w:val="auto"/>
                <w:sz w:val="24"/>
                <w:szCs w:val="24"/>
                <w:highlight w:val="none"/>
                <w:lang w:val="en-US" w:eastAsia="zh-CN"/>
              </w:rPr>
              <w:t>现文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trPr>
        <w:tc>
          <w:tcPr>
            <w:tcW w:w="928" w:type="pct"/>
            <w:noWrap w:val="0"/>
            <w:tcMar>
              <w:top w:w="0" w:type="dxa"/>
              <w:left w:w="108" w:type="dxa"/>
              <w:bottom w:w="0" w:type="dxa"/>
              <w:right w:w="108" w:type="dxa"/>
            </w:tcMar>
            <w:vAlign w:val="top"/>
          </w:tcPr>
          <w:p>
            <w:pPr>
              <w:pStyle w:val="8"/>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Style w:val="12"/>
                <w:rFonts w:hint="eastAsia" w:ascii="宋体" w:hAnsi="宋体" w:eastAsia="宋体" w:cs="宋体"/>
                <w:b w:val="0"/>
                <w:bCs w:val="0"/>
                <w:color w:val="auto"/>
                <w:sz w:val="24"/>
                <w:szCs w:val="24"/>
                <w:highlight w:val="none"/>
                <w:lang w:val="en-US" w:eastAsia="zh-CN"/>
              </w:rPr>
            </w:pPr>
            <w:r>
              <w:rPr>
                <w:rStyle w:val="12"/>
                <w:rFonts w:hint="eastAsia" w:ascii="宋体" w:hAnsi="宋体" w:eastAsia="宋体" w:cs="宋体"/>
                <w:b w:val="0"/>
                <w:bCs w:val="0"/>
                <w:color w:val="auto"/>
                <w:sz w:val="24"/>
                <w:szCs w:val="24"/>
                <w:highlight w:val="none"/>
                <w:lang w:val="en-US" w:eastAsia="zh-CN"/>
              </w:rPr>
              <w:t>招标文件-《第二章 开标、评标及定标办法》-“附表四 《技术标详细审查评分表》”-</w:t>
            </w:r>
            <w:r>
              <w:rPr>
                <w:rFonts w:hint="eastAsia" w:ascii="宋体" w:hAnsi="宋体" w:eastAsia="宋体" w:cs="宋体"/>
                <w:b w:val="0"/>
                <w:bCs/>
                <w:color w:val="auto"/>
                <w:sz w:val="21"/>
                <w:szCs w:val="21"/>
                <w:highlight w:val="none"/>
              </w:rPr>
              <w:t>项目管理机构能力</w:t>
            </w:r>
            <w:r>
              <w:rPr>
                <w:rFonts w:hint="eastAsia" w:ascii="宋体" w:hAnsi="宋体" w:cs="宋体"/>
                <w:b w:val="0"/>
                <w:bCs/>
                <w:color w:val="auto"/>
                <w:sz w:val="21"/>
                <w:szCs w:val="21"/>
                <w:highlight w:val="none"/>
                <w:lang w:val="en-US" w:eastAsia="zh-CN"/>
              </w:rPr>
              <w:t>-</w:t>
            </w:r>
            <w:bookmarkStart w:id="0" w:name="OLE_LINK8"/>
            <w:r>
              <w:rPr>
                <w:rFonts w:hint="eastAsia" w:ascii="宋体" w:hAnsi="宋体" w:eastAsia="宋体" w:cs="宋体"/>
                <w:b w:val="0"/>
                <w:bCs w:val="0"/>
                <w:color w:val="auto"/>
                <w:kern w:val="0"/>
                <w:sz w:val="18"/>
                <w:szCs w:val="18"/>
                <w:highlight w:val="none"/>
              </w:rPr>
              <w:t>安全负责人</w:t>
            </w:r>
            <w:bookmarkEnd w:id="0"/>
          </w:p>
        </w:tc>
        <w:tc>
          <w:tcPr>
            <w:tcW w:w="626" w:type="pct"/>
            <w:noWrap w:val="0"/>
            <w:tcMar>
              <w:top w:w="0" w:type="dxa"/>
              <w:left w:w="108" w:type="dxa"/>
              <w:bottom w:w="0" w:type="dxa"/>
              <w:right w:w="108" w:type="dxa"/>
            </w:tcMar>
            <w:vAlign w:val="top"/>
          </w:tcPr>
          <w:p>
            <w:pPr>
              <w:pStyle w:val="8"/>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Style w:val="12"/>
                <w:rFonts w:hint="default" w:ascii="宋体" w:hAnsi="宋体" w:eastAsia="宋体" w:cs="宋体"/>
                <w:b w:val="0"/>
                <w:bCs w:val="0"/>
                <w:color w:val="auto"/>
                <w:sz w:val="24"/>
                <w:szCs w:val="24"/>
                <w:highlight w:val="none"/>
                <w:lang w:val="en-US" w:eastAsia="zh-CN"/>
              </w:rPr>
            </w:pPr>
            <w:r>
              <w:rPr>
                <w:rStyle w:val="12"/>
                <w:rFonts w:hint="eastAsia" w:ascii="宋体" w:hAnsi="宋体" w:cs="宋体"/>
                <w:b w:val="0"/>
                <w:bCs w:val="0"/>
                <w:color w:val="auto"/>
                <w:sz w:val="24"/>
                <w:szCs w:val="24"/>
                <w:highlight w:val="none"/>
                <w:lang w:val="en-US" w:eastAsia="zh-CN"/>
              </w:rPr>
              <w:t>修改</w:t>
            </w:r>
          </w:p>
        </w:tc>
        <w:tc>
          <w:tcPr>
            <w:tcW w:w="1672" w:type="pct"/>
            <w:noWrap w:val="0"/>
            <w:tcMar>
              <w:top w:w="0" w:type="dxa"/>
              <w:left w:w="108" w:type="dxa"/>
              <w:bottom w:w="0" w:type="dxa"/>
              <w:right w:w="108" w:type="dxa"/>
            </w:tcMar>
            <w:vAlign w:val="top"/>
          </w:tcPr>
          <w:p>
            <w:pPr>
              <w:widowControl/>
              <w:jc w:val="left"/>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安全负责人能力：</w:t>
            </w:r>
          </w:p>
          <w:p>
            <w:pPr>
              <w:widowControl/>
              <w:jc w:val="left"/>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rPr>
              <w:t>①具有有效的“建筑施工安全”类别的注册安全工程师注册证书</w:t>
            </w:r>
            <w:r>
              <w:rPr>
                <w:rFonts w:hint="eastAsia" w:ascii="宋体" w:hAnsi="宋体" w:eastAsia="宋体" w:cs="宋体"/>
                <w:b w:val="0"/>
                <w:bCs w:val="0"/>
                <w:color w:val="auto"/>
                <w:kern w:val="2"/>
                <w:sz w:val="21"/>
                <w:szCs w:val="21"/>
                <w:highlight w:val="none"/>
                <w:lang w:val="en-US" w:eastAsia="zh-CN"/>
              </w:rPr>
              <w:t>的</w:t>
            </w:r>
            <w:r>
              <w:rPr>
                <w:rFonts w:hint="eastAsia" w:ascii="宋体" w:hAnsi="宋体" w:eastAsia="宋体" w:cs="宋体"/>
                <w:b w:val="0"/>
                <w:bCs w:val="0"/>
                <w:color w:val="auto"/>
                <w:kern w:val="2"/>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rPr>
              <w:t>得</w:t>
            </w: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分；</w:t>
            </w:r>
          </w:p>
          <w:p>
            <w:pPr>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②具有建筑工程类</w:t>
            </w:r>
            <w:r>
              <w:rPr>
                <w:rFonts w:hint="eastAsia" w:ascii="宋体" w:hAnsi="宋体" w:eastAsia="宋体" w:cs="宋体"/>
                <w:b w:val="0"/>
                <w:bCs w:val="0"/>
                <w:color w:val="auto"/>
                <w:kern w:val="2"/>
                <w:sz w:val="21"/>
                <w:szCs w:val="21"/>
                <w:highlight w:val="none"/>
                <w:lang w:val="en-US" w:eastAsia="zh-CN"/>
              </w:rPr>
              <w:t>中级</w:t>
            </w:r>
            <w:r>
              <w:rPr>
                <w:rFonts w:hint="eastAsia" w:ascii="宋体" w:hAnsi="宋体" w:eastAsia="宋体" w:cs="宋体"/>
                <w:b w:val="0"/>
                <w:bCs w:val="0"/>
                <w:color w:val="auto"/>
                <w:kern w:val="2"/>
                <w:sz w:val="21"/>
                <w:szCs w:val="21"/>
                <w:highlight w:val="none"/>
              </w:rPr>
              <w:t>工程师</w:t>
            </w:r>
            <w:r>
              <w:rPr>
                <w:rFonts w:hint="eastAsia" w:ascii="宋体" w:hAnsi="宋体" w:eastAsia="宋体" w:cs="宋体"/>
                <w:b w:val="0"/>
                <w:bCs w:val="0"/>
                <w:color w:val="auto"/>
                <w:kern w:val="2"/>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rPr>
              <w:t>或以上</w:t>
            </w:r>
            <w:r>
              <w:rPr>
                <w:rFonts w:hint="eastAsia" w:ascii="宋体" w:hAnsi="宋体" w:eastAsia="宋体" w:cs="宋体"/>
                <w:b w:val="0"/>
                <w:bCs w:val="0"/>
                <w:color w:val="auto"/>
                <w:kern w:val="2"/>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rPr>
              <w:t>技术</w:t>
            </w:r>
            <w:r>
              <w:rPr>
                <w:rFonts w:hint="eastAsia" w:ascii="宋体" w:hAnsi="宋体" w:eastAsia="宋体" w:cs="宋体"/>
                <w:b w:val="0"/>
                <w:bCs w:val="0"/>
                <w:color w:val="auto"/>
                <w:kern w:val="2"/>
                <w:sz w:val="21"/>
                <w:szCs w:val="21"/>
                <w:highlight w:val="none"/>
              </w:rPr>
              <w:t>职称的，得</w:t>
            </w: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rPr>
              <w:t>分；</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Style w:val="12"/>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注：提供</w:t>
            </w:r>
            <w:r>
              <w:rPr>
                <w:rFonts w:hint="eastAsia" w:ascii="宋体" w:hAnsi="宋体" w:cs="宋体"/>
                <w:color w:val="auto"/>
                <w:szCs w:val="21"/>
                <w:highlight w:val="none"/>
                <w:lang w:val="en-US" w:eastAsia="zh-CN"/>
              </w:rPr>
              <w:t>安全</w:t>
            </w:r>
            <w:r>
              <w:rPr>
                <w:rFonts w:hint="eastAsia" w:ascii="宋体" w:hAnsi="宋体" w:eastAsia="宋体" w:cs="宋体"/>
                <w:color w:val="auto"/>
                <w:szCs w:val="21"/>
                <w:highlight w:val="none"/>
                <w:lang w:val="en-US" w:eastAsia="zh-CN"/>
              </w:rPr>
              <w:t>负责人的职称证</w:t>
            </w:r>
            <w:r>
              <w:rPr>
                <w:rFonts w:hint="eastAsia" w:ascii="宋体" w:hAnsi="宋体" w:cs="宋体"/>
                <w:color w:val="auto"/>
                <w:szCs w:val="21"/>
                <w:highlight w:val="none"/>
                <w:lang w:val="en-US" w:eastAsia="zh-CN"/>
              </w:rPr>
              <w:t>、注册证书</w:t>
            </w:r>
            <w:r>
              <w:rPr>
                <w:rFonts w:hint="eastAsia" w:ascii="宋体" w:hAnsi="宋体" w:eastAsia="宋体" w:cs="宋体"/>
                <w:color w:val="auto"/>
                <w:szCs w:val="21"/>
                <w:highlight w:val="none"/>
                <w:lang w:val="en-US" w:eastAsia="zh-CN"/>
              </w:rPr>
              <w:t>及</w:t>
            </w:r>
            <w:r>
              <w:rPr>
                <w:rFonts w:hint="eastAsia" w:ascii="宋体" w:hAnsi="宋体" w:cs="宋体"/>
                <w:bCs w:val="0"/>
                <w:color w:val="auto"/>
                <w:szCs w:val="21"/>
                <w:highlight w:val="none"/>
              </w:rPr>
              <w:t>投标截止前一个月（202</w:t>
            </w:r>
            <w:r>
              <w:rPr>
                <w:rFonts w:hint="eastAsia" w:ascii="宋体" w:hAnsi="宋体" w:cs="宋体"/>
                <w:bCs w:val="0"/>
                <w:color w:val="auto"/>
                <w:szCs w:val="21"/>
                <w:highlight w:val="none"/>
                <w:lang w:val="en-US" w:eastAsia="zh-CN"/>
              </w:rPr>
              <w:t>5</w:t>
            </w:r>
            <w:r>
              <w:rPr>
                <w:rFonts w:hint="eastAsia" w:ascii="宋体" w:hAnsi="宋体" w:cs="宋体"/>
                <w:bCs w:val="0"/>
                <w:color w:val="auto"/>
                <w:szCs w:val="21"/>
                <w:highlight w:val="none"/>
              </w:rPr>
              <w:t>年</w:t>
            </w:r>
            <w:r>
              <w:rPr>
                <w:rFonts w:hint="eastAsia" w:ascii="宋体" w:hAnsi="宋体" w:cs="宋体"/>
                <w:bCs w:val="0"/>
                <w:color w:val="auto"/>
                <w:szCs w:val="21"/>
                <w:highlight w:val="none"/>
                <w:lang w:val="en-US" w:eastAsia="zh-CN"/>
              </w:rPr>
              <w:t>10</w:t>
            </w:r>
            <w:r>
              <w:rPr>
                <w:rFonts w:hint="eastAsia" w:ascii="宋体" w:hAnsi="宋体" w:cs="宋体"/>
                <w:bCs w:val="0"/>
                <w:color w:val="auto"/>
                <w:szCs w:val="21"/>
                <w:highlight w:val="none"/>
              </w:rPr>
              <w:t>月）</w:t>
            </w:r>
            <w:r>
              <w:rPr>
                <w:rFonts w:hint="eastAsia" w:ascii="宋体" w:hAnsi="宋体" w:cs="宋体"/>
                <w:color w:val="auto"/>
                <w:spacing w:val="0"/>
                <w:szCs w:val="21"/>
                <w:highlight w:val="none"/>
                <w:lang w:bidi="zh-CN"/>
              </w:rPr>
              <w:t>在本单位（含分公司）交纳的社保证明文件。</w:t>
            </w:r>
          </w:p>
        </w:tc>
        <w:tc>
          <w:tcPr>
            <w:tcW w:w="1773" w:type="pct"/>
            <w:noWrap w:val="0"/>
            <w:tcMar>
              <w:top w:w="0" w:type="dxa"/>
              <w:left w:w="108" w:type="dxa"/>
              <w:bottom w:w="0" w:type="dxa"/>
              <w:right w:w="108" w:type="dxa"/>
            </w:tcMar>
            <w:vAlign w:val="top"/>
          </w:tcPr>
          <w:p>
            <w:pPr>
              <w:widowControl/>
              <w:jc w:val="left"/>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安全负责人</w:t>
            </w:r>
            <w:r>
              <w:rPr>
                <w:rFonts w:hint="eastAsia" w:ascii="宋体" w:hAnsi="宋体" w:cs="宋体"/>
                <w:b w:val="0"/>
                <w:bCs w:val="0"/>
                <w:color w:val="auto"/>
                <w:kern w:val="2"/>
                <w:sz w:val="21"/>
                <w:szCs w:val="21"/>
                <w:highlight w:val="none"/>
                <w:lang w:val="en-US" w:eastAsia="zh-CN"/>
              </w:rPr>
              <w:t>（与</w:t>
            </w:r>
            <w:r>
              <w:rPr>
                <w:rFonts w:hint="eastAsia" w:ascii="宋体" w:hAnsi="宋体" w:cs="宋体"/>
                <w:color w:val="auto"/>
                <w:kern w:val="0"/>
                <w:szCs w:val="21"/>
                <w:highlight w:val="none"/>
                <w:lang w:val="en-US" w:eastAsia="zh-CN"/>
              </w:rPr>
              <w:t>专职安全员不能兼任</w:t>
            </w:r>
            <w:r>
              <w:rPr>
                <w:rFonts w:hint="eastAsia" w:ascii="宋体" w:hAnsi="宋体" w:cs="宋体"/>
                <w:b w:val="0"/>
                <w:bCs w:val="0"/>
                <w:color w:val="auto"/>
                <w:kern w:val="2"/>
                <w:sz w:val="21"/>
                <w:szCs w:val="21"/>
                <w:highlight w:val="none"/>
                <w:lang w:val="en-US" w:eastAsia="zh-CN"/>
              </w:rPr>
              <w:t>）</w:t>
            </w:r>
            <w:r>
              <w:rPr>
                <w:rFonts w:hint="eastAsia" w:ascii="宋体" w:hAnsi="宋体" w:eastAsia="宋体" w:cs="宋体"/>
                <w:b w:val="0"/>
                <w:bCs w:val="0"/>
                <w:color w:val="auto"/>
                <w:kern w:val="2"/>
                <w:sz w:val="21"/>
                <w:szCs w:val="21"/>
                <w:highlight w:val="none"/>
                <w:lang w:val="en-US" w:eastAsia="zh-CN"/>
              </w:rPr>
              <w:t>能力：</w:t>
            </w:r>
          </w:p>
          <w:p>
            <w:pPr>
              <w:widowControl/>
              <w:jc w:val="left"/>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rPr>
              <w:t>①具有省级建设行政主管部门颁发的安全生产考核合格证（C类）或（C3类）</w:t>
            </w:r>
            <w:r>
              <w:rPr>
                <w:rFonts w:hint="eastAsia" w:ascii="宋体" w:hAnsi="宋体" w:eastAsia="宋体" w:cs="宋体"/>
                <w:b/>
                <w:bCs/>
                <w:color w:val="auto"/>
                <w:kern w:val="2"/>
                <w:sz w:val="21"/>
                <w:szCs w:val="21"/>
                <w:highlight w:val="none"/>
                <w:lang w:eastAsia="zh-CN"/>
              </w:rPr>
              <w:t>，</w:t>
            </w:r>
            <w:r>
              <w:rPr>
                <w:rFonts w:hint="eastAsia" w:ascii="宋体" w:hAnsi="宋体" w:eastAsia="宋体" w:cs="宋体"/>
                <w:b/>
                <w:bCs/>
                <w:color w:val="auto"/>
                <w:kern w:val="2"/>
                <w:sz w:val="21"/>
                <w:szCs w:val="21"/>
                <w:highlight w:val="none"/>
                <w:lang w:val="en-US" w:eastAsia="zh-CN"/>
              </w:rPr>
              <w:t>得</w:t>
            </w:r>
            <w:r>
              <w:rPr>
                <w:rFonts w:hint="eastAsia" w:ascii="宋体" w:hAnsi="宋体" w:cs="宋体"/>
                <w:b/>
                <w:bCs/>
                <w:color w:val="auto"/>
                <w:kern w:val="2"/>
                <w:sz w:val="21"/>
                <w:szCs w:val="21"/>
                <w:highlight w:val="none"/>
                <w:lang w:val="en-US" w:eastAsia="zh-CN"/>
              </w:rPr>
              <w:t>2</w:t>
            </w:r>
            <w:r>
              <w:rPr>
                <w:rFonts w:hint="eastAsia" w:ascii="宋体" w:hAnsi="宋体" w:eastAsia="宋体" w:cs="宋体"/>
                <w:b/>
                <w:bCs/>
                <w:color w:val="auto"/>
                <w:kern w:val="2"/>
                <w:sz w:val="21"/>
                <w:szCs w:val="21"/>
                <w:highlight w:val="none"/>
                <w:lang w:val="en-US" w:eastAsia="zh-CN"/>
              </w:rPr>
              <w:t>分；</w:t>
            </w:r>
          </w:p>
          <w:p>
            <w:pPr>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②具有建筑工程类</w:t>
            </w:r>
            <w:r>
              <w:rPr>
                <w:rFonts w:hint="eastAsia" w:ascii="宋体" w:hAnsi="宋体" w:eastAsia="宋体" w:cs="宋体"/>
                <w:b w:val="0"/>
                <w:bCs w:val="0"/>
                <w:color w:val="auto"/>
                <w:kern w:val="2"/>
                <w:sz w:val="21"/>
                <w:szCs w:val="21"/>
                <w:highlight w:val="none"/>
                <w:lang w:val="en-US" w:eastAsia="zh-CN"/>
              </w:rPr>
              <w:t>中级</w:t>
            </w:r>
            <w:r>
              <w:rPr>
                <w:rFonts w:hint="eastAsia" w:ascii="宋体" w:hAnsi="宋体" w:eastAsia="宋体" w:cs="宋体"/>
                <w:b w:val="0"/>
                <w:bCs w:val="0"/>
                <w:color w:val="auto"/>
                <w:kern w:val="2"/>
                <w:sz w:val="21"/>
                <w:szCs w:val="21"/>
                <w:highlight w:val="none"/>
              </w:rPr>
              <w:t>工程师</w:t>
            </w:r>
            <w:r>
              <w:rPr>
                <w:rFonts w:hint="eastAsia" w:ascii="宋体" w:hAnsi="宋体" w:eastAsia="宋体" w:cs="宋体"/>
                <w:b w:val="0"/>
                <w:bCs w:val="0"/>
                <w:color w:val="auto"/>
                <w:kern w:val="2"/>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rPr>
              <w:t>或以上</w:t>
            </w:r>
            <w:r>
              <w:rPr>
                <w:rFonts w:hint="eastAsia" w:ascii="宋体" w:hAnsi="宋体" w:eastAsia="宋体" w:cs="宋体"/>
                <w:b w:val="0"/>
                <w:bCs w:val="0"/>
                <w:color w:val="auto"/>
                <w:kern w:val="2"/>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rPr>
              <w:t>技术</w:t>
            </w:r>
            <w:r>
              <w:rPr>
                <w:rFonts w:hint="eastAsia" w:ascii="宋体" w:hAnsi="宋体" w:eastAsia="宋体" w:cs="宋体"/>
                <w:b w:val="0"/>
                <w:bCs w:val="0"/>
                <w:color w:val="auto"/>
                <w:kern w:val="2"/>
                <w:sz w:val="21"/>
                <w:szCs w:val="21"/>
                <w:highlight w:val="none"/>
              </w:rPr>
              <w:t>职称的，得</w:t>
            </w: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rPr>
              <w:t>分；</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Style w:val="12"/>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注：提供</w:t>
            </w:r>
            <w:r>
              <w:rPr>
                <w:rFonts w:hint="eastAsia" w:ascii="宋体" w:hAnsi="宋体" w:cs="宋体"/>
                <w:color w:val="auto"/>
                <w:szCs w:val="21"/>
                <w:highlight w:val="none"/>
                <w:lang w:val="en-US" w:eastAsia="zh-CN"/>
              </w:rPr>
              <w:t>安全</w:t>
            </w:r>
            <w:r>
              <w:rPr>
                <w:rFonts w:hint="eastAsia" w:ascii="宋体" w:hAnsi="宋体" w:eastAsia="宋体" w:cs="宋体"/>
                <w:color w:val="auto"/>
                <w:szCs w:val="21"/>
                <w:highlight w:val="none"/>
                <w:lang w:val="en-US" w:eastAsia="zh-CN"/>
              </w:rPr>
              <w:t>负责人的职称证</w:t>
            </w:r>
            <w:r>
              <w:rPr>
                <w:rFonts w:hint="eastAsia" w:ascii="宋体" w:hAnsi="宋体" w:cs="宋体"/>
                <w:color w:val="auto"/>
                <w:szCs w:val="21"/>
                <w:highlight w:val="none"/>
                <w:lang w:val="en-US" w:eastAsia="zh-CN"/>
              </w:rPr>
              <w:t>、安全生产合格证书</w:t>
            </w:r>
            <w:r>
              <w:rPr>
                <w:rFonts w:hint="eastAsia" w:ascii="宋体" w:hAnsi="宋体" w:eastAsia="宋体" w:cs="宋体"/>
                <w:color w:val="auto"/>
                <w:szCs w:val="21"/>
                <w:highlight w:val="none"/>
                <w:lang w:val="en-US" w:eastAsia="zh-CN"/>
              </w:rPr>
              <w:t>及</w:t>
            </w:r>
            <w:r>
              <w:rPr>
                <w:rFonts w:hint="eastAsia" w:ascii="宋体" w:hAnsi="宋体" w:cs="宋体"/>
                <w:bCs w:val="0"/>
                <w:color w:val="auto"/>
                <w:szCs w:val="21"/>
                <w:highlight w:val="none"/>
              </w:rPr>
              <w:t>投标截</w:t>
            </w:r>
            <w:bookmarkStart w:id="1" w:name="_GoBack"/>
            <w:bookmarkEnd w:id="1"/>
            <w:r>
              <w:rPr>
                <w:rFonts w:hint="eastAsia" w:ascii="宋体" w:hAnsi="宋体" w:cs="宋体"/>
                <w:bCs w:val="0"/>
                <w:color w:val="auto"/>
                <w:szCs w:val="21"/>
                <w:highlight w:val="none"/>
              </w:rPr>
              <w:t>止前一个月（202</w:t>
            </w:r>
            <w:r>
              <w:rPr>
                <w:rFonts w:hint="eastAsia" w:ascii="宋体" w:hAnsi="宋体" w:cs="宋体"/>
                <w:bCs w:val="0"/>
                <w:color w:val="auto"/>
                <w:szCs w:val="21"/>
                <w:highlight w:val="none"/>
                <w:lang w:val="en-US" w:eastAsia="zh-CN"/>
              </w:rPr>
              <w:t>5</w:t>
            </w:r>
            <w:r>
              <w:rPr>
                <w:rFonts w:hint="eastAsia" w:ascii="宋体" w:hAnsi="宋体" w:cs="宋体"/>
                <w:bCs w:val="0"/>
                <w:color w:val="auto"/>
                <w:szCs w:val="21"/>
                <w:highlight w:val="none"/>
              </w:rPr>
              <w:t>年</w:t>
            </w:r>
            <w:r>
              <w:rPr>
                <w:rFonts w:hint="eastAsia" w:ascii="宋体" w:hAnsi="宋体" w:cs="宋体"/>
                <w:bCs w:val="0"/>
                <w:color w:val="auto"/>
                <w:szCs w:val="21"/>
                <w:highlight w:val="none"/>
                <w:lang w:val="en-US" w:eastAsia="zh-CN"/>
              </w:rPr>
              <w:t>10</w:t>
            </w:r>
            <w:r>
              <w:rPr>
                <w:rFonts w:hint="eastAsia" w:ascii="宋体" w:hAnsi="宋体" w:cs="宋体"/>
                <w:bCs w:val="0"/>
                <w:color w:val="auto"/>
                <w:szCs w:val="21"/>
                <w:highlight w:val="none"/>
              </w:rPr>
              <w:t>月）</w:t>
            </w:r>
            <w:r>
              <w:rPr>
                <w:rFonts w:hint="eastAsia" w:ascii="宋体" w:hAnsi="宋体" w:cs="宋体"/>
                <w:color w:val="auto"/>
                <w:spacing w:val="0"/>
                <w:szCs w:val="21"/>
                <w:highlight w:val="none"/>
                <w:lang w:bidi="zh-CN"/>
              </w:rPr>
              <w:t>在本单位（含分公司）交纳的社保证明文件。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0" w:hRule="atLeast"/>
        </w:trPr>
        <w:tc>
          <w:tcPr>
            <w:tcW w:w="928" w:type="pct"/>
            <w:noWrap w:val="0"/>
            <w:tcMar>
              <w:top w:w="0" w:type="dxa"/>
              <w:left w:w="108" w:type="dxa"/>
              <w:bottom w:w="0" w:type="dxa"/>
              <w:right w:w="108" w:type="dxa"/>
            </w:tcMar>
            <w:vAlign w:val="top"/>
          </w:tcPr>
          <w:p>
            <w:pPr>
              <w:pStyle w:val="8"/>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Style w:val="12"/>
                <w:rFonts w:hint="eastAsia" w:ascii="宋体" w:hAnsi="宋体" w:eastAsia="宋体" w:cs="宋体"/>
                <w:b w:val="0"/>
                <w:bCs w:val="0"/>
                <w:color w:val="auto"/>
                <w:sz w:val="24"/>
                <w:szCs w:val="24"/>
                <w:highlight w:val="none"/>
                <w:lang w:val="en-US" w:eastAsia="zh-CN"/>
              </w:rPr>
            </w:pPr>
            <w:r>
              <w:rPr>
                <w:rStyle w:val="12"/>
                <w:rFonts w:hint="eastAsia" w:ascii="宋体" w:hAnsi="宋体" w:eastAsia="宋体" w:cs="宋体"/>
                <w:b w:val="0"/>
                <w:bCs w:val="0"/>
                <w:color w:val="auto"/>
                <w:sz w:val="24"/>
                <w:szCs w:val="24"/>
                <w:highlight w:val="none"/>
                <w:lang w:val="en-US" w:eastAsia="zh-CN"/>
              </w:rPr>
              <w:t>招标文件-《第二章 开标、评标及定标办法》-“附表四 《技术标详细审查评分表》”-</w:t>
            </w:r>
            <w:r>
              <w:rPr>
                <w:rFonts w:hint="eastAsia" w:ascii="宋体" w:hAnsi="宋体" w:eastAsia="宋体" w:cs="宋体"/>
                <w:b w:val="0"/>
                <w:bCs/>
                <w:color w:val="auto"/>
                <w:sz w:val="21"/>
                <w:szCs w:val="21"/>
                <w:highlight w:val="none"/>
              </w:rPr>
              <w:t>项目管理机构能力</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kern w:val="0"/>
                <w:sz w:val="21"/>
                <w:szCs w:val="21"/>
                <w:highlight w:val="none"/>
                <w:lang w:val="en-US" w:eastAsia="zh-CN"/>
              </w:rPr>
              <w:t>其他团队人员</w:t>
            </w:r>
          </w:p>
        </w:tc>
        <w:tc>
          <w:tcPr>
            <w:tcW w:w="626" w:type="pct"/>
            <w:noWrap w:val="0"/>
            <w:tcMar>
              <w:top w:w="0" w:type="dxa"/>
              <w:left w:w="108" w:type="dxa"/>
              <w:bottom w:w="0" w:type="dxa"/>
              <w:right w:w="108" w:type="dxa"/>
            </w:tcMar>
            <w:vAlign w:val="center"/>
          </w:tcPr>
          <w:p>
            <w:pPr>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修改</w:t>
            </w:r>
          </w:p>
        </w:tc>
        <w:tc>
          <w:tcPr>
            <w:tcW w:w="1672" w:type="pct"/>
            <w:noWrap w:val="0"/>
            <w:tcMar>
              <w:top w:w="0" w:type="dxa"/>
              <w:left w:w="108" w:type="dxa"/>
              <w:bottom w:w="0" w:type="dxa"/>
              <w:right w:w="108" w:type="dxa"/>
            </w:tcMar>
            <w:vAlign w:val="center"/>
          </w:tcPr>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投标人拟委派其他</w:t>
            </w:r>
            <w:r>
              <w:rPr>
                <w:rFonts w:hint="eastAsia" w:ascii="宋体" w:hAnsi="宋体" w:cs="宋体"/>
                <w:color w:val="auto"/>
                <w:szCs w:val="21"/>
                <w:highlight w:val="none"/>
                <w:lang w:val="en-US" w:eastAsia="zh-CN"/>
              </w:rPr>
              <w:t>团队人员</w:t>
            </w:r>
            <w:r>
              <w:rPr>
                <w:rFonts w:hint="eastAsia" w:ascii="宋体" w:hAnsi="宋体" w:eastAsia="宋体" w:cs="宋体"/>
                <w:color w:val="auto"/>
                <w:szCs w:val="21"/>
                <w:highlight w:val="none"/>
                <w:lang w:val="en-US" w:eastAsia="zh-CN"/>
              </w:rPr>
              <w:t>：</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除技术负责人、质量负责人、</w:t>
            </w:r>
            <w:r>
              <w:rPr>
                <w:rFonts w:hint="eastAsia" w:ascii="宋体" w:hAnsi="宋体" w:cs="宋体"/>
                <w:color w:val="auto"/>
                <w:szCs w:val="21"/>
                <w:highlight w:val="none"/>
                <w:lang w:val="en-US" w:eastAsia="zh-CN"/>
              </w:rPr>
              <w:t>安全负责人、</w:t>
            </w:r>
            <w:r>
              <w:rPr>
                <w:rFonts w:hint="eastAsia" w:ascii="宋体" w:hAnsi="宋体" w:eastAsia="宋体" w:cs="宋体"/>
                <w:color w:val="auto"/>
                <w:szCs w:val="21"/>
                <w:highlight w:val="none"/>
                <w:lang w:val="en-US" w:eastAsia="zh-CN"/>
              </w:rPr>
              <w:t>专职安全员、</w:t>
            </w:r>
            <w:r>
              <w:rPr>
                <w:rFonts w:hint="eastAsia" w:ascii="宋体" w:hAnsi="宋体" w:cs="宋体"/>
                <w:color w:val="auto"/>
                <w:szCs w:val="21"/>
                <w:highlight w:val="none"/>
                <w:lang w:val="en-US" w:eastAsia="zh-CN"/>
              </w:rPr>
              <w:t>机电负责人、给排水负责人、</w:t>
            </w:r>
            <w:r>
              <w:rPr>
                <w:rFonts w:hint="eastAsia" w:ascii="宋体" w:hAnsi="宋体" w:eastAsia="宋体" w:cs="宋体"/>
                <w:color w:val="auto"/>
                <w:szCs w:val="21"/>
                <w:highlight w:val="none"/>
                <w:lang w:val="en-US" w:eastAsia="zh-CN"/>
              </w:rPr>
              <w:t>造价负责人外，其他</w:t>
            </w:r>
            <w:r>
              <w:rPr>
                <w:rFonts w:hint="eastAsia" w:ascii="宋体" w:hAnsi="宋体" w:cs="宋体"/>
                <w:color w:val="auto"/>
                <w:szCs w:val="21"/>
                <w:highlight w:val="none"/>
                <w:lang w:val="en-US" w:eastAsia="zh-CN"/>
              </w:rPr>
              <w:t>团队人员</w:t>
            </w:r>
            <w:r>
              <w:rPr>
                <w:rFonts w:hint="eastAsia" w:ascii="宋体" w:hAnsi="宋体" w:eastAsia="宋体" w:cs="宋体"/>
                <w:color w:val="auto"/>
                <w:szCs w:val="21"/>
                <w:highlight w:val="none"/>
                <w:lang w:val="en-US" w:eastAsia="zh-CN"/>
              </w:rPr>
              <w:t>配备完善：</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施工员、质量员</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标准员、材料员、合同员各1名，</w:t>
            </w:r>
            <w:r>
              <w:rPr>
                <w:rFonts w:hint="eastAsia" w:ascii="宋体" w:hAnsi="宋体" w:cs="宋体"/>
                <w:color w:val="auto"/>
                <w:szCs w:val="21"/>
                <w:highlight w:val="none"/>
                <w:lang w:val="en-US" w:eastAsia="zh-CN"/>
              </w:rPr>
              <w:t>每具备一名得1分</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总共5分</w:t>
            </w:r>
            <w:r>
              <w:rPr>
                <w:rFonts w:hint="eastAsia" w:ascii="宋体" w:hAnsi="宋体" w:eastAsia="宋体" w:cs="宋体"/>
                <w:color w:val="auto"/>
                <w:szCs w:val="21"/>
                <w:highlight w:val="none"/>
                <w:lang w:val="en-US" w:eastAsia="zh-CN"/>
              </w:rPr>
              <w:t>；</w:t>
            </w:r>
          </w:p>
          <w:p>
            <w:pPr>
              <w:jc w:val="left"/>
              <w:rPr>
                <w:rStyle w:val="12"/>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注：上述人员提供岗位证复印件，并提供</w:t>
            </w:r>
            <w:r>
              <w:rPr>
                <w:rFonts w:hint="eastAsia" w:ascii="宋体" w:hAnsi="宋体" w:cs="宋体"/>
                <w:bCs/>
                <w:color w:val="auto"/>
                <w:szCs w:val="21"/>
                <w:highlight w:val="none"/>
              </w:rPr>
              <w:t>投标截止前一个月（202</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月）</w:t>
            </w:r>
            <w:r>
              <w:rPr>
                <w:rFonts w:hint="eastAsia" w:ascii="宋体" w:hAnsi="宋体" w:cs="宋体"/>
                <w:color w:val="auto"/>
                <w:spacing w:val="-1"/>
                <w:szCs w:val="21"/>
                <w:highlight w:val="none"/>
                <w:lang w:bidi="zh-CN"/>
              </w:rPr>
              <w:t>在本单位（含分公司）交纳的社保证明文件</w:t>
            </w:r>
            <w:r>
              <w:rPr>
                <w:rFonts w:hint="eastAsia" w:ascii="宋体" w:hAnsi="宋体" w:eastAsia="宋体" w:cs="宋体"/>
                <w:color w:val="auto"/>
                <w:szCs w:val="21"/>
                <w:highlight w:val="none"/>
                <w:lang w:val="en-US" w:eastAsia="zh-CN"/>
              </w:rPr>
              <w:t>。</w:t>
            </w:r>
          </w:p>
        </w:tc>
        <w:tc>
          <w:tcPr>
            <w:tcW w:w="1773" w:type="pct"/>
            <w:noWrap w:val="0"/>
            <w:tcMar>
              <w:top w:w="0" w:type="dxa"/>
              <w:left w:w="108" w:type="dxa"/>
              <w:bottom w:w="0" w:type="dxa"/>
              <w:right w:w="108" w:type="dxa"/>
            </w:tcMar>
            <w:vAlign w:val="center"/>
          </w:tcPr>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投标人拟委派其他</w:t>
            </w:r>
            <w:r>
              <w:rPr>
                <w:rFonts w:hint="eastAsia" w:ascii="宋体" w:hAnsi="宋体" w:cs="宋体"/>
                <w:color w:val="auto"/>
                <w:szCs w:val="21"/>
                <w:highlight w:val="none"/>
                <w:lang w:val="en-US" w:eastAsia="zh-CN"/>
              </w:rPr>
              <w:t>团队人员</w:t>
            </w:r>
            <w:r>
              <w:rPr>
                <w:rFonts w:hint="eastAsia" w:ascii="宋体" w:hAnsi="宋体" w:eastAsia="宋体" w:cs="宋体"/>
                <w:color w:val="auto"/>
                <w:szCs w:val="21"/>
                <w:highlight w:val="none"/>
                <w:lang w:val="en-US" w:eastAsia="zh-CN"/>
              </w:rPr>
              <w:t>：</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除技术负责人、质量负责人、</w:t>
            </w:r>
            <w:r>
              <w:rPr>
                <w:rFonts w:hint="eastAsia" w:ascii="宋体" w:hAnsi="宋体" w:cs="宋体"/>
                <w:color w:val="auto"/>
                <w:szCs w:val="21"/>
                <w:highlight w:val="none"/>
                <w:lang w:val="en-US" w:eastAsia="zh-CN"/>
              </w:rPr>
              <w:t>安全负责人、</w:t>
            </w:r>
            <w:r>
              <w:rPr>
                <w:rFonts w:hint="eastAsia" w:ascii="宋体" w:hAnsi="宋体" w:eastAsia="宋体" w:cs="宋体"/>
                <w:color w:val="auto"/>
                <w:szCs w:val="21"/>
                <w:highlight w:val="none"/>
                <w:lang w:val="en-US" w:eastAsia="zh-CN"/>
              </w:rPr>
              <w:t>专职安全员、</w:t>
            </w:r>
            <w:r>
              <w:rPr>
                <w:rFonts w:hint="eastAsia" w:ascii="宋体" w:hAnsi="宋体" w:cs="宋体"/>
                <w:color w:val="auto"/>
                <w:szCs w:val="21"/>
                <w:highlight w:val="none"/>
                <w:lang w:val="en-US" w:eastAsia="zh-CN"/>
              </w:rPr>
              <w:t>机电负责人、给排水负责人、</w:t>
            </w:r>
            <w:r>
              <w:rPr>
                <w:rFonts w:hint="eastAsia" w:ascii="宋体" w:hAnsi="宋体" w:eastAsia="宋体" w:cs="宋体"/>
                <w:color w:val="auto"/>
                <w:szCs w:val="21"/>
                <w:highlight w:val="none"/>
                <w:lang w:val="en-US" w:eastAsia="zh-CN"/>
              </w:rPr>
              <w:t>造价负责人外，其他</w:t>
            </w:r>
            <w:r>
              <w:rPr>
                <w:rFonts w:hint="eastAsia" w:ascii="宋体" w:hAnsi="宋体" w:cs="宋体"/>
                <w:color w:val="auto"/>
                <w:szCs w:val="21"/>
                <w:highlight w:val="none"/>
                <w:lang w:val="en-US" w:eastAsia="zh-CN"/>
              </w:rPr>
              <w:t>团队人员</w:t>
            </w:r>
            <w:r>
              <w:rPr>
                <w:rFonts w:hint="eastAsia" w:ascii="宋体" w:hAnsi="宋体" w:eastAsia="宋体" w:cs="宋体"/>
                <w:color w:val="auto"/>
                <w:szCs w:val="21"/>
                <w:highlight w:val="none"/>
                <w:lang w:val="en-US" w:eastAsia="zh-CN"/>
              </w:rPr>
              <w:t>配备完善：</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施工员、质量员</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标准员、材料员、</w:t>
            </w:r>
            <w:r>
              <w:rPr>
                <w:rFonts w:hint="eastAsia" w:ascii="宋体" w:hAnsi="宋体" w:eastAsia="宋体" w:cs="宋体"/>
                <w:b/>
                <w:bCs/>
                <w:color w:val="auto"/>
                <w:szCs w:val="21"/>
                <w:highlight w:val="none"/>
                <w:lang w:val="en-US" w:eastAsia="zh-CN"/>
              </w:rPr>
              <w:t>资料员</w:t>
            </w:r>
            <w:r>
              <w:rPr>
                <w:rFonts w:hint="eastAsia" w:ascii="宋体" w:hAnsi="宋体" w:eastAsia="宋体" w:cs="宋体"/>
                <w:color w:val="auto"/>
                <w:szCs w:val="21"/>
                <w:highlight w:val="none"/>
                <w:lang w:val="en-US" w:eastAsia="zh-CN"/>
              </w:rPr>
              <w:t>各1名，</w:t>
            </w:r>
            <w:r>
              <w:rPr>
                <w:rFonts w:hint="eastAsia" w:ascii="宋体" w:hAnsi="宋体" w:cs="宋体"/>
                <w:color w:val="auto"/>
                <w:szCs w:val="21"/>
                <w:highlight w:val="none"/>
                <w:lang w:val="en-US" w:eastAsia="zh-CN"/>
              </w:rPr>
              <w:t>每具备一名得1分</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总共5分</w:t>
            </w:r>
            <w:r>
              <w:rPr>
                <w:rFonts w:hint="eastAsia" w:ascii="宋体" w:hAnsi="宋体" w:eastAsia="宋体" w:cs="宋体"/>
                <w:color w:val="auto"/>
                <w:szCs w:val="21"/>
                <w:highlight w:val="none"/>
                <w:lang w:val="en-US" w:eastAsia="zh-CN"/>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Style w:val="12"/>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注：上述人员提供岗位证复印件，并提供</w:t>
            </w:r>
            <w:r>
              <w:rPr>
                <w:rFonts w:hint="eastAsia" w:ascii="宋体" w:hAnsi="宋体" w:cs="宋体"/>
                <w:bCs/>
                <w:color w:val="auto"/>
                <w:szCs w:val="21"/>
                <w:highlight w:val="none"/>
              </w:rPr>
              <w:t>投标截止前一个月（202</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月）</w:t>
            </w:r>
            <w:r>
              <w:rPr>
                <w:rFonts w:hint="eastAsia" w:ascii="宋体" w:hAnsi="宋体" w:cs="宋体"/>
                <w:color w:val="auto"/>
                <w:spacing w:val="-1"/>
                <w:szCs w:val="21"/>
                <w:highlight w:val="none"/>
                <w:lang w:bidi="zh-CN"/>
              </w:rPr>
              <w:t>在本单位（含分公司）交纳的社保证明文件</w:t>
            </w:r>
            <w:r>
              <w:rPr>
                <w:rFonts w:hint="eastAsia" w:ascii="宋体" w:hAnsi="宋体" w:eastAsia="宋体" w:cs="宋体"/>
                <w:color w:val="auto"/>
                <w:szCs w:val="21"/>
                <w:highlight w:val="none"/>
                <w:lang w:val="en-US" w:eastAsia="zh-CN"/>
              </w:rPr>
              <w:t>。</w:t>
            </w:r>
          </w:p>
        </w:tc>
      </w:tr>
    </w:tbl>
    <w:p>
      <w:pPr>
        <w:spacing w:line="276" w:lineRule="auto"/>
        <w:jc w:val="left"/>
        <w:rPr>
          <w:rFonts w:hint="eastAsia" w:ascii="仿宋" w:hAnsi="仿宋" w:eastAsia="仿宋" w:cs="仿宋"/>
          <w:b/>
          <w:color w:val="auto"/>
          <w:szCs w:val="21"/>
          <w:highlight w:val="none"/>
        </w:rPr>
      </w:pPr>
    </w:p>
    <w:p>
      <w:pPr>
        <w:pageBreakBefore w:val="0"/>
        <w:numPr>
          <w:ilvl w:val="-1"/>
          <w:numId w:val="0"/>
        </w:numPr>
        <w:kinsoku/>
        <w:overflowPunct/>
        <w:topLinePunct w:val="0"/>
        <w:autoSpaceDE/>
        <w:autoSpaceDN/>
        <w:bidi w:val="0"/>
        <w:spacing w:line="312" w:lineRule="auto"/>
        <w:ind w:left="0" w:leftChars="0" w:firstLine="0" w:firstLineChars="0"/>
        <w:rPr>
          <w:rFonts w:hint="eastAsia"/>
          <w:lang w:val="en-US" w:eastAsia="zh-CN"/>
        </w:rPr>
      </w:pPr>
      <w:r>
        <w:rPr>
          <w:rStyle w:val="12"/>
          <w:rFonts w:hint="eastAsia" w:ascii="宋体" w:hAnsi="宋体" w:eastAsia="宋体" w:cs="宋体"/>
          <w:b w:val="0"/>
          <w:bCs w:val="0"/>
          <w:sz w:val="24"/>
          <w:szCs w:val="24"/>
          <w:highlight w:val="none"/>
          <w:lang w:val="en-US" w:eastAsia="zh-CN"/>
        </w:rPr>
        <w:t>二、</w:t>
      </w:r>
      <w:r>
        <w:rPr>
          <w:rFonts w:hint="eastAsia"/>
          <w:lang w:val="en-US" w:eastAsia="zh-CN"/>
        </w:rPr>
        <w:t>本招标项目补充公布岩土工程勘察报告，具体详见本公告附件。</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Style w:val="12"/>
          <w:rFonts w:hint="default" w:ascii="宋体" w:hAnsi="宋体" w:eastAsia="宋体" w:cs="宋体"/>
          <w:b w:val="0"/>
          <w:bCs w:val="0"/>
          <w:sz w:val="24"/>
          <w:szCs w:val="24"/>
          <w:highlight w:val="none"/>
          <w:lang w:val="en-US" w:eastAsia="zh-CN"/>
        </w:rPr>
      </w:pP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Style w:val="12"/>
          <w:rFonts w:hint="eastAsia" w:ascii="宋体" w:hAnsi="宋体" w:eastAsia="宋体" w:cs="宋体"/>
          <w:b w:val="0"/>
          <w:bCs w:val="0"/>
          <w:sz w:val="24"/>
          <w:szCs w:val="24"/>
          <w:highlight w:val="none"/>
          <w:lang w:val="en-US" w:eastAsia="zh-CN"/>
        </w:rPr>
      </w:pPr>
      <w:r>
        <w:rPr>
          <w:rStyle w:val="12"/>
          <w:rFonts w:hint="eastAsia" w:ascii="宋体" w:hAnsi="宋体" w:eastAsia="宋体" w:cs="宋体"/>
          <w:b w:val="0"/>
          <w:bCs w:val="0"/>
          <w:sz w:val="24"/>
          <w:szCs w:val="24"/>
          <w:highlight w:val="none"/>
          <w:lang w:val="en-US" w:eastAsia="zh-CN"/>
        </w:rPr>
        <w:t>注：</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Style w:val="12"/>
          <w:rFonts w:hint="eastAsia" w:ascii="宋体" w:hAnsi="宋体" w:eastAsia="宋体" w:cs="宋体"/>
          <w:b w:val="0"/>
          <w:bCs w:val="0"/>
          <w:sz w:val="24"/>
          <w:szCs w:val="24"/>
          <w:highlight w:val="none"/>
          <w:lang w:val="en-US" w:eastAsia="zh-CN"/>
        </w:rPr>
      </w:pPr>
      <w:r>
        <w:rPr>
          <w:rStyle w:val="12"/>
          <w:rFonts w:hint="eastAsia" w:ascii="宋体" w:hAnsi="宋体" w:eastAsia="宋体" w:cs="宋体"/>
          <w:b w:val="0"/>
          <w:bCs w:val="0"/>
          <w:sz w:val="24"/>
          <w:szCs w:val="24"/>
          <w:highlight w:val="none"/>
          <w:lang w:val="en-US" w:eastAsia="zh-CN"/>
        </w:rPr>
        <w:t>1、原招标公告、招标文件的内容与本补充公告发布的内容有不一致之处的，以本补充公告内容为准，本补充公告为招标文件的组成部分，如对同一事项的表述与之前所发出的招标文件不符，则以本补充公告为准，其他内容不变。</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Style w:val="12"/>
          <w:rFonts w:hint="eastAsia" w:ascii="宋体" w:hAnsi="宋体" w:eastAsia="宋体" w:cs="宋体"/>
          <w:b w:val="0"/>
          <w:bCs w:val="0"/>
          <w:sz w:val="24"/>
          <w:szCs w:val="24"/>
          <w:highlight w:val="none"/>
          <w:lang w:val="en-US" w:eastAsia="zh-CN"/>
        </w:rPr>
      </w:pPr>
      <w:r>
        <w:rPr>
          <w:rStyle w:val="12"/>
          <w:rFonts w:hint="eastAsia" w:ascii="宋体" w:hAnsi="宋体" w:eastAsia="宋体" w:cs="宋体"/>
          <w:b w:val="0"/>
          <w:bCs w:val="0"/>
          <w:sz w:val="24"/>
          <w:szCs w:val="24"/>
          <w:highlight w:val="none"/>
          <w:lang w:val="en-US" w:eastAsia="zh-CN"/>
        </w:rPr>
        <w:t>2、本项目原定的公告发布时间、投标登记时间、递交电子投标文件时间、提交投标文件光盘（备用）时间及场地、开标时间及场地安排等招标投标日程安排作相应调整，具体时间及场地安排请各投标人密切留意广州公共资源交易中心公布本项目的日程安排，投标人可登录广州公共资源交易中心网站首页，点击“交易业务-建设工程”专栏中的“项目查询（日程安排、答疑纪要）”，输入项目编号或项目名称查询最新信息。</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Style w:val="12"/>
          <w:rFonts w:hint="eastAsia" w:ascii="宋体" w:hAnsi="宋体" w:eastAsia="宋体" w:cs="宋体"/>
          <w:b w:val="0"/>
          <w:bCs w:val="0"/>
          <w:sz w:val="24"/>
          <w:szCs w:val="24"/>
          <w:highlight w:val="none"/>
          <w:lang w:val="en-US" w:eastAsia="zh-CN"/>
        </w:rPr>
      </w:pPr>
      <w:r>
        <w:rPr>
          <w:rStyle w:val="12"/>
          <w:rFonts w:hint="eastAsia" w:ascii="宋体" w:hAnsi="宋体" w:eastAsia="宋体" w:cs="宋体"/>
          <w:b w:val="0"/>
          <w:bCs w:val="0"/>
          <w:sz w:val="24"/>
          <w:szCs w:val="24"/>
          <w:highlight w:val="none"/>
          <w:lang w:val="en-US" w:eastAsia="zh-CN"/>
        </w:rPr>
        <w:t> </w:t>
      </w:r>
    </w:p>
    <w:p>
      <w:pPr>
        <w:pStyle w:val="8"/>
        <w:widowControl/>
        <w:spacing w:beforeAutospacing="0" w:afterAutospacing="0" w:line="180" w:lineRule="atLeast"/>
        <w:ind w:firstLine="420"/>
        <w:jc w:val="right"/>
        <w:rPr>
          <w:rFonts w:hint="eastAsia" w:ascii="宋体" w:hAnsi="宋体" w:eastAsia="宋体" w:cs="宋体"/>
          <w:b w:val="0"/>
          <w:bCs w:val="0"/>
          <w:sz w:val="12"/>
          <w:szCs w:val="12"/>
          <w:highlight w:val="none"/>
        </w:rPr>
      </w:pPr>
      <w:r>
        <w:rPr>
          <w:rFonts w:hint="eastAsia" w:ascii="宋体" w:hAnsi="宋体" w:eastAsia="宋体" w:cs="宋体"/>
          <w:b w:val="0"/>
          <w:bCs w:val="0"/>
          <w:sz w:val="21"/>
          <w:szCs w:val="21"/>
          <w:highlight w:val="none"/>
          <w:shd w:val="clear" w:color="auto" w:fill="FFFFFF"/>
        </w:rPr>
        <w:t> </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right"/>
        <w:textAlignment w:val="auto"/>
        <w:rPr>
          <w:rStyle w:val="12"/>
          <w:rFonts w:hint="eastAsia" w:ascii="宋体" w:hAnsi="宋体" w:eastAsia="宋体" w:cs="宋体"/>
          <w:b w:val="0"/>
          <w:bCs w:val="0"/>
          <w:sz w:val="24"/>
          <w:szCs w:val="24"/>
          <w:highlight w:val="none"/>
          <w:lang w:val="en-US" w:eastAsia="zh-CN"/>
        </w:rPr>
      </w:pPr>
      <w:r>
        <w:rPr>
          <w:rStyle w:val="12"/>
          <w:rFonts w:hint="eastAsia" w:ascii="宋体" w:hAnsi="宋体" w:eastAsia="宋体" w:cs="宋体"/>
          <w:b w:val="0"/>
          <w:bCs w:val="0"/>
          <w:sz w:val="24"/>
          <w:szCs w:val="24"/>
          <w:highlight w:val="none"/>
          <w:lang w:val="en-US" w:eastAsia="zh-CN"/>
        </w:rPr>
        <w:t>招 标 人：</w:t>
      </w:r>
      <w:r>
        <w:rPr>
          <w:rFonts w:hint="eastAsia" w:ascii="宋体" w:hAnsi="宋体" w:cs="宋体"/>
          <w:color w:val="auto"/>
          <w:szCs w:val="21"/>
          <w:highlight w:val="none"/>
          <w:u w:val="single"/>
          <w:lang w:eastAsia="zh-CN"/>
        </w:rPr>
        <w:t>广州市裕源实业有限公司</w:t>
      </w:r>
    </w:p>
    <w:p>
      <w:pPr>
        <w:spacing w:before="156" w:after="156"/>
        <w:ind w:firstLineChars="200"/>
        <w:jc w:val="right"/>
        <w:rPr>
          <w:rFonts w:hint="eastAsia" w:cs="宋体"/>
          <w:b/>
          <w:bCs/>
          <w:color w:val="000000"/>
          <w:sz w:val="21"/>
          <w:szCs w:val="21"/>
        </w:rPr>
      </w:pPr>
      <w:r>
        <w:rPr>
          <w:rStyle w:val="12"/>
          <w:rFonts w:hint="eastAsia" w:ascii="宋体" w:hAnsi="宋体" w:eastAsia="宋体" w:cs="宋体"/>
          <w:b w:val="0"/>
          <w:bCs w:val="0"/>
          <w:sz w:val="24"/>
          <w:szCs w:val="24"/>
          <w:highlight w:val="none"/>
          <w:lang w:val="en-US" w:eastAsia="zh-CN"/>
        </w:rPr>
        <w:t>2025年11月</w:t>
      </w:r>
      <w:r>
        <w:rPr>
          <w:rStyle w:val="12"/>
          <w:rFonts w:hint="eastAsia" w:ascii="宋体" w:hAnsi="宋体" w:cs="宋体"/>
          <w:b w:val="0"/>
          <w:bCs w:val="0"/>
          <w:sz w:val="24"/>
          <w:szCs w:val="24"/>
          <w:highlight w:val="none"/>
          <w:lang w:val="en-US" w:eastAsia="zh-CN"/>
        </w:rPr>
        <w:t>24</w:t>
      </w:r>
      <w:r>
        <w:rPr>
          <w:rStyle w:val="12"/>
          <w:rFonts w:hint="eastAsia" w:ascii="宋体" w:hAnsi="宋体" w:eastAsia="宋体" w:cs="宋体"/>
          <w:b w:val="0"/>
          <w:bCs w:val="0"/>
          <w:sz w:val="24"/>
          <w:szCs w:val="24"/>
          <w:highlight w:val="none"/>
          <w:lang w:val="en-US" w:eastAsia="zh-CN"/>
        </w:rPr>
        <w:t xml:space="preserve"> 日</w:t>
      </w:r>
    </w:p>
    <w:p>
      <w:pPr>
        <w:spacing w:before="156" w:after="156"/>
        <w:ind w:firstLineChars="200"/>
        <w:rPr>
          <w:rFonts w:hint="eastAsia" w:cs="宋体"/>
          <w:b/>
          <w:bCs/>
          <w:color w:val="000000"/>
          <w:sz w:val="21"/>
          <w:szCs w:val="21"/>
        </w:rPr>
      </w:pPr>
    </w:p>
    <w:p>
      <w:pPr>
        <w:spacing w:before="156" w:after="156"/>
        <w:ind w:firstLineChars="200"/>
        <w:rPr>
          <w:rFonts w:hint="eastAsia" w:cs="宋体"/>
          <w:b/>
          <w:bCs/>
          <w:color w:val="000000"/>
          <w:sz w:val="21"/>
          <w:szCs w:val="21"/>
          <w:lang w:val="en-US" w:eastAsia="zh-CN"/>
        </w:rPr>
        <w:sectPr>
          <w:footerReference r:id="rId3" w:type="default"/>
          <w:pgSz w:w="11906" w:h="16838"/>
          <w:pgMar w:top="1490" w:right="1134" w:bottom="1488" w:left="1134" w:header="851" w:footer="992" w:gutter="0"/>
          <w:pgNumType w:fmt="decimal"/>
          <w:cols w:space="720" w:num="1"/>
          <w:docGrid w:type="lines" w:linePitch="312" w:charSpace="0"/>
        </w:sectPr>
      </w:pP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b/>
          <w:bCs w:val="0"/>
          <w:color w:val="auto"/>
          <w:sz w:val="24"/>
          <w:szCs w:val="24"/>
          <w:highlight w:val="none"/>
          <w:lang w:val="en-US" w:eastAsia="zh-CN"/>
        </w:rPr>
      </w:pPr>
    </w:p>
    <w:p>
      <w:pPr>
        <w:pageBreakBefore w:val="0"/>
        <w:kinsoku/>
        <w:wordWrap w:val="0"/>
        <w:overflowPunct/>
        <w:topLinePunct w:val="0"/>
        <w:autoSpaceDE/>
        <w:autoSpaceDN/>
        <w:bidi w:val="0"/>
        <w:adjustRightInd w:val="0"/>
        <w:snapToGrid w:val="0"/>
        <w:spacing w:line="312" w:lineRule="auto"/>
        <w:jc w:val="center"/>
        <w:rPr>
          <w:rFonts w:hint="default" w:ascii="黑体" w:hAnsi="宋体" w:eastAsia="黑体" w:cs="黑体"/>
          <w:b/>
          <w:spacing w:val="26"/>
          <w:sz w:val="36"/>
          <w:szCs w:val="36"/>
          <w:highlight w:val="none"/>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60544B"/>
    <w:rsid w:val="0EDD7CAA"/>
    <w:rsid w:val="12097601"/>
    <w:rsid w:val="20711CA3"/>
    <w:rsid w:val="2460544B"/>
    <w:rsid w:val="60732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1"/>
    <w:next w:val="1"/>
    <w:qFormat/>
    <w:uiPriority w:val="99"/>
    <w:pPr>
      <w:spacing w:before="100" w:beforeAutospacing="1" w:after="100" w:afterAutospacing="1"/>
      <w:jc w:val="left"/>
      <w:textAlignment w:val="auto"/>
      <w:outlineLvl w:val="2"/>
    </w:pPr>
    <w:rPr>
      <w:rFonts w:ascii="宋体" w:hAnsi="宋体"/>
      <w:kern w:val="0"/>
      <w:sz w:val="27"/>
      <w:szCs w:val="27"/>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6">
    <w:name w:val="Plain Text"/>
    <w:basedOn w:val="1"/>
    <w:next w:val="1"/>
    <w:qFormat/>
    <w:uiPriority w:val="0"/>
    <w:rPr>
      <w:rFonts w:ascii="宋体" w:hAnsi="Courier New"/>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w:basedOn w:val="4"/>
    <w:qFormat/>
    <w:uiPriority w:val="0"/>
    <w:pPr>
      <w:widowControl w:val="0"/>
      <w:ind w:firstLine="420"/>
      <w:textAlignment w:val="auto"/>
    </w:pPr>
    <w:rPr>
      <w:rFonts w:ascii="Times New Roman" w:hAnsi="Times New Roman"/>
      <w:kern w:val="0"/>
      <w:sz w:val="20"/>
      <w:szCs w:val="20"/>
    </w:rPr>
  </w:style>
  <w:style w:type="character" w:styleId="12">
    <w:name w:val="Strong"/>
    <w:basedOn w:val="11"/>
    <w:qFormat/>
    <w:uiPriority w:val="22"/>
    <w:rPr>
      <w:b/>
    </w:rPr>
  </w:style>
  <w:style w:type="character" w:customStyle="1" w:styleId="13">
    <w:name w:val="NormalCharacter"/>
    <w:qFormat/>
    <w:uiPriority w:val="0"/>
    <w:rPr>
      <w:rFonts w:ascii="等线" w:hAnsi="等线" w:eastAsia="等线"/>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1211</Words>
  <Characters>1258</Characters>
  <Lines>0</Lines>
  <Paragraphs>0</Paragraphs>
  <TotalTime>0</TotalTime>
  <ScaleCrop>false</ScaleCrop>
  <LinksUpToDate>false</LinksUpToDate>
  <CharactersWithSpaces>1267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2025-11-21T06:45:00Z</dcterms:created>
  <dc:creator>李桂英</dc:creator>
  <cp:lastModifiedBy>李桂英</cp:lastModifiedBy>
  <dcterms:modified xsi:type="dcterms:W3CDTF">2025-11-24T06:55:47Z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574EAB2B404F44089565E57E73D68302_11</vt:lpwstr>
  </property>
  <property fmtid="{D5CDD505-2E9C-101B-9397-08002B2CF9AE}" pid="4" name="KSOTemplateDocerSaveRecord">
    <vt:lpwstr>eyJoZGlkIjoiZjJmYTFkNDc0NTE3ZDk4ZWYxZGMxNWFjMGY3OTQyNGIiLCJ1c2VySWQiOiI2MjYzMjg5NDcifQ==</vt:lpwstr>
  </property>
</Properties>
</file>