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s="宋体"/>
          <w:color w:val="auto"/>
          <w:sz w:val="36"/>
          <w:szCs w:val="36"/>
          <w:highlight w:val="none"/>
        </w:rPr>
      </w:pPr>
      <w:bookmarkStart w:id="486" w:name="_GoBack"/>
      <w:bookmarkEnd w:id="486"/>
    </w:p>
    <w:p>
      <w:pPr>
        <w:jc w:val="center"/>
        <w:rPr>
          <w:rFonts w:ascii="宋体" w:hAnsi="宋体" w:cs="宋体"/>
          <w:color w:val="auto"/>
          <w:sz w:val="36"/>
          <w:szCs w:val="36"/>
          <w:highlight w:val="none"/>
        </w:rPr>
      </w:pPr>
    </w:p>
    <w:p>
      <w:pPr>
        <w:jc w:val="center"/>
        <w:rPr>
          <w:rFonts w:ascii="宋体" w:hAnsi="宋体" w:cs="宋体"/>
          <w:color w:val="auto"/>
          <w:sz w:val="32"/>
          <w:szCs w:val="32"/>
          <w:highlight w:val="none"/>
        </w:rPr>
      </w:pPr>
      <w:r>
        <w:rPr>
          <w:rFonts w:hint="eastAsia" w:ascii="宋体" w:hAnsi="宋体" w:cs="宋体"/>
          <w:b/>
          <w:bCs/>
          <w:color w:val="auto"/>
          <w:sz w:val="72"/>
          <w:szCs w:val="72"/>
          <w:highlight w:val="none"/>
          <w:lang w:eastAsia="zh-CN"/>
        </w:rPr>
        <w:t>汽车零部件产业园项目监理</w:t>
      </w:r>
    </w:p>
    <w:p>
      <w:pPr>
        <w:rPr>
          <w:rFonts w:ascii="宋体" w:hAnsi="宋体" w:cs="宋体"/>
          <w:color w:val="auto"/>
          <w:sz w:val="36"/>
          <w:szCs w:val="36"/>
          <w:highlight w:val="none"/>
        </w:rPr>
      </w:pPr>
    </w:p>
    <w:p>
      <w:pPr>
        <w:jc w:val="center"/>
        <w:rPr>
          <w:rStyle w:val="22"/>
          <w:rFonts w:ascii="宋体" w:hAnsi="宋体" w:cs="宋体"/>
          <w:b/>
          <w:i w:val="0"/>
          <w:color w:val="auto"/>
          <w:sz w:val="84"/>
          <w:highlight w:val="none"/>
        </w:rPr>
      </w:pPr>
      <w:bookmarkStart w:id="0" w:name="_资格预审文件"/>
      <w:bookmarkEnd w:id="0"/>
      <w:bookmarkStart w:id="1" w:name="_Toc5875285"/>
      <w:bookmarkStart w:id="2" w:name="_Toc536411629"/>
    </w:p>
    <w:p>
      <w:pPr>
        <w:jc w:val="center"/>
        <w:rPr>
          <w:rStyle w:val="22"/>
          <w:rFonts w:ascii="宋体" w:hAnsi="宋体" w:cs="宋体"/>
          <w:b/>
          <w:i w:val="0"/>
          <w:color w:val="auto"/>
          <w:sz w:val="84"/>
          <w:highlight w:val="none"/>
        </w:rPr>
      </w:pPr>
    </w:p>
    <w:p>
      <w:pPr>
        <w:rPr>
          <w:rFonts w:ascii="宋体" w:hAnsi="宋体" w:cs="宋体"/>
          <w:color w:val="auto"/>
          <w:highlight w:val="none"/>
        </w:rPr>
      </w:pPr>
    </w:p>
    <w:p>
      <w:pPr>
        <w:jc w:val="center"/>
        <w:rPr>
          <w:rFonts w:ascii="宋体" w:hAnsi="宋体" w:cs="宋体"/>
          <w:color w:val="auto"/>
          <w:highlight w:val="none"/>
        </w:rPr>
      </w:pPr>
      <w:r>
        <w:rPr>
          <w:rStyle w:val="22"/>
          <w:rFonts w:hint="eastAsia" w:ascii="宋体" w:hAnsi="宋体" w:cs="宋体"/>
          <w:b/>
          <w:i w:val="0"/>
          <w:color w:val="auto"/>
          <w:sz w:val="84"/>
          <w:highlight w:val="none"/>
        </w:rPr>
        <w:t>招</w:t>
      </w:r>
      <w:r>
        <w:rPr>
          <w:rStyle w:val="22"/>
          <w:rFonts w:hint="eastAsia" w:ascii="宋体" w:hAnsi="宋体" w:cs="宋体"/>
          <w:b/>
          <w:i w:val="0"/>
          <w:color w:val="auto"/>
          <w:sz w:val="52"/>
          <w:highlight w:val="none"/>
        </w:rPr>
        <w:t>　</w:t>
      </w:r>
      <w:r>
        <w:rPr>
          <w:rStyle w:val="22"/>
          <w:rFonts w:hint="eastAsia" w:ascii="宋体" w:hAnsi="宋体" w:cs="宋体"/>
          <w:b/>
          <w:i w:val="0"/>
          <w:color w:val="auto"/>
          <w:sz w:val="84"/>
          <w:highlight w:val="none"/>
        </w:rPr>
        <w:t>标</w:t>
      </w:r>
      <w:r>
        <w:rPr>
          <w:rStyle w:val="22"/>
          <w:rFonts w:hint="eastAsia" w:ascii="宋体" w:hAnsi="宋体" w:cs="宋体"/>
          <w:b/>
          <w:i w:val="0"/>
          <w:color w:val="auto"/>
          <w:sz w:val="52"/>
          <w:highlight w:val="none"/>
        </w:rPr>
        <w:t>　</w:t>
      </w:r>
      <w:r>
        <w:rPr>
          <w:rStyle w:val="22"/>
          <w:rFonts w:hint="eastAsia" w:ascii="宋体" w:hAnsi="宋体" w:cs="宋体"/>
          <w:b/>
          <w:i w:val="0"/>
          <w:color w:val="auto"/>
          <w:sz w:val="84"/>
          <w:highlight w:val="none"/>
        </w:rPr>
        <w:t>文</w:t>
      </w:r>
      <w:r>
        <w:rPr>
          <w:rStyle w:val="22"/>
          <w:rFonts w:hint="eastAsia" w:ascii="宋体" w:hAnsi="宋体" w:cs="宋体"/>
          <w:b/>
          <w:i w:val="0"/>
          <w:color w:val="auto"/>
          <w:sz w:val="52"/>
          <w:highlight w:val="none"/>
        </w:rPr>
        <w:t>　</w:t>
      </w:r>
      <w:r>
        <w:rPr>
          <w:rStyle w:val="22"/>
          <w:rFonts w:hint="eastAsia" w:ascii="宋体" w:hAnsi="宋体" w:cs="宋体"/>
          <w:b/>
          <w:i w:val="0"/>
          <w:color w:val="auto"/>
          <w:sz w:val="84"/>
          <w:highlight w:val="none"/>
        </w:rPr>
        <w:t>件</w:t>
      </w:r>
      <w:bookmarkEnd w:id="1"/>
      <w:bookmarkEnd w:id="2"/>
    </w:p>
    <w:p>
      <w:pPr>
        <w:rPr>
          <w:rFonts w:ascii="宋体" w:hAnsi="宋体" w:cs="宋体"/>
          <w:b/>
          <w:color w:val="auto"/>
          <w:sz w:val="32"/>
          <w:highlight w:val="none"/>
        </w:rPr>
      </w:pPr>
    </w:p>
    <w:p>
      <w:pPr>
        <w:rPr>
          <w:rFonts w:ascii="宋体" w:hAnsi="宋体" w:cs="宋体"/>
          <w:b/>
          <w:color w:val="auto"/>
          <w:sz w:val="32"/>
          <w:highlight w:val="none"/>
        </w:rPr>
      </w:pPr>
    </w:p>
    <w:p>
      <w:pPr>
        <w:ind w:firstLine="3213" w:firstLineChars="1000"/>
        <w:rPr>
          <w:rFonts w:ascii="宋体" w:hAnsi="宋体" w:cs="宋体"/>
          <w:b/>
          <w:color w:val="auto"/>
          <w:sz w:val="32"/>
          <w:highlight w:val="none"/>
        </w:rPr>
      </w:pPr>
    </w:p>
    <w:p>
      <w:pPr>
        <w:rPr>
          <w:rFonts w:ascii="宋体" w:hAnsi="宋体" w:cs="宋体"/>
          <w:b/>
          <w:color w:val="auto"/>
          <w:sz w:val="32"/>
          <w:highlight w:val="none"/>
        </w:rPr>
      </w:pPr>
    </w:p>
    <w:p>
      <w:pPr>
        <w:jc w:val="center"/>
        <w:rPr>
          <w:rFonts w:ascii="宋体" w:hAnsi="宋体" w:cs="宋体"/>
          <w:b/>
          <w:color w:val="auto"/>
          <w:sz w:val="32"/>
          <w:highlight w:val="none"/>
        </w:rPr>
      </w:pPr>
    </w:p>
    <w:p>
      <w:pPr>
        <w:jc w:val="center"/>
        <w:rPr>
          <w:rFonts w:ascii="宋体" w:hAnsi="宋体" w:cs="宋体"/>
          <w:b/>
          <w:color w:val="auto"/>
          <w:sz w:val="32"/>
          <w:highlight w:val="none"/>
        </w:rPr>
      </w:pPr>
    </w:p>
    <w:p>
      <w:pPr>
        <w:snapToGrid w:val="0"/>
        <w:spacing w:line="360" w:lineRule="auto"/>
        <w:ind w:firstLine="1661" w:firstLineChars="591"/>
        <w:rPr>
          <w:rFonts w:ascii="宋体" w:hAnsi="宋体" w:cs="宋体"/>
          <w:b/>
          <w:color w:val="auto"/>
          <w:sz w:val="28"/>
          <w:highlight w:val="none"/>
        </w:rPr>
      </w:pPr>
    </w:p>
    <w:p>
      <w:pPr>
        <w:snapToGrid w:val="0"/>
        <w:spacing w:line="360" w:lineRule="auto"/>
        <w:ind w:firstLine="1661" w:firstLineChars="591"/>
        <w:rPr>
          <w:rFonts w:ascii="宋体" w:hAnsi="宋体" w:cs="宋体"/>
          <w:b/>
          <w:color w:val="auto"/>
          <w:sz w:val="28"/>
          <w:highlight w:val="none"/>
        </w:rPr>
      </w:pPr>
    </w:p>
    <w:p>
      <w:pPr>
        <w:snapToGrid w:val="0"/>
        <w:spacing w:line="360" w:lineRule="auto"/>
        <w:ind w:firstLine="1942" w:firstLineChars="691"/>
        <w:rPr>
          <w:rFonts w:hint="eastAsia" w:ascii="宋体" w:hAnsi="宋体" w:eastAsia="宋体" w:cs="宋体"/>
          <w:b/>
          <w:bCs/>
          <w:color w:val="auto"/>
          <w:sz w:val="28"/>
          <w:highlight w:val="none"/>
          <w:lang w:eastAsia="zh-CN"/>
        </w:rPr>
      </w:pPr>
      <w:r>
        <w:rPr>
          <w:rFonts w:hint="eastAsia" w:ascii="宋体" w:hAnsi="宋体" w:cs="宋体"/>
          <w:b/>
          <w:color w:val="auto"/>
          <w:sz w:val="28"/>
          <w:highlight w:val="none"/>
        </w:rPr>
        <w:t>招 标 人：</w:t>
      </w:r>
      <w:r>
        <w:rPr>
          <w:rFonts w:hint="eastAsia" w:ascii="宋体" w:hAnsi="宋体" w:cs="宋体"/>
          <w:b/>
          <w:bCs/>
          <w:color w:val="auto"/>
          <w:sz w:val="28"/>
          <w:highlight w:val="none"/>
          <w:lang w:eastAsia="zh-CN"/>
        </w:rPr>
        <w:t>科学城（广州）发展集团有限公司</w:t>
      </w:r>
    </w:p>
    <w:p>
      <w:pPr>
        <w:snapToGrid w:val="0"/>
        <w:spacing w:line="360" w:lineRule="auto"/>
        <w:ind w:firstLine="1968" w:firstLineChars="700"/>
        <w:jc w:val="both"/>
        <w:rPr>
          <w:rFonts w:hint="eastAsia" w:ascii="宋体" w:hAnsi="宋体" w:eastAsia="宋体" w:cs="宋体"/>
          <w:b/>
          <w:color w:val="auto"/>
          <w:sz w:val="28"/>
          <w:highlight w:val="none"/>
          <w:lang w:eastAsia="zh-CN"/>
        </w:rPr>
      </w:pPr>
      <w:r>
        <w:rPr>
          <w:rFonts w:hint="eastAsia" w:ascii="宋体" w:hAnsi="宋体" w:cs="宋体"/>
          <w:b/>
          <w:color w:val="auto"/>
          <w:sz w:val="28"/>
          <w:highlight w:val="none"/>
        </w:rPr>
        <w:t>招标代理机构：</w:t>
      </w:r>
      <w:r>
        <w:rPr>
          <w:rFonts w:hint="eastAsia" w:ascii="宋体" w:hAnsi="宋体" w:cs="宋体"/>
          <w:b/>
          <w:color w:val="auto"/>
          <w:sz w:val="28"/>
          <w:highlight w:val="none"/>
          <w:lang w:val="en-US" w:eastAsia="zh-CN"/>
        </w:rPr>
        <w:t>广东粤能工程管理有限公司</w:t>
      </w:r>
    </w:p>
    <w:p>
      <w:pPr>
        <w:snapToGrid w:val="0"/>
        <w:spacing w:line="360" w:lineRule="auto"/>
        <w:jc w:val="center"/>
        <w:rPr>
          <w:rFonts w:ascii="宋体" w:hAnsi="宋体" w:cs="宋体"/>
          <w:b/>
          <w:color w:val="auto"/>
          <w:sz w:val="28"/>
          <w:highlight w:val="none"/>
        </w:rPr>
      </w:pPr>
      <w:r>
        <w:rPr>
          <w:rFonts w:hint="eastAsia" w:ascii="宋体" w:hAnsi="宋体" w:cs="宋体"/>
          <w:b/>
          <w:color w:val="auto"/>
          <w:sz w:val="28"/>
          <w:highlight w:val="none"/>
        </w:rPr>
        <w:t>2025年</w:t>
      </w:r>
      <w:r>
        <w:rPr>
          <w:rFonts w:hint="eastAsia" w:ascii="宋体" w:hAnsi="宋体" w:cs="宋体"/>
          <w:b/>
          <w:color w:val="auto"/>
          <w:sz w:val="28"/>
          <w:highlight w:val="none"/>
          <w:lang w:val="en-US" w:eastAsia="zh-CN"/>
        </w:rPr>
        <w:t>11</w:t>
      </w:r>
      <w:r>
        <w:rPr>
          <w:rFonts w:hint="eastAsia" w:ascii="宋体" w:hAnsi="宋体" w:cs="宋体"/>
          <w:b/>
          <w:color w:val="auto"/>
          <w:sz w:val="28"/>
          <w:highlight w:val="none"/>
        </w:rPr>
        <w:t>月</w:t>
      </w:r>
    </w:p>
    <w:p>
      <w:pPr>
        <w:snapToGrid w:val="0"/>
        <w:spacing w:line="360" w:lineRule="auto"/>
        <w:ind w:firstLine="1661" w:firstLineChars="591"/>
        <w:rPr>
          <w:rFonts w:ascii="宋体" w:hAnsi="宋体" w:cs="宋体"/>
          <w:b/>
          <w:color w:val="auto"/>
          <w:sz w:val="28"/>
          <w:highlight w:val="none"/>
        </w:rPr>
        <w:sectPr>
          <w:headerReference r:id="rId3" w:type="default"/>
          <w:footerReference r:id="rId4" w:type="default"/>
          <w:pgSz w:w="11906" w:h="16838"/>
          <w:pgMar w:top="1417" w:right="1417" w:bottom="1417" w:left="1417" w:header="850" w:footer="992" w:gutter="0"/>
          <w:pgNumType w:start="1"/>
          <w:cols w:space="720" w:num="1"/>
          <w:docGrid w:linePitch="285" w:charSpace="0"/>
        </w:sectPr>
      </w:pP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目  录</w:t>
      </w:r>
    </w:p>
    <w:p>
      <w:pPr>
        <w:pStyle w:val="16"/>
        <w:tabs>
          <w:tab w:val="right" w:leader="dot" w:pos="9072"/>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"1-3"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_Toc6514 </w:instrText>
      </w:r>
      <w:r>
        <w:rPr>
          <w:rFonts w:hint="eastAsia" w:ascii="宋体" w:hAnsi="宋体" w:cs="宋体"/>
          <w:color w:val="auto"/>
          <w:highlight w:val="none"/>
        </w:rPr>
        <w:fldChar w:fldCharType="separate"/>
      </w:r>
      <w:r>
        <w:rPr>
          <w:rFonts w:hint="eastAsia" w:ascii="宋体" w:hAnsi="宋体" w:eastAsia="宋体" w:cs="宋体"/>
          <w:color w:val="auto"/>
          <w:kern w:val="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_Toc6514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pPr>
        <w:pStyle w:val="16"/>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_Toc9566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_Toc28672 </w:instrText>
      </w:r>
      <w:r>
        <w:rPr>
          <w:rFonts w:hint="eastAsia" w:ascii="宋体" w:hAnsi="宋体" w:eastAsia="宋体" w:cs="宋体"/>
          <w:color w:val="auto"/>
          <w:highlight w:val="none"/>
        </w:rPr>
        <w:fldChar w:fldCharType="separate"/>
      </w:r>
      <w:r>
        <w:rPr>
          <w:rFonts w:hint="eastAsia" w:ascii="宋体" w:hAnsi="宋体" w:cs="宋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_Toc28672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_Toc5720 </w:instrText>
      </w:r>
      <w:r>
        <w:rPr>
          <w:rFonts w:hint="eastAsia" w:ascii="宋体" w:hAnsi="宋体" w:eastAsia="宋体" w:cs="宋体"/>
          <w:color w:val="auto"/>
          <w:highlight w:val="none"/>
        </w:rPr>
        <w:fldChar w:fldCharType="separate"/>
      </w:r>
      <w:r>
        <w:rPr>
          <w:rFonts w:hint="eastAsia" w:ascii="宋体" w:hAnsi="宋体" w:cs="宋体"/>
          <w:color w:val="auto"/>
          <w:kern w:val="21"/>
          <w:szCs w:val="30"/>
          <w:highlight w:val="none"/>
        </w:rPr>
        <w:t>1. 总则</w:t>
      </w:r>
      <w:r>
        <w:rPr>
          <w:color w:val="auto"/>
          <w:highlight w:val="none"/>
        </w:rPr>
        <w:tab/>
      </w:r>
      <w:r>
        <w:rPr>
          <w:color w:val="auto"/>
          <w:highlight w:val="none"/>
        </w:rPr>
        <w:fldChar w:fldCharType="begin"/>
      </w:r>
      <w:r>
        <w:rPr>
          <w:color w:val="auto"/>
          <w:highlight w:val="none"/>
        </w:rPr>
        <w:instrText xml:space="preserve"> PAGEREF _Toc5720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_Toc23618 </w:instrText>
      </w:r>
      <w:r>
        <w:rPr>
          <w:rFonts w:hint="eastAsia" w:ascii="宋体" w:hAnsi="宋体" w:eastAsia="宋体" w:cs="宋体"/>
          <w:color w:val="auto"/>
          <w:highlight w:val="none"/>
        </w:rPr>
        <w:fldChar w:fldCharType="separate"/>
      </w:r>
      <w:r>
        <w:rPr>
          <w:rFonts w:hint="eastAsia" w:ascii="宋体" w:hAnsi="宋体" w:cs="宋体"/>
          <w:color w:val="auto"/>
          <w:kern w:val="21"/>
          <w:szCs w:val="30"/>
          <w:highlight w:val="none"/>
        </w:rPr>
        <w:t>2. 招标文件</w:t>
      </w:r>
      <w:r>
        <w:rPr>
          <w:color w:val="auto"/>
          <w:highlight w:val="none"/>
        </w:rPr>
        <w:tab/>
      </w:r>
      <w:r>
        <w:rPr>
          <w:color w:val="auto"/>
          <w:highlight w:val="none"/>
        </w:rPr>
        <w:fldChar w:fldCharType="begin"/>
      </w:r>
      <w:r>
        <w:rPr>
          <w:color w:val="auto"/>
          <w:highlight w:val="none"/>
        </w:rPr>
        <w:instrText xml:space="preserve"> PAGEREF _Toc23618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_Toc15518 </w:instrText>
      </w:r>
      <w:r>
        <w:rPr>
          <w:rFonts w:hint="eastAsia" w:ascii="宋体" w:hAnsi="宋体" w:eastAsia="宋体" w:cs="宋体"/>
          <w:color w:val="auto"/>
          <w:highlight w:val="none"/>
        </w:rPr>
        <w:fldChar w:fldCharType="separate"/>
      </w:r>
      <w:r>
        <w:rPr>
          <w:rFonts w:hint="eastAsia" w:ascii="宋体" w:hAnsi="宋体" w:cs="宋体"/>
          <w:color w:val="auto"/>
          <w:kern w:val="21"/>
          <w:szCs w:val="30"/>
          <w:highlight w:val="none"/>
        </w:rPr>
        <w:t>3. 投标文件</w:t>
      </w:r>
      <w:r>
        <w:rPr>
          <w:color w:val="auto"/>
          <w:highlight w:val="none"/>
        </w:rPr>
        <w:tab/>
      </w:r>
      <w:r>
        <w:rPr>
          <w:color w:val="auto"/>
          <w:highlight w:val="none"/>
        </w:rPr>
        <w:fldChar w:fldCharType="begin"/>
      </w:r>
      <w:r>
        <w:rPr>
          <w:color w:val="auto"/>
          <w:highlight w:val="none"/>
        </w:rPr>
        <w:instrText xml:space="preserve"> PAGEREF _Toc15518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_Toc11890 </w:instrText>
      </w:r>
      <w:r>
        <w:rPr>
          <w:rFonts w:hint="eastAsia" w:ascii="宋体" w:hAnsi="宋体" w:eastAsia="宋体" w:cs="宋体"/>
          <w:color w:val="auto"/>
          <w:highlight w:val="none"/>
        </w:rPr>
        <w:fldChar w:fldCharType="separate"/>
      </w:r>
      <w:r>
        <w:rPr>
          <w:rFonts w:hint="eastAsia" w:ascii="宋体" w:hAnsi="宋体" w:cs="宋体"/>
          <w:color w:val="auto"/>
          <w:kern w:val="21"/>
          <w:szCs w:val="30"/>
          <w:highlight w:val="none"/>
        </w:rPr>
        <w:t>4. 投标</w:t>
      </w:r>
      <w:r>
        <w:rPr>
          <w:color w:val="auto"/>
          <w:highlight w:val="none"/>
        </w:rPr>
        <w:tab/>
      </w:r>
      <w:r>
        <w:rPr>
          <w:color w:val="auto"/>
          <w:highlight w:val="none"/>
        </w:rPr>
        <w:fldChar w:fldCharType="begin"/>
      </w:r>
      <w:r>
        <w:rPr>
          <w:color w:val="auto"/>
          <w:highlight w:val="none"/>
        </w:rPr>
        <w:instrText xml:space="preserve"> PAGEREF _Toc11890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_Toc25778 </w:instrText>
      </w:r>
      <w:r>
        <w:rPr>
          <w:rFonts w:hint="eastAsia" w:ascii="宋体" w:hAnsi="宋体" w:eastAsia="宋体" w:cs="宋体"/>
          <w:color w:val="auto"/>
          <w:highlight w:val="none"/>
        </w:rPr>
        <w:fldChar w:fldCharType="separate"/>
      </w:r>
      <w:r>
        <w:rPr>
          <w:rFonts w:hint="eastAsia" w:ascii="宋体" w:hAnsi="宋体" w:cs="宋体"/>
          <w:color w:val="auto"/>
          <w:kern w:val="21"/>
          <w:szCs w:val="30"/>
          <w:highlight w:val="none"/>
        </w:rPr>
        <w:t>5. 开标</w:t>
      </w:r>
      <w:r>
        <w:rPr>
          <w:color w:val="auto"/>
          <w:highlight w:val="none"/>
        </w:rPr>
        <w:tab/>
      </w:r>
      <w:r>
        <w:rPr>
          <w:color w:val="auto"/>
          <w:highlight w:val="none"/>
        </w:rPr>
        <w:fldChar w:fldCharType="begin"/>
      </w:r>
      <w:r>
        <w:rPr>
          <w:color w:val="auto"/>
          <w:highlight w:val="none"/>
        </w:rPr>
        <w:instrText xml:space="preserve"> PAGEREF _Toc25778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_Toc4458 </w:instrText>
      </w:r>
      <w:r>
        <w:rPr>
          <w:rFonts w:hint="eastAsia" w:ascii="宋体" w:hAnsi="宋体" w:eastAsia="宋体" w:cs="宋体"/>
          <w:color w:val="auto"/>
          <w:highlight w:val="none"/>
        </w:rPr>
        <w:fldChar w:fldCharType="separate"/>
      </w:r>
      <w:r>
        <w:rPr>
          <w:rFonts w:hint="eastAsia" w:ascii="宋体" w:hAnsi="宋体" w:cs="宋体"/>
          <w:color w:val="auto"/>
          <w:kern w:val="21"/>
          <w:szCs w:val="30"/>
          <w:highlight w:val="none"/>
        </w:rPr>
        <w:t>6. 评标</w:t>
      </w:r>
      <w:r>
        <w:rPr>
          <w:color w:val="auto"/>
          <w:highlight w:val="none"/>
        </w:rPr>
        <w:tab/>
      </w:r>
      <w:r>
        <w:rPr>
          <w:color w:val="auto"/>
          <w:highlight w:val="none"/>
        </w:rPr>
        <w:fldChar w:fldCharType="begin"/>
      </w:r>
      <w:r>
        <w:rPr>
          <w:color w:val="auto"/>
          <w:highlight w:val="none"/>
        </w:rPr>
        <w:instrText xml:space="preserve"> PAGEREF _Toc4458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_Toc1224 </w:instrText>
      </w:r>
      <w:r>
        <w:rPr>
          <w:rFonts w:hint="eastAsia" w:ascii="宋体" w:hAnsi="宋体" w:eastAsia="宋体" w:cs="宋体"/>
          <w:color w:val="auto"/>
          <w:highlight w:val="none"/>
        </w:rPr>
        <w:fldChar w:fldCharType="separate"/>
      </w:r>
      <w:r>
        <w:rPr>
          <w:rFonts w:hint="eastAsia" w:ascii="宋体" w:hAnsi="宋体" w:cs="宋体"/>
          <w:color w:val="auto"/>
          <w:kern w:val="21"/>
          <w:szCs w:val="30"/>
          <w:highlight w:val="none"/>
        </w:rPr>
        <w:t>7. 合同授予</w:t>
      </w:r>
      <w:r>
        <w:rPr>
          <w:color w:val="auto"/>
          <w:highlight w:val="none"/>
        </w:rPr>
        <w:tab/>
      </w:r>
      <w:r>
        <w:rPr>
          <w:color w:val="auto"/>
          <w:highlight w:val="none"/>
        </w:rPr>
        <w:fldChar w:fldCharType="begin"/>
      </w:r>
      <w:r>
        <w:rPr>
          <w:color w:val="auto"/>
          <w:highlight w:val="none"/>
        </w:rPr>
        <w:instrText xml:space="preserve"> PAGEREF _Toc1224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_Toc17999 </w:instrText>
      </w:r>
      <w:r>
        <w:rPr>
          <w:rFonts w:hint="eastAsia" w:ascii="宋体" w:hAnsi="宋体" w:eastAsia="宋体" w:cs="宋体"/>
          <w:color w:val="auto"/>
          <w:highlight w:val="none"/>
        </w:rPr>
        <w:fldChar w:fldCharType="separate"/>
      </w:r>
      <w:r>
        <w:rPr>
          <w:rFonts w:hint="eastAsia" w:ascii="宋体" w:hAnsi="宋体" w:cs="宋体"/>
          <w:color w:val="auto"/>
          <w:kern w:val="21"/>
          <w:szCs w:val="30"/>
          <w:highlight w:val="none"/>
        </w:rPr>
        <w:t>8.纪律和监督</w:t>
      </w:r>
      <w:r>
        <w:rPr>
          <w:color w:val="auto"/>
          <w:highlight w:val="none"/>
        </w:rPr>
        <w:tab/>
      </w:r>
      <w:r>
        <w:rPr>
          <w:color w:val="auto"/>
          <w:highlight w:val="none"/>
        </w:rPr>
        <w:fldChar w:fldCharType="begin"/>
      </w:r>
      <w:r>
        <w:rPr>
          <w:color w:val="auto"/>
          <w:highlight w:val="none"/>
        </w:rPr>
        <w:instrText xml:space="preserve"> PAGEREF _Toc17999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_Toc22083 </w:instrText>
      </w:r>
      <w:r>
        <w:rPr>
          <w:rFonts w:hint="eastAsia" w:ascii="宋体" w:hAnsi="宋体" w:eastAsia="宋体" w:cs="宋体"/>
          <w:color w:val="auto"/>
          <w:highlight w:val="none"/>
        </w:rPr>
        <w:fldChar w:fldCharType="separate"/>
      </w:r>
      <w:r>
        <w:rPr>
          <w:rFonts w:hint="eastAsia" w:ascii="宋体" w:hAnsi="宋体" w:cs="宋体"/>
          <w:color w:val="auto"/>
          <w:kern w:val="21"/>
          <w:szCs w:val="30"/>
          <w:highlight w:val="none"/>
        </w:rPr>
        <w:t>9. 是否采用电子招标投标</w:t>
      </w:r>
      <w:r>
        <w:rPr>
          <w:color w:val="auto"/>
          <w:highlight w:val="none"/>
        </w:rPr>
        <w:tab/>
      </w:r>
      <w:r>
        <w:rPr>
          <w:color w:val="auto"/>
          <w:highlight w:val="none"/>
        </w:rPr>
        <w:fldChar w:fldCharType="begin"/>
      </w:r>
      <w:r>
        <w:rPr>
          <w:color w:val="auto"/>
          <w:highlight w:val="none"/>
        </w:rPr>
        <w:instrText xml:space="preserve"> PAGEREF _Toc22083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_Toc29315 </w:instrText>
      </w:r>
      <w:r>
        <w:rPr>
          <w:rFonts w:hint="eastAsia" w:ascii="宋体" w:hAnsi="宋体" w:eastAsia="宋体" w:cs="宋体"/>
          <w:color w:val="auto"/>
          <w:highlight w:val="none"/>
        </w:rPr>
        <w:fldChar w:fldCharType="separate"/>
      </w:r>
      <w:r>
        <w:rPr>
          <w:rFonts w:hint="eastAsia" w:ascii="宋体" w:hAnsi="宋体" w:cs="宋体"/>
          <w:color w:val="auto"/>
          <w:kern w:val="21"/>
          <w:szCs w:val="30"/>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_Toc29315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_Toc7263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_Toc7263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_Toc14886 </w:instrText>
      </w:r>
      <w:r>
        <w:rPr>
          <w:rFonts w:hint="eastAsia" w:ascii="宋体" w:hAnsi="宋体" w:eastAsia="宋体" w:cs="宋体"/>
          <w:color w:val="auto"/>
          <w:highlight w:val="none"/>
        </w:rPr>
        <w:fldChar w:fldCharType="separate"/>
      </w:r>
      <w:r>
        <w:rPr>
          <w:rFonts w:hint="eastAsia" w:ascii="宋体" w:hAnsi="宋体" w:cs="宋体"/>
          <w:bCs/>
          <w:color w:val="auto"/>
          <w:szCs w:val="30"/>
          <w:highlight w:val="none"/>
        </w:rPr>
        <w:t>1.评标方法</w:t>
      </w:r>
      <w:r>
        <w:rPr>
          <w:color w:val="auto"/>
          <w:highlight w:val="none"/>
        </w:rPr>
        <w:tab/>
      </w:r>
      <w:r>
        <w:rPr>
          <w:color w:val="auto"/>
          <w:highlight w:val="none"/>
        </w:rPr>
        <w:fldChar w:fldCharType="begin"/>
      </w:r>
      <w:r>
        <w:rPr>
          <w:color w:val="auto"/>
          <w:highlight w:val="none"/>
        </w:rPr>
        <w:instrText xml:space="preserve"> PAGEREF _Toc14886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_Toc2348 </w:instrText>
      </w:r>
      <w:r>
        <w:rPr>
          <w:rFonts w:hint="eastAsia" w:ascii="宋体" w:hAnsi="宋体" w:eastAsia="宋体" w:cs="宋体"/>
          <w:color w:val="auto"/>
          <w:highlight w:val="none"/>
        </w:rPr>
        <w:fldChar w:fldCharType="separate"/>
      </w:r>
      <w:r>
        <w:rPr>
          <w:rFonts w:hint="eastAsia" w:ascii="宋体" w:hAnsi="宋体" w:cs="宋体"/>
          <w:bCs/>
          <w:color w:val="auto"/>
          <w:szCs w:val="30"/>
          <w:highlight w:val="none"/>
        </w:rPr>
        <w:t>2. 评审标准</w:t>
      </w:r>
      <w:r>
        <w:rPr>
          <w:color w:val="auto"/>
          <w:highlight w:val="none"/>
        </w:rPr>
        <w:tab/>
      </w:r>
      <w:r>
        <w:rPr>
          <w:color w:val="auto"/>
          <w:highlight w:val="none"/>
        </w:rPr>
        <w:fldChar w:fldCharType="begin"/>
      </w:r>
      <w:r>
        <w:rPr>
          <w:color w:val="auto"/>
          <w:highlight w:val="none"/>
        </w:rPr>
        <w:instrText xml:space="preserve"> PAGEREF _Toc2348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_Toc29623 </w:instrText>
      </w:r>
      <w:r>
        <w:rPr>
          <w:rFonts w:hint="eastAsia" w:ascii="宋体" w:hAnsi="宋体" w:eastAsia="宋体" w:cs="宋体"/>
          <w:color w:val="auto"/>
          <w:highlight w:val="none"/>
        </w:rPr>
        <w:fldChar w:fldCharType="separate"/>
      </w:r>
      <w:r>
        <w:rPr>
          <w:rFonts w:hint="eastAsia" w:ascii="宋体" w:hAnsi="宋体" w:cs="宋体"/>
          <w:bCs w:val="0"/>
          <w:color w:val="auto"/>
          <w:szCs w:val="30"/>
          <w:highlight w:val="none"/>
        </w:rPr>
        <w:t>附表一：形式评审表</w:t>
      </w:r>
      <w:r>
        <w:rPr>
          <w:color w:val="auto"/>
          <w:highlight w:val="none"/>
        </w:rPr>
        <w:tab/>
      </w:r>
      <w:r>
        <w:rPr>
          <w:color w:val="auto"/>
          <w:highlight w:val="none"/>
        </w:rPr>
        <w:fldChar w:fldCharType="begin"/>
      </w:r>
      <w:r>
        <w:rPr>
          <w:color w:val="auto"/>
          <w:highlight w:val="none"/>
        </w:rPr>
        <w:instrText xml:space="preserve"> PAGEREF _Toc29623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_Toc31542 </w:instrText>
      </w:r>
      <w:r>
        <w:rPr>
          <w:rFonts w:hint="eastAsia" w:ascii="宋体" w:hAnsi="宋体" w:eastAsia="宋体" w:cs="宋体"/>
          <w:color w:val="auto"/>
          <w:highlight w:val="none"/>
        </w:rPr>
        <w:fldChar w:fldCharType="separate"/>
      </w:r>
      <w:r>
        <w:rPr>
          <w:rFonts w:hint="eastAsia" w:ascii="宋体" w:hAnsi="宋体" w:cs="宋体"/>
          <w:bCs w:val="0"/>
          <w:color w:val="auto"/>
          <w:szCs w:val="30"/>
          <w:highlight w:val="none"/>
        </w:rPr>
        <w:t>附表二：资格评审表</w:t>
      </w:r>
      <w:r>
        <w:rPr>
          <w:color w:val="auto"/>
          <w:highlight w:val="none"/>
        </w:rPr>
        <w:tab/>
      </w:r>
      <w:r>
        <w:rPr>
          <w:color w:val="auto"/>
          <w:highlight w:val="none"/>
        </w:rPr>
        <w:fldChar w:fldCharType="begin"/>
      </w:r>
      <w:r>
        <w:rPr>
          <w:color w:val="auto"/>
          <w:highlight w:val="none"/>
        </w:rPr>
        <w:instrText xml:space="preserve"> PAGEREF _Toc31542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_Toc25992 </w:instrText>
      </w:r>
      <w:r>
        <w:rPr>
          <w:rFonts w:hint="eastAsia" w:ascii="宋体" w:hAnsi="宋体" w:eastAsia="宋体" w:cs="宋体"/>
          <w:color w:val="auto"/>
          <w:highlight w:val="none"/>
        </w:rPr>
        <w:fldChar w:fldCharType="separate"/>
      </w:r>
      <w:r>
        <w:rPr>
          <w:rFonts w:hint="eastAsia" w:ascii="宋体" w:hAnsi="宋体" w:cs="宋体"/>
          <w:bCs w:val="0"/>
          <w:color w:val="auto"/>
          <w:szCs w:val="30"/>
          <w:highlight w:val="none"/>
        </w:rPr>
        <w:t>附表三：响应性评审表</w:t>
      </w:r>
      <w:r>
        <w:rPr>
          <w:color w:val="auto"/>
          <w:highlight w:val="none"/>
        </w:rPr>
        <w:tab/>
      </w:r>
      <w:r>
        <w:rPr>
          <w:color w:val="auto"/>
          <w:highlight w:val="none"/>
        </w:rPr>
        <w:fldChar w:fldCharType="begin"/>
      </w:r>
      <w:r>
        <w:rPr>
          <w:color w:val="auto"/>
          <w:highlight w:val="none"/>
        </w:rPr>
        <w:instrText xml:space="preserve"> PAGEREF _Toc25992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_Toc24975 </w:instrText>
      </w:r>
      <w:r>
        <w:rPr>
          <w:rFonts w:hint="eastAsia" w:ascii="宋体" w:hAnsi="宋体" w:eastAsia="宋体" w:cs="宋体"/>
          <w:color w:val="auto"/>
          <w:highlight w:val="none"/>
        </w:rPr>
        <w:fldChar w:fldCharType="separate"/>
      </w:r>
      <w:r>
        <w:rPr>
          <w:rFonts w:hint="eastAsia" w:ascii="宋体" w:hAnsi="宋体" w:cs="宋体"/>
          <w:bCs w:val="0"/>
          <w:color w:val="auto"/>
          <w:szCs w:val="30"/>
          <w:highlight w:val="none"/>
        </w:rPr>
        <w:t>附表四：监理综合评分表</w:t>
      </w:r>
      <w:r>
        <w:rPr>
          <w:color w:val="auto"/>
          <w:highlight w:val="none"/>
        </w:rPr>
        <w:tab/>
      </w:r>
      <w:r>
        <w:rPr>
          <w:color w:val="auto"/>
          <w:highlight w:val="none"/>
        </w:rPr>
        <w:fldChar w:fldCharType="begin"/>
      </w:r>
      <w:r>
        <w:rPr>
          <w:color w:val="auto"/>
          <w:highlight w:val="none"/>
        </w:rPr>
        <w:instrText xml:space="preserve"> PAGEREF _Toc24975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_Toc17456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_Toc17456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_Toc16669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_Toc16669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_Toc8472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_Toc8472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_Toc27986 </w:instrText>
      </w:r>
      <w:r>
        <w:rPr>
          <w:rFonts w:hint="eastAsia" w:ascii="宋体" w:hAnsi="宋体" w:eastAsia="宋体" w:cs="宋体"/>
          <w:color w:val="auto"/>
          <w:highlight w:val="none"/>
        </w:rPr>
        <w:fldChar w:fldCharType="separate"/>
      </w:r>
      <w:r>
        <w:rPr>
          <w:rFonts w:hint="eastAsia" w:ascii="宋体" w:hAnsi="宋体" w:cs="宋体"/>
          <w:bCs/>
          <w:color w:val="auto"/>
          <w:szCs w:val="30"/>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_Toc27986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_Toc13009 </w:instrText>
      </w:r>
      <w:r>
        <w:rPr>
          <w:rFonts w:hint="eastAsia" w:ascii="宋体" w:hAnsi="宋体" w:eastAsia="宋体" w:cs="宋体"/>
          <w:color w:val="auto"/>
          <w:highlight w:val="none"/>
        </w:rPr>
        <w:fldChar w:fldCharType="separate"/>
      </w:r>
      <w:r>
        <w:rPr>
          <w:rFonts w:hint="eastAsia" w:ascii="宋体" w:hAnsi="宋体" w:cs="宋体"/>
          <w:bCs/>
          <w:color w:val="auto"/>
          <w:szCs w:val="30"/>
          <w:highlight w:val="none"/>
        </w:rPr>
        <w:t>二、法定代表人身份证明书</w:t>
      </w:r>
      <w:r>
        <w:rPr>
          <w:color w:val="auto"/>
          <w:highlight w:val="none"/>
        </w:rPr>
        <w:tab/>
      </w:r>
      <w:r>
        <w:rPr>
          <w:color w:val="auto"/>
          <w:highlight w:val="none"/>
        </w:rPr>
        <w:fldChar w:fldCharType="begin"/>
      </w:r>
      <w:r>
        <w:rPr>
          <w:color w:val="auto"/>
          <w:highlight w:val="none"/>
        </w:rPr>
        <w:instrText xml:space="preserve"> PAGEREF _Toc13009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_Toc22463 </w:instrText>
      </w:r>
      <w:r>
        <w:rPr>
          <w:rFonts w:hint="eastAsia" w:ascii="宋体" w:hAnsi="宋体" w:eastAsia="宋体" w:cs="宋体"/>
          <w:color w:val="auto"/>
          <w:highlight w:val="none"/>
        </w:rPr>
        <w:fldChar w:fldCharType="separate"/>
      </w:r>
      <w:r>
        <w:rPr>
          <w:rFonts w:hint="eastAsia" w:ascii="宋体" w:hAnsi="宋体" w:cs="宋体"/>
          <w:bCs/>
          <w:color w:val="auto"/>
          <w:szCs w:val="30"/>
          <w:highlight w:val="none"/>
        </w:rPr>
        <w:t>三、投标保证金</w:t>
      </w:r>
      <w:r>
        <w:rPr>
          <w:color w:val="auto"/>
          <w:highlight w:val="none"/>
        </w:rPr>
        <w:tab/>
      </w:r>
      <w:r>
        <w:rPr>
          <w:color w:val="auto"/>
          <w:highlight w:val="none"/>
        </w:rPr>
        <w:fldChar w:fldCharType="begin"/>
      </w:r>
      <w:r>
        <w:rPr>
          <w:color w:val="auto"/>
          <w:highlight w:val="none"/>
        </w:rPr>
        <w:instrText xml:space="preserve"> PAGEREF _Toc22463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_Toc27874 </w:instrText>
      </w:r>
      <w:r>
        <w:rPr>
          <w:rFonts w:hint="eastAsia" w:ascii="宋体" w:hAnsi="宋体" w:eastAsia="宋体" w:cs="宋体"/>
          <w:color w:val="auto"/>
          <w:highlight w:val="none"/>
        </w:rPr>
        <w:fldChar w:fldCharType="separate"/>
      </w:r>
      <w:r>
        <w:rPr>
          <w:rFonts w:hint="eastAsia" w:ascii="宋体" w:hAnsi="宋体" w:cs="宋体"/>
          <w:bCs/>
          <w:color w:val="auto"/>
          <w:szCs w:val="30"/>
          <w:highlight w:val="none"/>
        </w:rPr>
        <w:t>四、监理报酬清单</w:t>
      </w:r>
      <w:r>
        <w:rPr>
          <w:color w:val="auto"/>
          <w:highlight w:val="none"/>
        </w:rPr>
        <w:tab/>
      </w:r>
      <w:r>
        <w:rPr>
          <w:color w:val="auto"/>
          <w:highlight w:val="none"/>
        </w:rPr>
        <w:fldChar w:fldCharType="begin"/>
      </w:r>
      <w:r>
        <w:rPr>
          <w:color w:val="auto"/>
          <w:highlight w:val="none"/>
        </w:rPr>
        <w:instrText xml:space="preserve"> PAGEREF _Toc27874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_Toc13600 </w:instrText>
      </w:r>
      <w:r>
        <w:rPr>
          <w:rFonts w:hint="eastAsia" w:ascii="宋体" w:hAnsi="宋体" w:eastAsia="宋体" w:cs="宋体"/>
          <w:color w:val="auto"/>
          <w:highlight w:val="none"/>
        </w:rPr>
        <w:fldChar w:fldCharType="separate"/>
      </w:r>
      <w:r>
        <w:rPr>
          <w:rFonts w:hint="eastAsia" w:ascii="宋体" w:hAnsi="宋体" w:cs="宋体"/>
          <w:color w:val="auto"/>
          <w:szCs w:val="36"/>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_Toc13600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_Toc27595 </w:instrText>
      </w:r>
      <w:r>
        <w:rPr>
          <w:rFonts w:hint="eastAsia" w:ascii="宋体" w:hAnsi="宋体" w:eastAsia="宋体" w:cs="宋体"/>
          <w:color w:val="auto"/>
          <w:highlight w:val="none"/>
        </w:rPr>
        <w:fldChar w:fldCharType="separate"/>
      </w:r>
      <w:r>
        <w:rPr>
          <w:rFonts w:hint="eastAsia" w:ascii="宋体" w:hAnsi="宋体" w:cs="宋体"/>
          <w:color w:val="auto"/>
          <w:szCs w:val="36"/>
          <w:highlight w:val="none"/>
        </w:rPr>
        <w:t>六、监理大纲</w:t>
      </w:r>
      <w:r>
        <w:rPr>
          <w:color w:val="auto"/>
          <w:highlight w:val="none"/>
        </w:rPr>
        <w:tab/>
      </w:r>
      <w:r>
        <w:rPr>
          <w:color w:val="auto"/>
          <w:highlight w:val="none"/>
        </w:rPr>
        <w:fldChar w:fldCharType="begin"/>
      </w:r>
      <w:r>
        <w:rPr>
          <w:color w:val="auto"/>
          <w:highlight w:val="none"/>
        </w:rPr>
        <w:instrText xml:space="preserve"> PAGEREF _Toc27595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_Toc5358 </w:instrText>
      </w:r>
      <w:r>
        <w:rPr>
          <w:rFonts w:hint="eastAsia" w:ascii="宋体" w:hAnsi="宋体" w:eastAsia="宋体" w:cs="宋体"/>
          <w:color w:val="auto"/>
          <w:highlight w:val="none"/>
        </w:rPr>
        <w:fldChar w:fldCharType="separate"/>
      </w:r>
      <w:r>
        <w:rPr>
          <w:rFonts w:hint="eastAsia" w:ascii="宋体" w:hAnsi="宋体" w:cs="宋体"/>
          <w:color w:val="auto"/>
          <w:szCs w:val="36"/>
          <w:highlight w:val="none"/>
        </w:rPr>
        <w:t>七、公司简介</w:t>
      </w:r>
      <w:r>
        <w:rPr>
          <w:color w:val="auto"/>
          <w:highlight w:val="none"/>
        </w:rPr>
        <w:tab/>
      </w:r>
      <w:r>
        <w:rPr>
          <w:color w:val="auto"/>
          <w:highlight w:val="none"/>
        </w:rPr>
        <w:fldChar w:fldCharType="begin"/>
      </w:r>
      <w:r>
        <w:rPr>
          <w:color w:val="auto"/>
          <w:highlight w:val="none"/>
        </w:rPr>
        <w:instrText xml:space="preserve"> PAGEREF _Toc5358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_Toc7857 </w:instrText>
      </w:r>
      <w:r>
        <w:rPr>
          <w:rFonts w:hint="eastAsia" w:ascii="宋体" w:hAnsi="宋体" w:eastAsia="宋体" w:cs="宋体"/>
          <w:color w:val="auto"/>
          <w:highlight w:val="none"/>
        </w:rPr>
        <w:fldChar w:fldCharType="separate"/>
      </w:r>
      <w:r>
        <w:rPr>
          <w:rFonts w:hint="eastAsia" w:ascii="宋体" w:hAnsi="宋体" w:cs="宋体"/>
          <w:color w:val="auto"/>
          <w:szCs w:val="36"/>
          <w:highlight w:val="none"/>
        </w:rPr>
        <w:t>八、标函承诺书</w:t>
      </w:r>
      <w:r>
        <w:rPr>
          <w:color w:val="auto"/>
          <w:highlight w:val="none"/>
        </w:rPr>
        <w:tab/>
      </w:r>
      <w:r>
        <w:rPr>
          <w:color w:val="auto"/>
          <w:highlight w:val="none"/>
        </w:rPr>
        <w:fldChar w:fldCharType="begin"/>
      </w:r>
      <w:r>
        <w:rPr>
          <w:color w:val="auto"/>
          <w:highlight w:val="none"/>
        </w:rPr>
        <w:instrText xml:space="preserve"> PAGEREF _Toc7857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_Toc16020 </w:instrText>
      </w:r>
      <w:r>
        <w:rPr>
          <w:rFonts w:hint="eastAsia" w:ascii="宋体" w:hAnsi="宋体" w:eastAsia="宋体" w:cs="宋体"/>
          <w:color w:val="auto"/>
          <w:highlight w:val="none"/>
        </w:rPr>
        <w:fldChar w:fldCharType="separate"/>
      </w:r>
      <w:r>
        <w:rPr>
          <w:rFonts w:hint="eastAsia" w:ascii="宋体" w:cs="宋体"/>
          <w:color w:val="auto"/>
          <w:szCs w:val="36"/>
          <w:highlight w:val="none"/>
        </w:rPr>
        <w:t>九、</w:t>
      </w:r>
      <w:r>
        <w:rPr>
          <w:rFonts w:hint="eastAsia" w:ascii="宋体" w:cs="宋体"/>
          <w:color w:val="auto"/>
          <w:szCs w:val="36"/>
          <w:highlight w:val="none"/>
          <w:lang w:eastAsia="zh-CN"/>
        </w:rPr>
        <w:t>项目总监履约承诺书</w:t>
      </w:r>
      <w:r>
        <w:rPr>
          <w:color w:val="auto"/>
          <w:highlight w:val="none"/>
        </w:rPr>
        <w:tab/>
      </w:r>
      <w:r>
        <w:rPr>
          <w:color w:val="auto"/>
          <w:highlight w:val="none"/>
        </w:rPr>
        <w:fldChar w:fldCharType="begin"/>
      </w:r>
      <w:r>
        <w:rPr>
          <w:color w:val="auto"/>
          <w:highlight w:val="none"/>
        </w:rPr>
        <w:instrText xml:space="preserve"> PAGEREF _Toc16020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_Toc338 </w:instrText>
      </w:r>
      <w:r>
        <w:rPr>
          <w:rFonts w:hint="eastAsia" w:ascii="宋体" w:hAnsi="宋体" w:eastAsia="宋体" w:cs="宋体"/>
          <w:color w:val="auto"/>
          <w:highlight w:val="none"/>
        </w:rPr>
        <w:fldChar w:fldCharType="separate"/>
      </w:r>
      <w:r>
        <w:rPr>
          <w:rFonts w:hint="eastAsia" w:ascii="宋体" w:cs="宋体"/>
          <w:color w:val="auto"/>
          <w:szCs w:val="36"/>
          <w:highlight w:val="none"/>
          <w:lang w:val="en-US" w:eastAsia="zh-CN"/>
        </w:rPr>
        <w:t>十</w:t>
      </w:r>
      <w:r>
        <w:rPr>
          <w:rFonts w:hint="eastAsia" w:ascii="宋体" w:cs="宋体"/>
          <w:color w:val="auto"/>
          <w:szCs w:val="36"/>
          <w:highlight w:val="none"/>
        </w:rPr>
        <w:t>、</w:t>
      </w:r>
      <w:r>
        <w:rPr>
          <w:rFonts w:hint="eastAsia" w:ascii="宋体" w:cs="宋体"/>
          <w:color w:val="auto"/>
          <w:szCs w:val="36"/>
          <w:highlight w:val="none"/>
          <w:lang w:val="en-US" w:eastAsia="zh-CN"/>
        </w:rPr>
        <w:t>总监代表履约承诺书</w:t>
      </w:r>
      <w:r>
        <w:rPr>
          <w:color w:val="auto"/>
          <w:highlight w:val="none"/>
        </w:rPr>
        <w:tab/>
      </w:r>
      <w:r>
        <w:rPr>
          <w:color w:val="auto"/>
          <w:highlight w:val="none"/>
        </w:rPr>
        <w:fldChar w:fldCharType="begin"/>
      </w:r>
      <w:r>
        <w:rPr>
          <w:color w:val="auto"/>
          <w:highlight w:val="none"/>
        </w:rPr>
        <w:instrText xml:space="preserve"> PAGEREF _Toc338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_Toc1044 </w:instrText>
      </w:r>
      <w:r>
        <w:rPr>
          <w:rFonts w:hint="eastAsia" w:ascii="宋体" w:hAnsi="宋体" w:eastAsia="宋体" w:cs="宋体"/>
          <w:color w:val="auto"/>
          <w:highlight w:val="none"/>
        </w:rPr>
        <w:fldChar w:fldCharType="separate"/>
      </w:r>
      <w:r>
        <w:rPr>
          <w:rFonts w:hint="eastAsia" w:ascii="宋体" w:hAnsi="宋体" w:cs="宋体"/>
          <w:color w:val="auto"/>
          <w:szCs w:val="36"/>
          <w:highlight w:val="none"/>
        </w:rPr>
        <w:t>十</w:t>
      </w:r>
      <w:r>
        <w:rPr>
          <w:rFonts w:hint="eastAsia" w:ascii="宋体" w:hAnsi="宋体" w:cs="宋体"/>
          <w:color w:val="auto"/>
          <w:szCs w:val="36"/>
          <w:highlight w:val="none"/>
          <w:lang w:val="en-US" w:eastAsia="zh-CN"/>
        </w:rPr>
        <w:t>一</w:t>
      </w:r>
      <w:r>
        <w:rPr>
          <w:rFonts w:hint="eastAsia" w:ascii="宋体" w:hAnsi="宋体" w:cs="宋体"/>
          <w:color w:val="auto"/>
          <w:szCs w:val="36"/>
          <w:highlight w:val="none"/>
        </w:rPr>
        <w:t>、项目监理机构配备情况</w:t>
      </w:r>
      <w:r>
        <w:rPr>
          <w:color w:val="auto"/>
          <w:highlight w:val="none"/>
        </w:rPr>
        <w:tab/>
      </w:r>
      <w:r>
        <w:rPr>
          <w:color w:val="auto"/>
          <w:highlight w:val="none"/>
        </w:rPr>
        <w:fldChar w:fldCharType="begin"/>
      </w:r>
      <w:r>
        <w:rPr>
          <w:color w:val="auto"/>
          <w:highlight w:val="none"/>
        </w:rPr>
        <w:instrText xml:space="preserve"> PAGEREF _Toc1044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_Toc17484 </w:instrText>
      </w:r>
      <w:r>
        <w:rPr>
          <w:rFonts w:hint="eastAsia" w:ascii="宋体" w:hAnsi="宋体" w:eastAsia="宋体" w:cs="宋体"/>
          <w:color w:val="auto"/>
          <w:highlight w:val="none"/>
        </w:rPr>
        <w:fldChar w:fldCharType="separate"/>
      </w:r>
      <w:r>
        <w:rPr>
          <w:rFonts w:hint="eastAsia" w:ascii="宋体" w:hAnsi="宋体" w:cs="宋体"/>
          <w:color w:val="auto"/>
          <w:szCs w:val="36"/>
          <w:highlight w:val="none"/>
        </w:rPr>
        <w:t>十</w:t>
      </w:r>
      <w:r>
        <w:rPr>
          <w:rFonts w:hint="eastAsia" w:ascii="宋体" w:hAnsi="宋体" w:cs="宋体"/>
          <w:color w:val="auto"/>
          <w:szCs w:val="36"/>
          <w:highlight w:val="none"/>
          <w:lang w:val="en-US" w:eastAsia="zh-CN"/>
        </w:rPr>
        <w:t>二</w:t>
      </w:r>
      <w:r>
        <w:rPr>
          <w:rFonts w:hint="eastAsia" w:ascii="宋体" w:hAnsi="宋体" w:cs="宋体"/>
          <w:color w:val="auto"/>
          <w:szCs w:val="36"/>
          <w:highlight w:val="none"/>
        </w:rPr>
        <w:t>、拟投入本项目的主要试验检测仪器设备</w:t>
      </w:r>
      <w:r>
        <w:rPr>
          <w:color w:val="auto"/>
          <w:highlight w:val="none"/>
        </w:rPr>
        <w:tab/>
      </w:r>
      <w:r>
        <w:rPr>
          <w:color w:val="auto"/>
          <w:highlight w:val="none"/>
        </w:rPr>
        <w:fldChar w:fldCharType="begin"/>
      </w:r>
      <w:r>
        <w:rPr>
          <w:color w:val="auto"/>
          <w:highlight w:val="none"/>
        </w:rPr>
        <w:instrText xml:space="preserve"> PAGEREF _Toc17484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_Toc28125 </w:instrText>
      </w:r>
      <w:r>
        <w:rPr>
          <w:rFonts w:hint="eastAsia" w:ascii="宋体" w:hAnsi="宋体" w:eastAsia="宋体" w:cs="宋体"/>
          <w:color w:val="auto"/>
          <w:highlight w:val="none"/>
        </w:rPr>
        <w:fldChar w:fldCharType="separate"/>
      </w:r>
      <w:r>
        <w:rPr>
          <w:rFonts w:hint="eastAsia" w:ascii="宋体" w:hAnsi="宋体" w:cs="宋体"/>
          <w:color w:val="auto"/>
          <w:szCs w:val="36"/>
          <w:highlight w:val="none"/>
        </w:rPr>
        <w:t>十</w:t>
      </w:r>
      <w:r>
        <w:rPr>
          <w:rFonts w:hint="eastAsia" w:ascii="宋体" w:hAnsi="宋体" w:cs="宋体"/>
          <w:color w:val="auto"/>
          <w:szCs w:val="36"/>
          <w:highlight w:val="none"/>
          <w:lang w:val="en-US" w:eastAsia="zh-CN"/>
        </w:rPr>
        <w:t>三</w:t>
      </w:r>
      <w:r>
        <w:rPr>
          <w:rFonts w:hint="eastAsia" w:ascii="宋体" w:hAnsi="宋体" w:cs="宋体"/>
          <w:color w:val="auto"/>
          <w:szCs w:val="36"/>
          <w:highlight w:val="none"/>
        </w:rPr>
        <w:t>、监理项目管理团队人员信息表</w:t>
      </w:r>
      <w:r>
        <w:rPr>
          <w:color w:val="auto"/>
          <w:highlight w:val="none"/>
        </w:rPr>
        <w:tab/>
      </w:r>
      <w:r>
        <w:rPr>
          <w:color w:val="auto"/>
          <w:highlight w:val="none"/>
        </w:rPr>
        <w:fldChar w:fldCharType="begin"/>
      </w:r>
      <w:r>
        <w:rPr>
          <w:color w:val="auto"/>
          <w:highlight w:val="none"/>
        </w:rPr>
        <w:instrText xml:space="preserve"> PAGEREF _Toc28125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color w:val="auto"/>
          <w:highlight w:val="none"/>
        </w:rPr>
        <w:fldChar w:fldCharType="end"/>
      </w:r>
    </w:p>
    <w:p>
      <w:pPr>
        <w:pStyle w:val="3"/>
        <w:spacing w:before="0" w:after="0" w:line="324" w:lineRule="auto"/>
        <w:jc w:val="center"/>
        <w:rPr>
          <w:rFonts w:ascii="宋体" w:hAnsi="宋体" w:eastAsia="宋体" w:cs="宋体"/>
          <w:color w:val="auto"/>
          <w:kern w:val="2"/>
          <w:highlight w:val="none"/>
        </w:rPr>
      </w:pPr>
      <w:r>
        <w:rPr>
          <w:rFonts w:hint="eastAsia" w:ascii="宋体" w:hAnsi="宋体" w:eastAsia="宋体" w:cs="宋体"/>
          <w:color w:val="auto"/>
          <w:highlight w:val="none"/>
        </w:rPr>
        <w:fldChar w:fldCharType="end"/>
      </w:r>
      <w:bookmarkStart w:id="3" w:name="_Toc11063"/>
      <w:bookmarkStart w:id="4" w:name="_Toc6514"/>
      <w:r>
        <w:rPr>
          <w:rFonts w:hint="eastAsia" w:ascii="宋体" w:hAnsi="宋体" w:eastAsia="宋体" w:cs="宋体"/>
          <w:b w:val="0"/>
          <w:color w:val="auto"/>
          <w:sz w:val="24"/>
          <w:highlight w:val="none"/>
        </w:rPr>
        <w:br w:type="page"/>
      </w:r>
      <w:bookmarkStart w:id="5" w:name="_Toc1036"/>
      <w:bookmarkStart w:id="6" w:name="_Toc29710"/>
      <w:bookmarkStart w:id="7" w:name="_Toc2170"/>
      <w:bookmarkStart w:id="8" w:name="_Toc18525"/>
      <w:bookmarkStart w:id="9" w:name="_Toc15928"/>
      <w:bookmarkStart w:id="10" w:name="_Toc28383"/>
      <w:bookmarkStart w:id="11" w:name="_Toc514170118"/>
      <w:bookmarkStart w:id="12" w:name="_Toc13962"/>
      <w:bookmarkStart w:id="13" w:name="_Toc9372"/>
      <w:bookmarkStart w:id="14" w:name="_Toc15227"/>
      <w:bookmarkStart w:id="15" w:name="_Toc3009"/>
      <w:bookmarkStart w:id="16" w:name="_Toc27059"/>
      <w:bookmarkStart w:id="17" w:name="_Toc29611"/>
      <w:bookmarkStart w:id="18" w:name="_Toc610"/>
      <w:bookmarkStart w:id="19" w:name="_Toc16720"/>
      <w:bookmarkStart w:id="20" w:name="_Toc22556"/>
      <w:r>
        <w:rPr>
          <w:rFonts w:hint="eastAsia" w:ascii="宋体" w:hAnsi="宋体" w:eastAsia="宋体" w:cs="宋体"/>
          <w:color w:val="auto"/>
          <w:kern w:val="2"/>
          <w:highlight w:val="none"/>
        </w:rPr>
        <w:t>第一章  招标公告</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spacing w:line="360" w:lineRule="auto"/>
        <w:ind w:right="482"/>
        <w:jc w:val="center"/>
        <w:rPr>
          <w:rFonts w:ascii="宋体" w:hAnsi="宋体" w:cs="宋体"/>
          <w:color w:val="auto"/>
          <w:highlight w:val="none"/>
        </w:rPr>
      </w:pPr>
      <w:r>
        <w:rPr>
          <w:rFonts w:hint="eastAsia" w:ascii="宋体" w:hAnsi="宋体" w:cs="宋体"/>
          <w:b/>
          <w:bCs/>
          <w:color w:val="auto"/>
          <w:sz w:val="30"/>
          <w:szCs w:val="30"/>
          <w:highlight w:val="none"/>
        </w:rPr>
        <w:t>另 册</w:t>
      </w:r>
    </w:p>
    <w:p>
      <w:pPr>
        <w:jc w:val="center"/>
        <w:rPr>
          <w:rFonts w:ascii="宋体" w:hAnsi="宋体" w:cs="宋体"/>
          <w:b/>
          <w:color w:val="auto"/>
          <w:sz w:val="24"/>
          <w:highlight w:val="none"/>
        </w:rPr>
        <w:sectPr>
          <w:footerReference r:id="rId5" w:type="default"/>
          <w:pgSz w:w="11906" w:h="16838"/>
          <w:pgMar w:top="1417" w:right="1417" w:bottom="1417" w:left="1417" w:header="850" w:footer="992" w:gutter="0"/>
          <w:pgNumType w:start="1"/>
          <w:cols w:space="720" w:num="1"/>
          <w:docGrid w:linePitch="285" w:charSpace="0"/>
        </w:sectPr>
      </w:pPr>
    </w:p>
    <w:p>
      <w:pPr>
        <w:pStyle w:val="3"/>
        <w:spacing w:before="0" w:after="0" w:line="360" w:lineRule="auto"/>
        <w:jc w:val="center"/>
        <w:rPr>
          <w:rFonts w:ascii="宋体" w:hAnsi="宋体" w:eastAsia="宋体" w:cs="宋体"/>
          <w:color w:val="auto"/>
          <w:highlight w:val="none"/>
        </w:rPr>
      </w:pPr>
      <w:bookmarkStart w:id="21" w:name="_Toc9935"/>
      <w:bookmarkStart w:id="22" w:name="_Toc30968"/>
      <w:bookmarkStart w:id="23" w:name="_Toc514170119"/>
      <w:bookmarkStart w:id="24" w:name="_Toc32596"/>
      <w:bookmarkStart w:id="25" w:name="_Toc16662"/>
      <w:bookmarkStart w:id="26" w:name="_Toc22940"/>
      <w:bookmarkStart w:id="27" w:name="_Toc14968"/>
      <w:bookmarkStart w:id="28" w:name="_Toc6425"/>
      <w:bookmarkStart w:id="29" w:name="_Toc26157"/>
      <w:bookmarkStart w:id="30" w:name="_Toc5915"/>
      <w:bookmarkStart w:id="31" w:name="_Toc31798"/>
      <w:bookmarkStart w:id="32" w:name="_Toc393961863"/>
      <w:bookmarkStart w:id="33" w:name="_Toc2429"/>
      <w:bookmarkStart w:id="34" w:name="_Toc7924"/>
      <w:bookmarkStart w:id="35" w:name="_Toc23927"/>
      <w:bookmarkStart w:id="36" w:name="_Toc15805"/>
      <w:bookmarkStart w:id="37" w:name="_Toc27380"/>
      <w:bookmarkStart w:id="38" w:name="_Toc174"/>
      <w:bookmarkStart w:id="39" w:name="_Toc31996"/>
      <w:bookmarkStart w:id="40" w:name="_Toc19352"/>
      <w:bookmarkStart w:id="41" w:name="_Toc9566"/>
      <w:r>
        <w:rPr>
          <w:rFonts w:hint="eastAsia" w:ascii="宋体" w:hAnsi="宋体" w:eastAsia="宋体" w:cs="宋体"/>
          <w:color w:val="auto"/>
          <w:highlight w:val="none"/>
        </w:rPr>
        <w:t>第二章  投标人须知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4"/>
        <w:jc w:val="center"/>
        <w:rPr>
          <w:rFonts w:ascii="宋体" w:hAnsi="宋体" w:cs="宋体"/>
          <w:color w:val="auto"/>
          <w:sz w:val="28"/>
          <w:szCs w:val="28"/>
          <w:highlight w:val="none"/>
        </w:rPr>
      </w:pPr>
      <w:bookmarkStart w:id="42" w:name="_Toc3786"/>
      <w:bookmarkStart w:id="43" w:name="_Toc393961864"/>
      <w:bookmarkStart w:id="44" w:name="_Toc32677"/>
      <w:bookmarkStart w:id="45" w:name="_Toc6808"/>
      <w:bookmarkStart w:id="46" w:name="_Toc5473"/>
      <w:bookmarkStart w:id="47" w:name="_Toc7336"/>
      <w:bookmarkStart w:id="48" w:name="_Toc16004"/>
      <w:bookmarkStart w:id="49" w:name="_Toc12460"/>
      <w:bookmarkStart w:id="50" w:name="_Toc7958"/>
      <w:bookmarkStart w:id="51" w:name="_Toc28341"/>
      <w:bookmarkStart w:id="52" w:name="_Toc28672"/>
      <w:bookmarkStart w:id="53" w:name="_Toc2375"/>
      <w:bookmarkStart w:id="54" w:name="_Toc24793"/>
      <w:bookmarkStart w:id="55" w:name="_Toc14233"/>
      <w:bookmarkStart w:id="56" w:name="_Toc15765"/>
      <w:bookmarkStart w:id="57" w:name="_Toc30655"/>
      <w:bookmarkStart w:id="58" w:name="_Toc20296"/>
      <w:bookmarkStart w:id="59" w:name="_Toc514170120"/>
      <w:bookmarkStart w:id="60" w:name="_Toc28946"/>
      <w:bookmarkStart w:id="61" w:name="_Toc27463"/>
      <w:r>
        <w:rPr>
          <w:rFonts w:hint="eastAsia" w:ascii="宋体" w:hAnsi="宋体" w:cs="宋体"/>
          <w:color w:val="auto"/>
          <w:sz w:val="28"/>
          <w:szCs w:val="28"/>
          <w:highlight w:val="none"/>
        </w:rPr>
        <w:t>投标人须知前附表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tbl>
      <w:tblPr>
        <w:tblStyle w:val="20"/>
        <w:tblW w:w="9434"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423"/>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24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条  款  名  称</w:t>
            </w:r>
          </w:p>
        </w:tc>
        <w:tc>
          <w:tcPr>
            <w:tcW w:w="574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招标人</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val="en-US" w:eastAsia="zh-CN"/>
              </w:rPr>
              <w:t>科学城（广州）发展集团有限公司</w:t>
            </w:r>
          </w:p>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广州市黄埔区开达路101号自编2号楼401</w:t>
            </w:r>
          </w:p>
          <w:p>
            <w:pPr>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薛工</w:t>
            </w:r>
          </w:p>
          <w:p>
            <w:pPr>
              <w:rPr>
                <w:rFonts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020-82111450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val="en-US" w:eastAsia="zh-CN"/>
              </w:rPr>
              <w:t>广东粤能工程管理有限公司</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广州市天河区华观路明旭街万科智慧商业广场B1-2栋402</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任</w:t>
            </w:r>
            <w:r>
              <w:rPr>
                <w:rFonts w:hint="eastAsia" w:ascii="宋体" w:hAnsi="宋体" w:cs="宋体"/>
                <w:color w:val="auto"/>
                <w:szCs w:val="21"/>
                <w:highlight w:val="none"/>
                <w:u w:val="single"/>
                <w:lang w:eastAsia="zh-CN"/>
              </w:rPr>
              <w:t>工</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020-38730932-8008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none"/>
                <w:lang w:eastAsia="zh-CN"/>
              </w:rPr>
              <w:t>汽车零部件产业园项目监理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项目建设地点</w:t>
            </w:r>
          </w:p>
        </w:tc>
        <w:tc>
          <w:tcPr>
            <w:tcW w:w="5746" w:type="dxa"/>
            <w:tcBorders>
              <w:top w:val="single" w:color="auto" w:sz="4" w:space="0"/>
              <w:left w:val="single" w:color="auto" w:sz="4" w:space="0"/>
              <w:bottom w:val="single" w:color="auto" w:sz="4" w:space="0"/>
              <w:right w:val="single" w:color="auto" w:sz="4" w:space="0"/>
            </w:tcBorders>
            <w:noWrap/>
            <w:vAlign w:val="center"/>
          </w:tcPr>
          <w:p>
            <w:pPr>
              <w:tabs>
                <w:tab w:val="left" w:pos="7513"/>
              </w:tabs>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1.1.6</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项目建设规模</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1.1.7</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工程项目施工预计开工日期和建设周期</w:t>
            </w:r>
          </w:p>
        </w:tc>
        <w:tc>
          <w:tcPr>
            <w:tcW w:w="5746"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left"/>
              <w:rPr>
                <w:color w:val="auto"/>
                <w:highlight w:val="none"/>
              </w:rPr>
            </w:pPr>
            <w:r>
              <w:rPr>
                <w:rFonts w:hint="eastAsia" w:ascii="宋体" w:hAnsi="宋体" w:cs="宋体"/>
                <w:color w:val="auto"/>
                <w:szCs w:val="21"/>
                <w:highlight w:val="none"/>
              </w:rPr>
              <w:t>施工工期为业主下达开工令或开工报告审批之日起按施工进度要求控制。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1.1.8</w:t>
            </w:r>
          </w:p>
        </w:tc>
        <w:tc>
          <w:tcPr>
            <w:tcW w:w="24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建筑安装工程费</w:t>
            </w:r>
          </w:p>
        </w:tc>
        <w:tc>
          <w:tcPr>
            <w:tcW w:w="5746" w:type="dxa"/>
            <w:tcBorders>
              <w:top w:val="single" w:color="auto" w:sz="4" w:space="0"/>
              <w:left w:val="single" w:color="auto" w:sz="4" w:space="0"/>
              <w:bottom w:val="single" w:color="auto" w:sz="4" w:space="0"/>
              <w:right w:val="single" w:color="auto" w:sz="4" w:space="0"/>
            </w:tcBorders>
            <w:noWrap/>
            <w:vAlign w:val="center"/>
          </w:tcPr>
          <w:p>
            <w:pPr>
              <w:tabs>
                <w:tab w:val="left" w:pos="7513"/>
              </w:tabs>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u w:val="single"/>
              </w:rPr>
            </w:pPr>
            <w:r>
              <w:rPr>
                <w:rFonts w:hint="eastAsia" w:ascii="宋体" w:hAnsi="宋体" w:cs="宋体"/>
                <w:color w:val="auto"/>
                <w:szCs w:val="21"/>
                <w:highlight w:val="none"/>
              </w:rPr>
              <w:t>企业自筹，比例</w:t>
            </w:r>
            <w:r>
              <w:rPr>
                <w:rFonts w:hint="eastAsia" w:ascii="宋体" w:hAnsi="宋体" w:cs="宋体"/>
                <w:color w:val="auto"/>
                <w:szCs w:val="21"/>
                <w:highlight w:val="none"/>
                <w:u w:val="single"/>
              </w:rPr>
              <w:t xml:space="preserve"> 100 </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招标范围</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监理服务期限</w:t>
            </w:r>
          </w:p>
        </w:tc>
        <w:tc>
          <w:tcPr>
            <w:tcW w:w="574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质量标准</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符合设计图纸要求和国家、省、市相关法律法规规定要求及行业颁发的工程质量合格标准。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投标人资质条件、能力、信誉</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（1）资质要求：见招标公告投标人资格要求。</w:t>
            </w:r>
          </w:p>
          <w:p>
            <w:pPr>
              <w:rPr>
                <w:rFonts w:ascii="宋体" w:hAnsi="宋体" w:cs="宋体"/>
                <w:color w:val="auto"/>
                <w:szCs w:val="21"/>
                <w:highlight w:val="none"/>
              </w:rPr>
            </w:pPr>
            <w:r>
              <w:rPr>
                <w:rFonts w:hint="eastAsia" w:ascii="宋体" w:hAnsi="宋体" w:cs="宋体"/>
                <w:color w:val="auto"/>
                <w:szCs w:val="21"/>
                <w:highlight w:val="none"/>
              </w:rPr>
              <w:t>（2）财务要求：/</w:t>
            </w:r>
          </w:p>
          <w:p>
            <w:pPr>
              <w:rPr>
                <w:rFonts w:ascii="宋体" w:hAnsi="宋体" w:cs="宋体"/>
                <w:color w:val="auto"/>
                <w:szCs w:val="21"/>
                <w:highlight w:val="none"/>
              </w:rPr>
            </w:pPr>
            <w:r>
              <w:rPr>
                <w:rFonts w:hint="eastAsia" w:ascii="宋体" w:hAnsi="宋体" w:cs="宋体"/>
                <w:color w:val="auto"/>
                <w:szCs w:val="21"/>
                <w:highlight w:val="none"/>
              </w:rPr>
              <w:t>（3）业绩要求：见招标公告投标人资格要求。</w:t>
            </w:r>
          </w:p>
          <w:p>
            <w:pPr>
              <w:rPr>
                <w:rFonts w:ascii="宋体" w:hAnsi="宋体" w:cs="宋体"/>
                <w:color w:val="auto"/>
                <w:szCs w:val="21"/>
                <w:highlight w:val="none"/>
              </w:rPr>
            </w:pPr>
            <w:r>
              <w:rPr>
                <w:rFonts w:hint="eastAsia" w:ascii="宋体" w:hAnsi="宋体" w:cs="宋体"/>
                <w:color w:val="auto"/>
                <w:szCs w:val="21"/>
                <w:highlight w:val="none"/>
              </w:rPr>
              <w:t>（4）信誉要求：/</w:t>
            </w:r>
          </w:p>
          <w:p>
            <w:pPr>
              <w:rPr>
                <w:rFonts w:ascii="宋体" w:hAnsi="宋体" w:cs="宋体"/>
                <w:color w:val="auto"/>
                <w:szCs w:val="21"/>
                <w:highlight w:val="none"/>
              </w:rPr>
            </w:pPr>
            <w:r>
              <w:rPr>
                <w:rFonts w:hint="eastAsia" w:ascii="宋体" w:hAnsi="宋体" w:cs="宋体"/>
                <w:color w:val="auto"/>
                <w:szCs w:val="21"/>
                <w:highlight w:val="none"/>
              </w:rPr>
              <w:t>（5）总监理工程师的资格要求：见招标公告投标人资格要求。</w:t>
            </w:r>
          </w:p>
          <w:p>
            <w:pPr>
              <w:rPr>
                <w:rFonts w:ascii="宋体" w:hAnsi="宋体" w:cs="宋体"/>
                <w:color w:val="auto"/>
                <w:szCs w:val="21"/>
                <w:highlight w:val="none"/>
              </w:rPr>
            </w:pPr>
            <w:r>
              <w:rPr>
                <w:rFonts w:hint="eastAsia" w:ascii="宋体" w:hAnsi="宋体" w:cs="宋体"/>
                <w:color w:val="auto"/>
                <w:szCs w:val="21"/>
                <w:highlight w:val="none"/>
              </w:rPr>
              <w:t>（6）其他主要人员要求：/</w:t>
            </w:r>
          </w:p>
          <w:p>
            <w:pPr>
              <w:rPr>
                <w:rFonts w:ascii="宋体" w:hAnsi="宋体" w:cs="宋体"/>
                <w:color w:val="auto"/>
                <w:szCs w:val="21"/>
                <w:highlight w:val="none"/>
              </w:rPr>
            </w:pPr>
            <w:r>
              <w:rPr>
                <w:rFonts w:hint="eastAsia" w:ascii="宋体" w:hAnsi="宋体" w:cs="宋体"/>
                <w:color w:val="auto"/>
                <w:szCs w:val="21"/>
                <w:highlight w:val="none"/>
              </w:rPr>
              <w:t>（7）试验检测仪器设备要求：/</w:t>
            </w:r>
          </w:p>
          <w:p>
            <w:pPr>
              <w:jc w:val="left"/>
              <w:rPr>
                <w:rFonts w:ascii="宋体" w:hAnsi="宋体" w:cs="宋体"/>
                <w:color w:val="auto"/>
                <w:szCs w:val="21"/>
                <w:highlight w:val="none"/>
              </w:rPr>
            </w:pPr>
            <w:r>
              <w:rPr>
                <w:rFonts w:hint="eastAsia" w:ascii="宋体" w:hAnsi="宋体" w:cs="宋体"/>
                <w:color w:val="auto"/>
                <w:szCs w:val="21"/>
                <w:highlight w:val="none"/>
              </w:rPr>
              <w:t>（8）其他要求：见招标公告投标人资格要求。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不接受</w:t>
            </w:r>
          </w:p>
          <w:p>
            <w:pPr>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接受，应满足下列要求：详见公告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1.4.3</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投标人不得存在的其他情形</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踏勘现场</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不组织，由投标人自行现场考察。</w:t>
            </w:r>
          </w:p>
          <w:p>
            <w:pPr>
              <w:rPr>
                <w:rFonts w:ascii="宋体" w:hAnsi="宋体" w:cs="宋体"/>
                <w:color w:val="auto"/>
                <w:szCs w:val="21"/>
                <w:highlight w:val="none"/>
              </w:rPr>
            </w:pPr>
            <w:r>
              <w:rPr>
                <w:rFonts w:hint="eastAsia" w:ascii="宋体" w:hAnsi="宋体" w:cs="宋体"/>
                <w:color w:val="auto"/>
                <w:szCs w:val="21"/>
                <w:highlight w:val="non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rPr>
                <w:rFonts w:ascii="宋体" w:hAnsi="宋体" w:cs="宋体"/>
                <w:color w:val="auto"/>
                <w:szCs w:val="21"/>
                <w:highlight w:val="none"/>
              </w:rPr>
            </w:pPr>
            <w:r>
              <w:rPr>
                <w:rFonts w:hint="eastAsia" w:ascii="宋体" w:hAnsi="宋体" w:cs="宋体"/>
                <w:color w:val="auto"/>
                <w:szCs w:val="21"/>
                <w:highlight w:val="non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pPr>
              <w:rPr>
                <w:rFonts w:ascii="宋体" w:hAnsi="宋体" w:cs="宋体"/>
                <w:color w:val="auto"/>
                <w:szCs w:val="21"/>
                <w:highlight w:val="none"/>
              </w:rPr>
            </w:pPr>
            <w:r>
              <w:rPr>
                <w:rFonts w:hint="eastAsia" w:ascii="宋体" w:hAnsi="宋体" w:cs="宋体"/>
                <w:color w:val="auto"/>
                <w:szCs w:val="21"/>
                <w:highlight w:val="none"/>
              </w:rPr>
              <w:t>3.由发包人提供的资料和数据，只是为了使投标人能够利用发包人现有的资料。发包人对投标人由此而作出的推论、解释和结论概不负责。</w:t>
            </w:r>
          </w:p>
          <w:p>
            <w:pPr>
              <w:rPr>
                <w:rFonts w:ascii="宋体" w:hAnsi="宋体" w:cs="宋体"/>
                <w:color w:val="auto"/>
                <w:szCs w:val="21"/>
                <w:highlight w:val="none"/>
              </w:rPr>
            </w:pPr>
            <w:r>
              <w:rPr>
                <w:rFonts w:hint="eastAsia" w:ascii="宋体" w:hAnsi="宋体" w:cs="宋体"/>
                <w:color w:val="auto"/>
                <w:szCs w:val="21"/>
                <w:highlight w:val="none"/>
              </w:rPr>
              <w:t>4.中标后，投标人不得以不清楚或未考虑现场实况为由而提出增加费用或延长工期的要求。</w:t>
            </w:r>
          </w:p>
          <w:p>
            <w:pPr>
              <w:rPr>
                <w:rFonts w:ascii="宋体" w:hAnsi="宋体" w:cs="宋体"/>
                <w:color w:val="auto"/>
                <w:szCs w:val="21"/>
                <w:highlight w:val="none"/>
              </w:rPr>
            </w:pPr>
            <w:r>
              <w:rPr>
                <w:rFonts w:hint="eastAsia" w:ascii="宋体" w:hAnsi="宋体" w:cs="宋体"/>
                <w:color w:val="auto"/>
                <w:szCs w:val="21"/>
                <w:highlight w:val="none"/>
              </w:rPr>
              <w:t>□组织，踏勘时间：  年  月  日</w:t>
            </w:r>
          </w:p>
          <w:p>
            <w:pPr>
              <w:rPr>
                <w:rFonts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投标预备会</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不召开</w:t>
            </w:r>
          </w:p>
          <w:p>
            <w:pPr>
              <w:rPr>
                <w:rFonts w:ascii="宋体" w:hAnsi="宋体" w:cs="宋体"/>
                <w:color w:val="auto"/>
                <w:szCs w:val="21"/>
                <w:highlight w:val="none"/>
              </w:rPr>
            </w:pPr>
            <w:r>
              <w:rPr>
                <w:rFonts w:hint="eastAsia" w:ascii="宋体" w:hAnsi="宋体" w:cs="宋体"/>
                <w:color w:val="auto"/>
                <w:szCs w:val="21"/>
                <w:highlight w:val="none"/>
              </w:rPr>
              <w:t>□召开，召开时间：  年  月  日</w:t>
            </w:r>
          </w:p>
          <w:p>
            <w:pPr>
              <w:rPr>
                <w:rFonts w:ascii="宋体" w:hAnsi="宋体" w:cs="宋体"/>
                <w:color w:val="auto"/>
                <w:szCs w:val="21"/>
                <w:highlight w:val="none"/>
              </w:rPr>
            </w:pPr>
            <w:r>
              <w:rPr>
                <w:rFonts w:hint="eastAsia" w:ascii="宋体" w:hAnsi="宋体" w:cs="宋体"/>
                <w:color w:val="auto"/>
                <w:szCs w:val="21"/>
                <w:highlight w:val="none"/>
              </w:rPr>
              <w:t>召开地点：</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  </w:t>
            </w:r>
          </w:p>
          <w:p>
            <w:pPr>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1.10.3</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olor w:val="auto"/>
                <w:szCs w:val="21"/>
                <w:highlight w:val="none"/>
              </w:rPr>
              <w:t>在广州交易集团有限公司（广州公共资源交易中心）官网</w:t>
            </w:r>
            <w:r>
              <w:rPr>
                <w:rFonts w:hint="eastAsia" w:ascii="宋体" w:hAnsi="宋体" w:cs="宋体"/>
                <w:color w:val="auto"/>
                <w:szCs w:val="21"/>
                <w:highlight w:val="none"/>
              </w:rPr>
              <w:t>首页-建设工程-项目查询（日程安排、答疑纪要）</w:t>
            </w:r>
            <w:r>
              <w:rPr>
                <w:rFonts w:hint="eastAsia" w:ascii="宋体" w:hAnsi="宋体"/>
                <w:color w:val="auto"/>
                <w:szCs w:val="21"/>
                <w:highlight w:val="none"/>
              </w:rPr>
              <w:t>专区发布，</w:t>
            </w:r>
            <w:r>
              <w:rPr>
                <w:rFonts w:hint="eastAsia" w:hAnsi="宋体"/>
                <w:color w:val="auto"/>
                <w:szCs w:val="21"/>
                <w:highlight w:val="none"/>
              </w:rPr>
              <w:t>一经在</w:t>
            </w:r>
            <w:r>
              <w:rPr>
                <w:rFonts w:hint="eastAsia" w:ascii="宋体" w:hAnsi="宋体"/>
                <w:color w:val="auto"/>
                <w:szCs w:val="21"/>
                <w:highlight w:val="none"/>
              </w:rPr>
              <w:t>广州交易集团有限公司（广州公共资源交易中心）官网</w:t>
            </w:r>
            <w:r>
              <w:rPr>
                <w:rFonts w:hint="eastAsia" w:hAnsi="宋体"/>
                <w:color w:val="auto"/>
                <w:szCs w:val="21"/>
                <w:highlight w:val="none"/>
              </w:rPr>
              <w:t>发布，视作已发放给所有投标人</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1.12.1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实质性要求和条件</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见第三章评审标准。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1.12.3</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偏差</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不允许</w:t>
            </w:r>
          </w:p>
          <w:p>
            <w:pPr>
              <w:rPr>
                <w:rFonts w:ascii="宋体" w:hAnsi="宋体" w:cs="宋体"/>
                <w:color w:val="auto"/>
                <w:szCs w:val="21"/>
                <w:highlight w:val="none"/>
              </w:rPr>
            </w:pPr>
            <w:r>
              <w:rPr>
                <w:rFonts w:hint="eastAsia" w:ascii="宋体" w:hAnsi="宋体" w:cs="宋体"/>
                <w:color w:val="auto"/>
                <w:szCs w:val="21"/>
                <w:highlight w:val="none"/>
              </w:rPr>
              <w:t>□允许，偏差范围：</w:t>
            </w:r>
          </w:p>
          <w:p>
            <w:pPr>
              <w:rPr>
                <w:rFonts w:ascii="宋体" w:hAnsi="宋体" w:cs="宋体"/>
                <w:color w:val="auto"/>
                <w:szCs w:val="21"/>
                <w:highlight w:val="none"/>
              </w:rPr>
            </w:pPr>
            <w:r>
              <w:rPr>
                <w:rFonts w:hint="eastAsia" w:ascii="宋体" w:hAnsi="宋体" w:cs="宋体"/>
                <w:color w:val="auto"/>
                <w:szCs w:val="21"/>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答疑纪要、澄清文件等（如有）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投标人要求澄清招标文件</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highlight w:val="none"/>
                <w:u w:val="single"/>
              </w:rPr>
            </w:pPr>
            <w:r>
              <w:rPr>
                <w:rFonts w:hint="eastAsia" w:ascii="宋体" w:hAnsi="宋体" w:cs="宋体"/>
                <w:color w:val="auto"/>
                <w:highlight w:val="none"/>
                <w:u w:val="single"/>
              </w:rPr>
              <w:t>投标人若对招标文件（包括招标控制价）有疑问的，可在规定的时间内通过广州交易集团有限公司（广州公共资源交易中心）官网将问题提交给招标人或招标代理人</w:t>
            </w:r>
            <w:r>
              <w:rPr>
                <w:rFonts w:hint="eastAsia"/>
                <w:color w:val="auto"/>
                <w:highlight w:val="none"/>
                <w:u w:val="single"/>
              </w:rPr>
              <w:t>，提交问题时一律不得署名</w:t>
            </w:r>
            <w:r>
              <w:rPr>
                <w:rFonts w:hint="eastAsia" w:ascii="宋体" w:hAnsi="宋体" w:cs="宋体"/>
                <w:color w:val="auto"/>
                <w:highlight w:val="none"/>
                <w:u w:val="single"/>
              </w:rPr>
              <w:t>。</w:t>
            </w:r>
          </w:p>
          <w:p>
            <w:pPr>
              <w:rPr>
                <w:rFonts w:ascii="宋体" w:hAnsi="宋体" w:cs="宋体"/>
                <w:color w:val="auto"/>
                <w:highlight w:val="none"/>
              </w:rPr>
            </w:pPr>
            <w:r>
              <w:rPr>
                <w:rFonts w:hint="eastAsia" w:ascii="宋体" w:hAnsi="宋体" w:cs="宋体"/>
                <w:color w:val="auto"/>
                <w:highlight w:val="none"/>
                <w:u w:val="single"/>
              </w:rPr>
              <w:t>网上答疑的操作指南为：登陆广州交易集团有限公司（广州公共资源交易中心）官网→进入“我是投标人”→进入“新建设工程交易平台”→进入“我的投标”→进入“招标答疑提问”→通过项目编号或名称找到所需的项目→在上述的答疑时间内点击“答疑提问”进入到提问区域→无记名或匿名提出问题。</w:t>
            </w:r>
          </w:p>
          <w:p>
            <w:pPr>
              <w:rPr>
                <w:rFonts w:ascii="宋体" w:hAnsi="宋体" w:cs="宋体"/>
                <w:color w:val="auto"/>
                <w:szCs w:val="21"/>
                <w:highlight w:val="none"/>
              </w:rPr>
            </w:pPr>
            <w:r>
              <w:rPr>
                <w:rFonts w:hint="eastAsia" w:ascii="宋体" w:hAnsi="宋体" w:cs="宋体"/>
                <w:color w:val="auto"/>
                <w:szCs w:val="21"/>
                <w:highlight w:val="none"/>
              </w:rPr>
              <w:t>1.形式：投标人疑问通过网上提交。</w:t>
            </w:r>
          </w:p>
          <w:p>
            <w:pPr>
              <w:rPr>
                <w:rFonts w:ascii="宋体" w:hAnsi="宋体" w:cs="宋体"/>
                <w:color w:val="auto"/>
                <w:szCs w:val="21"/>
                <w:highlight w:val="none"/>
              </w:rPr>
            </w:pPr>
            <w:r>
              <w:rPr>
                <w:rFonts w:hint="eastAsia" w:ascii="宋体" w:hAnsi="宋体" w:cs="宋体"/>
                <w:color w:val="auto"/>
                <w:szCs w:val="21"/>
                <w:highlight w:val="none"/>
              </w:rPr>
              <w:t>2.投标人应在投标截止时间18日前停止提问。招标人应在投标截止时间15日前解答投标人对招标文件提出的疑问，形成答疑纪要。投标人可直接从交易中心网站“项目查询（日程安排、答疑纪要）”专区进入，下载项目的答疑纪要；也可以登录交易中心数字交易平台“我是投标人（供应商）”→“我的投标项目”→“答疑纪要”。</w:t>
            </w:r>
          </w:p>
          <w:p>
            <w:pPr>
              <w:pStyle w:val="23"/>
              <w:rPr>
                <w:color w:val="auto"/>
                <w:highlight w:val="none"/>
              </w:rPr>
            </w:pPr>
            <w:r>
              <w:rPr>
                <w:rFonts w:hint="eastAsia" w:hAnsi="宋体" w:cs="宋体"/>
                <w:color w:val="auto"/>
                <w:kern w:val="2"/>
                <w:sz w:val="21"/>
                <w:szCs w:val="21"/>
                <w:highlight w:val="none"/>
              </w:rPr>
              <w:t>3.招标答疑纪要为招标文件的一部分。投标人可在广州交易集团有限公司（广州公共资源交易中心）官网浏览、下载招标答疑纪要。若招标答疑纪要与招标文件有矛盾时，以广州交易集团有限公司（广州公共资源交易中心）官网最后发布的招标答疑纪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在</w:t>
            </w:r>
            <w:r>
              <w:rPr>
                <w:rFonts w:hint="eastAsia" w:hAnsi="宋体" w:cs="宋体"/>
                <w:color w:val="auto"/>
                <w:szCs w:val="21"/>
                <w:highlight w:val="none"/>
              </w:rPr>
              <w:t>广州交易集团有限公司（广州公共资源交易中心）官网</w:t>
            </w:r>
            <w:r>
              <w:rPr>
                <w:rFonts w:hint="eastAsia" w:ascii="宋体" w:hAnsi="宋体"/>
                <w:color w:val="auto"/>
                <w:szCs w:val="21"/>
                <w:highlight w:val="none"/>
              </w:rPr>
              <w:t>通过项目答疑专区网上公开发布。</w:t>
            </w:r>
          </w:p>
          <w:p>
            <w:pPr>
              <w:rPr>
                <w:rFonts w:ascii="宋体" w:hAnsi="宋体"/>
                <w:color w:val="auto"/>
                <w:szCs w:val="21"/>
                <w:highlight w:val="none"/>
              </w:rPr>
            </w:pPr>
            <w:r>
              <w:rPr>
                <w:rFonts w:hint="eastAsia" w:ascii="宋体" w:hAnsi="宋体"/>
                <w:color w:val="auto"/>
                <w:szCs w:val="21"/>
                <w:highlight w:val="none"/>
              </w:rPr>
              <w:t>网上答疑。招标答疑纪要为招标文件的一部分。若招标答疑纪要与招标文件有矛盾时，以</w:t>
            </w:r>
            <w:r>
              <w:rPr>
                <w:rFonts w:hint="eastAsia" w:hAnsi="宋体" w:cs="宋体"/>
                <w:color w:val="auto"/>
                <w:szCs w:val="21"/>
                <w:highlight w:val="none"/>
              </w:rPr>
              <w:t>广州交易集团有限公司（广州公共资源交易中心）官网</w:t>
            </w:r>
            <w:r>
              <w:rPr>
                <w:rFonts w:hint="eastAsia" w:ascii="宋体" w:hAnsi="宋体"/>
                <w:color w:val="auto"/>
                <w:szCs w:val="21"/>
                <w:highlight w:val="none"/>
              </w:rPr>
              <w:t>最后发布的招标答疑纪要为准。</w:t>
            </w:r>
          </w:p>
          <w:p>
            <w:pPr>
              <w:rPr>
                <w:rFonts w:ascii="宋体" w:hAnsi="宋体" w:cs="宋体"/>
                <w:color w:val="auto"/>
                <w:szCs w:val="21"/>
                <w:highlight w:val="none"/>
              </w:rPr>
            </w:pPr>
            <w:r>
              <w:rPr>
                <w:rFonts w:hint="eastAsia" w:ascii="宋体" w:hAnsi="宋体"/>
                <w:color w:val="auto"/>
                <w:szCs w:val="21"/>
                <w:highlight w:val="none"/>
              </w:rPr>
              <w:t>□ 以电子邮件方式通知所有获取招标文件的潜在投标人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投标人确认收到招标文件澄清</w:t>
            </w:r>
          </w:p>
        </w:tc>
        <w:tc>
          <w:tcPr>
            <w:tcW w:w="574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时间：发出即视作收到。</w:t>
            </w:r>
          </w:p>
          <w:p>
            <w:pPr>
              <w:rPr>
                <w:rFonts w:ascii="宋体" w:hAnsi="宋体" w:cs="宋体"/>
                <w:color w:val="auto"/>
                <w:szCs w:val="21"/>
                <w:highlight w:val="none"/>
              </w:rPr>
            </w:pPr>
            <w:r>
              <w:rPr>
                <w:rFonts w:hint="eastAsia" w:ascii="宋体" w:hAnsi="宋体" w:cs="宋体"/>
                <w:color w:val="auto"/>
                <w:szCs w:val="21"/>
                <w:highlight w:val="none"/>
              </w:rPr>
              <w:t>（在提交投标文件截止时间</w:t>
            </w:r>
            <w:r>
              <w:rPr>
                <w:rFonts w:hint="eastAsia" w:ascii="宋体" w:hAnsi="宋体" w:cs="宋体"/>
                <w:color w:val="auto"/>
                <w:szCs w:val="21"/>
                <w:highlight w:val="none"/>
                <w:u w:val="single"/>
              </w:rPr>
              <w:t>15天</w:t>
            </w:r>
            <w:r>
              <w:rPr>
                <w:rFonts w:hint="eastAsia" w:ascii="宋体" w:hAnsi="宋体" w:cs="宋体"/>
                <w:color w:val="auto"/>
                <w:szCs w:val="21"/>
                <w:highlight w:val="none"/>
              </w:rPr>
              <w:t>前。）</w:t>
            </w:r>
          </w:p>
          <w:p>
            <w:pPr>
              <w:rPr>
                <w:rFonts w:ascii="宋体" w:hAnsi="宋体" w:cs="宋体"/>
                <w:color w:val="auto"/>
                <w:szCs w:val="21"/>
                <w:highlight w:val="none"/>
              </w:rPr>
            </w:pPr>
            <w:r>
              <w:rPr>
                <w:rFonts w:hint="eastAsia" w:ascii="宋体" w:hAnsi="宋体"/>
                <w:color w:val="auto"/>
                <w:szCs w:val="21"/>
                <w:highlight w:val="none"/>
              </w:rPr>
              <w:t>形式：招标文件</w:t>
            </w:r>
            <w:r>
              <w:rPr>
                <w:rFonts w:hint="eastAsia" w:hAnsi="宋体"/>
                <w:color w:val="auto"/>
                <w:szCs w:val="21"/>
                <w:highlight w:val="none"/>
              </w:rPr>
              <w:t>澄清（招标答疑纪要）一经在</w:t>
            </w:r>
            <w:r>
              <w:rPr>
                <w:rFonts w:hint="eastAsia" w:hAnsi="宋体" w:cs="宋体"/>
                <w:color w:val="auto"/>
                <w:szCs w:val="21"/>
                <w:highlight w:val="none"/>
              </w:rPr>
              <w:t>广州交易集团有限公司（广州公共资源交易中心）官网</w:t>
            </w:r>
            <w:r>
              <w:rPr>
                <w:rFonts w:hint="eastAsia" w:hAnsi="宋体"/>
                <w:color w:val="auto"/>
                <w:szCs w:val="21"/>
                <w:highlight w:val="none"/>
              </w:rPr>
              <w:t>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2.3.1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以补充公告或项目答疑澄清的方式在</w:t>
            </w:r>
            <w:r>
              <w:rPr>
                <w:rFonts w:hint="eastAsia" w:hAnsi="宋体" w:cs="宋体"/>
                <w:color w:val="auto"/>
                <w:szCs w:val="21"/>
                <w:highlight w:val="none"/>
              </w:rPr>
              <w:t>广州交易集团有限公司（广州公共资源交易中心）官网</w:t>
            </w:r>
            <w:r>
              <w:rPr>
                <w:rFonts w:hint="eastAsia" w:ascii="宋体" w:hAnsi="宋体" w:cs="宋体"/>
                <w:color w:val="auto"/>
                <w:szCs w:val="21"/>
                <w:highlight w:val="none"/>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投标人确认收到招标文件修改</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hAnsi="宋体"/>
                <w:color w:val="auto"/>
                <w:szCs w:val="21"/>
                <w:highlight w:val="none"/>
              </w:rPr>
              <w:t>招标文件修改一经在</w:t>
            </w:r>
            <w:r>
              <w:rPr>
                <w:rFonts w:hint="eastAsia" w:hAnsi="宋体" w:cs="宋体"/>
                <w:color w:val="auto"/>
                <w:szCs w:val="21"/>
                <w:highlight w:val="none"/>
              </w:rPr>
              <w:t>广州交易集团有限公司（广州公共资源交易中心）官网</w:t>
            </w:r>
            <w:r>
              <w:rPr>
                <w:rFonts w:hint="eastAsia" w:hAnsi="宋体"/>
                <w:color w:val="auto"/>
                <w:szCs w:val="21"/>
                <w:highlight w:val="none"/>
              </w:rPr>
              <w:t>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1、公司简介</w:t>
            </w:r>
          </w:p>
          <w:p>
            <w:pPr>
              <w:numPr>
                <w:ilvl w:val="0"/>
                <w:numId w:val="1"/>
              </w:numPr>
              <w:rPr>
                <w:rFonts w:ascii="宋体" w:hAnsi="宋体" w:cs="宋体"/>
                <w:color w:val="auto"/>
                <w:szCs w:val="21"/>
                <w:highlight w:val="none"/>
              </w:rPr>
            </w:pPr>
            <w:r>
              <w:rPr>
                <w:rFonts w:hint="eastAsia" w:ascii="宋体" w:hAnsi="宋体" w:cs="宋体"/>
                <w:color w:val="auto"/>
                <w:szCs w:val="21"/>
                <w:highlight w:val="none"/>
              </w:rPr>
              <w:t>标函承诺书</w:t>
            </w:r>
          </w:p>
          <w:p>
            <w:pPr>
              <w:numPr>
                <w:ilvl w:val="0"/>
                <w:numId w:val="1"/>
              </w:numPr>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项目总监履约承诺书</w:t>
            </w:r>
          </w:p>
          <w:p>
            <w:pPr>
              <w:pStyle w:val="2"/>
              <w:numPr>
                <w:ilvl w:val="0"/>
                <w:numId w:val="1"/>
              </w:numPr>
              <w:ind w:left="0" w:leftChars="0" w:firstLine="0" w:firstLineChars="0"/>
              <w:rPr>
                <w:rFonts w:hint="eastAsia" w:hAnsi="宋体" w:cs="宋体"/>
                <w:color w:val="auto"/>
                <w:sz w:val="21"/>
                <w:szCs w:val="21"/>
                <w:highlight w:val="none"/>
              </w:rPr>
            </w:pPr>
            <w:r>
              <w:rPr>
                <w:rFonts w:hint="eastAsia" w:hAnsi="宋体" w:cs="宋体"/>
                <w:color w:val="auto"/>
                <w:sz w:val="21"/>
                <w:szCs w:val="21"/>
                <w:highlight w:val="none"/>
                <w:lang w:val="en-US" w:eastAsia="zh-CN"/>
              </w:rPr>
              <w:t>总监代表履约承诺书</w:t>
            </w:r>
          </w:p>
          <w:p>
            <w:pPr>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、项目监理机构配备情况</w:t>
            </w:r>
          </w:p>
          <w:p>
            <w:pPr>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、拟投入本项目的主要试验检测仪器设备</w:t>
            </w:r>
          </w:p>
          <w:p>
            <w:pPr>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、监理项目管理团队人员信息表</w:t>
            </w:r>
          </w:p>
          <w:p>
            <w:pPr>
              <w:rPr>
                <w:rFonts w:ascii="宋体" w:hAnsi="宋体" w:cs="宋体"/>
                <w:color w:val="auto"/>
                <w:szCs w:val="21"/>
                <w:highlight w:val="none"/>
              </w:rPr>
            </w:pPr>
            <w:r>
              <w:rPr>
                <w:rFonts w:hint="eastAsia" w:ascii="宋体" w:hAnsi="宋体" w:cs="宋体"/>
                <w:color w:val="auto"/>
                <w:szCs w:val="21"/>
                <w:highlight w:val="none"/>
              </w:rPr>
              <w:t>注：以上资料格式见第六章投标文件格式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增值税税金的计算方法</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报价方式</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3.2.4</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highlight w:val="none"/>
              </w:rPr>
            </w:pPr>
            <w:r>
              <w:rPr>
                <w:rFonts w:hint="eastAsia" w:ascii="宋体" w:hAnsi="宋体" w:cs="宋体"/>
                <w:color w:val="auto"/>
                <w:highlight w:val="none"/>
              </w:rPr>
              <w:t>□无</w:t>
            </w:r>
          </w:p>
          <w:p>
            <w:pPr>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有，</w:t>
            </w:r>
            <w:r>
              <w:rPr>
                <w:rFonts w:hint="eastAsia" w:ascii="宋体" w:hAnsi="宋体" w:cs="宋体"/>
                <w:b/>
                <w:bCs/>
                <w:color w:val="auto"/>
                <w:szCs w:val="21"/>
                <w:highlight w:val="none"/>
              </w:rPr>
              <w:t xml:space="preserve"> 最高投标限价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781.49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万元，（最高投标限价为监理服务收费基准价下浮</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3.2.5</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投标报价的其他要求</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cs="宋体"/>
                <w:color w:val="auto"/>
                <w:kern w:val="0"/>
                <w:szCs w:val="21"/>
                <w:highlight w:val="none"/>
              </w:rPr>
            </w:pPr>
            <w:r>
              <w:rPr>
                <w:rFonts w:hint="eastAsia" w:ascii="宋体"/>
                <w:color w:val="auto"/>
                <w:kern w:val="0"/>
                <w:szCs w:val="21"/>
                <w:highlight w:val="none"/>
              </w:rPr>
              <w:t>本项目监理</w:t>
            </w:r>
            <w:r>
              <w:rPr>
                <w:rFonts w:hint="eastAsia" w:ascii="宋体"/>
                <w:b/>
                <w:bCs/>
                <w:color w:val="auto"/>
                <w:kern w:val="0"/>
                <w:szCs w:val="21"/>
                <w:highlight w:val="none"/>
              </w:rPr>
              <w:t>发包基准价</w:t>
            </w:r>
            <w:r>
              <w:rPr>
                <w:rFonts w:hint="eastAsia" w:ascii="宋体" w:cs="宋体"/>
                <w:color w:val="auto"/>
                <w:kern w:val="0"/>
                <w:szCs w:val="21"/>
                <w:highlight w:val="none"/>
              </w:rPr>
              <w:t>为</w:t>
            </w:r>
            <w:r>
              <w:rPr>
                <w:rFonts w:hint="eastAsia" w:ascii="宋体" w:cs="宋体"/>
                <w:color w:val="auto"/>
                <w:kern w:val="0"/>
                <w:szCs w:val="21"/>
                <w:highlight w:val="none"/>
                <w:u w:val="single"/>
              </w:rPr>
              <w:t>1,302.49</w:t>
            </w:r>
            <w:r>
              <w:rPr>
                <w:rFonts w:hint="eastAsia" w:ascii="宋体" w:cs="宋体"/>
                <w:color w:val="auto"/>
                <w:kern w:val="0"/>
                <w:szCs w:val="21"/>
                <w:highlight w:val="none"/>
              </w:rPr>
              <w:t>万元。</w:t>
            </w:r>
          </w:p>
          <w:p>
            <w:pPr>
              <w:rPr>
                <w:rFonts w:ascii="宋体" w:hAnsi="宋体" w:cs="宋体"/>
                <w:color w:val="auto"/>
                <w:szCs w:val="22"/>
                <w:highlight w:val="none"/>
                <w:u w:val="single"/>
              </w:rPr>
            </w:pPr>
            <w:r>
              <w:rPr>
                <w:rFonts w:hint="eastAsia" w:ascii="宋体" w:hAnsi="宋体" w:cs="宋体"/>
                <w:color w:val="auto"/>
                <w:szCs w:val="22"/>
                <w:highlight w:val="none"/>
                <w:u w:val="single"/>
              </w:rPr>
              <w:t>投标人必须详细审阅全部招标文件，充分考虑职责和义务，全面地理解招标文件对投标报价的要求，并按招标人提出的条件及内容进行报价，报价以元为单位，保留小数点后2位，第3位小数点四舍五入。</w:t>
            </w:r>
          </w:p>
          <w:p>
            <w:pPr>
              <w:numPr>
                <w:ilvl w:val="0"/>
                <w:numId w:val="2"/>
              </w:numPr>
              <w:rPr>
                <w:rFonts w:ascii="宋体" w:hAnsi="宋体" w:cs="宋体"/>
                <w:color w:val="auto"/>
                <w:szCs w:val="22"/>
                <w:highlight w:val="none"/>
                <w:u w:val="single"/>
              </w:rPr>
            </w:pPr>
            <w:r>
              <w:rPr>
                <w:rFonts w:hint="eastAsia" w:ascii="宋体" w:hAnsi="宋体" w:cs="宋体"/>
                <w:color w:val="auto"/>
                <w:szCs w:val="21"/>
                <w:highlight w:val="none"/>
              </w:rPr>
              <w:t>各投标人在最高投标限价</w:t>
            </w:r>
            <w:r>
              <w:rPr>
                <w:rFonts w:hint="eastAsia" w:ascii="宋体" w:hAnsi="宋体" w:cs="宋体"/>
                <w:color w:val="auto"/>
                <w:szCs w:val="21"/>
                <w:highlight w:val="none"/>
                <w:u w:val="single"/>
                <w:lang w:val="en-US" w:eastAsia="zh-CN"/>
              </w:rPr>
              <w:t>781.49</w:t>
            </w:r>
            <w:r>
              <w:rPr>
                <w:rFonts w:ascii="宋体" w:hAnsi="宋体" w:cs="宋体"/>
                <w:color w:val="auto"/>
                <w:szCs w:val="21"/>
                <w:highlight w:val="none"/>
                <w:u w:val="single"/>
              </w:rPr>
              <w:t>万元</w:t>
            </w:r>
            <w:r>
              <w:rPr>
                <w:rFonts w:hint="eastAsia" w:ascii="宋体" w:hAnsi="宋体" w:cs="宋体"/>
                <w:color w:val="auto"/>
                <w:szCs w:val="21"/>
                <w:highlight w:val="none"/>
              </w:rPr>
              <w:t>基础上，自行报价。</w:t>
            </w:r>
          </w:p>
          <w:p>
            <w:pPr>
              <w:ind w:left="210" w:hanging="210" w:hangingChars="100"/>
              <w:rPr>
                <w:rFonts w:ascii="宋体" w:hAnsi="宋体" w:cs="宋体"/>
                <w:color w:val="auto"/>
                <w:szCs w:val="21"/>
                <w:highlight w:val="none"/>
              </w:rPr>
            </w:pPr>
            <w:r>
              <w:rPr>
                <w:rFonts w:hint="eastAsia" w:ascii="宋体" w:hAnsi="宋体" w:cs="宋体"/>
                <w:color w:val="auto"/>
                <w:szCs w:val="21"/>
                <w:highlight w:val="none"/>
              </w:rPr>
              <w:t xml:space="preserve">  a.监理服务收费计费额：暂定</w:t>
            </w:r>
            <w:r>
              <w:rPr>
                <w:rFonts w:hint="eastAsia" w:ascii="宋体" w:hAnsi="宋体" w:cs="宋体"/>
                <w:color w:val="auto"/>
                <w:szCs w:val="21"/>
                <w:highlight w:val="none"/>
                <w:u w:val="single"/>
              </w:rPr>
              <w:t>83,717.51万元</w:t>
            </w:r>
            <w:r>
              <w:rPr>
                <w:rFonts w:hint="eastAsia" w:ascii="宋体" w:hAnsi="宋体" w:cs="宋体"/>
                <w:color w:val="auto"/>
                <w:szCs w:val="21"/>
                <w:highlight w:val="none"/>
              </w:rPr>
              <w:t>，最终以本工程建安费结算价为准；</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b.调整系数：专业调整系数暂定</w:t>
            </w:r>
            <w:r>
              <w:rPr>
                <w:rFonts w:hint="eastAsia" w:ascii="宋体" w:hAnsi="宋体" w:cs="宋体"/>
                <w:color w:val="auto"/>
                <w:szCs w:val="21"/>
                <w:highlight w:val="none"/>
                <w:u w:val="single"/>
              </w:rPr>
              <w:t>1.0</w:t>
            </w:r>
            <w:r>
              <w:rPr>
                <w:rFonts w:hint="eastAsia" w:ascii="宋体" w:hAnsi="宋体" w:cs="宋体"/>
                <w:color w:val="auto"/>
                <w:szCs w:val="21"/>
                <w:highlight w:val="none"/>
              </w:rPr>
              <w:t>；工程复杂程度调整系数暂定</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；高程调整系数暂定</w:t>
            </w:r>
            <w:r>
              <w:rPr>
                <w:rFonts w:hint="eastAsia" w:ascii="宋体" w:hAnsi="宋体" w:cs="宋体"/>
                <w:color w:val="auto"/>
                <w:szCs w:val="21"/>
                <w:highlight w:val="none"/>
                <w:u w:val="single"/>
              </w:rPr>
              <w:t>1.0</w:t>
            </w:r>
            <w:r>
              <w:rPr>
                <w:rFonts w:hint="eastAsia" w:ascii="宋体" w:hAnsi="宋体" w:cs="宋体"/>
                <w:color w:val="auto"/>
                <w:szCs w:val="21"/>
                <w:highlight w:val="none"/>
              </w:rPr>
              <w:t>。</w:t>
            </w:r>
          </w:p>
          <w:p>
            <w:pPr>
              <w:ind w:left="210" w:leftChars="100"/>
              <w:jc w:val="left"/>
              <w:rPr>
                <w:rFonts w:ascii="宋体" w:hAnsi="宋体" w:cs="宋体"/>
                <w:color w:val="auto"/>
                <w:szCs w:val="21"/>
                <w:highlight w:val="none"/>
              </w:rPr>
            </w:pPr>
            <w:r>
              <w:rPr>
                <w:rFonts w:hint="eastAsia" w:ascii="宋体" w:hAnsi="宋体" w:cs="宋体"/>
                <w:color w:val="auto"/>
                <w:szCs w:val="21"/>
                <w:highlight w:val="none"/>
              </w:rPr>
              <w:t>C.计算监理费收费基准价：</w:t>
            </w:r>
            <w:r>
              <w:rPr>
                <w:rFonts w:hint="eastAsia" w:ascii="宋体" w:hAnsi="宋体" w:cs="宋体"/>
                <w:color w:val="auto"/>
                <w:szCs w:val="21"/>
                <w:highlight w:val="none"/>
                <w:u w:val="single"/>
              </w:rPr>
              <w:t>1,302.49</w:t>
            </w:r>
            <w:r>
              <w:rPr>
                <w:rFonts w:hint="eastAsia" w:ascii="宋体" w:hAnsi="宋体" w:cs="宋体"/>
                <w:color w:val="auto"/>
                <w:szCs w:val="21"/>
                <w:highlight w:val="none"/>
              </w:rPr>
              <w:t>万元。</w:t>
            </w:r>
          </w:p>
          <w:p>
            <w:pPr>
              <w:ind w:firstLine="210" w:firstLineChars="100"/>
              <w:rPr>
                <w:rFonts w:ascii="宋体" w:hAnsi="宋体" w:cs="宋体"/>
                <w:color w:val="auto"/>
                <w:szCs w:val="21"/>
                <w:highlight w:val="none"/>
              </w:rPr>
            </w:pPr>
            <w:r>
              <w:rPr>
                <w:rFonts w:hint="eastAsia" w:ascii="宋体" w:hAnsi="宋体" w:cs="宋体"/>
                <w:color w:val="auto"/>
                <w:szCs w:val="22"/>
                <w:highlight w:val="none"/>
                <w:u w:val="single"/>
              </w:rPr>
              <w:t>投标人的投标报价应是完成招标文件第1.3款和合同条款所列招标项目监理范围及工期的全部内容为计算投标报价基础。</w:t>
            </w:r>
            <w:r>
              <w:rPr>
                <w:rFonts w:hint="eastAsia" w:ascii="宋体" w:hAnsi="宋体" w:cs="宋体"/>
                <w:color w:val="auto"/>
                <w:szCs w:val="21"/>
                <w:highlight w:val="none"/>
              </w:rPr>
              <w:t>投标人应按招标文件中相关附表格式填写。</w:t>
            </w:r>
          </w:p>
          <w:p>
            <w:pPr>
              <w:numPr>
                <w:ilvl w:val="0"/>
                <w:numId w:val="2"/>
              </w:numPr>
              <w:rPr>
                <w:rFonts w:ascii="宋体" w:hAnsi="宋体" w:cs="宋体"/>
                <w:color w:val="auto"/>
                <w:szCs w:val="21"/>
                <w:highlight w:val="none"/>
              </w:rPr>
            </w:pPr>
            <w:r>
              <w:rPr>
                <w:rFonts w:hint="eastAsia" w:ascii="宋体" w:hAnsi="宋体" w:cs="宋体"/>
                <w:color w:val="auto"/>
                <w:szCs w:val="21"/>
                <w:highlight w:val="none"/>
              </w:rPr>
              <w:t>除非合同另有规定，投标报价应已包括但不限于监理设备、劳务、管理、交通、维护、保险、利润、税金、政策性文件规定及合同包含的所有风险、责任等各项所有费用。</w:t>
            </w:r>
          </w:p>
          <w:p>
            <w:pPr>
              <w:pStyle w:val="18"/>
              <w:spacing w:after="0"/>
              <w:ind w:firstLine="0" w:firstLineChars="0"/>
              <w:rPr>
                <w:color w:val="auto"/>
                <w:sz w:val="21"/>
                <w:szCs w:val="21"/>
                <w:highlight w:val="none"/>
              </w:rPr>
            </w:pPr>
            <w:r>
              <w:rPr>
                <w:rFonts w:hint="eastAsia" w:ascii="宋体" w:hAnsi="宋体" w:cs="宋体"/>
                <w:color w:val="auto"/>
                <w:sz w:val="21"/>
                <w:szCs w:val="21"/>
                <w:highlight w:val="none"/>
              </w:rPr>
              <w:t>（3）</w:t>
            </w:r>
            <w:r>
              <w:rPr>
                <w:rFonts w:hint="eastAsia" w:ascii="宋体" w:cs="宋体"/>
                <w:color w:val="auto"/>
                <w:sz w:val="21"/>
                <w:szCs w:val="21"/>
                <w:highlight w:val="none"/>
              </w:rPr>
              <w:t>成本警戒价为</w:t>
            </w:r>
            <w:r>
              <w:rPr>
                <w:rFonts w:hint="eastAsia" w:ascii="宋体" w:cs="宋体"/>
                <w:color w:val="auto"/>
                <w:sz w:val="21"/>
                <w:szCs w:val="21"/>
                <w:highlight w:val="none"/>
                <w:u w:val="single"/>
                <w:lang w:val="en-US" w:eastAsia="zh-CN"/>
              </w:rPr>
              <w:t>625.19</w:t>
            </w:r>
            <w:r>
              <w:rPr>
                <w:rFonts w:hint="eastAsia" w:ascii="宋体" w:cs="宋体"/>
                <w:color w:val="auto"/>
                <w:sz w:val="21"/>
                <w:szCs w:val="21"/>
                <w:highlight w:val="none"/>
              </w:rPr>
              <w:t>万元（</w:t>
            </w:r>
            <w:r>
              <w:rPr>
                <w:rFonts w:hint="eastAsia" w:ascii="宋体" w:cs="宋体"/>
                <w:color w:val="auto"/>
                <w:sz w:val="21"/>
                <w:szCs w:val="21"/>
                <w:highlight w:val="none"/>
                <w:u w:val="single"/>
              </w:rPr>
              <w:t>最高投标限价的80%</w:t>
            </w:r>
            <w:r>
              <w:rPr>
                <w:rFonts w:hint="eastAsia" w:ascii="宋体" w:cs="宋体"/>
                <w:color w:val="auto"/>
                <w:sz w:val="21"/>
                <w:szCs w:val="21"/>
                <w:highlight w:val="none"/>
              </w:rPr>
              <w:t>）。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s="宋体"/>
                <w:color w:val="auto"/>
                <w:highlight w:val="none"/>
              </w:rPr>
            </w:pPr>
            <w:r>
              <w:rPr>
                <w:rFonts w:hint="eastAsia" w:ascii="宋体" w:hAnsi="宋体" w:cs="宋体"/>
                <w:color w:val="auto"/>
                <w:szCs w:val="21"/>
                <w:highlight w:val="none"/>
              </w:rPr>
              <w:t>（4）本工程监理费结算以委托人审定的本工程建安费结算价（不含家具、软装工程费用）为计费基数，按《建设工程监理与相关服务收费标准》（发改价格[2007]670号文）规定计算的施工监理收费基价并结合各调整系数，再执行中标下浮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投标有效期</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为</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投标保证金</w:t>
            </w:r>
          </w:p>
        </w:tc>
        <w:tc>
          <w:tcPr>
            <w:tcW w:w="5746" w:type="dxa"/>
            <w:tcBorders>
              <w:top w:val="single" w:color="auto" w:sz="4" w:space="0"/>
              <w:left w:val="single" w:color="auto" w:sz="4" w:space="0"/>
              <w:bottom w:val="single" w:color="auto" w:sz="4" w:space="0"/>
              <w:right w:val="single" w:color="auto" w:sz="4" w:space="0"/>
            </w:tcBorders>
            <w:noWrap/>
            <w:vAlign w:val="center"/>
          </w:tcPr>
          <w:p>
            <w:pPr>
              <w:rPr>
                <w:color w:val="auto"/>
                <w:highlight w:val="none"/>
              </w:rPr>
            </w:pPr>
            <w:r>
              <w:rPr>
                <w:rFonts w:hint="eastAsia"/>
                <w:color w:val="auto"/>
                <w:highlight w:val="none"/>
              </w:rPr>
              <w:t>是否要求投标人递交投标保证金：</w:t>
            </w:r>
          </w:p>
          <w:p>
            <w:pPr>
              <w:rPr>
                <w:color w:val="auto"/>
                <w:highlight w:val="none"/>
              </w:rPr>
            </w:pPr>
            <w:r>
              <w:rPr>
                <w:rFonts w:hint="eastAsia"/>
                <w:color w:val="auto"/>
                <w:highlight w:val="none"/>
              </w:rPr>
              <w:sym w:font="Wingdings" w:char="00FE"/>
            </w:r>
            <w:r>
              <w:rPr>
                <w:rFonts w:hint="eastAsia"/>
                <w:color w:val="auto"/>
                <w:highlight w:val="none"/>
              </w:rPr>
              <w:t>要求，投标保证金的形式：</w:t>
            </w:r>
          </w:p>
          <w:p>
            <w:pPr>
              <w:widowControl/>
              <w:adjustRightInd w:val="0"/>
              <w:snapToGrid w:val="0"/>
              <w:rPr>
                <w:color w:val="auto"/>
                <w:highlight w:val="none"/>
              </w:rPr>
            </w:pPr>
            <w:r>
              <w:rPr>
                <w:rFonts w:hint="eastAsia"/>
                <w:b/>
                <w:bCs/>
                <w:color w:val="auto"/>
                <w:highlight w:val="none"/>
              </w:rPr>
              <w:t>投标担保的金额：</w:t>
            </w:r>
            <w:r>
              <w:rPr>
                <w:rFonts w:hint="eastAsia"/>
                <w:color w:val="auto"/>
                <w:highlight w:val="none"/>
              </w:rPr>
              <w:t>人民币</w:t>
            </w:r>
            <w:r>
              <w:rPr>
                <w:rFonts w:hint="eastAsia"/>
                <w:b/>
                <w:bCs/>
                <w:color w:val="auto"/>
                <w:highlight w:val="none"/>
                <w:u w:val="single"/>
                <w:lang w:val="en-US" w:eastAsia="zh-CN"/>
              </w:rPr>
              <w:t>10</w:t>
            </w:r>
            <w:r>
              <w:rPr>
                <w:rFonts w:hint="eastAsia"/>
                <w:b/>
                <w:bCs/>
                <w:color w:val="auto"/>
                <w:highlight w:val="none"/>
                <w:u w:val="single"/>
              </w:rPr>
              <w:t>万元</w:t>
            </w:r>
          </w:p>
          <w:p>
            <w:pPr>
              <w:widowControl/>
              <w:rPr>
                <w:rFonts w:ascii="宋体" w:hAnsi="宋体" w:cs="宋体"/>
                <w:color w:val="auto"/>
                <w:szCs w:val="21"/>
                <w:highlight w:val="none"/>
              </w:rPr>
            </w:pPr>
            <w:r>
              <w:rPr>
                <w:rFonts w:hint="eastAsia"/>
                <w:b/>
                <w:bCs/>
                <w:color w:val="auto"/>
                <w:highlight w:val="none"/>
              </w:rPr>
              <w:t>缴纳时间：</w:t>
            </w:r>
            <w:r>
              <w:rPr>
                <w:rFonts w:hint="eastAsia"/>
                <w:color w:val="auto"/>
                <w:highlight w:val="none"/>
              </w:rPr>
              <w:t>投标担保，须在递交投标文件截止时间前完成缴纳</w:t>
            </w:r>
            <w:r>
              <w:rPr>
                <w:rFonts w:hint="eastAsia" w:ascii="宋体"/>
                <w:color w:val="auto"/>
                <w:szCs w:val="21"/>
                <w:highlight w:val="none"/>
              </w:rPr>
              <w:t>。</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1、投标保证金可采用现金、支票、汇票、信用证、银行保函、保证保险、专业工程担保公司担保等能够实现保证目的的方式。</w:t>
            </w:r>
            <w:r>
              <w:rPr>
                <w:rFonts w:hint="eastAsia" w:ascii="宋体" w:hAnsi="宋体" w:cs="宋体"/>
                <w:color w:val="auto"/>
                <w:szCs w:val="21"/>
                <w:highlight w:val="none"/>
                <w:lang w:val="en-US" w:eastAsia="zh-CN"/>
              </w:rPr>
              <w:t>如为联合体投标，以</w:t>
            </w:r>
            <w:r>
              <w:rPr>
                <w:rFonts w:hint="eastAsia" w:cs="宋体"/>
                <w:color w:val="auto"/>
                <w:kern w:val="0"/>
                <w:sz w:val="21"/>
                <w:szCs w:val="20"/>
                <w:highlight w:val="none"/>
                <w:u w:val="single"/>
              </w:rPr>
              <w:t>联合体主办方</w:t>
            </w:r>
            <w:r>
              <w:rPr>
                <w:rFonts w:hint="eastAsia" w:cs="宋体"/>
                <w:color w:val="auto"/>
                <w:kern w:val="0"/>
                <w:sz w:val="21"/>
                <w:szCs w:val="20"/>
                <w:highlight w:val="none"/>
                <w:u w:val="single"/>
                <w:lang w:val="en-US" w:eastAsia="zh-CN"/>
              </w:rPr>
              <w:t>递交。</w:t>
            </w:r>
          </w:p>
          <w:p>
            <w:pPr>
              <w:rPr>
                <w:rFonts w:ascii="宋体" w:hAnsi="宋体" w:cs="宋体"/>
                <w:color w:val="auto"/>
                <w:szCs w:val="21"/>
                <w:highlight w:val="none"/>
              </w:rPr>
            </w:pPr>
            <w:r>
              <w:rPr>
                <w:rFonts w:hint="eastAsia" w:ascii="宋体" w:hAnsi="宋体" w:cs="宋体"/>
                <w:color w:val="auto"/>
                <w:szCs w:val="21"/>
                <w:highlight w:val="none"/>
              </w:rPr>
              <w:t>2、如采用现金、支票或汇票形式提交的，由</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代收（保证金从投标人基本账户转账至</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。）具体操作要求详见</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最新的投标保证金缴纳操作流程及有关指引，递交事宜请自行咨询交易中心；请各投标人在投标文件递交截止时间前按上述金额递交至</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，到账情况以开标时</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数据库查询的信息为准。</w:t>
            </w:r>
          </w:p>
          <w:p>
            <w:pPr>
              <w:rPr>
                <w:rFonts w:ascii="宋体" w:hAnsi="宋体" w:cs="宋体"/>
                <w:color w:val="auto"/>
                <w:szCs w:val="21"/>
                <w:highlight w:val="none"/>
              </w:rPr>
            </w:pPr>
            <w:r>
              <w:rPr>
                <w:rFonts w:hint="eastAsia" w:ascii="宋体" w:hAnsi="宋体" w:cs="宋体"/>
                <w:color w:val="auto"/>
                <w:szCs w:val="21"/>
                <w:highlight w:val="none"/>
              </w:rPr>
              <w:t>3、如采用非电子形式的银行保函、专业工程担保公司担保或保证保险【银行保函或保证保险或担保需开具给招标人（受益人也必须是招标人）】提交投标保证金的，在开标前不强制要求投标人提交纸质原件，由中标候选人在中标候选人公示前提交并在网上公示，投标人应在投标文件中提交投标保函、担保或保证保险扫描件并加盖投标人电子印章。</w:t>
            </w:r>
            <w:r>
              <w:rPr>
                <w:rFonts w:hint="eastAsia" w:ascii="宋体" w:hAnsi="宋体" w:cs="宋体"/>
                <w:b/>
                <w:bCs/>
                <w:color w:val="auto"/>
                <w:szCs w:val="21"/>
                <w:highlight w:val="none"/>
              </w:rPr>
              <w:t>如投标人存在3.4.4条款所列情形的，应将纸质原件提交给招标人。</w:t>
            </w:r>
          </w:p>
          <w:p>
            <w:pPr>
              <w:rPr>
                <w:rFonts w:ascii="宋体" w:hAnsi="宋体" w:cs="宋体"/>
                <w:color w:val="auto"/>
                <w:szCs w:val="21"/>
                <w:highlight w:val="none"/>
              </w:rPr>
            </w:pPr>
            <w:r>
              <w:rPr>
                <w:rFonts w:hint="eastAsia" w:ascii="宋体" w:hAnsi="宋体" w:cs="宋体"/>
                <w:color w:val="auto"/>
                <w:szCs w:val="21"/>
                <w:highlight w:val="none"/>
              </w:rPr>
              <w:t>纸质保函、担保或保险等凭证纸质原件也可在投标截止时间前将原件单独密封（封口处加盖投标人单位公章）递交至开标室。</w:t>
            </w:r>
            <w:r>
              <w:rPr>
                <w:rFonts w:hint="eastAsia" w:ascii="宋体" w:hAnsi="宋体" w:cs="宋体"/>
                <w:b/>
                <w:bCs/>
                <w:color w:val="auto"/>
                <w:szCs w:val="21"/>
                <w:highlight w:val="none"/>
              </w:rPr>
              <w:t>递交纸质保函、担保或保险等凭证纸质原件时需提供法定代表人证明书；委托投标的还应提供法人授权委托证明书。</w:t>
            </w:r>
          </w:p>
          <w:p>
            <w:pPr>
              <w:rPr>
                <w:rFonts w:ascii="宋体" w:hAnsi="宋体" w:cs="宋体"/>
                <w:color w:val="auto"/>
                <w:szCs w:val="21"/>
                <w:highlight w:val="none"/>
              </w:rPr>
            </w:pPr>
            <w:r>
              <w:rPr>
                <w:rFonts w:hint="eastAsia" w:ascii="宋体" w:hAnsi="宋体" w:cs="宋体"/>
                <w:color w:val="auto"/>
                <w:szCs w:val="21"/>
                <w:highlight w:val="none"/>
              </w:rPr>
              <w:t>4、采用电子形式的保函、担保或保证保险提交投标保证金的，具体操作要求详见广州交易集团有限公司（广州公共资源交易中心）有关指引，递交事宜请自行咨询交易中心。</w:t>
            </w:r>
          </w:p>
          <w:p>
            <w:pPr>
              <w:rPr>
                <w:rFonts w:ascii="宋体" w:hAnsi="宋体" w:cs="宋体"/>
                <w:color w:val="auto"/>
                <w:szCs w:val="21"/>
                <w:highlight w:val="none"/>
              </w:rPr>
            </w:pPr>
            <w:r>
              <w:rPr>
                <w:rFonts w:hint="eastAsia" w:ascii="宋体" w:hAnsi="宋体" w:cs="宋体"/>
                <w:color w:val="auto"/>
                <w:szCs w:val="21"/>
                <w:highlight w:val="none"/>
              </w:rPr>
              <w:t>5、投标保证金有效期应当与投标有效期一致。</w:t>
            </w:r>
          </w:p>
          <w:p>
            <w:pPr>
              <w:pStyle w:val="18"/>
              <w:ind w:firstLine="0" w:firstLineChars="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注：</w:t>
            </w:r>
          </w:p>
          <w:p>
            <w:pPr>
              <w:pStyle w:val="18"/>
              <w:ind w:firstLine="0" w:firstLineChars="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1、政府投资项目不得收取投标保证金。鼓励招标人对简单小额项目不要求提供投标担保，对中小企业投标人免除投标担保。</w:t>
            </w:r>
          </w:p>
          <w:p>
            <w:pPr>
              <w:pStyle w:val="18"/>
              <w:ind w:firstLine="0" w:firstLineChars="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pStyle w:val="18"/>
              <w:ind w:firstLine="0" w:firstLineChars="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3、招标人在免收投标保证金的同时，应约定免交投标保证金的投标人存在</w:t>
            </w:r>
            <w:r>
              <w:rPr>
                <w:rFonts w:hint="eastAsia" w:ascii="宋体" w:hAnsi="宋体" w:cs="宋体"/>
                <w:b/>
                <w:bCs/>
                <w:color w:val="auto"/>
                <w:szCs w:val="21"/>
                <w:highlight w:val="none"/>
              </w:rPr>
              <w:t>3.4.4</w:t>
            </w:r>
            <w:r>
              <w:rPr>
                <w:rFonts w:hint="eastAsia" w:ascii="宋体" w:hAnsi="宋体" w:cs="宋体"/>
                <w:color w:val="auto"/>
                <w:kern w:val="2"/>
                <w:sz w:val="21"/>
                <w:szCs w:val="21"/>
                <w:highlight w:val="none"/>
              </w:rPr>
              <w:t>条款所列情形的后续处理措施。</w:t>
            </w:r>
          </w:p>
          <w:p>
            <w:pPr>
              <w:rPr>
                <w:color w:val="auto"/>
                <w:highlight w:val="none"/>
              </w:rPr>
            </w:pPr>
            <w:r>
              <w:rPr>
                <w:rFonts w:hint="eastAsia" w:ascii="宋体" w:hAnsi="宋体" w:cs="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3.4.4</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其他可以不予退还投标保证金的情形</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因中标人原因未能在规定期限内签署合同协议。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□无</w:t>
            </w:r>
          </w:p>
          <w:p>
            <w:pPr>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有，具体要求：</w:t>
            </w:r>
          </w:p>
          <w:p>
            <w:pPr>
              <w:rPr>
                <w:rFonts w:ascii="宋体" w:hAnsi="宋体" w:cs="宋体"/>
                <w:color w:val="auto"/>
                <w:szCs w:val="21"/>
                <w:highlight w:val="none"/>
              </w:rPr>
            </w:pPr>
            <w:r>
              <w:rPr>
                <w:rFonts w:hint="eastAsia" w:ascii="宋体" w:hAnsi="宋体" w:cs="宋体"/>
                <w:color w:val="auto"/>
                <w:szCs w:val="21"/>
                <w:highlight w:val="none"/>
              </w:rPr>
              <w:t>1、本招标项目资格审查不要求提供“投标人基本情况表”、“近年财务状况表”、“近年完成的类似监理项目情况表”、“正在监理和新承接的项目情况表”、“近年发生的诉讼及仲裁情况”、“拟委任的主要人员汇总表”、“拟投入本项目的主要试验检测仪器设备表”，以上内容不作为本项目资格审查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投标人基本情况表</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本项目不要求提供“投标人基本情况表”。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3.5.2</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本项目不需要提供“</w:t>
            </w:r>
            <w:r>
              <w:rPr>
                <w:rFonts w:hint="eastAsia" w:ascii="宋体" w:hAnsi="宋体" w:cs="宋体"/>
                <w:color w:val="auto"/>
                <w:kern w:val="21"/>
                <w:highlight w:val="none"/>
              </w:rPr>
              <w:t>近年财务状况表</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3.5.3</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近年完成的类似项目情况的时间要求</w:t>
            </w:r>
          </w:p>
        </w:tc>
        <w:tc>
          <w:tcPr>
            <w:tcW w:w="574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完成时间要求：202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w:t>
            </w:r>
          </w:p>
          <w:p>
            <w:pPr>
              <w:rPr>
                <w:rFonts w:ascii="宋体" w:hAnsi="宋体" w:cs="宋体"/>
                <w:color w:val="auto"/>
                <w:szCs w:val="21"/>
                <w:highlight w:val="none"/>
              </w:rPr>
            </w:pPr>
            <w:r>
              <w:rPr>
                <w:rFonts w:hint="eastAsia" w:ascii="宋体" w:hAnsi="宋体" w:cs="宋体"/>
                <w:color w:val="auto"/>
                <w:szCs w:val="21"/>
                <w:highlight w:val="none"/>
              </w:rPr>
              <w:t>（完成时间以竣工验收报告或竣工验收证明为准）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3.5.4</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正在监理和新承接的项目情况</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本项目不需要提供“正在监理和新承接的项目情况表”。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3.5.5</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近年发生的诉讼及仲裁情况的时间要求</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本项目不需要提供“近年发生的诉讼及仲裁情况”。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3.5.6</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拟委任的主要人员汇总表</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本项目不需要提供“拟委任的主要人员汇总表”。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3.5.7</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拟投入本项目的主要试验检测仪器设备</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本项目不需要提供“拟投入本项目的主要试验检测仪器设备表”。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3.5.8</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关于联合体投标</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本项目接受联合体投标。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不允许</w:t>
            </w:r>
          </w:p>
          <w:p>
            <w:pPr>
              <w:rPr>
                <w:rFonts w:ascii="宋体" w:hAnsi="宋体" w:cs="宋体"/>
                <w:color w:val="auto"/>
                <w:szCs w:val="21"/>
                <w:highlight w:val="none"/>
              </w:rPr>
            </w:pPr>
            <w:r>
              <w:rPr>
                <w:rFonts w:hint="eastAsia" w:ascii="宋体" w:hAnsi="宋体" w:cs="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3.7.3A（2）</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投标文件副本份数及其他要求</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3.7.3A（3）</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投标文件是否需分册装订</w:t>
            </w:r>
          </w:p>
        </w:tc>
        <w:tc>
          <w:tcPr>
            <w:tcW w:w="5746" w:type="dxa"/>
            <w:tcBorders>
              <w:top w:val="single" w:color="auto" w:sz="4" w:space="0"/>
              <w:left w:val="single" w:color="auto" w:sz="4" w:space="0"/>
              <w:bottom w:val="single" w:color="auto" w:sz="4" w:space="0"/>
              <w:right w:val="single" w:color="auto" w:sz="4" w:space="0"/>
            </w:tcBorders>
            <w:noWrap/>
            <w:vAlign w:val="center"/>
          </w:tcPr>
          <w:p>
            <w:pPr>
              <w:pStyle w:val="18"/>
              <w:spacing w:after="0"/>
              <w:ind w:firstLine="0" w:firstLineChars="0"/>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3.7.3 (B)</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投标文件所附证书证件要求</w:t>
            </w:r>
          </w:p>
        </w:tc>
        <w:tc>
          <w:tcPr>
            <w:tcW w:w="5746" w:type="dxa"/>
            <w:tcBorders>
              <w:top w:val="single" w:color="auto" w:sz="4" w:space="0"/>
              <w:left w:val="single" w:color="auto" w:sz="4" w:space="0"/>
              <w:bottom w:val="single" w:color="auto" w:sz="4" w:space="0"/>
              <w:right w:val="single" w:color="auto" w:sz="4" w:space="0"/>
            </w:tcBorders>
            <w:noWrap/>
            <w:vAlign w:val="center"/>
          </w:tcPr>
          <w:tbl>
            <w:tblPr>
              <w:tblStyle w:val="20"/>
              <w:tblW w:w="9434"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746" w:type="dxa"/>
                  <w:tcBorders>
                    <w:top w:val="single" w:color="auto" w:sz="4" w:space="0"/>
                    <w:left w:val="single" w:color="auto" w:sz="4" w:space="0"/>
                    <w:bottom w:val="single" w:color="auto" w:sz="4" w:space="0"/>
                    <w:right w:val="single" w:color="auto" w:sz="4" w:space="0"/>
                  </w:tcBorders>
                  <w:noWrap/>
                  <w:vAlign w:val="center"/>
                </w:tcPr>
                <w:p>
                  <w:pPr>
                    <w:rPr>
                      <w:rFonts w:hint="eastAsia"/>
                      <w:color w:val="auto"/>
                      <w:highlight w:val="none"/>
                    </w:rPr>
                  </w:pPr>
                  <w:r>
                    <w:rPr>
                      <w:rFonts w:hint="eastAsia"/>
                      <w:color w:val="auto"/>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相关操作详见广州交易集团有限公司（广州公共资源交易中心）官网最新发布的相关指引。</w:t>
                  </w:r>
                </w:p>
                <w:p>
                  <w:pPr>
                    <w:pStyle w:val="2"/>
                    <w:rPr>
                      <w:color w:val="auto"/>
                      <w:highlight w:val="none"/>
                    </w:rPr>
                  </w:pPr>
                  <w:r>
                    <w:rPr>
                      <w:rFonts w:hint="eastAsia" w:ascii="宋体" w:hAnsi="宋体" w:eastAsia="宋体" w:cs="宋体"/>
                      <w:b/>
                      <w:bCs/>
                      <w:color w:val="auto"/>
                      <w:kern w:val="2"/>
                      <w:sz w:val="21"/>
                      <w:szCs w:val="21"/>
                      <w:highlight w:val="none"/>
                      <w:u w:val="none"/>
                      <w:lang w:val="en-US" w:eastAsia="zh-CN"/>
                    </w:rPr>
                    <w:t>联合体</w:t>
                  </w:r>
                  <w:r>
                    <w:rPr>
                      <w:rFonts w:hint="eastAsia" w:ascii="宋体" w:hAnsi="宋体" w:eastAsia="宋体" w:cs="宋体"/>
                      <w:b/>
                      <w:bCs/>
                      <w:color w:val="auto"/>
                      <w:kern w:val="2"/>
                      <w:sz w:val="21"/>
                      <w:szCs w:val="21"/>
                      <w:highlight w:val="none"/>
                      <w:u w:val="none"/>
                    </w:rPr>
                    <w:t>投标时，除《联合体协议书》必须由联合体各方分别按要求进行签字、盖章[法定代表人</w:t>
                  </w:r>
                  <w:r>
                    <w:rPr>
                      <w:rFonts w:hint="eastAsia" w:ascii="宋体" w:hAnsi="宋体" w:eastAsia="宋体" w:cs="宋体"/>
                      <w:b/>
                      <w:bCs/>
                      <w:color w:val="auto"/>
                      <w:kern w:val="2"/>
                      <w:sz w:val="21"/>
                      <w:szCs w:val="21"/>
                      <w:highlight w:val="none"/>
                      <w:u w:val="none"/>
                      <w:lang w:val="en-US" w:eastAsia="zh-CN"/>
                    </w:rPr>
                    <w:t>身份</w:t>
                  </w:r>
                  <w:r>
                    <w:rPr>
                      <w:rFonts w:hint="eastAsia" w:ascii="宋体" w:hAnsi="宋体" w:eastAsia="宋体" w:cs="宋体"/>
                      <w:b/>
                      <w:bCs/>
                      <w:color w:val="auto"/>
                      <w:kern w:val="2"/>
                      <w:sz w:val="21"/>
                      <w:szCs w:val="21"/>
                      <w:highlight w:val="none"/>
                      <w:u w:val="none"/>
                    </w:rPr>
                    <w:t>证明书及授权委托书可由联合体</w:t>
                  </w:r>
                  <w:r>
                    <w:rPr>
                      <w:rFonts w:hint="eastAsia" w:ascii="宋体" w:hAnsi="宋体" w:eastAsia="宋体" w:cs="宋体"/>
                      <w:b/>
                      <w:bCs/>
                      <w:color w:val="auto"/>
                      <w:kern w:val="2"/>
                      <w:sz w:val="21"/>
                      <w:szCs w:val="21"/>
                      <w:highlight w:val="none"/>
                      <w:u w:val="none"/>
                      <w:lang w:val="en-US" w:eastAsia="zh-CN"/>
                    </w:rPr>
                    <w:t>主办方</w:t>
                  </w:r>
                  <w:r>
                    <w:rPr>
                      <w:rFonts w:hint="eastAsia" w:ascii="宋体" w:hAnsi="宋体" w:eastAsia="宋体" w:cs="宋体"/>
                      <w:b/>
                      <w:bCs/>
                      <w:color w:val="auto"/>
                      <w:kern w:val="2"/>
                      <w:sz w:val="21"/>
                      <w:szCs w:val="21"/>
                      <w:highlight w:val="none"/>
                      <w:u w:val="none"/>
                    </w:rPr>
                    <w:t>出具（其中“</w:t>
                  </w:r>
                  <w:r>
                    <w:rPr>
                      <w:rFonts w:hint="eastAsia" w:ascii="宋体" w:hAnsi="宋体" w:eastAsia="宋体" w:cs="宋体"/>
                      <w:b/>
                      <w:bCs/>
                      <w:color w:val="auto"/>
                      <w:kern w:val="2"/>
                      <w:sz w:val="21"/>
                      <w:szCs w:val="21"/>
                      <w:highlight w:val="none"/>
                      <w:u w:val="none"/>
                      <w:lang w:val="en-US" w:eastAsia="zh-CN"/>
                    </w:rPr>
                    <w:t>投标人</w:t>
                  </w:r>
                  <w:r>
                    <w:rPr>
                      <w:rFonts w:hint="eastAsia" w:ascii="宋体" w:hAnsi="宋体" w:eastAsia="宋体" w:cs="宋体"/>
                      <w:b/>
                      <w:bCs/>
                      <w:color w:val="auto"/>
                      <w:kern w:val="2"/>
                      <w:sz w:val="21"/>
                      <w:szCs w:val="21"/>
                      <w:highlight w:val="none"/>
                      <w:u w:val="none"/>
                    </w:rPr>
                    <w:t>”一栏可只填写联合体</w:t>
                  </w:r>
                  <w:r>
                    <w:rPr>
                      <w:rFonts w:hint="eastAsia" w:ascii="宋体" w:hAnsi="宋体" w:eastAsia="宋体" w:cs="宋体"/>
                      <w:b/>
                      <w:bCs/>
                      <w:color w:val="auto"/>
                      <w:kern w:val="2"/>
                      <w:sz w:val="21"/>
                      <w:szCs w:val="21"/>
                      <w:highlight w:val="none"/>
                      <w:u w:val="none"/>
                      <w:lang w:val="en-US" w:eastAsia="zh-CN"/>
                    </w:rPr>
                    <w:t>主办方</w:t>
                  </w:r>
                  <w:r>
                    <w:rPr>
                      <w:rFonts w:hint="eastAsia" w:ascii="宋体" w:hAnsi="宋体" w:eastAsia="宋体" w:cs="宋体"/>
                      <w:b/>
                      <w:bCs/>
                      <w:color w:val="auto"/>
                      <w:kern w:val="2"/>
                      <w:sz w:val="21"/>
                      <w:szCs w:val="21"/>
                      <w:highlight w:val="none"/>
                      <w:u w:val="none"/>
                    </w:rPr>
                    <w:t>名称）]外，其他资料若需要签字或盖章的均可由联合体</w:t>
                  </w:r>
                  <w:r>
                    <w:rPr>
                      <w:rFonts w:hint="eastAsia" w:ascii="宋体" w:hAnsi="宋体" w:eastAsia="宋体" w:cs="宋体"/>
                      <w:b/>
                      <w:bCs/>
                      <w:color w:val="auto"/>
                      <w:kern w:val="2"/>
                      <w:sz w:val="21"/>
                      <w:szCs w:val="21"/>
                      <w:highlight w:val="none"/>
                      <w:u w:val="none"/>
                      <w:lang w:val="en-US" w:eastAsia="zh-CN"/>
                    </w:rPr>
                    <w:t>主办方</w:t>
                  </w:r>
                  <w:r>
                    <w:rPr>
                      <w:rFonts w:hint="eastAsia" w:ascii="宋体" w:hAnsi="宋体" w:eastAsia="宋体" w:cs="宋体"/>
                      <w:b/>
                      <w:bCs/>
                      <w:color w:val="auto"/>
                      <w:kern w:val="2"/>
                      <w:sz w:val="21"/>
                      <w:szCs w:val="21"/>
                      <w:highlight w:val="none"/>
                      <w:u w:val="none"/>
                    </w:rPr>
                    <w:t>签字或盖章；其他内容及落款中的“投标人”、“投标单位”、“声明企业”应填写联合体各方的单位全称【格式表示为：(主)单位全称（成)单位全称...】，由联合体</w:t>
                  </w:r>
                  <w:r>
                    <w:rPr>
                      <w:rFonts w:hint="eastAsia" w:ascii="宋体" w:hAnsi="宋体" w:eastAsia="宋体" w:cs="宋体"/>
                      <w:b/>
                      <w:bCs/>
                      <w:color w:val="auto"/>
                      <w:kern w:val="2"/>
                      <w:sz w:val="21"/>
                      <w:szCs w:val="21"/>
                      <w:highlight w:val="none"/>
                      <w:u w:val="none"/>
                      <w:lang w:val="en-US" w:eastAsia="zh-CN"/>
                    </w:rPr>
                    <w:t>主办方</w:t>
                  </w:r>
                  <w:r>
                    <w:rPr>
                      <w:rFonts w:hint="eastAsia" w:ascii="宋体" w:hAnsi="宋体" w:eastAsia="宋体" w:cs="宋体"/>
                      <w:b/>
                      <w:bCs/>
                      <w:color w:val="auto"/>
                      <w:kern w:val="2"/>
                      <w:sz w:val="21"/>
                      <w:szCs w:val="21"/>
                      <w:highlight w:val="none"/>
                      <w:u w:val="none"/>
                    </w:rPr>
                    <w:t>按格式要求签字或盖章即可。</w:t>
                  </w:r>
                </w:p>
              </w:tc>
            </w:tr>
          </w:tbl>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3.7.3 (B)</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投标文件签字或盖章要求 </w:t>
            </w:r>
          </w:p>
        </w:tc>
        <w:tc>
          <w:tcPr>
            <w:tcW w:w="5746" w:type="dxa"/>
            <w:tcBorders>
              <w:top w:val="single" w:color="auto" w:sz="4" w:space="0"/>
              <w:left w:val="single" w:color="auto" w:sz="4" w:space="0"/>
              <w:bottom w:val="single" w:color="auto" w:sz="4" w:space="0"/>
              <w:right w:val="single" w:color="auto" w:sz="4" w:space="0"/>
            </w:tcBorders>
            <w:noWrap/>
            <w:vAlign w:val="center"/>
          </w:tcPr>
          <w:p>
            <w:pPr>
              <w:rPr>
                <w:color w:val="auto"/>
                <w:highlight w:val="none"/>
              </w:rPr>
            </w:pPr>
            <w:r>
              <w:rPr>
                <w:rFonts w:hint="eastAsia"/>
                <w:color w:val="auto"/>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相关操作详见广州交易集团有限公司（广州公共资源交易中心）官网最新发布的相关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4.1.1（A）</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投标文件加密要求</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4.1.1(B)</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投标文件加密要求</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网上递交的电子投标文件须进行加密。具体操作详见</w:t>
            </w:r>
            <w:r>
              <w:rPr>
                <w:rFonts w:hint="eastAsia" w:hAnsi="宋体" w:cs="宋体"/>
                <w:color w:val="auto"/>
                <w:szCs w:val="21"/>
                <w:highlight w:val="none"/>
              </w:rPr>
              <w:t>广州交易集团有限公司（广州公共资源交易中心）官网</w:t>
            </w:r>
            <w:r>
              <w:rPr>
                <w:rFonts w:hint="eastAsia" w:ascii="宋体" w:hAnsi="宋体" w:cs="宋体"/>
                <w:color w:val="auto"/>
                <w:szCs w:val="21"/>
                <w:highlight w:val="none"/>
              </w:rPr>
              <w:t>最新发布的《房建市政全流程电子化项目操作专章》。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423" w:type="dxa"/>
            <w:tcBorders>
              <w:top w:val="single" w:color="auto" w:sz="4" w:space="0"/>
              <w:left w:val="single" w:color="auto" w:sz="4" w:space="0"/>
              <w:bottom w:val="single" w:color="auto" w:sz="4" w:space="0"/>
              <w:right w:val="single" w:color="auto" w:sz="4" w:space="0"/>
            </w:tcBorders>
            <w:noWrap/>
            <w:vAlign w:val="center"/>
          </w:tcPr>
          <w:p>
            <w:pPr>
              <w:ind w:left="210" w:leftChars="100"/>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5746" w:type="dxa"/>
            <w:tcBorders>
              <w:top w:val="single" w:color="auto" w:sz="4" w:space="0"/>
              <w:left w:val="single" w:color="auto" w:sz="4" w:space="0"/>
              <w:bottom w:val="single" w:color="auto" w:sz="4" w:space="0"/>
              <w:right w:val="single" w:color="auto" w:sz="4" w:space="0"/>
            </w:tcBorders>
            <w:noWrap/>
            <w:vAlign w:val="center"/>
          </w:tcPr>
          <w:p>
            <w:pPr>
              <w:ind w:hanging="10"/>
              <w:rPr>
                <w:rFonts w:ascii="宋体" w:hAnsi="宋体" w:cs="宋体"/>
                <w:color w:val="auto"/>
                <w:szCs w:val="21"/>
                <w:highlight w:val="none"/>
              </w:rPr>
            </w:pPr>
            <w:r>
              <w:rPr>
                <w:rFonts w:hint="eastAsia" w:ascii="宋体" w:hAnsi="宋体" w:cs="宋体"/>
                <w:b/>
                <w:bCs/>
                <w:color w:val="auto"/>
                <w:szCs w:val="21"/>
                <w:highlight w:val="none"/>
              </w:rPr>
              <w:t>如有提交投标文件光盘备用，封套上应注明如下信息：</w:t>
            </w:r>
          </w:p>
          <w:p>
            <w:pPr>
              <w:ind w:hanging="1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招标人名称：</w:t>
            </w:r>
            <w:r>
              <w:rPr>
                <w:rFonts w:hint="eastAsia" w:ascii="宋体" w:hAnsi="宋体" w:cs="宋体"/>
                <w:color w:val="auto"/>
                <w:szCs w:val="21"/>
                <w:highlight w:val="none"/>
                <w:lang w:val="en-US" w:eastAsia="zh-CN"/>
              </w:rPr>
              <w:t xml:space="preserve"> </w:t>
            </w:r>
          </w:p>
          <w:p>
            <w:pPr>
              <w:ind w:hanging="1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招标人地址：</w:t>
            </w:r>
            <w:r>
              <w:rPr>
                <w:rFonts w:hint="eastAsia" w:ascii="宋体" w:hAnsi="宋体" w:cs="宋体"/>
                <w:color w:val="auto"/>
                <w:szCs w:val="21"/>
                <w:highlight w:val="none"/>
                <w:lang w:val="en-US" w:eastAsia="zh-CN"/>
              </w:rPr>
              <w:t xml:space="preserve"> </w:t>
            </w:r>
          </w:p>
          <w:p>
            <w:pPr>
              <w:rPr>
                <w:rFonts w:ascii="宋体" w:hAnsi="宋体" w:cs="宋体"/>
                <w:color w:val="auto"/>
                <w:szCs w:val="21"/>
                <w:highlight w:val="none"/>
              </w:rPr>
            </w:pPr>
            <w:r>
              <w:rPr>
                <w:rFonts w:hint="eastAsia" w:ascii="宋体" w:hAnsi="宋体" w:cs="宋体"/>
                <w:color w:val="auto"/>
                <w:szCs w:val="21"/>
                <w:highlight w:val="none"/>
              </w:rPr>
              <w:t>投标文件</w:t>
            </w:r>
          </w:p>
          <w:p>
            <w:pPr>
              <w:ind w:hanging="10"/>
              <w:rPr>
                <w:rFonts w:ascii="宋体" w:hAnsi="宋体" w:cs="宋体"/>
                <w:color w:val="auto"/>
                <w:szCs w:val="21"/>
                <w:highlight w:val="none"/>
              </w:rPr>
            </w:pPr>
            <w:r>
              <w:rPr>
                <w:rFonts w:hint="eastAsia" w:ascii="宋体" w:hAnsi="宋体" w:cs="宋体"/>
                <w:color w:val="auto"/>
                <w:szCs w:val="21"/>
                <w:highlight w:val="none"/>
              </w:rPr>
              <w:t>招标项目编号：</w:t>
            </w:r>
          </w:p>
          <w:p>
            <w:pPr>
              <w:ind w:hanging="10"/>
              <w:rPr>
                <w:rFonts w:ascii="宋体" w:hAnsi="宋体" w:cs="宋体"/>
                <w:color w:val="auto"/>
                <w:szCs w:val="21"/>
                <w:highlight w:val="none"/>
              </w:rPr>
            </w:pPr>
            <w:r>
              <w:rPr>
                <w:rFonts w:hint="eastAsia" w:ascii="宋体" w:hAnsi="宋体" w:cs="宋体"/>
                <w:color w:val="auto"/>
                <w:szCs w:val="21"/>
                <w:highlight w:val="none"/>
              </w:rPr>
              <w:t>在年月日时前不得开启（填入开标时间）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4.2.1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szCs w:val="21"/>
                <w:highlight w:val="none"/>
              </w:rPr>
            </w:pPr>
            <w:r>
              <w:rPr>
                <w:rFonts w:hint="eastAsia" w:ascii="宋体" w:hAnsi="宋体" w:cs="宋体"/>
                <w:color w:val="auto"/>
                <w:szCs w:val="21"/>
                <w:highlight w:val="none"/>
              </w:rPr>
              <w:t>4.2.2（A）</w:t>
            </w:r>
          </w:p>
        </w:tc>
        <w:tc>
          <w:tcPr>
            <w:tcW w:w="242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投标文件是否退还</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pPr>
              <w:rPr>
                <w:rFonts w:ascii="宋体" w:hAnsi="宋体" w:cs="宋体"/>
                <w:color w:val="auto"/>
                <w:szCs w:val="21"/>
                <w:highlight w:val="none"/>
              </w:rPr>
            </w:pPr>
            <w:r>
              <w:rPr>
                <w:rFonts w:hint="eastAsia" w:ascii="宋体" w:hAnsi="宋体" w:cs="宋体"/>
                <w:color w:val="auto"/>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4.3</w:t>
            </w:r>
          </w:p>
        </w:tc>
        <w:tc>
          <w:tcPr>
            <w:tcW w:w="2423"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投标文件的修改与撤回</w:t>
            </w:r>
          </w:p>
        </w:tc>
        <w:tc>
          <w:tcPr>
            <w:tcW w:w="5746" w:type="dxa"/>
            <w:tcBorders>
              <w:top w:val="single" w:color="auto" w:sz="4" w:space="0"/>
              <w:left w:val="single" w:color="auto" w:sz="4" w:space="0"/>
              <w:bottom w:val="single" w:color="auto" w:sz="4" w:space="0"/>
              <w:right w:val="single" w:color="auto" w:sz="4" w:space="0"/>
            </w:tcBorders>
            <w:noWrap/>
            <w:vAlign w:val="center"/>
          </w:tcPr>
          <w:p>
            <w:pPr>
              <w:pStyle w:val="8"/>
              <w:numPr>
                <w:ilvl w:val="0"/>
                <w:numId w:val="3"/>
              </w:numPr>
              <w:topLinePunct/>
              <w:snapToGrid w:val="0"/>
              <w:ind w:right="174" w:rightChars="83"/>
              <w:rPr>
                <w:rFonts w:hAnsi="宋体" w:cs="宋体"/>
                <w:color w:val="auto"/>
                <w:sz w:val="21"/>
                <w:szCs w:val="21"/>
                <w:highlight w:val="none"/>
              </w:rPr>
            </w:pPr>
            <w:r>
              <w:rPr>
                <w:rFonts w:hint="eastAsia" w:hAnsi="宋体" w:cs="宋体"/>
                <w:color w:val="auto"/>
                <w:sz w:val="21"/>
                <w:szCs w:val="21"/>
                <w:highlight w:val="none"/>
              </w:rPr>
              <w:t>投标人修改或撤回已递交的投标文件，需在交易平台发出撤回通知，并按要求加盖电子印章。电子招标投标交易平台收到通知后，即时向投标人发布确认回执通知。</w:t>
            </w:r>
          </w:p>
          <w:p>
            <w:pPr>
              <w:snapToGrid w:val="0"/>
              <w:rPr>
                <w:rFonts w:ascii="宋体" w:hAnsi="宋体" w:cs="宋体"/>
                <w:color w:val="auto"/>
                <w:szCs w:val="21"/>
                <w:highlight w:val="none"/>
              </w:rPr>
            </w:pPr>
            <w:r>
              <w:rPr>
                <w:rFonts w:hint="eastAsia" w:ascii="宋体" w:hAnsi="宋体" w:cs="宋体"/>
                <w:color w:val="auto"/>
                <w:szCs w:val="21"/>
                <w:highlight w:val="none"/>
              </w:rPr>
              <w:t>2.投标人撤回投标文件的，招标人自收到投标人书面撤回通知之日起5日内退还已收取的投标保证金。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5.1（A）</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5.1（B）</w:t>
            </w:r>
          </w:p>
          <w:p>
            <w:pPr>
              <w:jc w:val="center"/>
              <w:rPr>
                <w:rFonts w:ascii="宋体" w:hAnsi="宋体" w:cs="宋体"/>
                <w:color w:val="auto"/>
                <w:szCs w:val="21"/>
                <w:highlight w:val="none"/>
              </w:rPr>
            </w:pPr>
            <w:r>
              <w:rPr>
                <w:rFonts w:hint="eastAsia" w:ascii="宋体" w:hAnsi="宋体" w:cs="宋体"/>
                <w:color w:val="auto"/>
                <w:szCs w:val="21"/>
                <w:highlight w:val="none"/>
              </w:rPr>
              <w:t>（新增）</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5746" w:type="dxa"/>
            <w:tcBorders>
              <w:top w:val="single" w:color="auto" w:sz="4" w:space="0"/>
              <w:left w:val="single" w:color="auto" w:sz="4" w:space="0"/>
              <w:bottom w:val="single" w:color="auto" w:sz="4" w:space="0"/>
              <w:right w:val="single" w:color="auto" w:sz="4" w:space="0"/>
            </w:tcBorders>
            <w:noWrap/>
            <w:vAlign w:val="center"/>
          </w:tcPr>
          <w:p>
            <w:pPr>
              <w:rPr>
                <w:color w:val="auto"/>
                <w:highlight w:val="none"/>
              </w:rPr>
            </w:pPr>
            <w:r>
              <w:rPr>
                <w:rFonts w:hint="eastAsia"/>
                <w:color w:val="auto"/>
                <w:highlight w:val="none"/>
              </w:rPr>
              <w:t>开标时间：同投标截止时间</w:t>
            </w:r>
          </w:p>
          <w:p>
            <w:pPr>
              <w:rPr>
                <w:color w:val="auto"/>
                <w:highlight w:val="none"/>
              </w:rPr>
            </w:pPr>
            <w:r>
              <w:rPr>
                <w:rFonts w:hint="eastAsia"/>
                <w:color w:val="auto"/>
                <w:highlight w:val="none"/>
              </w:rPr>
              <w:t>开标地点：</w:t>
            </w:r>
            <w:r>
              <w:rPr>
                <w:rFonts w:hint="eastAsia" w:hAnsi="宋体" w:cs="宋体"/>
                <w:color w:val="auto"/>
                <w:szCs w:val="21"/>
                <w:highlight w:val="none"/>
              </w:rPr>
              <w:t>广州交易集团有限公司（广州公共资源交易中心）</w:t>
            </w:r>
            <w:r>
              <w:rPr>
                <w:rFonts w:hint="eastAsia"/>
                <w:color w:val="auto"/>
                <w:highlight w:val="none"/>
              </w:rPr>
              <w:t>黄埔交易部（黄埔区水西路32号四楼）指定开标室</w:t>
            </w:r>
          </w:p>
          <w:p>
            <w:pPr>
              <w:pStyle w:val="18"/>
              <w:ind w:firstLine="0" w:firstLineChars="0"/>
              <w:rPr>
                <w:color w:val="auto"/>
                <w:kern w:val="2"/>
                <w:sz w:val="21"/>
                <w:highlight w:val="none"/>
                <w:u w:val="single"/>
              </w:rPr>
            </w:pPr>
            <w:r>
              <w:rPr>
                <w:rFonts w:hint="eastAsia"/>
                <w:color w:val="auto"/>
                <w:kern w:val="2"/>
                <w:sz w:val="21"/>
                <w:highlight w:val="none"/>
              </w:rPr>
              <w:t>本电子招投标项目在</w:t>
            </w:r>
            <w:r>
              <w:rPr>
                <w:rFonts w:hint="eastAsia" w:hAnsi="宋体" w:cs="宋体"/>
                <w:color w:val="auto"/>
                <w:kern w:val="2"/>
                <w:sz w:val="21"/>
                <w:szCs w:val="21"/>
                <w:highlight w:val="none"/>
              </w:rPr>
              <w:t>广州交易集团有限公司（广州公共资源交易中心）通过电子招标投标交易平台</w:t>
            </w:r>
            <w:r>
              <w:rPr>
                <w:rFonts w:hint="eastAsia"/>
                <w:color w:val="auto"/>
                <w:kern w:val="2"/>
                <w:sz w:val="21"/>
                <w:highlight w:val="none"/>
              </w:rPr>
              <w:t>公开开标，并邀请所有投标人的法定代表人（单位负责人）或其委托代理人准时参加。</w:t>
            </w:r>
            <w:r>
              <w:rPr>
                <w:rFonts w:hint="eastAsia"/>
                <w:color w:val="auto"/>
                <w:kern w:val="2"/>
                <w:sz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18"/>
              <w:ind w:firstLine="0" w:firstLineChars="0"/>
              <w:rPr>
                <w:color w:val="auto"/>
                <w:kern w:val="2"/>
                <w:sz w:val="21"/>
                <w:highlight w:val="none"/>
                <w:u w:val="single"/>
              </w:rPr>
            </w:pPr>
            <w:r>
              <w:rPr>
                <w:rFonts w:hint="eastAsia"/>
                <w:b/>
                <w:bCs/>
                <w:color w:val="auto"/>
                <w:kern w:val="2"/>
                <w:sz w:val="21"/>
                <w:highlight w:val="none"/>
              </w:rPr>
              <w:t>具体时间、地点可以到广州交易集团有限公司（广州公共资源交易中心）网站的项目查询(日程安排、答疑纪要)中输入本项目编号或项目名称进行查询。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5.2（4）（A）</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开标程序</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5.2（4）（B）</w:t>
            </w:r>
          </w:p>
          <w:p>
            <w:pPr>
              <w:jc w:val="center"/>
              <w:rPr>
                <w:rFonts w:ascii="宋体" w:hAnsi="宋体" w:cs="宋体"/>
                <w:color w:val="auto"/>
                <w:szCs w:val="21"/>
                <w:highlight w:val="none"/>
              </w:rPr>
            </w:pPr>
            <w:r>
              <w:rPr>
                <w:rFonts w:hint="eastAsia" w:ascii="宋体" w:hAnsi="宋体" w:cs="宋体"/>
                <w:color w:val="auto"/>
                <w:szCs w:val="21"/>
                <w:highlight w:val="none"/>
              </w:rPr>
              <w:t>（新增）</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开标程序</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电子招投标项目开标按下列程序进行：</w:t>
            </w:r>
          </w:p>
          <w:p>
            <w:pPr>
              <w:rPr>
                <w:rFonts w:ascii="宋体" w:hAnsi="宋体" w:cs="宋体"/>
                <w:color w:val="auto"/>
                <w:szCs w:val="21"/>
                <w:highlight w:val="none"/>
                <w:u w:val="single"/>
              </w:rPr>
            </w:pPr>
            <w:r>
              <w:rPr>
                <w:rFonts w:hint="eastAsia" w:ascii="宋体" w:hAnsi="宋体" w:cs="宋体"/>
                <w:color w:val="auto"/>
                <w:szCs w:val="21"/>
                <w:highlight w:val="none"/>
                <w:u w:val="single"/>
              </w:rPr>
              <w:t>5.2.1主持人按下列程序进行开标：</w:t>
            </w:r>
          </w:p>
          <w:p>
            <w:pPr>
              <w:rPr>
                <w:rFonts w:ascii="宋体" w:hAnsi="宋体" w:cs="宋体"/>
                <w:color w:val="auto"/>
                <w:szCs w:val="21"/>
                <w:highlight w:val="none"/>
                <w:u w:val="single"/>
              </w:rPr>
            </w:pPr>
            <w:r>
              <w:rPr>
                <w:rFonts w:hint="eastAsia" w:ascii="宋体" w:hAnsi="宋体" w:cs="宋体"/>
                <w:color w:val="auto"/>
                <w:szCs w:val="21"/>
                <w:highlight w:val="none"/>
                <w:u w:val="single"/>
              </w:rPr>
              <w:t>（1）宣布开标纪律；</w:t>
            </w:r>
          </w:p>
          <w:p>
            <w:pPr>
              <w:rPr>
                <w:rFonts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pPr>
              <w:rPr>
                <w:rFonts w:ascii="宋体" w:hAnsi="宋体" w:cs="宋体"/>
                <w:color w:val="auto"/>
                <w:szCs w:val="21"/>
                <w:highlight w:val="none"/>
                <w:u w:val="single"/>
              </w:rPr>
            </w:pPr>
            <w:r>
              <w:rPr>
                <w:rFonts w:hint="eastAsia" w:ascii="宋体" w:hAnsi="宋体" w:cs="宋体"/>
                <w:color w:val="auto"/>
                <w:szCs w:val="21"/>
                <w:highlight w:val="none"/>
                <w:u w:val="single"/>
              </w:rPr>
              <w:t>（3）宣布开标人、唱标人、记录人、监标人等有关人员姓名；</w:t>
            </w:r>
          </w:p>
          <w:p>
            <w:pPr>
              <w:rPr>
                <w:rFonts w:ascii="宋体" w:hAnsi="宋体" w:cs="宋体"/>
                <w:color w:val="auto"/>
                <w:szCs w:val="21"/>
                <w:highlight w:val="none"/>
                <w:u w:val="single"/>
              </w:rPr>
            </w:pPr>
            <w:r>
              <w:rPr>
                <w:rFonts w:hint="eastAsia" w:ascii="宋体" w:hAnsi="宋体" w:cs="宋体"/>
                <w:color w:val="auto"/>
                <w:szCs w:val="21"/>
                <w:highlight w:val="none"/>
                <w:u w:val="single"/>
              </w:rPr>
              <w:t>（4）在投标截止时间后</w:t>
            </w:r>
            <w:r>
              <w:rPr>
                <w:rFonts w:hint="eastAsia" w:ascii="宋体" w:hAnsi="宋体" w:cs="宋体"/>
                <w:b/>
                <w:bCs/>
                <w:color w:val="auto"/>
                <w:szCs w:val="21"/>
                <w:highlight w:val="none"/>
                <w:u w:val="single"/>
              </w:rPr>
              <w:t>一小时</w:t>
            </w:r>
            <w:r>
              <w:rPr>
                <w:rFonts w:hint="eastAsia" w:ascii="宋体" w:hAnsi="宋体" w:cs="宋体"/>
                <w:color w:val="auto"/>
                <w:szCs w:val="21"/>
                <w:highlight w:val="none"/>
                <w:u w:val="single"/>
              </w:rPr>
              <w:t>内，投标人通过电子招标投标交易平台对已递交的电子投标文件进行解密，投标人完成解密后，再由招标人或招标代理机构进行解密。解密完成后，公布招标项目名称、投标人名称、投标保证金的递交情况、投标报价、服务期限及其他内容，并记录在案；</w:t>
            </w:r>
          </w:p>
          <w:p>
            <w:pPr>
              <w:rPr>
                <w:rFonts w:ascii="宋体" w:hAnsi="宋体" w:cs="宋体"/>
                <w:color w:val="auto"/>
                <w:szCs w:val="21"/>
                <w:highlight w:val="none"/>
                <w:u w:val="single"/>
              </w:rPr>
            </w:pPr>
            <w:r>
              <w:rPr>
                <w:rFonts w:hint="eastAsia" w:ascii="宋体" w:hAnsi="宋体" w:cs="宋体"/>
                <w:color w:val="auto"/>
                <w:szCs w:val="21"/>
                <w:highlight w:val="none"/>
                <w:u w:val="single"/>
              </w:rPr>
              <w:t>（5）投标人代表、招标人代表、监标人、记录人等有关人员在开标记录上签字确认；若有关人员不签字的，不影响开标程序；</w:t>
            </w:r>
          </w:p>
          <w:p>
            <w:pPr>
              <w:rPr>
                <w:rFonts w:ascii="宋体" w:hAnsi="宋体" w:cs="宋体"/>
                <w:color w:val="auto"/>
                <w:szCs w:val="21"/>
                <w:highlight w:val="none"/>
                <w:u w:val="single"/>
              </w:rPr>
            </w:pPr>
            <w:r>
              <w:rPr>
                <w:rFonts w:hint="eastAsia" w:ascii="宋体" w:hAnsi="宋体" w:cs="宋体"/>
                <w:color w:val="auto"/>
                <w:szCs w:val="21"/>
                <w:highlight w:val="none"/>
                <w:u w:val="single"/>
              </w:rPr>
              <w:t>（6）开标结束。</w:t>
            </w:r>
          </w:p>
          <w:p>
            <w:pPr>
              <w:rPr>
                <w:rFonts w:ascii="宋体" w:hAnsi="宋体" w:cs="宋体"/>
                <w:color w:val="auto"/>
                <w:szCs w:val="21"/>
                <w:highlight w:val="none"/>
                <w:u w:val="single"/>
              </w:rPr>
            </w:pPr>
            <w:r>
              <w:rPr>
                <w:rFonts w:hint="eastAsia" w:ascii="宋体" w:hAnsi="宋体" w:cs="宋体"/>
                <w:color w:val="auto"/>
                <w:szCs w:val="21"/>
                <w:highlight w:val="none"/>
                <w:u w:val="singl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pPr>
              <w:rPr>
                <w:rFonts w:ascii="宋体" w:hAnsi="宋体" w:cs="宋体"/>
                <w:color w:val="auto"/>
                <w:szCs w:val="21"/>
                <w:highlight w:val="none"/>
              </w:rPr>
            </w:pPr>
            <w:r>
              <w:rPr>
                <w:rFonts w:hint="eastAsia" w:ascii="宋体" w:hAnsi="宋体" w:cs="宋体"/>
                <w:color w:val="auto"/>
                <w:szCs w:val="21"/>
                <w:highlight w:val="none"/>
                <w:u w:val="single"/>
              </w:rPr>
              <w:t>5.2.3开标时，本项目两个（含两个）以上的投标人加密打包投标文件电脑机器特征码一致的，不参与下一程序，并由评标委员会否决其投标。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snapToGrid w:val="0"/>
              <w:spacing w:before="48" w:beforeLines="20" w:after="48" w:afterLines="20" w:line="300" w:lineRule="auto"/>
              <w:jc w:val="center"/>
              <w:rPr>
                <w:rFonts w:ascii="宋体" w:hAnsi="宋体" w:cs="宋体"/>
                <w:color w:val="auto"/>
                <w:szCs w:val="21"/>
                <w:highlight w:val="none"/>
              </w:rPr>
            </w:pPr>
            <w:r>
              <w:rPr>
                <w:rFonts w:hint="eastAsia" w:ascii="宋体" w:hAnsi="宋体" w:cs="宋体"/>
                <w:color w:val="auto"/>
                <w:szCs w:val="21"/>
                <w:highlight w:val="none"/>
              </w:rPr>
              <w:t>5.3</w:t>
            </w:r>
          </w:p>
        </w:tc>
        <w:tc>
          <w:tcPr>
            <w:tcW w:w="2423" w:type="dxa"/>
            <w:tcBorders>
              <w:top w:val="single" w:color="auto" w:sz="4" w:space="0"/>
              <w:left w:val="single" w:color="auto" w:sz="4" w:space="0"/>
              <w:bottom w:val="single" w:color="auto" w:sz="4" w:space="0"/>
              <w:right w:val="single" w:color="auto" w:sz="4" w:space="0"/>
            </w:tcBorders>
            <w:noWrap/>
            <w:vAlign w:val="center"/>
          </w:tcPr>
          <w:p>
            <w:pPr>
              <w:snapToGrid w:val="0"/>
              <w:spacing w:before="48" w:beforeLines="20" w:after="48" w:afterLines="20" w:line="300" w:lineRule="auto"/>
              <w:rPr>
                <w:rFonts w:ascii="宋体" w:hAnsi="宋体" w:cs="宋体"/>
                <w:color w:val="auto"/>
                <w:szCs w:val="21"/>
                <w:highlight w:val="none"/>
              </w:rPr>
            </w:pPr>
            <w:r>
              <w:rPr>
                <w:rFonts w:hint="eastAsia" w:ascii="宋体" w:hAnsi="宋体" w:cs="宋体"/>
                <w:color w:val="auto"/>
                <w:szCs w:val="21"/>
                <w:highlight w:val="none"/>
              </w:rPr>
              <w:t>开标异议</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5.3.1 参加现场开标的投标人对开标结果有异议的，应当在开标现场提出，同时出示本人身份证原件，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rPr>
                <w:rFonts w:ascii="宋体" w:hAnsi="宋体" w:cs="宋体"/>
                <w:color w:val="auto"/>
                <w:szCs w:val="21"/>
                <w:highlight w:val="none"/>
                <w:u w:val="single"/>
              </w:rPr>
            </w:pPr>
            <w:r>
              <w:rPr>
                <w:rFonts w:hint="eastAsia" w:ascii="宋体" w:hAnsi="宋体" w:cs="宋体"/>
                <w:color w:val="auto"/>
                <w:szCs w:val="21"/>
                <w:highlight w:val="none"/>
                <w:u w:val="single"/>
              </w:rPr>
              <w:t>5.3.2 投标人未参加开标或在规定的时间内未提出异议的，视为对开标无异议。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6.3.2</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推荐的中标候选人数：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574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公示媒介：中国招标投标公共服务平台、广东省招标投标监管网、</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官网</w:t>
            </w:r>
            <w:r>
              <w:rPr>
                <w:rFonts w:hint="eastAsia" w:ascii="宋体" w:hAnsi="宋体" w:cs="宋体"/>
                <w:color w:val="auto"/>
                <w:szCs w:val="21"/>
                <w:highlight w:val="none"/>
                <w:lang w:eastAsia="zh-CN"/>
              </w:rPr>
              <w:t>、</w:t>
            </w:r>
            <w:bookmarkStart w:id="62" w:name="OLE_LINK7"/>
            <w:r>
              <w:rPr>
                <w:rFonts w:hint="eastAsia" w:ascii="宋体" w:hAnsi="宋体" w:cs="宋体"/>
                <w:color w:val="auto"/>
                <w:szCs w:val="21"/>
                <w:highlight w:val="none"/>
                <w:lang w:eastAsia="zh-CN"/>
              </w:rPr>
              <w:t>广州国企阳光采购信息发布平台</w:t>
            </w:r>
            <w:bookmarkEnd w:id="62"/>
            <w:r>
              <w:rPr>
                <w:rFonts w:hint="eastAsia" w:ascii="宋体" w:hAnsi="宋体" w:cs="宋体"/>
                <w:color w:val="auto"/>
                <w:szCs w:val="21"/>
                <w:highlight w:val="none"/>
              </w:rPr>
              <w:t>。</w:t>
            </w:r>
          </w:p>
          <w:p>
            <w:pPr>
              <w:pStyle w:val="23"/>
              <w:rPr>
                <w:color w:val="auto"/>
                <w:highlight w:val="none"/>
              </w:rPr>
            </w:pPr>
            <w:r>
              <w:rPr>
                <w:rFonts w:hint="eastAsia" w:hAnsi="宋体" w:cs="宋体"/>
                <w:b/>
                <w:bCs/>
                <w:color w:val="auto"/>
                <w:sz w:val="21"/>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rPr>
                <w:rFonts w:ascii="宋体" w:hAnsi="宋体" w:cs="宋体"/>
                <w:color w:val="auto"/>
                <w:szCs w:val="21"/>
                <w:highlight w:val="none"/>
              </w:rPr>
            </w:pPr>
            <w:r>
              <w:rPr>
                <w:rFonts w:hint="eastAsia" w:ascii="宋体" w:hAnsi="宋体" w:cs="宋体"/>
                <w:color w:val="auto"/>
                <w:szCs w:val="21"/>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7.4</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□是</w:t>
            </w:r>
          </w:p>
          <w:p>
            <w:pPr>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7.6.1</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履约保证金</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是否要求中标人提交履约保证金：</w:t>
            </w:r>
          </w:p>
          <w:p>
            <w:pPr>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要求，中标人提供的履约保函为中标价款的10%，具体见合同相关条款。</w:t>
            </w:r>
          </w:p>
          <w:p>
            <w:pPr>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24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是否采用电子招标投标</w:t>
            </w:r>
          </w:p>
        </w:tc>
        <w:tc>
          <w:tcPr>
            <w:tcW w:w="574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□否</w:t>
            </w:r>
          </w:p>
          <w:p>
            <w:pPr>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是，具体要求：</w:t>
            </w:r>
          </w:p>
          <w:p>
            <w:pPr>
              <w:rPr>
                <w:rFonts w:ascii="宋体" w:hAnsi="宋体" w:cs="宋体"/>
                <w:color w:val="auto"/>
                <w:szCs w:val="21"/>
                <w:highlight w:val="none"/>
              </w:rPr>
            </w:pPr>
            <w:r>
              <w:rPr>
                <w:rFonts w:hint="eastAsia" w:ascii="宋体" w:hAnsi="宋体" w:cs="宋体"/>
                <w:color w:val="auto"/>
                <w:szCs w:val="21"/>
                <w:highlight w:val="none"/>
              </w:rPr>
              <w:t>1、具体操作详见</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官网最新发布的《建设工程全流程电子化项目操作指南》。</w:t>
            </w:r>
          </w:p>
          <w:p>
            <w:pPr>
              <w:rPr>
                <w:rFonts w:ascii="宋体" w:hAnsi="宋体" w:cs="宋体"/>
                <w:color w:val="auto"/>
                <w:szCs w:val="21"/>
                <w:highlight w:val="none"/>
              </w:rPr>
            </w:pPr>
            <w:r>
              <w:rPr>
                <w:rFonts w:hint="eastAsia" w:ascii="宋体" w:hAnsi="宋体" w:cs="宋体"/>
                <w:color w:val="auto"/>
                <w:szCs w:val="21"/>
                <w:highlight w:val="none"/>
              </w:rPr>
              <w:t>2、现场提交投标文件光盘备用</w:t>
            </w:r>
          </w:p>
          <w:p>
            <w:pPr>
              <w:spacing w:line="276" w:lineRule="auto"/>
              <w:rPr>
                <w:rFonts w:ascii="宋体" w:hAnsi="宋体" w:cs="宋体"/>
                <w:color w:val="auto"/>
                <w:szCs w:val="21"/>
                <w:highlight w:val="none"/>
              </w:rPr>
            </w:pPr>
            <w:r>
              <w:rPr>
                <w:rFonts w:hint="eastAsia" w:ascii="宋体" w:hAnsi="宋体" w:cs="宋体"/>
                <w:color w:val="auto"/>
                <w:szCs w:val="21"/>
                <w:highlight w:val="none"/>
              </w:rPr>
              <w:t>（1）投标人可制作非加密的电子投标文件（PDF格式）刻入光盘（1份），在规定的时间、地点</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开标现场（投标截止时间前）</w:t>
            </w:r>
            <w:r>
              <w:rPr>
                <w:rFonts w:hint="eastAsia" w:ascii="宋体" w:hAnsi="宋体" w:cs="宋体"/>
                <w:color w:val="auto"/>
                <w:szCs w:val="21"/>
                <w:highlight w:val="none"/>
                <w:u w:val="single"/>
              </w:rPr>
              <w:t>】</w:t>
            </w:r>
            <w:r>
              <w:rPr>
                <w:rFonts w:hint="eastAsia" w:ascii="宋体" w:hAnsi="宋体" w:cs="宋体"/>
                <w:color w:val="auto"/>
                <w:szCs w:val="21"/>
                <w:highlight w:val="none"/>
              </w:rPr>
              <w:t>提交备用光盘。(刻录好的投标文件光盘密封在密封袋中，并在封口处加盖投标人单位公章。密封袋上应写明项目名称和招标人名称。</w:t>
            </w:r>
          </w:p>
          <w:p>
            <w:pPr>
              <w:rPr>
                <w:rFonts w:ascii="宋体" w:hAnsi="宋体" w:cs="宋体"/>
                <w:color w:val="auto"/>
                <w:szCs w:val="21"/>
                <w:highlight w:val="none"/>
              </w:rPr>
            </w:pPr>
            <w:r>
              <w:rPr>
                <w:rFonts w:hint="eastAsia" w:ascii="宋体" w:hAnsi="宋体" w:cs="宋体"/>
                <w:color w:val="auto"/>
                <w:szCs w:val="21"/>
                <w:highlight w:val="none"/>
              </w:rPr>
              <w:t>（2）递交的投标文件（光盘）不得加密。光盘（投标文件）无法读取或导入的，则视为未提交备用投标文件光盘。如果投标人没有按规定通过交易平台网上递交电子投标文件的，不再读取提交的光盘。投标人可选择不提交光盘备用。</w:t>
            </w:r>
            <w:r>
              <w:rPr>
                <w:rFonts w:hint="eastAsia" w:ascii="宋体" w:hAnsi="宋体" w:cs="宋体"/>
                <w:b/>
                <w:bCs/>
                <w:color w:val="auto"/>
                <w:szCs w:val="21"/>
                <w:highlight w:val="none"/>
                <w:u w:val="single"/>
              </w:rPr>
              <w:t>递交投标文件光盘备用时需提供法定代表人证明书；委托投标的还应提供法人授权委托证明书。</w:t>
            </w:r>
          </w:p>
          <w:p>
            <w:pPr>
              <w:rPr>
                <w:rFonts w:ascii="宋体" w:hAnsi="宋体" w:cs="宋体"/>
                <w:color w:val="auto"/>
                <w:szCs w:val="21"/>
                <w:highlight w:val="none"/>
              </w:rPr>
            </w:pPr>
            <w:r>
              <w:rPr>
                <w:rFonts w:hint="eastAsia" w:ascii="宋体" w:hAnsi="宋体" w:cs="宋体"/>
                <w:color w:val="auto"/>
                <w:szCs w:val="21"/>
                <w:highlight w:val="none"/>
              </w:rPr>
              <w:t>3、补救方案</w:t>
            </w:r>
          </w:p>
          <w:p>
            <w:pPr>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pPr>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pPr>
              <w:rPr>
                <w:rFonts w:ascii="宋体" w:hAnsi="宋体" w:cs="宋体"/>
                <w:color w:val="auto"/>
                <w:szCs w:val="21"/>
                <w:highlight w:val="none"/>
              </w:rPr>
            </w:pPr>
            <w:r>
              <w:rPr>
                <w:rFonts w:hint="eastAsia" w:ascii="宋体" w:hAnsi="宋体" w:cs="宋体"/>
                <w:color w:val="auto"/>
                <w:szCs w:val="21"/>
                <w:highlight w:val="none"/>
              </w:rPr>
              <w:t>若遇不可抗力发生（如：网络瘫痪、服务器损坏、交易系统故障短期无法恢复等因素），由评标委员会开启现场递交的全部投标文件光盘，并按光盘内容进行评审。</w:t>
            </w:r>
          </w:p>
          <w:p>
            <w:pPr>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8169"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特别</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提示</w:t>
            </w:r>
          </w:p>
        </w:tc>
        <w:tc>
          <w:tcPr>
            <w:tcW w:w="8169"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pPr>
              <w:rPr>
                <w:rFonts w:ascii="宋体" w:hAnsi="宋体" w:cs="宋体"/>
                <w:color w:val="auto"/>
                <w:kern w:val="0"/>
                <w:szCs w:val="21"/>
                <w:highlight w:val="none"/>
              </w:rPr>
            </w:pPr>
            <w:r>
              <w:rPr>
                <w:rFonts w:hint="eastAsia" w:ascii="宋体" w:hAnsi="宋体" w:cs="宋体"/>
                <w:color w:val="auto"/>
                <w:kern w:val="0"/>
                <w:szCs w:val="21"/>
                <w:highlight w:val="none"/>
              </w:rPr>
              <w:t>（1）将中标工程转包或者违法分包的；</w:t>
            </w:r>
          </w:p>
          <w:p>
            <w:pPr>
              <w:rPr>
                <w:rFonts w:ascii="宋体" w:hAnsi="宋体" w:cs="宋体"/>
                <w:color w:val="auto"/>
                <w:kern w:val="0"/>
                <w:szCs w:val="21"/>
                <w:highlight w:val="none"/>
              </w:rPr>
            </w:pPr>
            <w:r>
              <w:rPr>
                <w:rFonts w:hint="eastAsia" w:ascii="宋体" w:hAnsi="宋体" w:cs="宋体"/>
                <w:color w:val="auto"/>
                <w:kern w:val="0"/>
                <w:szCs w:val="21"/>
                <w:highlight w:val="none"/>
              </w:rPr>
              <w:t>（2）在中标工程中不执行质量、安全生产相关规定的，造成质量或安全事故的；</w:t>
            </w:r>
          </w:p>
          <w:p>
            <w:pPr>
              <w:rPr>
                <w:rFonts w:ascii="宋体" w:hAnsi="宋体" w:cs="宋体"/>
                <w:color w:val="auto"/>
                <w:kern w:val="0"/>
                <w:szCs w:val="21"/>
                <w:highlight w:val="none"/>
              </w:rPr>
            </w:pPr>
            <w:r>
              <w:rPr>
                <w:rFonts w:hint="eastAsia" w:ascii="宋体" w:hAnsi="宋体" w:cs="宋体"/>
                <w:color w:val="auto"/>
                <w:kern w:val="0"/>
                <w:szCs w:val="21"/>
                <w:highlight w:val="none"/>
              </w:rPr>
              <w:t>（3）出让投标资格的；</w:t>
            </w:r>
          </w:p>
          <w:p>
            <w:pPr>
              <w:rPr>
                <w:rFonts w:ascii="宋体" w:hAnsi="宋体" w:cs="宋体"/>
                <w:color w:val="auto"/>
                <w:kern w:val="0"/>
                <w:szCs w:val="21"/>
                <w:highlight w:val="none"/>
              </w:rPr>
            </w:pPr>
            <w:r>
              <w:rPr>
                <w:rFonts w:hint="eastAsia" w:ascii="宋体" w:hAnsi="宋体" w:cs="宋体"/>
                <w:color w:val="auto"/>
                <w:kern w:val="0"/>
                <w:szCs w:val="21"/>
                <w:highlight w:val="none"/>
              </w:rPr>
              <w:t>（4）存在围标或串标情形的；</w:t>
            </w:r>
          </w:p>
          <w:p>
            <w:pPr>
              <w:rPr>
                <w:rFonts w:ascii="宋体" w:hAnsi="宋体" w:cs="宋体"/>
                <w:color w:val="auto"/>
                <w:kern w:val="0"/>
                <w:szCs w:val="21"/>
                <w:highlight w:val="none"/>
              </w:rPr>
            </w:pPr>
            <w:r>
              <w:rPr>
                <w:rFonts w:hint="eastAsia" w:ascii="宋体" w:hAnsi="宋体" w:cs="宋体"/>
                <w:color w:val="auto"/>
                <w:kern w:val="0"/>
                <w:szCs w:val="21"/>
                <w:highlight w:val="none"/>
              </w:rPr>
              <w:t xml:space="preserve">（5）在投标文件中提供虚假材料的； </w:t>
            </w:r>
          </w:p>
          <w:p>
            <w:pPr>
              <w:rPr>
                <w:rFonts w:ascii="宋体" w:hAnsi="宋体" w:cs="宋体"/>
                <w:color w:val="auto"/>
                <w:kern w:val="0"/>
                <w:szCs w:val="21"/>
                <w:highlight w:val="none"/>
              </w:rPr>
            </w:pPr>
            <w:r>
              <w:rPr>
                <w:rFonts w:hint="eastAsia" w:ascii="宋体" w:hAnsi="宋体" w:cs="宋体"/>
                <w:color w:val="auto"/>
                <w:kern w:val="0"/>
                <w:szCs w:val="21"/>
                <w:highlight w:val="none"/>
              </w:rPr>
              <w:t>（6）存在少放、不放业绩、奖项等客观评审资料，减少自身竞争力情形的；</w:t>
            </w:r>
          </w:p>
          <w:p>
            <w:pPr>
              <w:rPr>
                <w:rFonts w:ascii="宋体" w:hAnsi="宋体" w:cs="宋体"/>
                <w:color w:val="auto"/>
                <w:kern w:val="0"/>
                <w:szCs w:val="21"/>
                <w:highlight w:val="none"/>
              </w:rPr>
            </w:pPr>
            <w:r>
              <w:rPr>
                <w:rFonts w:hint="eastAsia" w:ascii="宋体" w:hAnsi="宋体" w:cs="宋体"/>
                <w:color w:val="auto"/>
                <w:kern w:val="0"/>
                <w:szCs w:val="21"/>
                <w:highlight w:val="none"/>
              </w:rPr>
              <w:t>（7）存在行贿情形的;</w:t>
            </w:r>
          </w:p>
          <w:p>
            <w:pPr>
              <w:rPr>
                <w:rFonts w:ascii="宋体" w:hAnsi="宋体" w:cs="宋体"/>
                <w:color w:val="auto"/>
                <w:kern w:val="0"/>
                <w:szCs w:val="21"/>
                <w:highlight w:val="none"/>
              </w:rPr>
            </w:pPr>
            <w:r>
              <w:rPr>
                <w:rFonts w:hint="eastAsia" w:ascii="宋体" w:hAnsi="宋体" w:cs="宋体"/>
                <w:color w:val="auto"/>
                <w:kern w:val="0"/>
                <w:szCs w:val="21"/>
                <w:highlight w:val="none"/>
              </w:rPr>
              <w:t>（8）拖欠农民工工资的；</w:t>
            </w:r>
          </w:p>
          <w:p>
            <w:pPr>
              <w:rPr>
                <w:rFonts w:ascii="宋体" w:hAnsi="宋体" w:cs="宋体"/>
                <w:color w:val="auto"/>
                <w:kern w:val="0"/>
                <w:szCs w:val="21"/>
                <w:highlight w:val="none"/>
              </w:rPr>
            </w:pPr>
            <w:r>
              <w:rPr>
                <w:rFonts w:hint="eastAsia" w:ascii="宋体" w:hAnsi="宋体" w:cs="宋体"/>
                <w:color w:val="auto"/>
                <w:kern w:val="0"/>
                <w:szCs w:val="21"/>
                <w:highlight w:val="none"/>
              </w:rPr>
              <w:t>（9）为招标人提供监理服务过程中存在因过错行为被生效法律文书认定承担违约或侵权责任的；</w:t>
            </w:r>
          </w:p>
          <w:p>
            <w:pPr>
              <w:rPr>
                <w:rFonts w:ascii="宋体" w:hAnsi="宋体" w:cs="宋体"/>
                <w:color w:val="auto"/>
                <w:kern w:val="0"/>
                <w:szCs w:val="21"/>
                <w:highlight w:val="none"/>
              </w:rPr>
            </w:pPr>
            <w:r>
              <w:rPr>
                <w:rFonts w:hint="eastAsia" w:ascii="宋体" w:hAnsi="宋体" w:cs="宋体"/>
                <w:color w:val="auto"/>
                <w:kern w:val="0"/>
                <w:szCs w:val="21"/>
                <w:highlight w:val="none"/>
              </w:rPr>
              <w:t>（10）违反监理合同约定自行调换或未按照招标人要求及时更换项目总监的；</w:t>
            </w:r>
          </w:p>
          <w:p>
            <w:pPr>
              <w:rPr>
                <w:rFonts w:ascii="宋体" w:hAnsi="宋体" w:cs="宋体"/>
                <w:color w:val="auto"/>
                <w:kern w:val="0"/>
                <w:szCs w:val="21"/>
                <w:highlight w:val="none"/>
              </w:rPr>
            </w:pPr>
            <w:r>
              <w:rPr>
                <w:rFonts w:hint="eastAsia" w:ascii="宋体" w:hAnsi="宋体" w:cs="宋体"/>
                <w:color w:val="auto"/>
                <w:kern w:val="0"/>
                <w:szCs w:val="21"/>
                <w:highlight w:val="none"/>
              </w:rPr>
              <w:t>（11）委派的项目总监已在其他在建项目中任职且任职数量不符合相关规定并拒绝按照任职承诺书的规定更换的。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否决性条款</w:t>
            </w:r>
          </w:p>
        </w:tc>
        <w:tc>
          <w:tcPr>
            <w:tcW w:w="8169"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否决性条款汇总：</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否决性条款是指招标文件中规定的不予受理投标或者作无效标以及不合格标处理等否定投标文件效力的条款。</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1、拒绝受理投标文件的情形：</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（1）电子投标文件未在投标截止时间前完整上传并保存在</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 xml:space="preserve">电子评标系统且取得回执的； </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（2）投标文件未按招标文件要求进行电子签章，并进行加密的；</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（3）因投标人原因造成电子投标文件未解密或逾期解密的。</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2、作无效投标的情形</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（1）投标文件不符合招标文件评标办法中形式评审标准、资格评审标准、响应性评审标准的要求；</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（2）第二章“投标人须知”第1.4.3项规定的任何一种情形的；</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（3）不按评标委员会要求澄清、说明或补正的；</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（4）投标人的报价明显低于其他投标报价，投标人不能合理说明或者不能提供相应证明材料的；</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（5）不对评标委员会修正后的价格进行书面确认；</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（6）未按招标文件要求提供投标保证金的。</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3、其他否定投标文件效力情形</w:t>
            </w:r>
          </w:p>
          <w:p>
            <w:pPr>
              <w:tabs>
                <w:tab w:val="left" w:pos="720"/>
              </w:tabs>
              <w:rPr>
                <w:rFonts w:ascii="宋体" w:hAnsi="宋体" w:cs="宋体"/>
                <w:color w:val="auto"/>
                <w:szCs w:val="21"/>
                <w:highlight w:val="none"/>
              </w:rPr>
            </w:pPr>
            <w:r>
              <w:rPr>
                <w:rFonts w:hint="eastAsia" w:ascii="宋体" w:hAnsi="宋体" w:cs="宋体"/>
                <w:color w:val="auto"/>
                <w:szCs w:val="21"/>
                <w:highlight w:val="none"/>
              </w:rPr>
              <w:t>（1）两个（含两个）以上的投标人加密打包投标文件电脑机器码一致的；</w:t>
            </w:r>
          </w:p>
          <w:p>
            <w:pPr>
              <w:tabs>
                <w:tab w:val="left" w:pos="720"/>
              </w:tabs>
              <w:rPr>
                <w:rFonts w:ascii="宋体" w:hAnsi="宋体" w:cs="宋体"/>
                <w:color w:val="auto"/>
                <w:kern w:val="0"/>
                <w:szCs w:val="21"/>
                <w:highlight w:val="none"/>
              </w:rPr>
            </w:pPr>
            <w:r>
              <w:rPr>
                <w:rFonts w:hint="eastAsia" w:ascii="宋体" w:hAnsi="宋体" w:cs="宋体"/>
                <w:color w:val="auto"/>
                <w:szCs w:val="21"/>
                <w:highlight w:val="none"/>
              </w:rPr>
              <w:t>（2）串通投标或弄虚作假或有其他违法行为的。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招标代理费</w:t>
            </w:r>
          </w:p>
        </w:tc>
        <w:tc>
          <w:tcPr>
            <w:tcW w:w="8169"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本项目招标代理服务费及相关费用由中标人支付，费用为33,693.55元。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交易服务费</w:t>
            </w:r>
          </w:p>
        </w:tc>
        <w:tc>
          <w:tcPr>
            <w:tcW w:w="8169"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交易服务费由中标人向</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缴纳，交易服务费为中标金额的0.09%（具体收费标准可登录</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官网查阅，如有变更以</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最新发布的标准为准），交易服务费支付后还必须去</w:t>
            </w:r>
            <w:r>
              <w:rPr>
                <w:rFonts w:hint="eastAsia" w:hAnsi="宋体" w:cs="宋体"/>
                <w:color w:val="auto"/>
                <w:szCs w:val="21"/>
                <w:highlight w:val="none"/>
              </w:rPr>
              <w:t>广州交易集团有限公司（广州公共资源交易中心）</w:t>
            </w:r>
            <w:r>
              <w:rPr>
                <w:rFonts w:hint="eastAsia" w:ascii="宋体" w:hAnsi="宋体" w:cs="宋体"/>
                <w:color w:val="auto"/>
                <w:szCs w:val="21"/>
                <w:highlight w:val="none"/>
              </w:rPr>
              <w:t>开具发票。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招标失败的情形</w:t>
            </w:r>
          </w:p>
        </w:tc>
        <w:tc>
          <w:tcPr>
            <w:tcW w:w="8169" w:type="dxa"/>
            <w:gridSpan w:val="2"/>
            <w:tcBorders>
              <w:top w:val="single" w:color="auto" w:sz="4" w:space="0"/>
              <w:left w:val="single" w:color="auto" w:sz="4" w:space="0"/>
              <w:bottom w:val="single" w:color="auto" w:sz="4" w:space="0"/>
              <w:right w:val="single" w:color="auto" w:sz="4" w:space="0"/>
            </w:tcBorders>
            <w:noWrap/>
            <w:vAlign w:val="center"/>
          </w:tcPr>
          <w:p>
            <w:pPr>
              <w:spacing w:line="276" w:lineRule="auto"/>
              <w:ind w:left="1"/>
              <w:rPr>
                <w:rFonts w:ascii="宋体" w:hAnsi="宋体" w:cs="宋体"/>
                <w:color w:val="auto"/>
                <w:szCs w:val="21"/>
                <w:highlight w:val="none"/>
              </w:rPr>
            </w:pPr>
            <w:r>
              <w:rPr>
                <w:rFonts w:hint="eastAsia" w:ascii="宋体" w:hAnsi="宋体" w:cs="宋体"/>
                <w:color w:val="auto"/>
                <w:szCs w:val="21"/>
                <w:highlight w:val="none"/>
              </w:rPr>
              <w:t>本项目采用资格后审方式，满足资格审查合格条件或通过初步评审的投标申请人不足3名时为招标失败。招标人分析招标失败原因，修正招标方案，报有关管理部门核准后，重新组织招标。(单标段项目)</w:t>
            </w:r>
          </w:p>
          <w:p>
            <w:pPr>
              <w:pStyle w:val="24"/>
              <w:spacing w:line="276" w:lineRule="auto"/>
              <w:jc w:val="left"/>
              <w:rPr>
                <w:rFonts w:ascii="宋体" w:hAnsi="宋体" w:cs="宋体"/>
                <w:color w:val="auto"/>
                <w:szCs w:val="21"/>
                <w:highlight w:val="none"/>
              </w:rPr>
            </w:pPr>
            <w:r>
              <w:rPr>
                <w:rFonts w:hint="eastAsia" w:ascii="宋体" w:hAnsi="宋体" w:cs="宋体"/>
                <w:color w:val="auto"/>
                <w:szCs w:val="21"/>
                <w:highlight w:val="none"/>
              </w:rPr>
              <w:t>2）根据《工程建设项目施工招标投标办法》第三十八条第三款规定：“依法必须进行施工招标的项目提交投标文件的投标人少于三个的，招标人在分析招标失败的原因并采取相应措施后，应当依法重新招标。重新招标后投标人仍少于三个的，属于必须审批、核准的工程建设项目，报经原审批、核准部门审批、核准后可以不再进行招标；其他工程建设项目，招标人可自行决定不再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中标候选人公示要求</w:t>
            </w:r>
          </w:p>
        </w:tc>
        <w:tc>
          <w:tcPr>
            <w:tcW w:w="8169"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auto"/>
                <w:szCs w:val="21"/>
                <w:highlight w:val="none"/>
              </w:rPr>
            </w:pPr>
            <w:r>
              <w:rPr>
                <w:rFonts w:hint="eastAsia" w:ascii="宋体" w:hAnsi="宋体" w:cs="宋体"/>
                <w:color w:val="auto"/>
                <w:szCs w:val="21"/>
                <w:highlight w:val="none"/>
              </w:rPr>
              <w:t>在产生中标候选人后，招标人将中标候选人的投标文件商务部分的电子版（报价清单、方案等涉及商业秘密的内容除外）在</w:t>
            </w:r>
            <w:r>
              <w:rPr>
                <w:rFonts w:hint="eastAsia" w:hAnsi="宋体" w:cs="宋体"/>
                <w:color w:val="auto"/>
                <w:szCs w:val="21"/>
                <w:highlight w:val="none"/>
              </w:rPr>
              <w:t>广州交易集团有限公司（广州公共资源交易中心）官网</w:t>
            </w:r>
            <w:r>
              <w:rPr>
                <w:rFonts w:hint="eastAsia" w:ascii="宋体" w:hAnsi="宋体" w:cs="宋体"/>
                <w:color w:val="auto"/>
                <w:szCs w:val="21"/>
                <w:highlight w:val="none"/>
              </w:rPr>
              <w:t>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65" w:type="dxa"/>
            <w:tcBorders>
              <w:top w:val="single" w:color="auto" w:sz="4" w:space="0"/>
              <w:left w:val="single" w:color="auto" w:sz="4" w:space="0"/>
              <w:bottom w:val="single" w:color="auto" w:sz="4" w:space="0"/>
              <w:right w:val="single" w:color="auto" w:sz="4" w:space="0"/>
            </w:tcBorders>
            <w:noWrap/>
            <w:vAlign w:val="top"/>
          </w:tcPr>
          <w:p>
            <w:pPr>
              <w:jc w:val="center"/>
              <w:rPr>
                <w:rFonts w:ascii="宋体" w:hAnsi="宋体" w:cs="宋体"/>
                <w:color w:val="auto"/>
                <w:szCs w:val="21"/>
                <w:highlight w:val="none"/>
              </w:rPr>
            </w:pPr>
            <w:r>
              <w:rPr>
                <w:rFonts w:hint="eastAsia"/>
                <w:color w:val="auto"/>
                <w:highlight w:val="none"/>
              </w:rPr>
              <w:t>中标公示后中标单位提交投标文件要求</w:t>
            </w:r>
          </w:p>
        </w:tc>
        <w:tc>
          <w:tcPr>
            <w:tcW w:w="8169"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color w:val="auto"/>
                <w:highlight w:val="none"/>
              </w:rPr>
              <w:t>中标候选人公示后3天内中标人需将在</w:t>
            </w:r>
            <w:r>
              <w:rPr>
                <w:rFonts w:hint="eastAsia" w:hAnsi="宋体" w:cs="宋体"/>
                <w:color w:val="auto"/>
                <w:szCs w:val="21"/>
                <w:highlight w:val="none"/>
              </w:rPr>
              <w:t>广州交易集团有限公司（广州公共资源交易中心）</w:t>
            </w:r>
            <w:r>
              <w:rPr>
                <w:rFonts w:hint="eastAsia"/>
                <w:color w:val="auto"/>
                <w:highlight w:val="none"/>
              </w:rPr>
              <w:t>官网下载的投标文件打印，投标文件需与中标人在</w:t>
            </w:r>
            <w:r>
              <w:rPr>
                <w:rFonts w:hint="eastAsia" w:hAnsi="宋体" w:cs="宋体"/>
                <w:color w:val="auto"/>
                <w:szCs w:val="21"/>
                <w:highlight w:val="none"/>
              </w:rPr>
              <w:t>广州交易集团有限公司（广州公共资源交易中心）</w:t>
            </w:r>
            <w:r>
              <w:rPr>
                <w:rFonts w:hint="eastAsia"/>
                <w:color w:val="auto"/>
                <w:highlight w:val="none"/>
              </w:rPr>
              <w:t>官网提交的投标文件一致，中标人加盖公章，一正4副（加盖公章），合共5套投标文件提供给招标人，相关费用由投标人支付。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u w:val="single"/>
              </w:rPr>
            </w:pPr>
            <w:r>
              <w:rPr>
                <w:rFonts w:hint="eastAsia" w:ascii="宋体" w:hAnsi="宋体" w:cs="宋体"/>
                <w:color w:val="auto"/>
                <w:szCs w:val="21"/>
                <w:highlight w:val="none"/>
                <w:u w:val="single"/>
              </w:rPr>
              <w:t>监理机构人员配备要求</w:t>
            </w:r>
          </w:p>
        </w:tc>
        <w:tc>
          <w:tcPr>
            <w:tcW w:w="8169"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u w:val="single"/>
              </w:rPr>
              <w:t>监理机构人员配备要求</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详见本须知后附表。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6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u w:val="single"/>
              </w:rPr>
            </w:pPr>
            <w:r>
              <w:rPr>
                <w:rFonts w:hint="eastAsia" w:ascii="宋体" w:hAnsi="宋体" w:cs="宋体"/>
                <w:color w:val="auto"/>
                <w:szCs w:val="21"/>
                <w:highlight w:val="none"/>
                <w:u w:val="single"/>
              </w:rPr>
              <w:t>其他</w:t>
            </w:r>
          </w:p>
        </w:tc>
        <w:tc>
          <w:tcPr>
            <w:tcW w:w="8169"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招标公告及招标文件中未注明金额均为含税价。</w:t>
            </w:r>
          </w:p>
        </w:tc>
      </w:tr>
    </w:tbl>
    <w:p>
      <w:pPr>
        <w:tabs>
          <w:tab w:val="left" w:pos="105"/>
        </w:tabs>
        <w:spacing w:line="360" w:lineRule="auto"/>
        <w:ind w:firstLine="240" w:firstLineChars="100"/>
        <w:jc w:val="left"/>
        <w:rPr>
          <w:rFonts w:hint="eastAsia" w:ascii="宋体" w:hAnsi="宋体" w:cs="宋体"/>
          <w:color w:val="auto"/>
          <w:szCs w:val="21"/>
          <w:highlight w:val="none"/>
          <w:lang w:val="en-US" w:eastAsia="zh-CN"/>
        </w:rPr>
      </w:pPr>
      <w:bookmarkStart w:id="63" w:name="_Toc184635071"/>
      <w:bookmarkStart w:id="64" w:name="_Toc20776"/>
      <w:bookmarkStart w:id="65" w:name="_Toc13444"/>
      <w:bookmarkStart w:id="66" w:name="_Toc30533"/>
      <w:bookmarkStart w:id="67" w:name="_Toc514170121"/>
      <w:bookmarkStart w:id="68" w:name="_Toc7526"/>
      <w:bookmarkStart w:id="69" w:name="_Toc393961865"/>
      <w:bookmarkStart w:id="70" w:name="_Toc25165"/>
      <w:bookmarkStart w:id="71" w:name="_Toc9855"/>
      <w:r>
        <w:rPr>
          <w:rFonts w:hint="eastAsia" w:ascii="宋体" w:hAnsi="宋体" w:cs="宋体"/>
          <w:color w:val="auto"/>
          <w:sz w:val="24"/>
          <w:highlight w:val="none"/>
        </w:rPr>
        <w:br w:type="page"/>
      </w:r>
      <w:r>
        <w:rPr>
          <w:rFonts w:hint="eastAsia" w:ascii="宋体" w:hAnsi="宋体" w:cs="宋体"/>
          <w:color w:val="auto"/>
          <w:sz w:val="24"/>
          <w:szCs w:val="24"/>
          <w:highlight w:val="none"/>
          <w:u w:val="none"/>
        </w:rPr>
        <w:t>附表</w:t>
      </w:r>
      <w:r>
        <w:rPr>
          <w:rFonts w:hint="eastAsia" w:ascii="宋体" w:hAnsi="宋体" w:cs="宋体"/>
          <w:color w:val="auto"/>
          <w:sz w:val="24"/>
          <w:szCs w:val="24"/>
          <w:highlight w:val="none"/>
          <w:u w:val="none"/>
          <w:lang w:val="en-US" w:eastAsia="zh-CN"/>
        </w:rPr>
        <w:t>1</w:t>
      </w:r>
      <w:r>
        <w:rPr>
          <w:rFonts w:hint="eastAsia" w:ascii="宋体" w:hAnsi="宋体" w:cs="宋体"/>
          <w:color w:val="auto"/>
          <w:sz w:val="24"/>
          <w:szCs w:val="24"/>
          <w:highlight w:val="none"/>
          <w:u w:val="none"/>
        </w:rPr>
        <w:t>监理机构人员配备要求</w:t>
      </w:r>
    </w:p>
    <w:p>
      <w:pPr>
        <w:tabs>
          <w:tab w:val="left" w:pos="105"/>
        </w:tabs>
        <w:spacing w:line="360" w:lineRule="auto"/>
        <w:ind w:firstLine="281" w:firstLineChars="1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监理机构人员配备要求</w:t>
      </w:r>
    </w:p>
    <w:tbl>
      <w:tblPr>
        <w:tblStyle w:val="20"/>
        <w:tblpPr w:leftFromText="180" w:rightFromText="180" w:vertAnchor="text" w:horzAnchor="page" w:tblpX="1972" w:tblpY="4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234"/>
        <w:gridCol w:w="2221"/>
        <w:gridCol w:w="2141"/>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90" w:type="dxa"/>
            <w:noWrap w:val="0"/>
            <w:vAlign w:val="center"/>
          </w:tcPr>
          <w:p>
            <w:pPr>
              <w:spacing w:line="6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岗位</w:t>
            </w:r>
          </w:p>
        </w:tc>
        <w:tc>
          <w:tcPr>
            <w:tcW w:w="1234" w:type="dxa"/>
            <w:noWrap w:val="0"/>
            <w:vAlign w:val="center"/>
          </w:tcPr>
          <w:p>
            <w:pPr>
              <w:spacing w:line="6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人员要求</w:t>
            </w:r>
          </w:p>
        </w:tc>
        <w:tc>
          <w:tcPr>
            <w:tcW w:w="6225" w:type="dxa"/>
            <w:gridSpan w:val="3"/>
            <w:noWrap w:val="0"/>
            <w:vAlign w:val="center"/>
          </w:tcPr>
          <w:p>
            <w:pPr>
              <w:spacing w:line="6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持证上岗要求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9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c>
          <w:tcPr>
            <w:tcW w:w="123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1名</w:t>
            </w:r>
          </w:p>
        </w:tc>
        <w:tc>
          <w:tcPr>
            <w:tcW w:w="6225" w:type="dxa"/>
            <w:gridSpan w:val="3"/>
            <w:noWrap w:val="0"/>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要求为注册监理工程师、注册专业为</w:t>
            </w:r>
            <w:r>
              <w:rPr>
                <w:rFonts w:hint="eastAsia" w:ascii="宋体" w:hAnsi="宋体" w:cs="宋体"/>
                <w:color w:val="auto"/>
                <w:szCs w:val="21"/>
                <w:highlight w:val="none"/>
                <w:u w:val="single"/>
              </w:rPr>
              <w:t xml:space="preserve"> 房屋建筑工程 </w:t>
            </w:r>
            <w:r>
              <w:rPr>
                <w:rFonts w:hint="eastAsia" w:ascii="宋体" w:hAnsi="宋体" w:cs="宋体"/>
                <w:color w:val="auto"/>
                <w:szCs w:val="21"/>
                <w:highlight w:val="none"/>
              </w:rPr>
              <w:t>，并具有本科或以上的学历。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9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总监理工程师代表</w:t>
            </w:r>
          </w:p>
        </w:tc>
        <w:tc>
          <w:tcPr>
            <w:tcW w:w="123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1名</w:t>
            </w:r>
          </w:p>
        </w:tc>
        <w:tc>
          <w:tcPr>
            <w:tcW w:w="6225" w:type="dxa"/>
            <w:gridSpan w:val="3"/>
            <w:noWrap w:val="0"/>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要求为注册监理工程师、注册专业为</w:t>
            </w:r>
            <w:r>
              <w:rPr>
                <w:rFonts w:hint="eastAsia" w:ascii="宋体" w:hAnsi="宋体" w:cs="宋体"/>
                <w:color w:val="auto"/>
                <w:szCs w:val="21"/>
                <w:highlight w:val="none"/>
                <w:u w:val="single"/>
              </w:rPr>
              <w:t xml:space="preserve"> 房屋建筑工程 </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09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造价工程师</w:t>
            </w:r>
          </w:p>
        </w:tc>
        <w:tc>
          <w:tcPr>
            <w:tcW w:w="1234" w:type="dxa"/>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1名</w:t>
            </w:r>
          </w:p>
        </w:tc>
        <w:tc>
          <w:tcPr>
            <w:tcW w:w="6225" w:type="dxa"/>
            <w:gridSpan w:val="3"/>
            <w:noWrap w:val="0"/>
            <w:vAlign w:val="center"/>
          </w:tcPr>
          <w:p>
            <w:pPr>
              <w:spacing w:line="240" w:lineRule="atLeast"/>
              <w:rPr>
                <w:rFonts w:hint="eastAsia" w:ascii="宋体" w:hAnsi="宋体" w:cs="宋体"/>
                <w:color w:val="auto"/>
                <w:szCs w:val="21"/>
                <w:highlight w:val="none"/>
              </w:rPr>
            </w:pPr>
            <w:r>
              <w:rPr>
                <w:rFonts w:hint="eastAsia" w:ascii="宋体" w:hAnsi="宋体" w:cs="宋体"/>
                <w:color w:val="auto"/>
                <w:szCs w:val="21"/>
                <w:highlight w:val="none"/>
              </w:rPr>
              <w:t>具备在有效期内的注册造价工程师或注册一级造价工程师资格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109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专业监理工程师</w:t>
            </w:r>
          </w:p>
        </w:tc>
        <w:tc>
          <w:tcPr>
            <w:tcW w:w="1234" w:type="dxa"/>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名</w:t>
            </w:r>
          </w:p>
        </w:tc>
        <w:tc>
          <w:tcPr>
            <w:tcW w:w="2221" w:type="dxa"/>
            <w:noWrap w:val="0"/>
            <w:vAlign w:val="center"/>
          </w:tcPr>
          <w:p>
            <w:pPr>
              <w:spacing w:line="240" w:lineRule="atLeast"/>
              <w:jc w:val="left"/>
              <w:rPr>
                <w:rFonts w:ascii="Calibri" w:hAnsi="Calibri"/>
                <w:color w:val="auto"/>
                <w:highlight w:val="none"/>
              </w:rPr>
            </w:pPr>
            <w:r>
              <w:rPr>
                <w:rFonts w:hint="eastAsia" w:ascii="宋体" w:hAnsi="宋体" w:cs="宋体"/>
                <w:color w:val="auto"/>
                <w:szCs w:val="21"/>
                <w:highlight w:val="none"/>
              </w:rPr>
              <w:sym w:font="Wingdings" w:char="00FE"/>
            </w:r>
            <w:r>
              <w:rPr>
                <w:rFonts w:hint="eastAsia" w:ascii="Calibri" w:hAnsi="Calibri"/>
                <w:color w:val="auto"/>
                <w:highlight w:val="none"/>
              </w:rPr>
              <w:t>房屋建筑</w:t>
            </w:r>
            <w:r>
              <w:rPr>
                <w:rFonts w:ascii="Calibri" w:hAnsi="Calibri"/>
                <w:color w:val="auto"/>
                <w:highlight w:val="none"/>
              </w:rPr>
              <w:t>（建筑、土木）</w:t>
            </w:r>
            <w:r>
              <w:rPr>
                <w:rFonts w:hint="eastAsia"/>
                <w:color w:val="auto"/>
                <w:highlight w:val="none"/>
                <w:lang w:val="en-US" w:eastAsia="zh-CN"/>
              </w:rPr>
              <w:t>2</w:t>
            </w:r>
            <w:r>
              <w:rPr>
                <w:rFonts w:ascii="Calibri" w:hAnsi="Calibri"/>
                <w:color w:val="auto"/>
                <w:highlight w:val="none"/>
              </w:rPr>
              <w:t>名；</w:t>
            </w:r>
          </w:p>
          <w:p>
            <w:pPr>
              <w:spacing w:line="240" w:lineRule="atLeast"/>
              <w:jc w:val="left"/>
              <w:rPr>
                <w:rFonts w:ascii="Calibri" w:hAnsi="Calibri"/>
                <w:color w:val="auto"/>
                <w:highlight w:val="none"/>
              </w:rPr>
            </w:pPr>
            <w:r>
              <w:rPr>
                <w:rFonts w:hint="eastAsia" w:ascii="宋体" w:hAnsi="宋体" w:cs="宋体"/>
                <w:color w:val="auto"/>
                <w:szCs w:val="21"/>
                <w:highlight w:val="none"/>
              </w:rPr>
              <w:sym w:font="Wingdings" w:char="00FE"/>
            </w:r>
            <w:r>
              <w:rPr>
                <w:rFonts w:hint="eastAsia"/>
                <w:color w:val="auto"/>
                <w:highlight w:val="none"/>
              </w:rPr>
              <w:t>机电安装</w:t>
            </w:r>
            <w:r>
              <w:rPr>
                <w:rFonts w:hint="eastAsia"/>
                <w:color w:val="auto"/>
                <w:highlight w:val="none"/>
                <w:lang w:val="en-US" w:eastAsia="zh-CN"/>
              </w:rPr>
              <w:t>1</w:t>
            </w:r>
            <w:r>
              <w:rPr>
                <w:rFonts w:ascii="Calibri" w:hAnsi="Calibri"/>
                <w:color w:val="auto"/>
                <w:highlight w:val="none"/>
              </w:rPr>
              <w:t>名；</w:t>
            </w:r>
          </w:p>
          <w:p>
            <w:pPr>
              <w:spacing w:line="240" w:lineRule="atLeast"/>
              <w:jc w:val="left"/>
              <w:rPr>
                <w:color w:val="auto"/>
                <w:highlight w:val="none"/>
              </w:rPr>
            </w:pPr>
          </w:p>
        </w:tc>
        <w:tc>
          <w:tcPr>
            <w:tcW w:w="2141" w:type="dxa"/>
            <w:noWrap w:val="0"/>
            <w:vAlign w:val="center"/>
          </w:tcPr>
          <w:p>
            <w:pPr>
              <w:spacing w:line="240" w:lineRule="atLeast"/>
              <w:rPr>
                <w:rFonts w:hint="eastAsia" w:ascii="宋体" w:hAnsi="宋体" w:cs="宋体"/>
                <w:color w:val="auto"/>
                <w:szCs w:val="21"/>
                <w:highlight w:val="none"/>
              </w:rPr>
            </w:pPr>
            <w:r>
              <w:rPr>
                <w:rFonts w:hint="eastAsia" w:ascii="宋体" w:hAnsi="宋体" w:cs="宋体"/>
                <w:color w:val="auto"/>
                <w:szCs w:val="21"/>
                <w:highlight w:val="none"/>
              </w:rPr>
              <w:t>具备合格有效的注册监理工程师证书或专业监理工程师证书或省级监理工程师岗位培训证书</w:t>
            </w:r>
            <w:r>
              <w:rPr>
                <w:rFonts w:hint="eastAsia" w:ascii="宋体" w:hAnsi="宋体" w:cs="宋体"/>
                <w:color w:val="auto"/>
                <w:szCs w:val="21"/>
                <w:highlight w:val="none"/>
                <w:lang w:eastAsia="zh-Hans"/>
              </w:rPr>
              <w:t>或省级</w:t>
            </w:r>
            <w:r>
              <w:rPr>
                <w:rFonts w:hint="eastAsia" w:ascii="宋体" w:hAnsi="宋体" w:cs="宋体"/>
                <w:color w:val="auto"/>
                <w:szCs w:val="21"/>
                <w:highlight w:val="none"/>
              </w:rPr>
              <w:t>监理工程师业务培训证书</w:t>
            </w:r>
          </w:p>
        </w:tc>
        <w:tc>
          <w:tcPr>
            <w:tcW w:w="1863" w:type="dxa"/>
            <w:noWrap w:val="0"/>
            <w:vAlign w:val="center"/>
          </w:tcPr>
          <w:p>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专业以注册监理工程师证书或注册职业证书或专业监理工程师证书或省级监理工程师岗位培训证书</w:t>
            </w:r>
            <w:r>
              <w:rPr>
                <w:rFonts w:hint="eastAsia" w:ascii="宋体" w:hAnsi="宋体" w:cs="宋体"/>
                <w:color w:val="auto"/>
                <w:szCs w:val="21"/>
                <w:highlight w:val="none"/>
                <w:lang w:eastAsia="zh-Hans"/>
              </w:rPr>
              <w:t>或省级</w:t>
            </w:r>
            <w:r>
              <w:rPr>
                <w:rFonts w:hint="eastAsia" w:ascii="宋体" w:hAnsi="宋体" w:cs="宋体"/>
                <w:color w:val="auto"/>
                <w:szCs w:val="21"/>
                <w:highlight w:val="none"/>
              </w:rPr>
              <w:t>监理工程师业务培训证书或职称证或毕业证的专业（含相近专业）为准；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09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监理员</w:t>
            </w:r>
          </w:p>
        </w:tc>
        <w:tc>
          <w:tcPr>
            <w:tcW w:w="1234" w:type="dxa"/>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名</w:t>
            </w:r>
          </w:p>
        </w:tc>
        <w:tc>
          <w:tcPr>
            <w:tcW w:w="6225" w:type="dxa"/>
            <w:gridSpan w:val="3"/>
            <w:noWrap w:val="0"/>
            <w:vAlign w:val="center"/>
          </w:tcPr>
          <w:p>
            <w:pPr>
              <w:spacing w:line="240" w:lineRule="atLeast"/>
              <w:rPr>
                <w:rFonts w:hint="eastAsia" w:ascii="宋体" w:hAnsi="宋体" w:cs="宋体"/>
                <w:color w:val="auto"/>
                <w:szCs w:val="21"/>
                <w:highlight w:val="none"/>
              </w:rPr>
            </w:pPr>
            <w:r>
              <w:rPr>
                <w:rFonts w:hint="eastAsia" w:ascii="宋体" w:hAnsi="宋体" w:cs="宋体"/>
                <w:color w:val="auto"/>
                <w:szCs w:val="21"/>
                <w:highlight w:val="none"/>
              </w:rPr>
              <w:t>具备</w:t>
            </w:r>
            <w:r>
              <w:rPr>
                <w:rFonts w:hint="eastAsia" w:ascii="宋体" w:hAnsi="宋体"/>
                <w:color w:val="auto"/>
                <w:szCs w:val="21"/>
                <w:highlight w:val="none"/>
              </w:rPr>
              <w:t>注册监理工程师注册执业证书或专业监理工程师证或</w:t>
            </w:r>
            <w:r>
              <w:rPr>
                <w:rFonts w:hint="eastAsia" w:ascii="宋体" w:hAnsi="宋体" w:cs="宋体"/>
                <w:color w:val="auto"/>
                <w:szCs w:val="21"/>
                <w:highlight w:val="none"/>
              </w:rPr>
              <w:t>监理员证或监理员岗位培训证书或监理员业务培训证书。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09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1234" w:type="dxa"/>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1名</w:t>
            </w:r>
          </w:p>
        </w:tc>
        <w:tc>
          <w:tcPr>
            <w:tcW w:w="6225" w:type="dxa"/>
            <w:gridSpan w:val="3"/>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具备安全监理员或监理从业人员安全生产教育培训证书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90"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1234" w:type="dxa"/>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1名</w:t>
            </w:r>
          </w:p>
        </w:tc>
        <w:tc>
          <w:tcPr>
            <w:tcW w:w="6225" w:type="dxa"/>
            <w:gridSpan w:val="3"/>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具备</w:t>
            </w:r>
            <w:r>
              <w:rPr>
                <w:rFonts w:hint="eastAsia" w:ascii="宋体" w:hAnsi="宋体"/>
                <w:color w:val="auto"/>
                <w:szCs w:val="21"/>
                <w:highlight w:val="none"/>
              </w:rPr>
              <w:t>职称证或</w:t>
            </w:r>
            <w:r>
              <w:rPr>
                <w:rFonts w:hint="eastAsia" w:ascii="宋体" w:hAnsi="宋体" w:cs="宋体"/>
                <w:color w:val="auto"/>
                <w:szCs w:val="21"/>
                <w:highlight w:val="none"/>
              </w:rPr>
              <w:t>资料员或监理员证或监理员岗位培训证书或监理员业务培训证书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9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总计</w:t>
            </w:r>
          </w:p>
        </w:tc>
        <w:tc>
          <w:tcPr>
            <w:tcW w:w="1234" w:type="dxa"/>
            <w:noWrap w:val="0"/>
            <w:vAlign w:val="center"/>
          </w:tcPr>
          <w:p>
            <w:pPr>
              <w:spacing w:line="360"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名</w:t>
            </w:r>
          </w:p>
        </w:tc>
        <w:tc>
          <w:tcPr>
            <w:tcW w:w="6225" w:type="dxa"/>
            <w:gridSpan w:val="3"/>
            <w:noWrap w:val="0"/>
            <w:vAlign w:val="center"/>
          </w:tcPr>
          <w:p>
            <w:pPr>
              <w:jc w:val="left"/>
              <w:rPr>
                <w:rFonts w:hint="eastAsia" w:ascii="宋体" w:hAnsi="宋体" w:cs="宋体"/>
                <w:color w:val="auto"/>
                <w:szCs w:val="21"/>
                <w:highlight w:val="none"/>
              </w:rPr>
            </w:pPr>
            <w:r>
              <w:rPr>
                <w:rFonts w:hint="eastAsia" w:ascii="宋体" w:hAnsi="宋体"/>
                <w:color w:val="auto"/>
                <w:szCs w:val="21"/>
                <w:highlight w:val="none"/>
              </w:rPr>
              <w:t>根据实际施工阶段及专业需求分阶段投入人员</w:t>
            </w:r>
          </w:p>
        </w:tc>
      </w:tr>
    </w:tbl>
    <w:p>
      <w:pPr>
        <w:spacing w:line="360" w:lineRule="auto"/>
        <w:rPr>
          <w:rFonts w:ascii="宋体" w:hAnsi="宋体" w:cs="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注：1、表中所列人员配备为最低限度要求；项目内的人员岗位不得兼任；中标单位可根据实际施工阶段及专业需求分阶段投入人员。</w:t>
      </w:r>
    </w:p>
    <w:p>
      <w:pPr>
        <w:ind w:firstLine="420" w:firstLineChars="200"/>
        <w:rPr>
          <w:rFonts w:ascii="宋体" w:hAnsi="宋体"/>
          <w:bCs/>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bCs/>
          <w:color w:val="auto"/>
          <w:szCs w:val="21"/>
          <w:highlight w:val="none"/>
        </w:rPr>
        <w:t>本表不作为形式评审、资格评审、响应性评审的审查依据，只作为综合评分表中“监理机构人员配备（除总监理工程师及总监代表外）”及“机构设置与岗位职责”的评审依据。</w:t>
      </w:r>
    </w:p>
    <w:p>
      <w:pPr>
        <w:ind w:firstLine="420" w:firstLineChars="200"/>
        <w:rPr>
          <w:rFonts w:ascii="宋体" w:hAnsi="宋体" w:cs="宋体"/>
          <w:color w:val="auto"/>
          <w:szCs w:val="21"/>
          <w:highlight w:val="none"/>
        </w:rPr>
      </w:pPr>
      <w:r>
        <w:rPr>
          <w:rFonts w:ascii="宋体" w:hAnsi="宋体"/>
          <w:color w:val="auto"/>
          <w:szCs w:val="21"/>
          <w:highlight w:val="none"/>
        </w:rPr>
        <w:t>3、</w:t>
      </w:r>
      <w:r>
        <w:rPr>
          <w:rFonts w:hint="eastAsia" w:ascii="宋体" w:hAnsi="宋体" w:cs="宋体"/>
          <w:color w:val="auto"/>
          <w:szCs w:val="21"/>
          <w:highlight w:val="none"/>
        </w:rPr>
        <w:t>根据原人事部、原建设部发布的《造价工程师执业资格制度暂行规定》（人发〔1996〕77号）取得的造价工程师执业资格，并经注册且在有效期内的注册造价工程师等同于注册一级造价工程师。</w:t>
      </w:r>
    </w:p>
    <w:p>
      <w:pPr>
        <w:ind w:firstLine="420" w:firstLineChars="200"/>
        <w:rPr>
          <w:rFonts w:ascii="宋体" w:hAnsi="宋体"/>
          <w:color w:val="auto"/>
          <w:szCs w:val="21"/>
          <w:highlight w:val="none"/>
        </w:rPr>
      </w:pPr>
      <w:r>
        <w:rPr>
          <w:rFonts w:hint="eastAsia" w:ascii="宋体" w:hAnsi="宋体" w:cs="宋体"/>
          <w:color w:val="auto"/>
          <w:szCs w:val="21"/>
          <w:highlight w:val="none"/>
        </w:rPr>
        <w:t>4、</w:t>
      </w:r>
      <w:r>
        <w:rPr>
          <w:rFonts w:ascii="宋体" w:hAnsi="宋体"/>
          <w:color w:val="auto"/>
          <w:szCs w:val="21"/>
          <w:highlight w:val="none"/>
        </w:rPr>
        <w:t>投标人提供的人员须为投标人在职员工，并提供</w:t>
      </w:r>
      <w:r>
        <w:rPr>
          <w:rFonts w:hint="eastAsia" w:ascii="宋体" w:hAnsi="宋体"/>
          <w:color w:val="auto"/>
          <w:szCs w:val="21"/>
          <w:highlight w:val="none"/>
        </w:rPr>
        <w:t>投标人</w:t>
      </w:r>
      <w:r>
        <w:rPr>
          <w:rFonts w:hint="eastAsia" w:ascii="宋体" w:hAnsi="宋体"/>
          <w:b/>
          <w:color w:val="auto"/>
          <w:szCs w:val="21"/>
          <w:highlight w:val="none"/>
        </w:rPr>
        <w:t>202</w:t>
      </w:r>
      <w:r>
        <w:rPr>
          <w:rFonts w:hint="eastAsia" w:ascii="宋体" w:hAnsi="宋体"/>
          <w:b/>
          <w:color w:val="auto"/>
          <w:szCs w:val="21"/>
          <w:highlight w:val="none"/>
          <w:lang w:val="en-US" w:eastAsia="zh-CN"/>
        </w:rPr>
        <w:t>5</w:t>
      </w:r>
      <w:r>
        <w:rPr>
          <w:rFonts w:hint="eastAsia" w:ascii="宋体" w:hAnsi="宋体"/>
          <w:b/>
          <w:color w:val="auto"/>
          <w:szCs w:val="21"/>
          <w:highlight w:val="none"/>
        </w:rPr>
        <w:t>年</w:t>
      </w:r>
      <w:r>
        <w:rPr>
          <w:rFonts w:hint="eastAsia" w:ascii="宋体" w:hAnsi="宋体"/>
          <w:b/>
          <w:color w:val="auto"/>
          <w:szCs w:val="21"/>
          <w:highlight w:val="none"/>
          <w:lang w:val="en-US" w:eastAsia="zh-CN"/>
        </w:rPr>
        <w:t>10</w:t>
      </w:r>
      <w:r>
        <w:rPr>
          <w:rFonts w:hint="eastAsia" w:ascii="宋体" w:hAnsi="宋体"/>
          <w:b/>
          <w:color w:val="auto"/>
          <w:szCs w:val="21"/>
          <w:highlight w:val="none"/>
        </w:rPr>
        <w:t>月份</w:t>
      </w:r>
      <w:r>
        <w:rPr>
          <w:rFonts w:hint="eastAsia" w:ascii="宋体" w:hAnsi="宋体"/>
          <w:bCs/>
          <w:color w:val="auto"/>
          <w:szCs w:val="21"/>
          <w:highlight w:val="none"/>
        </w:rPr>
        <w:t>的社</w:t>
      </w:r>
      <w:r>
        <w:rPr>
          <w:rFonts w:hint="eastAsia" w:ascii="宋体" w:hAnsi="宋体"/>
          <w:color w:val="auto"/>
          <w:szCs w:val="21"/>
          <w:highlight w:val="none"/>
        </w:rPr>
        <w:t>保缴纳证明原件清晰彩色扫描件或网上查询打印件。可提供投标人或者投标人非独立法人分支机构的社保证明；</w:t>
      </w:r>
    </w:p>
    <w:p>
      <w:pPr>
        <w:spacing w:line="360" w:lineRule="auto"/>
        <w:ind w:firstLine="420" w:firstLineChars="200"/>
        <w:rPr>
          <w:rFonts w:ascii="宋体" w:hAnsi="宋体" w:cs="宋体"/>
          <w:color w:val="auto"/>
          <w:szCs w:val="21"/>
          <w:highlight w:val="none"/>
        </w:rPr>
        <w:sectPr>
          <w:headerReference r:id="rId6" w:type="default"/>
          <w:footerReference r:id="rId7" w:type="default"/>
          <w:pgSz w:w="11906" w:h="16838"/>
          <w:pgMar w:top="1417" w:right="1417" w:bottom="1276" w:left="1417" w:header="850" w:footer="992" w:gutter="0"/>
          <w:cols w:space="720" w:num="1"/>
          <w:docGrid w:linePitch="285" w:charSpace="0"/>
        </w:sectPr>
      </w:pPr>
    </w:p>
    <w:p>
      <w:pPr>
        <w:pStyle w:val="18"/>
        <w:ind w:firstLine="200"/>
        <w:rPr>
          <w:color w:val="auto"/>
          <w:highlight w:val="none"/>
        </w:rPr>
      </w:pPr>
    </w:p>
    <w:p>
      <w:pPr>
        <w:pStyle w:val="4"/>
        <w:jc w:val="center"/>
        <w:rPr>
          <w:rFonts w:ascii="宋体" w:hAnsi="宋体" w:cs="宋体"/>
          <w:color w:val="auto"/>
          <w:kern w:val="21"/>
          <w:sz w:val="30"/>
          <w:szCs w:val="30"/>
          <w:highlight w:val="none"/>
        </w:rPr>
      </w:pPr>
      <w:bookmarkStart w:id="72" w:name="_Toc6973"/>
      <w:bookmarkStart w:id="73" w:name="_Toc18101"/>
      <w:bookmarkStart w:id="74" w:name="_Toc5720"/>
      <w:bookmarkStart w:id="75" w:name="_Toc3898"/>
      <w:bookmarkStart w:id="76" w:name="_Toc32126"/>
      <w:bookmarkStart w:id="77" w:name="_Toc1765"/>
      <w:bookmarkStart w:id="78" w:name="_Toc8807"/>
      <w:bookmarkStart w:id="79" w:name="_Toc19482"/>
      <w:bookmarkStart w:id="80" w:name="_Toc16220"/>
      <w:bookmarkStart w:id="81" w:name="_Toc22899"/>
      <w:r>
        <w:rPr>
          <w:rFonts w:hint="eastAsia" w:ascii="宋体" w:hAnsi="宋体" w:cs="宋体"/>
          <w:color w:val="auto"/>
          <w:kern w:val="21"/>
          <w:sz w:val="30"/>
          <w:szCs w:val="30"/>
          <w:highlight w:val="none"/>
        </w:rPr>
        <w:t>1. 总则</w:t>
      </w:r>
      <w:bookmarkEnd w:id="72"/>
      <w:bookmarkEnd w:id="73"/>
      <w:bookmarkEnd w:id="74"/>
      <w:bookmarkEnd w:id="75"/>
      <w:bookmarkEnd w:id="76"/>
      <w:bookmarkEnd w:id="77"/>
      <w:bookmarkEnd w:id="78"/>
      <w:bookmarkEnd w:id="79"/>
      <w:bookmarkEnd w:id="80"/>
      <w:bookmarkEnd w:id="81"/>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pacing w:val="1"/>
          <w:sz w:val="28"/>
          <w:highlight w:val="none"/>
        </w:rPr>
        <w:t>1</w:t>
      </w:r>
      <w:r>
        <w:rPr>
          <w:rFonts w:hint="eastAsia" w:ascii="宋体" w:hAnsi="宋体" w:cs="宋体"/>
          <w:b/>
          <w:bCs/>
          <w:color w:val="auto"/>
          <w:sz w:val="28"/>
          <w:highlight w:val="none"/>
        </w:rPr>
        <w:t>.1招标项目</w:t>
      </w:r>
      <w:r>
        <w:rPr>
          <w:rFonts w:hint="eastAsia" w:ascii="宋体" w:hAnsi="宋体" w:cs="宋体"/>
          <w:b/>
          <w:bCs/>
          <w:color w:val="auto"/>
          <w:spacing w:val="-3"/>
          <w:sz w:val="28"/>
          <w:highlight w:val="none"/>
        </w:rPr>
        <w:t>概</w:t>
      </w:r>
      <w:r>
        <w:rPr>
          <w:rFonts w:hint="eastAsia" w:ascii="宋体" w:hAnsi="宋体" w:cs="宋体"/>
          <w:b/>
          <w:bCs/>
          <w:color w:val="auto"/>
          <w:sz w:val="28"/>
          <w:highlight w:val="none"/>
        </w:rPr>
        <w:t>况</w:t>
      </w:r>
    </w:p>
    <w:p>
      <w:pPr>
        <w:spacing w:line="360" w:lineRule="auto"/>
        <w:ind w:left="100" w:right="42" w:firstLine="420"/>
        <w:jc w:val="left"/>
        <w:rPr>
          <w:rFonts w:ascii="宋体" w:hAnsi="宋体" w:cs="宋体"/>
          <w:color w:val="auto"/>
          <w:highlight w:val="none"/>
        </w:rPr>
      </w:pPr>
      <w:r>
        <w:rPr>
          <w:rFonts w:hint="eastAsia" w:ascii="宋体" w:hAnsi="宋体" w:cs="宋体"/>
          <w:color w:val="auto"/>
          <w:highlight w:val="none"/>
        </w:rPr>
        <w:t>1.1.1根</w:t>
      </w:r>
      <w:r>
        <w:rPr>
          <w:rFonts w:hint="eastAsia" w:ascii="宋体" w:hAnsi="宋体" w:cs="宋体"/>
          <w:color w:val="auto"/>
          <w:spacing w:val="-10"/>
          <w:highlight w:val="none"/>
        </w:rPr>
        <w:t>据</w:t>
      </w:r>
      <w:r>
        <w:rPr>
          <w:rFonts w:hint="eastAsia" w:ascii="宋体" w:hAnsi="宋体" w:cs="宋体"/>
          <w:color w:val="auto"/>
          <w:highlight w:val="none"/>
        </w:rPr>
        <w:t>《</w:t>
      </w:r>
      <w:r>
        <w:rPr>
          <w:rFonts w:hint="eastAsia" w:ascii="宋体" w:hAnsi="宋体" w:cs="宋体"/>
          <w:color w:val="auto"/>
          <w:spacing w:val="-2"/>
          <w:highlight w:val="none"/>
        </w:rPr>
        <w:t>中</w:t>
      </w:r>
      <w:r>
        <w:rPr>
          <w:rFonts w:hint="eastAsia" w:ascii="宋体" w:hAnsi="宋体" w:cs="宋体"/>
          <w:color w:val="auto"/>
          <w:highlight w:val="none"/>
        </w:rPr>
        <w:t>华</w:t>
      </w:r>
      <w:r>
        <w:rPr>
          <w:rFonts w:hint="eastAsia" w:ascii="宋体" w:hAnsi="宋体" w:cs="宋体"/>
          <w:color w:val="auto"/>
          <w:spacing w:val="-2"/>
          <w:highlight w:val="none"/>
        </w:rPr>
        <w:t>人</w:t>
      </w:r>
      <w:r>
        <w:rPr>
          <w:rFonts w:hint="eastAsia" w:ascii="宋体" w:hAnsi="宋体" w:cs="宋体"/>
          <w:color w:val="auto"/>
          <w:highlight w:val="none"/>
        </w:rPr>
        <w:t>民</w:t>
      </w:r>
      <w:r>
        <w:rPr>
          <w:rFonts w:hint="eastAsia" w:ascii="宋体" w:hAnsi="宋体" w:cs="宋体"/>
          <w:color w:val="auto"/>
          <w:spacing w:val="-2"/>
          <w:highlight w:val="none"/>
        </w:rPr>
        <w:t>共和</w:t>
      </w:r>
      <w:r>
        <w:rPr>
          <w:rFonts w:hint="eastAsia" w:ascii="宋体" w:hAnsi="宋体" w:cs="宋体"/>
          <w:color w:val="auto"/>
          <w:highlight w:val="none"/>
        </w:rPr>
        <w:t>国招</w:t>
      </w:r>
      <w:r>
        <w:rPr>
          <w:rFonts w:hint="eastAsia" w:ascii="宋体" w:hAnsi="宋体" w:cs="宋体"/>
          <w:color w:val="auto"/>
          <w:spacing w:val="-2"/>
          <w:highlight w:val="none"/>
        </w:rPr>
        <w:t>标</w:t>
      </w:r>
      <w:r>
        <w:rPr>
          <w:rFonts w:hint="eastAsia" w:ascii="宋体" w:hAnsi="宋体" w:cs="宋体"/>
          <w:color w:val="auto"/>
          <w:highlight w:val="none"/>
        </w:rPr>
        <w:t>投</w:t>
      </w:r>
      <w:r>
        <w:rPr>
          <w:rFonts w:hint="eastAsia" w:ascii="宋体" w:hAnsi="宋体" w:cs="宋体"/>
          <w:color w:val="auto"/>
          <w:spacing w:val="-2"/>
          <w:highlight w:val="none"/>
        </w:rPr>
        <w:t>标</w:t>
      </w:r>
      <w:r>
        <w:rPr>
          <w:rFonts w:hint="eastAsia" w:ascii="宋体" w:hAnsi="宋体" w:cs="宋体"/>
          <w:color w:val="auto"/>
          <w:highlight w:val="none"/>
        </w:rPr>
        <w:t>法</w:t>
      </w:r>
      <w:r>
        <w:rPr>
          <w:rFonts w:hint="eastAsia" w:ascii="宋体" w:hAnsi="宋体" w:cs="宋体"/>
          <w:color w:val="auto"/>
          <w:spacing w:val="-106"/>
          <w:highlight w:val="none"/>
        </w:rPr>
        <w:t>》</w:t>
      </w:r>
      <w:r>
        <w:rPr>
          <w:rFonts w:hint="eastAsia" w:ascii="宋体" w:hAnsi="宋体" w:cs="宋体"/>
          <w:color w:val="auto"/>
          <w:spacing w:val="-115"/>
          <w:highlight w:val="none"/>
        </w:rPr>
        <w:t>、</w:t>
      </w:r>
      <w:r>
        <w:rPr>
          <w:rFonts w:hint="eastAsia" w:ascii="宋体" w:hAnsi="宋体" w:cs="宋体"/>
          <w:color w:val="auto"/>
          <w:spacing w:val="-2"/>
          <w:highlight w:val="none"/>
        </w:rPr>
        <w:t>》、《</w:t>
      </w:r>
      <w:r>
        <w:rPr>
          <w:rFonts w:hint="eastAsia" w:ascii="宋体" w:hAnsi="宋体" w:cs="宋体"/>
          <w:color w:val="auto"/>
          <w:highlight w:val="none"/>
        </w:rPr>
        <w:t>中</w:t>
      </w:r>
      <w:r>
        <w:rPr>
          <w:rFonts w:hint="eastAsia" w:ascii="宋体" w:hAnsi="宋体" w:cs="宋体"/>
          <w:color w:val="auto"/>
          <w:spacing w:val="-2"/>
          <w:highlight w:val="none"/>
        </w:rPr>
        <w:t>华人</w:t>
      </w:r>
      <w:r>
        <w:rPr>
          <w:rFonts w:hint="eastAsia" w:ascii="宋体" w:hAnsi="宋体" w:cs="宋体"/>
          <w:color w:val="auto"/>
          <w:highlight w:val="none"/>
        </w:rPr>
        <w:t>民共</w:t>
      </w:r>
      <w:r>
        <w:rPr>
          <w:rFonts w:hint="eastAsia" w:ascii="宋体" w:hAnsi="宋体" w:cs="宋体"/>
          <w:color w:val="auto"/>
          <w:spacing w:val="-2"/>
          <w:highlight w:val="none"/>
        </w:rPr>
        <w:t>和</w:t>
      </w:r>
      <w:r>
        <w:rPr>
          <w:rFonts w:hint="eastAsia" w:ascii="宋体" w:hAnsi="宋体" w:cs="宋体"/>
          <w:color w:val="auto"/>
          <w:highlight w:val="none"/>
        </w:rPr>
        <w:t>国</w:t>
      </w:r>
      <w:r>
        <w:rPr>
          <w:rFonts w:hint="eastAsia" w:ascii="宋体" w:hAnsi="宋体" w:cs="宋体"/>
          <w:color w:val="auto"/>
          <w:spacing w:val="-2"/>
          <w:highlight w:val="none"/>
        </w:rPr>
        <w:t>招</w:t>
      </w:r>
      <w:r>
        <w:rPr>
          <w:rFonts w:hint="eastAsia" w:ascii="宋体" w:hAnsi="宋体" w:cs="宋体"/>
          <w:color w:val="auto"/>
          <w:highlight w:val="none"/>
        </w:rPr>
        <w:t>标</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法</w:t>
      </w:r>
      <w:r>
        <w:rPr>
          <w:rFonts w:hint="eastAsia" w:ascii="宋体" w:hAnsi="宋体" w:cs="宋体"/>
          <w:color w:val="auto"/>
          <w:highlight w:val="none"/>
        </w:rPr>
        <w:t>实</w:t>
      </w:r>
      <w:r>
        <w:rPr>
          <w:rFonts w:hint="eastAsia" w:ascii="宋体" w:hAnsi="宋体" w:cs="宋体"/>
          <w:color w:val="auto"/>
          <w:spacing w:val="-2"/>
          <w:highlight w:val="none"/>
        </w:rPr>
        <w:t>施</w:t>
      </w:r>
      <w:r>
        <w:rPr>
          <w:rFonts w:hint="eastAsia" w:ascii="宋体" w:hAnsi="宋体" w:cs="宋体"/>
          <w:color w:val="auto"/>
          <w:highlight w:val="none"/>
        </w:rPr>
        <w:t>条</w:t>
      </w:r>
      <w:r>
        <w:rPr>
          <w:rFonts w:hint="eastAsia" w:ascii="宋体" w:hAnsi="宋体" w:cs="宋体"/>
          <w:color w:val="auto"/>
          <w:spacing w:val="-2"/>
          <w:highlight w:val="none"/>
        </w:rPr>
        <w:t>例</w:t>
      </w:r>
      <w:r>
        <w:rPr>
          <w:rFonts w:hint="eastAsia" w:ascii="宋体" w:hAnsi="宋体" w:cs="宋体"/>
          <w:color w:val="auto"/>
          <w:spacing w:val="-7"/>
          <w:highlight w:val="none"/>
        </w:rPr>
        <w:t>》</w:t>
      </w:r>
      <w:r>
        <w:rPr>
          <w:rFonts w:hint="eastAsia" w:ascii="宋体" w:hAnsi="宋体" w:cs="宋体"/>
          <w:color w:val="auto"/>
          <w:spacing w:val="-2"/>
          <w:highlight w:val="none"/>
        </w:rPr>
        <w:t>等</w:t>
      </w:r>
      <w:r>
        <w:rPr>
          <w:rFonts w:hint="eastAsia" w:ascii="宋体" w:hAnsi="宋体" w:cs="宋体"/>
          <w:color w:val="auto"/>
          <w:highlight w:val="none"/>
        </w:rPr>
        <w:t>有关法律</w:t>
      </w:r>
      <w:r>
        <w:rPr>
          <w:rFonts w:hint="eastAsia" w:ascii="宋体" w:hAnsi="宋体" w:cs="宋体"/>
          <w:color w:val="auto"/>
          <w:spacing w:val="-2"/>
          <w:highlight w:val="none"/>
        </w:rPr>
        <w:t>、</w:t>
      </w:r>
      <w:r>
        <w:rPr>
          <w:rFonts w:hint="eastAsia" w:ascii="宋体" w:hAnsi="宋体" w:cs="宋体"/>
          <w:color w:val="auto"/>
          <w:highlight w:val="none"/>
        </w:rPr>
        <w:t>法</w:t>
      </w:r>
      <w:r>
        <w:rPr>
          <w:rFonts w:hint="eastAsia" w:ascii="宋体" w:hAnsi="宋体" w:cs="宋体"/>
          <w:color w:val="auto"/>
          <w:spacing w:val="-2"/>
          <w:highlight w:val="none"/>
        </w:rPr>
        <w:t>规</w:t>
      </w:r>
      <w:r>
        <w:rPr>
          <w:rFonts w:hint="eastAsia" w:ascii="宋体" w:hAnsi="宋体" w:cs="宋体"/>
          <w:color w:val="auto"/>
          <w:highlight w:val="none"/>
        </w:rPr>
        <w:t>和</w:t>
      </w:r>
      <w:r>
        <w:rPr>
          <w:rFonts w:hint="eastAsia" w:ascii="宋体" w:hAnsi="宋体" w:cs="宋体"/>
          <w:color w:val="auto"/>
          <w:spacing w:val="-2"/>
          <w:highlight w:val="none"/>
        </w:rPr>
        <w:t>规</w:t>
      </w:r>
      <w:r>
        <w:rPr>
          <w:rFonts w:hint="eastAsia" w:ascii="宋体" w:hAnsi="宋体" w:cs="宋体"/>
          <w:color w:val="auto"/>
          <w:highlight w:val="none"/>
        </w:rPr>
        <w:t>章</w:t>
      </w:r>
      <w:r>
        <w:rPr>
          <w:rFonts w:hint="eastAsia" w:ascii="宋体" w:hAnsi="宋体" w:cs="宋体"/>
          <w:color w:val="auto"/>
          <w:spacing w:val="-2"/>
          <w:highlight w:val="none"/>
        </w:rPr>
        <w:t>的</w:t>
      </w:r>
      <w:r>
        <w:rPr>
          <w:rFonts w:hint="eastAsia" w:ascii="宋体" w:hAnsi="宋体" w:cs="宋体"/>
          <w:color w:val="auto"/>
          <w:highlight w:val="none"/>
        </w:rPr>
        <w:t>规</w:t>
      </w:r>
      <w:r>
        <w:rPr>
          <w:rFonts w:hint="eastAsia" w:ascii="宋体" w:hAnsi="宋体" w:cs="宋体"/>
          <w:color w:val="auto"/>
          <w:spacing w:val="-2"/>
          <w:highlight w:val="none"/>
        </w:rPr>
        <w:t>定</w:t>
      </w:r>
      <w:r>
        <w:rPr>
          <w:rFonts w:hint="eastAsia" w:ascii="宋体" w:hAnsi="宋体" w:cs="宋体"/>
          <w:color w:val="auto"/>
          <w:highlight w:val="none"/>
        </w:rPr>
        <w:t>，本</w:t>
      </w:r>
      <w:r>
        <w:rPr>
          <w:rFonts w:hint="eastAsia" w:ascii="宋体" w:hAnsi="宋体" w:cs="宋体"/>
          <w:color w:val="auto"/>
          <w:spacing w:val="-2"/>
          <w:highlight w:val="none"/>
        </w:rPr>
        <w:t>招</w:t>
      </w:r>
      <w:r>
        <w:rPr>
          <w:rFonts w:hint="eastAsia" w:ascii="宋体" w:hAnsi="宋体" w:cs="宋体"/>
          <w:color w:val="auto"/>
          <w:highlight w:val="none"/>
        </w:rPr>
        <w:t>标</w:t>
      </w:r>
      <w:r>
        <w:rPr>
          <w:rFonts w:hint="eastAsia" w:ascii="宋体" w:hAnsi="宋体" w:cs="宋体"/>
          <w:color w:val="auto"/>
          <w:spacing w:val="-2"/>
          <w:highlight w:val="none"/>
        </w:rPr>
        <w:t>项</w:t>
      </w:r>
      <w:r>
        <w:rPr>
          <w:rFonts w:hint="eastAsia" w:ascii="宋体" w:hAnsi="宋体" w:cs="宋体"/>
          <w:color w:val="auto"/>
          <w:highlight w:val="none"/>
        </w:rPr>
        <w:t>目</w:t>
      </w:r>
      <w:r>
        <w:rPr>
          <w:rFonts w:hint="eastAsia" w:ascii="宋体" w:hAnsi="宋体" w:cs="宋体"/>
          <w:color w:val="auto"/>
          <w:spacing w:val="-2"/>
          <w:highlight w:val="none"/>
        </w:rPr>
        <w:t>已</w:t>
      </w:r>
      <w:r>
        <w:rPr>
          <w:rFonts w:hint="eastAsia" w:ascii="宋体" w:hAnsi="宋体" w:cs="宋体"/>
          <w:color w:val="auto"/>
          <w:highlight w:val="none"/>
        </w:rPr>
        <w:t>具</w:t>
      </w:r>
      <w:r>
        <w:rPr>
          <w:rFonts w:hint="eastAsia" w:ascii="宋体" w:hAnsi="宋体" w:cs="宋体"/>
          <w:color w:val="auto"/>
          <w:spacing w:val="-2"/>
          <w:highlight w:val="none"/>
        </w:rPr>
        <w:t>备</w:t>
      </w:r>
      <w:r>
        <w:rPr>
          <w:rFonts w:hint="eastAsia" w:ascii="宋体" w:hAnsi="宋体" w:cs="宋体"/>
          <w:color w:val="auto"/>
          <w:highlight w:val="none"/>
        </w:rPr>
        <w:t>招</w:t>
      </w:r>
      <w:r>
        <w:rPr>
          <w:rFonts w:hint="eastAsia" w:ascii="宋体" w:hAnsi="宋体" w:cs="宋体"/>
          <w:color w:val="auto"/>
          <w:spacing w:val="-2"/>
          <w:highlight w:val="none"/>
        </w:rPr>
        <w:t>标</w:t>
      </w:r>
      <w:r>
        <w:rPr>
          <w:rFonts w:hint="eastAsia" w:ascii="宋体" w:hAnsi="宋体" w:cs="宋体"/>
          <w:color w:val="auto"/>
          <w:highlight w:val="none"/>
        </w:rPr>
        <w:t>条件</w:t>
      </w:r>
      <w:r>
        <w:rPr>
          <w:rFonts w:hint="eastAsia" w:ascii="宋体" w:hAnsi="宋体" w:cs="宋体"/>
          <w:color w:val="auto"/>
          <w:spacing w:val="-2"/>
          <w:highlight w:val="none"/>
        </w:rPr>
        <w:t>，</w:t>
      </w:r>
      <w:r>
        <w:rPr>
          <w:rFonts w:hint="eastAsia" w:ascii="宋体" w:hAnsi="宋体" w:cs="宋体"/>
          <w:color w:val="auto"/>
          <w:highlight w:val="none"/>
        </w:rPr>
        <w:t>现</w:t>
      </w:r>
      <w:r>
        <w:rPr>
          <w:rFonts w:hint="eastAsia" w:ascii="宋体" w:hAnsi="宋体" w:cs="宋体"/>
          <w:color w:val="auto"/>
          <w:spacing w:val="-2"/>
          <w:highlight w:val="none"/>
        </w:rPr>
        <w:t>对</w:t>
      </w:r>
      <w:r>
        <w:rPr>
          <w:rFonts w:hint="eastAsia" w:ascii="宋体" w:hAnsi="宋体" w:cs="宋体"/>
          <w:color w:val="auto"/>
          <w:highlight w:val="none"/>
        </w:rPr>
        <w:t>监</w:t>
      </w:r>
      <w:r>
        <w:rPr>
          <w:rFonts w:hint="eastAsia" w:ascii="宋体" w:hAnsi="宋体" w:cs="宋体"/>
          <w:color w:val="auto"/>
          <w:spacing w:val="-2"/>
          <w:highlight w:val="none"/>
        </w:rPr>
        <w:t>理</w:t>
      </w:r>
      <w:r>
        <w:rPr>
          <w:rFonts w:hint="eastAsia" w:ascii="宋体" w:hAnsi="宋体" w:cs="宋体"/>
          <w:color w:val="auto"/>
          <w:highlight w:val="none"/>
        </w:rPr>
        <w:t>进</w:t>
      </w:r>
      <w:r>
        <w:rPr>
          <w:rFonts w:hint="eastAsia" w:ascii="宋体" w:hAnsi="宋体" w:cs="宋体"/>
          <w:color w:val="auto"/>
          <w:spacing w:val="-2"/>
          <w:highlight w:val="none"/>
        </w:rPr>
        <w:t>行</w:t>
      </w:r>
      <w:r>
        <w:rPr>
          <w:rFonts w:hint="eastAsia" w:ascii="宋体" w:hAnsi="宋体" w:cs="宋体"/>
          <w:color w:val="auto"/>
          <w:highlight w:val="none"/>
        </w:rPr>
        <w:t>招</w:t>
      </w:r>
      <w:r>
        <w:rPr>
          <w:rFonts w:hint="eastAsia" w:ascii="宋体" w:hAnsi="宋体" w:cs="宋体"/>
          <w:color w:val="auto"/>
          <w:spacing w:val="-2"/>
          <w:highlight w:val="none"/>
        </w:rPr>
        <w:t>标</w:t>
      </w:r>
      <w:r>
        <w:rPr>
          <w:rFonts w:hint="eastAsia" w:ascii="宋体" w:hAnsi="宋体" w:cs="宋体"/>
          <w:color w:val="auto"/>
          <w:highlight w:val="none"/>
        </w:rPr>
        <w:t>。</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1.1.2招</w:t>
      </w:r>
      <w:r>
        <w:rPr>
          <w:rFonts w:hint="eastAsia" w:ascii="宋体" w:hAnsi="宋体" w:cs="宋体"/>
          <w:color w:val="auto"/>
          <w:spacing w:val="-2"/>
          <w:highlight w:val="none"/>
        </w:rPr>
        <w:t>标</w:t>
      </w:r>
      <w:r>
        <w:rPr>
          <w:rFonts w:hint="eastAsia" w:ascii="宋体" w:hAnsi="宋体" w:cs="宋体"/>
          <w:color w:val="auto"/>
          <w:highlight w:val="none"/>
        </w:rPr>
        <w:t>人</w:t>
      </w:r>
      <w:r>
        <w:rPr>
          <w:rFonts w:hint="eastAsia" w:ascii="宋体" w:hAnsi="宋体" w:cs="宋体"/>
          <w:color w:val="auto"/>
          <w:spacing w:val="-2"/>
          <w:highlight w:val="none"/>
        </w:rPr>
        <w:t>：</w:t>
      </w:r>
      <w:r>
        <w:rPr>
          <w:rFonts w:hint="eastAsia" w:ascii="宋体" w:hAnsi="宋体" w:cs="宋体"/>
          <w:color w:val="auto"/>
          <w:highlight w:val="none"/>
        </w:rPr>
        <w:t>见</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人须</w:t>
      </w:r>
      <w:r>
        <w:rPr>
          <w:rFonts w:hint="eastAsia" w:ascii="宋体" w:hAnsi="宋体" w:cs="宋体"/>
          <w:color w:val="auto"/>
          <w:highlight w:val="none"/>
        </w:rPr>
        <w:t>知前</w:t>
      </w:r>
      <w:r>
        <w:rPr>
          <w:rFonts w:hint="eastAsia" w:ascii="宋体" w:hAnsi="宋体" w:cs="宋体"/>
          <w:color w:val="auto"/>
          <w:spacing w:val="-2"/>
          <w:highlight w:val="none"/>
        </w:rPr>
        <w:t>附</w:t>
      </w:r>
      <w:r>
        <w:rPr>
          <w:rFonts w:hint="eastAsia" w:ascii="宋体" w:hAnsi="宋体" w:cs="宋体"/>
          <w:color w:val="auto"/>
          <w:highlight w:val="none"/>
        </w:rPr>
        <w:t>表。</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1.1.3招</w:t>
      </w:r>
      <w:r>
        <w:rPr>
          <w:rFonts w:hint="eastAsia" w:ascii="宋体" w:hAnsi="宋体" w:cs="宋体"/>
          <w:color w:val="auto"/>
          <w:spacing w:val="-2"/>
          <w:highlight w:val="none"/>
        </w:rPr>
        <w:t>标</w:t>
      </w:r>
      <w:r>
        <w:rPr>
          <w:rFonts w:hint="eastAsia" w:ascii="宋体" w:hAnsi="宋体" w:cs="宋体"/>
          <w:color w:val="auto"/>
          <w:highlight w:val="none"/>
        </w:rPr>
        <w:t>代</w:t>
      </w:r>
      <w:r>
        <w:rPr>
          <w:rFonts w:hint="eastAsia" w:ascii="宋体" w:hAnsi="宋体" w:cs="宋体"/>
          <w:color w:val="auto"/>
          <w:spacing w:val="-2"/>
          <w:highlight w:val="none"/>
        </w:rPr>
        <w:t>理</w:t>
      </w:r>
      <w:r>
        <w:rPr>
          <w:rFonts w:hint="eastAsia" w:ascii="宋体" w:hAnsi="宋体" w:cs="宋体"/>
          <w:color w:val="auto"/>
          <w:highlight w:val="none"/>
        </w:rPr>
        <w:t>机</w:t>
      </w:r>
      <w:r>
        <w:rPr>
          <w:rFonts w:hint="eastAsia" w:ascii="宋体" w:hAnsi="宋体" w:cs="宋体"/>
          <w:color w:val="auto"/>
          <w:spacing w:val="-2"/>
          <w:highlight w:val="none"/>
        </w:rPr>
        <w:t>构</w:t>
      </w:r>
      <w:r>
        <w:rPr>
          <w:rFonts w:hint="eastAsia" w:ascii="宋体" w:hAnsi="宋体" w:cs="宋体"/>
          <w:color w:val="auto"/>
          <w:highlight w:val="none"/>
        </w:rPr>
        <w:t>：</w:t>
      </w:r>
      <w:r>
        <w:rPr>
          <w:rFonts w:hint="eastAsia" w:ascii="宋体" w:hAnsi="宋体" w:cs="宋体"/>
          <w:color w:val="auto"/>
          <w:spacing w:val="-2"/>
          <w:highlight w:val="none"/>
        </w:rPr>
        <w:t>见投</w:t>
      </w:r>
      <w:r>
        <w:rPr>
          <w:rFonts w:hint="eastAsia" w:ascii="宋体" w:hAnsi="宋体" w:cs="宋体"/>
          <w:color w:val="auto"/>
          <w:highlight w:val="none"/>
        </w:rPr>
        <w:t>标人</w:t>
      </w:r>
      <w:r>
        <w:rPr>
          <w:rFonts w:hint="eastAsia" w:ascii="宋体" w:hAnsi="宋体" w:cs="宋体"/>
          <w:color w:val="auto"/>
          <w:spacing w:val="-2"/>
          <w:highlight w:val="none"/>
        </w:rPr>
        <w:t>须</w:t>
      </w:r>
      <w:r>
        <w:rPr>
          <w:rFonts w:hint="eastAsia" w:ascii="宋体" w:hAnsi="宋体" w:cs="宋体"/>
          <w:color w:val="auto"/>
          <w:highlight w:val="none"/>
        </w:rPr>
        <w:t>知</w:t>
      </w:r>
      <w:r>
        <w:rPr>
          <w:rFonts w:hint="eastAsia" w:ascii="宋体" w:hAnsi="宋体" w:cs="宋体"/>
          <w:color w:val="auto"/>
          <w:spacing w:val="-2"/>
          <w:highlight w:val="none"/>
        </w:rPr>
        <w:t>前</w:t>
      </w:r>
      <w:r>
        <w:rPr>
          <w:rFonts w:hint="eastAsia" w:ascii="宋体" w:hAnsi="宋体" w:cs="宋体"/>
          <w:color w:val="auto"/>
          <w:highlight w:val="none"/>
        </w:rPr>
        <w:t>附</w:t>
      </w:r>
      <w:r>
        <w:rPr>
          <w:rFonts w:hint="eastAsia" w:ascii="宋体" w:hAnsi="宋体" w:cs="宋体"/>
          <w:color w:val="auto"/>
          <w:spacing w:val="-2"/>
          <w:highlight w:val="none"/>
        </w:rPr>
        <w:t>表</w:t>
      </w:r>
      <w:r>
        <w:rPr>
          <w:rFonts w:hint="eastAsia" w:ascii="宋体" w:hAnsi="宋体" w:cs="宋体"/>
          <w:color w:val="auto"/>
          <w:highlight w:val="none"/>
        </w:rPr>
        <w:t>。</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1.1.4招</w:t>
      </w:r>
      <w:r>
        <w:rPr>
          <w:rFonts w:hint="eastAsia" w:ascii="宋体" w:hAnsi="宋体" w:cs="宋体"/>
          <w:color w:val="auto"/>
          <w:spacing w:val="-2"/>
          <w:highlight w:val="none"/>
        </w:rPr>
        <w:t>标</w:t>
      </w:r>
      <w:r>
        <w:rPr>
          <w:rFonts w:hint="eastAsia" w:ascii="宋体" w:hAnsi="宋体" w:cs="宋体"/>
          <w:color w:val="auto"/>
          <w:highlight w:val="none"/>
        </w:rPr>
        <w:t>项</w:t>
      </w:r>
      <w:r>
        <w:rPr>
          <w:rFonts w:hint="eastAsia" w:ascii="宋体" w:hAnsi="宋体" w:cs="宋体"/>
          <w:color w:val="auto"/>
          <w:spacing w:val="-2"/>
          <w:highlight w:val="none"/>
        </w:rPr>
        <w:t>目</w:t>
      </w:r>
      <w:r>
        <w:rPr>
          <w:rFonts w:hint="eastAsia" w:ascii="宋体" w:hAnsi="宋体" w:cs="宋体"/>
          <w:color w:val="auto"/>
          <w:highlight w:val="none"/>
        </w:rPr>
        <w:t>名</w:t>
      </w:r>
      <w:r>
        <w:rPr>
          <w:rFonts w:hint="eastAsia" w:ascii="宋体" w:hAnsi="宋体" w:cs="宋体"/>
          <w:color w:val="auto"/>
          <w:spacing w:val="-2"/>
          <w:highlight w:val="none"/>
        </w:rPr>
        <w:t>称</w:t>
      </w:r>
      <w:r>
        <w:rPr>
          <w:rFonts w:hint="eastAsia" w:ascii="宋体" w:hAnsi="宋体" w:cs="宋体"/>
          <w:color w:val="auto"/>
          <w:highlight w:val="none"/>
        </w:rPr>
        <w:t>：</w:t>
      </w:r>
      <w:r>
        <w:rPr>
          <w:rFonts w:hint="eastAsia" w:ascii="宋体" w:hAnsi="宋体" w:cs="宋体"/>
          <w:color w:val="auto"/>
          <w:spacing w:val="-2"/>
          <w:highlight w:val="none"/>
        </w:rPr>
        <w:t>见投</w:t>
      </w:r>
      <w:r>
        <w:rPr>
          <w:rFonts w:hint="eastAsia" w:ascii="宋体" w:hAnsi="宋体" w:cs="宋体"/>
          <w:color w:val="auto"/>
          <w:highlight w:val="none"/>
        </w:rPr>
        <w:t>标人</w:t>
      </w:r>
      <w:r>
        <w:rPr>
          <w:rFonts w:hint="eastAsia" w:ascii="宋体" w:hAnsi="宋体" w:cs="宋体"/>
          <w:color w:val="auto"/>
          <w:spacing w:val="-2"/>
          <w:highlight w:val="none"/>
        </w:rPr>
        <w:t>须</w:t>
      </w:r>
      <w:r>
        <w:rPr>
          <w:rFonts w:hint="eastAsia" w:ascii="宋体" w:hAnsi="宋体" w:cs="宋体"/>
          <w:color w:val="auto"/>
          <w:highlight w:val="none"/>
        </w:rPr>
        <w:t>知</w:t>
      </w:r>
      <w:r>
        <w:rPr>
          <w:rFonts w:hint="eastAsia" w:ascii="宋体" w:hAnsi="宋体" w:cs="宋体"/>
          <w:color w:val="auto"/>
          <w:spacing w:val="-2"/>
          <w:highlight w:val="none"/>
        </w:rPr>
        <w:t>前</w:t>
      </w:r>
      <w:r>
        <w:rPr>
          <w:rFonts w:hint="eastAsia" w:ascii="宋体" w:hAnsi="宋体" w:cs="宋体"/>
          <w:color w:val="auto"/>
          <w:highlight w:val="none"/>
        </w:rPr>
        <w:t>附</w:t>
      </w:r>
      <w:r>
        <w:rPr>
          <w:rFonts w:hint="eastAsia" w:ascii="宋体" w:hAnsi="宋体" w:cs="宋体"/>
          <w:color w:val="auto"/>
          <w:spacing w:val="-2"/>
          <w:highlight w:val="none"/>
        </w:rPr>
        <w:t>表</w:t>
      </w:r>
      <w:r>
        <w:rPr>
          <w:rFonts w:hint="eastAsia" w:ascii="宋体" w:hAnsi="宋体" w:cs="宋体"/>
          <w:color w:val="auto"/>
          <w:highlight w:val="none"/>
        </w:rPr>
        <w:t>。</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1.1.5项</w:t>
      </w:r>
      <w:r>
        <w:rPr>
          <w:rFonts w:hint="eastAsia" w:ascii="宋体" w:hAnsi="宋体" w:cs="宋体"/>
          <w:color w:val="auto"/>
          <w:spacing w:val="-2"/>
          <w:highlight w:val="none"/>
        </w:rPr>
        <w:t>目</w:t>
      </w:r>
      <w:r>
        <w:rPr>
          <w:rFonts w:hint="eastAsia" w:ascii="宋体" w:hAnsi="宋体" w:cs="宋体"/>
          <w:color w:val="auto"/>
          <w:highlight w:val="none"/>
        </w:rPr>
        <w:t>建</w:t>
      </w:r>
      <w:r>
        <w:rPr>
          <w:rFonts w:hint="eastAsia" w:ascii="宋体" w:hAnsi="宋体" w:cs="宋体"/>
          <w:color w:val="auto"/>
          <w:spacing w:val="-2"/>
          <w:highlight w:val="none"/>
        </w:rPr>
        <w:t>设</w:t>
      </w:r>
      <w:r>
        <w:rPr>
          <w:rFonts w:hint="eastAsia" w:ascii="宋体" w:hAnsi="宋体" w:cs="宋体"/>
          <w:color w:val="auto"/>
          <w:highlight w:val="none"/>
        </w:rPr>
        <w:t>地</w:t>
      </w:r>
      <w:r>
        <w:rPr>
          <w:rFonts w:hint="eastAsia" w:ascii="宋体" w:hAnsi="宋体" w:cs="宋体"/>
          <w:color w:val="auto"/>
          <w:spacing w:val="-2"/>
          <w:highlight w:val="none"/>
        </w:rPr>
        <w:t>点</w:t>
      </w:r>
      <w:r>
        <w:rPr>
          <w:rFonts w:hint="eastAsia" w:ascii="宋体" w:hAnsi="宋体" w:cs="宋体"/>
          <w:color w:val="auto"/>
          <w:highlight w:val="none"/>
        </w:rPr>
        <w:t>：</w:t>
      </w:r>
      <w:r>
        <w:rPr>
          <w:rFonts w:hint="eastAsia" w:ascii="宋体" w:hAnsi="宋体" w:cs="宋体"/>
          <w:color w:val="auto"/>
          <w:spacing w:val="-2"/>
          <w:highlight w:val="none"/>
        </w:rPr>
        <w:t>见投</w:t>
      </w:r>
      <w:r>
        <w:rPr>
          <w:rFonts w:hint="eastAsia" w:ascii="宋体" w:hAnsi="宋体" w:cs="宋体"/>
          <w:color w:val="auto"/>
          <w:highlight w:val="none"/>
        </w:rPr>
        <w:t>标人</w:t>
      </w:r>
      <w:r>
        <w:rPr>
          <w:rFonts w:hint="eastAsia" w:ascii="宋体" w:hAnsi="宋体" w:cs="宋体"/>
          <w:color w:val="auto"/>
          <w:spacing w:val="-2"/>
          <w:highlight w:val="none"/>
        </w:rPr>
        <w:t>须</w:t>
      </w:r>
      <w:r>
        <w:rPr>
          <w:rFonts w:hint="eastAsia" w:ascii="宋体" w:hAnsi="宋体" w:cs="宋体"/>
          <w:color w:val="auto"/>
          <w:highlight w:val="none"/>
        </w:rPr>
        <w:t>知</w:t>
      </w:r>
      <w:r>
        <w:rPr>
          <w:rFonts w:hint="eastAsia" w:ascii="宋体" w:hAnsi="宋体" w:cs="宋体"/>
          <w:color w:val="auto"/>
          <w:spacing w:val="-2"/>
          <w:highlight w:val="none"/>
        </w:rPr>
        <w:t>前</w:t>
      </w:r>
      <w:r>
        <w:rPr>
          <w:rFonts w:hint="eastAsia" w:ascii="宋体" w:hAnsi="宋体" w:cs="宋体"/>
          <w:color w:val="auto"/>
          <w:highlight w:val="none"/>
        </w:rPr>
        <w:t>附</w:t>
      </w:r>
      <w:r>
        <w:rPr>
          <w:rFonts w:hint="eastAsia" w:ascii="宋体" w:hAnsi="宋体" w:cs="宋体"/>
          <w:color w:val="auto"/>
          <w:spacing w:val="-2"/>
          <w:highlight w:val="none"/>
        </w:rPr>
        <w:t>表</w:t>
      </w:r>
      <w:r>
        <w:rPr>
          <w:rFonts w:hint="eastAsia" w:ascii="宋体" w:hAnsi="宋体" w:cs="宋体"/>
          <w:color w:val="auto"/>
          <w:highlight w:val="none"/>
        </w:rPr>
        <w:t>。</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1.1.6项</w:t>
      </w:r>
      <w:r>
        <w:rPr>
          <w:rFonts w:hint="eastAsia" w:ascii="宋体" w:hAnsi="宋体" w:cs="宋体"/>
          <w:color w:val="auto"/>
          <w:spacing w:val="-2"/>
          <w:highlight w:val="none"/>
        </w:rPr>
        <w:t>目</w:t>
      </w:r>
      <w:r>
        <w:rPr>
          <w:rFonts w:hint="eastAsia" w:ascii="宋体" w:hAnsi="宋体" w:cs="宋体"/>
          <w:color w:val="auto"/>
          <w:highlight w:val="none"/>
        </w:rPr>
        <w:t>建</w:t>
      </w:r>
      <w:r>
        <w:rPr>
          <w:rFonts w:hint="eastAsia" w:ascii="宋体" w:hAnsi="宋体" w:cs="宋体"/>
          <w:color w:val="auto"/>
          <w:spacing w:val="-2"/>
          <w:highlight w:val="none"/>
        </w:rPr>
        <w:t>设</w:t>
      </w:r>
      <w:r>
        <w:rPr>
          <w:rFonts w:hint="eastAsia" w:ascii="宋体" w:hAnsi="宋体" w:cs="宋体"/>
          <w:color w:val="auto"/>
          <w:highlight w:val="none"/>
        </w:rPr>
        <w:t>规</w:t>
      </w:r>
      <w:r>
        <w:rPr>
          <w:rFonts w:hint="eastAsia" w:ascii="宋体" w:hAnsi="宋体" w:cs="宋体"/>
          <w:color w:val="auto"/>
          <w:spacing w:val="-2"/>
          <w:highlight w:val="none"/>
        </w:rPr>
        <w:t>模</w:t>
      </w:r>
      <w:r>
        <w:rPr>
          <w:rFonts w:hint="eastAsia" w:ascii="宋体" w:hAnsi="宋体" w:cs="宋体"/>
          <w:color w:val="auto"/>
          <w:highlight w:val="none"/>
        </w:rPr>
        <w:t>：</w:t>
      </w:r>
      <w:r>
        <w:rPr>
          <w:rFonts w:hint="eastAsia" w:ascii="宋体" w:hAnsi="宋体" w:cs="宋体"/>
          <w:color w:val="auto"/>
          <w:spacing w:val="-2"/>
          <w:highlight w:val="none"/>
        </w:rPr>
        <w:t>见投</w:t>
      </w:r>
      <w:r>
        <w:rPr>
          <w:rFonts w:hint="eastAsia" w:ascii="宋体" w:hAnsi="宋体" w:cs="宋体"/>
          <w:color w:val="auto"/>
          <w:highlight w:val="none"/>
        </w:rPr>
        <w:t>标人</w:t>
      </w:r>
      <w:r>
        <w:rPr>
          <w:rFonts w:hint="eastAsia" w:ascii="宋体" w:hAnsi="宋体" w:cs="宋体"/>
          <w:color w:val="auto"/>
          <w:spacing w:val="-2"/>
          <w:highlight w:val="none"/>
        </w:rPr>
        <w:t>须</w:t>
      </w:r>
      <w:r>
        <w:rPr>
          <w:rFonts w:hint="eastAsia" w:ascii="宋体" w:hAnsi="宋体" w:cs="宋体"/>
          <w:color w:val="auto"/>
          <w:highlight w:val="none"/>
        </w:rPr>
        <w:t>知</w:t>
      </w:r>
      <w:r>
        <w:rPr>
          <w:rFonts w:hint="eastAsia" w:ascii="宋体" w:hAnsi="宋体" w:cs="宋体"/>
          <w:color w:val="auto"/>
          <w:spacing w:val="-2"/>
          <w:highlight w:val="none"/>
        </w:rPr>
        <w:t>前</w:t>
      </w:r>
      <w:r>
        <w:rPr>
          <w:rFonts w:hint="eastAsia" w:ascii="宋体" w:hAnsi="宋体" w:cs="宋体"/>
          <w:color w:val="auto"/>
          <w:highlight w:val="none"/>
        </w:rPr>
        <w:t>附</w:t>
      </w:r>
      <w:r>
        <w:rPr>
          <w:rFonts w:hint="eastAsia" w:ascii="宋体" w:hAnsi="宋体" w:cs="宋体"/>
          <w:color w:val="auto"/>
          <w:spacing w:val="-2"/>
          <w:highlight w:val="none"/>
        </w:rPr>
        <w:t>表</w:t>
      </w:r>
      <w:r>
        <w:rPr>
          <w:rFonts w:hint="eastAsia" w:ascii="宋体" w:hAnsi="宋体" w:cs="宋体"/>
          <w:color w:val="auto"/>
          <w:highlight w:val="none"/>
        </w:rPr>
        <w:t>。</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1.1.7工</w:t>
      </w:r>
      <w:r>
        <w:rPr>
          <w:rFonts w:hint="eastAsia" w:ascii="宋体" w:hAnsi="宋体" w:cs="宋体"/>
          <w:color w:val="auto"/>
          <w:spacing w:val="-2"/>
          <w:highlight w:val="none"/>
        </w:rPr>
        <w:t>程</w:t>
      </w:r>
      <w:r>
        <w:rPr>
          <w:rFonts w:hint="eastAsia" w:ascii="宋体" w:hAnsi="宋体" w:cs="宋体"/>
          <w:color w:val="auto"/>
          <w:highlight w:val="none"/>
        </w:rPr>
        <w:t>项</w:t>
      </w:r>
      <w:r>
        <w:rPr>
          <w:rFonts w:hint="eastAsia" w:ascii="宋体" w:hAnsi="宋体" w:cs="宋体"/>
          <w:color w:val="auto"/>
          <w:spacing w:val="-2"/>
          <w:highlight w:val="none"/>
        </w:rPr>
        <w:t>目</w:t>
      </w:r>
      <w:r>
        <w:rPr>
          <w:rFonts w:hint="eastAsia" w:ascii="宋体" w:hAnsi="宋体" w:cs="宋体"/>
          <w:color w:val="auto"/>
          <w:highlight w:val="none"/>
        </w:rPr>
        <w:t>施</w:t>
      </w:r>
      <w:r>
        <w:rPr>
          <w:rFonts w:hint="eastAsia" w:ascii="宋体" w:hAnsi="宋体" w:cs="宋体"/>
          <w:color w:val="auto"/>
          <w:spacing w:val="-2"/>
          <w:highlight w:val="none"/>
        </w:rPr>
        <w:t>工</w:t>
      </w:r>
      <w:r>
        <w:rPr>
          <w:rFonts w:hint="eastAsia" w:ascii="宋体" w:hAnsi="宋体" w:cs="宋体"/>
          <w:color w:val="auto"/>
          <w:highlight w:val="none"/>
        </w:rPr>
        <w:t>预</w:t>
      </w:r>
      <w:r>
        <w:rPr>
          <w:rFonts w:hint="eastAsia" w:ascii="宋体" w:hAnsi="宋体" w:cs="宋体"/>
          <w:color w:val="auto"/>
          <w:spacing w:val="-2"/>
          <w:highlight w:val="none"/>
        </w:rPr>
        <w:t>计开</w:t>
      </w:r>
      <w:r>
        <w:rPr>
          <w:rFonts w:hint="eastAsia" w:ascii="宋体" w:hAnsi="宋体" w:cs="宋体"/>
          <w:color w:val="auto"/>
          <w:highlight w:val="none"/>
        </w:rPr>
        <w:t>工日</w:t>
      </w:r>
      <w:r>
        <w:rPr>
          <w:rFonts w:hint="eastAsia" w:ascii="宋体" w:hAnsi="宋体" w:cs="宋体"/>
          <w:color w:val="auto"/>
          <w:spacing w:val="-2"/>
          <w:highlight w:val="none"/>
        </w:rPr>
        <w:t>期</w:t>
      </w:r>
      <w:r>
        <w:rPr>
          <w:rFonts w:hint="eastAsia" w:ascii="宋体" w:hAnsi="宋体" w:cs="宋体"/>
          <w:color w:val="auto"/>
          <w:highlight w:val="none"/>
        </w:rPr>
        <w:t>和</w:t>
      </w:r>
      <w:r>
        <w:rPr>
          <w:rFonts w:hint="eastAsia" w:ascii="宋体" w:hAnsi="宋体" w:cs="宋体"/>
          <w:color w:val="auto"/>
          <w:spacing w:val="-2"/>
          <w:highlight w:val="none"/>
        </w:rPr>
        <w:t>建</w:t>
      </w:r>
      <w:r>
        <w:rPr>
          <w:rFonts w:hint="eastAsia" w:ascii="宋体" w:hAnsi="宋体" w:cs="宋体"/>
          <w:color w:val="auto"/>
          <w:highlight w:val="none"/>
        </w:rPr>
        <w:t>设</w:t>
      </w:r>
      <w:r>
        <w:rPr>
          <w:rFonts w:hint="eastAsia" w:ascii="宋体" w:hAnsi="宋体" w:cs="宋体"/>
          <w:color w:val="auto"/>
          <w:spacing w:val="-2"/>
          <w:highlight w:val="none"/>
        </w:rPr>
        <w:t>周</w:t>
      </w:r>
      <w:r>
        <w:rPr>
          <w:rFonts w:hint="eastAsia" w:ascii="宋体" w:hAnsi="宋体" w:cs="宋体"/>
          <w:color w:val="auto"/>
          <w:highlight w:val="none"/>
        </w:rPr>
        <w:t>期</w:t>
      </w:r>
      <w:r>
        <w:rPr>
          <w:rFonts w:hint="eastAsia" w:ascii="宋体" w:hAnsi="宋体" w:cs="宋体"/>
          <w:color w:val="auto"/>
          <w:spacing w:val="-2"/>
          <w:highlight w:val="none"/>
        </w:rPr>
        <w:t>：</w:t>
      </w:r>
      <w:r>
        <w:rPr>
          <w:rFonts w:hint="eastAsia" w:ascii="宋体" w:hAnsi="宋体" w:cs="宋体"/>
          <w:color w:val="auto"/>
          <w:highlight w:val="none"/>
        </w:rPr>
        <w:t>见</w:t>
      </w:r>
      <w:r>
        <w:rPr>
          <w:rFonts w:hint="eastAsia" w:ascii="宋体" w:hAnsi="宋体" w:cs="宋体"/>
          <w:color w:val="auto"/>
          <w:spacing w:val="-2"/>
          <w:highlight w:val="none"/>
        </w:rPr>
        <w:t>投</w:t>
      </w:r>
      <w:r>
        <w:rPr>
          <w:rFonts w:hint="eastAsia" w:ascii="宋体" w:hAnsi="宋体" w:cs="宋体"/>
          <w:color w:val="auto"/>
          <w:highlight w:val="none"/>
        </w:rPr>
        <w:t>标人</w:t>
      </w:r>
      <w:r>
        <w:rPr>
          <w:rFonts w:hint="eastAsia" w:ascii="宋体" w:hAnsi="宋体" w:cs="宋体"/>
          <w:color w:val="auto"/>
          <w:spacing w:val="-2"/>
          <w:highlight w:val="none"/>
        </w:rPr>
        <w:t>须</w:t>
      </w:r>
      <w:r>
        <w:rPr>
          <w:rFonts w:hint="eastAsia" w:ascii="宋体" w:hAnsi="宋体" w:cs="宋体"/>
          <w:color w:val="auto"/>
          <w:highlight w:val="none"/>
        </w:rPr>
        <w:t>知</w:t>
      </w:r>
      <w:r>
        <w:rPr>
          <w:rFonts w:hint="eastAsia" w:ascii="宋体" w:hAnsi="宋体" w:cs="宋体"/>
          <w:color w:val="auto"/>
          <w:spacing w:val="-2"/>
          <w:highlight w:val="none"/>
        </w:rPr>
        <w:t>前</w:t>
      </w:r>
      <w:r>
        <w:rPr>
          <w:rFonts w:hint="eastAsia" w:ascii="宋体" w:hAnsi="宋体" w:cs="宋体"/>
          <w:color w:val="auto"/>
          <w:highlight w:val="none"/>
        </w:rPr>
        <w:t>附</w:t>
      </w:r>
      <w:r>
        <w:rPr>
          <w:rFonts w:hint="eastAsia" w:ascii="宋体" w:hAnsi="宋体" w:cs="宋体"/>
          <w:color w:val="auto"/>
          <w:spacing w:val="-2"/>
          <w:highlight w:val="none"/>
        </w:rPr>
        <w:t>表</w:t>
      </w:r>
      <w:r>
        <w:rPr>
          <w:rFonts w:hint="eastAsia" w:ascii="宋体" w:hAnsi="宋体" w:cs="宋体"/>
          <w:color w:val="auto"/>
          <w:highlight w:val="none"/>
        </w:rPr>
        <w:t>。</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1.1.8建</w:t>
      </w:r>
      <w:r>
        <w:rPr>
          <w:rFonts w:hint="eastAsia" w:ascii="宋体" w:hAnsi="宋体" w:cs="宋体"/>
          <w:color w:val="auto"/>
          <w:spacing w:val="-2"/>
          <w:highlight w:val="none"/>
        </w:rPr>
        <w:t>筑</w:t>
      </w:r>
      <w:r>
        <w:rPr>
          <w:rFonts w:hint="eastAsia" w:ascii="宋体" w:hAnsi="宋体" w:cs="宋体"/>
          <w:color w:val="auto"/>
          <w:highlight w:val="none"/>
        </w:rPr>
        <w:t>安</w:t>
      </w:r>
      <w:r>
        <w:rPr>
          <w:rFonts w:hint="eastAsia" w:ascii="宋体" w:hAnsi="宋体" w:cs="宋体"/>
          <w:color w:val="auto"/>
          <w:spacing w:val="-2"/>
          <w:highlight w:val="none"/>
        </w:rPr>
        <w:t>装</w:t>
      </w:r>
      <w:r>
        <w:rPr>
          <w:rFonts w:hint="eastAsia" w:ascii="宋体" w:hAnsi="宋体" w:cs="宋体"/>
          <w:color w:val="auto"/>
          <w:highlight w:val="none"/>
        </w:rPr>
        <w:t>工</w:t>
      </w:r>
      <w:r>
        <w:rPr>
          <w:rFonts w:hint="eastAsia" w:ascii="宋体" w:hAnsi="宋体" w:cs="宋体"/>
          <w:color w:val="auto"/>
          <w:spacing w:val="-2"/>
          <w:highlight w:val="none"/>
        </w:rPr>
        <w:t>程</w:t>
      </w:r>
      <w:r>
        <w:rPr>
          <w:rFonts w:hint="eastAsia" w:ascii="宋体" w:hAnsi="宋体" w:cs="宋体"/>
          <w:color w:val="auto"/>
          <w:highlight w:val="none"/>
        </w:rPr>
        <w:t>费</w:t>
      </w:r>
      <w:r>
        <w:rPr>
          <w:rFonts w:hint="eastAsia" w:ascii="宋体" w:hAnsi="宋体" w:cs="宋体"/>
          <w:color w:val="auto"/>
          <w:spacing w:val="-1"/>
          <w:highlight w:val="none"/>
        </w:rPr>
        <w:t>/</w:t>
      </w:r>
      <w:r>
        <w:rPr>
          <w:rFonts w:hint="eastAsia" w:ascii="宋体" w:hAnsi="宋体" w:cs="宋体"/>
          <w:color w:val="auto"/>
          <w:spacing w:val="-2"/>
          <w:highlight w:val="none"/>
        </w:rPr>
        <w:t>工</w:t>
      </w:r>
      <w:r>
        <w:rPr>
          <w:rFonts w:hint="eastAsia" w:ascii="宋体" w:hAnsi="宋体" w:cs="宋体"/>
          <w:color w:val="auto"/>
          <w:highlight w:val="none"/>
        </w:rPr>
        <w:t>程概</w:t>
      </w:r>
      <w:r>
        <w:rPr>
          <w:rFonts w:hint="eastAsia" w:ascii="宋体" w:hAnsi="宋体" w:cs="宋体"/>
          <w:color w:val="auto"/>
          <w:spacing w:val="-2"/>
          <w:highlight w:val="none"/>
        </w:rPr>
        <w:t>算</w:t>
      </w:r>
      <w:r>
        <w:rPr>
          <w:rFonts w:hint="eastAsia" w:ascii="宋体" w:hAnsi="宋体" w:cs="宋体"/>
          <w:color w:val="auto"/>
          <w:highlight w:val="none"/>
        </w:rPr>
        <w:t>：</w:t>
      </w:r>
      <w:r>
        <w:rPr>
          <w:rFonts w:hint="eastAsia" w:ascii="宋体" w:hAnsi="宋体" w:cs="宋体"/>
          <w:color w:val="auto"/>
          <w:spacing w:val="-2"/>
          <w:highlight w:val="none"/>
        </w:rPr>
        <w:t>见</w:t>
      </w:r>
      <w:r>
        <w:rPr>
          <w:rFonts w:hint="eastAsia" w:ascii="宋体" w:hAnsi="宋体" w:cs="宋体"/>
          <w:color w:val="auto"/>
          <w:highlight w:val="none"/>
        </w:rPr>
        <w:t>投</w:t>
      </w:r>
      <w:r>
        <w:rPr>
          <w:rFonts w:hint="eastAsia" w:ascii="宋体" w:hAnsi="宋体" w:cs="宋体"/>
          <w:color w:val="auto"/>
          <w:spacing w:val="-2"/>
          <w:highlight w:val="none"/>
        </w:rPr>
        <w:t>标</w:t>
      </w:r>
      <w:r>
        <w:rPr>
          <w:rFonts w:hint="eastAsia" w:ascii="宋体" w:hAnsi="宋体" w:cs="宋体"/>
          <w:color w:val="auto"/>
          <w:highlight w:val="none"/>
        </w:rPr>
        <w:t>人</w:t>
      </w:r>
      <w:r>
        <w:rPr>
          <w:rFonts w:hint="eastAsia" w:ascii="宋体" w:hAnsi="宋体" w:cs="宋体"/>
          <w:color w:val="auto"/>
          <w:spacing w:val="-2"/>
          <w:highlight w:val="none"/>
        </w:rPr>
        <w:t>须</w:t>
      </w:r>
      <w:r>
        <w:rPr>
          <w:rFonts w:hint="eastAsia" w:ascii="宋体" w:hAnsi="宋体" w:cs="宋体"/>
          <w:color w:val="auto"/>
          <w:highlight w:val="none"/>
        </w:rPr>
        <w:t>知</w:t>
      </w:r>
      <w:r>
        <w:rPr>
          <w:rFonts w:hint="eastAsia" w:ascii="宋体" w:hAnsi="宋体" w:cs="宋体"/>
          <w:color w:val="auto"/>
          <w:spacing w:val="-2"/>
          <w:highlight w:val="none"/>
        </w:rPr>
        <w:t>前</w:t>
      </w:r>
      <w:r>
        <w:rPr>
          <w:rFonts w:hint="eastAsia" w:ascii="宋体" w:hAnsi="宋体" w:cs="宋体"/>
          <w:color w:val="auto"/>
          <w:highlight w:val="none"/>
        </w:rPr>
        <w:t>附表。</w:t>
      </w:r>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pacing w:val="1"/>
          <w:sz w:val="28"/>
          <w:highlight w:val="none"/>
        </w:rPr>
        <w:t>1</w:t>
      </w:r>
      <w:r>
        <w:rPr>
          <w:rFonts w:hint="eastAsia" w:ascii="宋体" w:hAnsi="宋体" w:cs="宋体"/>
          <w:b/>
          <w:bCs/>
          <w:color w:val="auto"/>
          <w:sz w:val="28"/>
          <w:highlight w:val="none"/>
        </w:rPr>
        <w:t>.2招标项目</w:t>
      </w:r>
      <w:r>
        <w:rPr>
          <w:rFonts w:hint="eastAsia" w:ascii="宋体" w:hAnsi="宋体" w:cs="宋体"/>
          <w:b/>
          <w:bCs/>
          <w:color w:val="auto"/>
          <w:spacing w:val="-3"/>
          <w:sz w:val="28"/>
          <w:highlight w:val="none"/>
        </w:rPr>
        <w:t>的</w:t>
      </w:r>
      <w:r>
        <w:rPr>
          <w:rFonts w:hint="eastAsia" w:ascii="宋体" w:hAnsi="宋体" w:cs="宋体"/>
          <w:b/>
          <w:bCs/>
          <w:color w:val="auto"/>
          <w:sz w:val="28"/>
          <w:highlight w:val="none"/>
        </w:rPr>
        <w:t>资</w:t>
      </w:r>
      <w:r>
        <w:rPr>
          <w:rFonts w:hint="eastAsia" w:ascii="宋体" w:hAnsi="宋体" w:cs="宋体"/>
          <w:b/>
          <w:bCs/>
          <w:color w:val="auto"/>
          <w:spacing w:val="-3"/>
          <w:sz w:val="28"/>
          <w:highlight w:val="none"/>
        </w:rPr>
        <w:t>金</w:t>
      </w:r>
      <w:r>
        <w:rPr>
          <w:rFonts w:hint="eastAsia" w:ascii="宋体" w:hAnsi="宋体" w:cs="宋体"/>
          <w:b/>
          <w:bCs/>
          <w:color w:val="auto"/>
          <w:sz w:val="28"/>
          <w:highlight w:val="none"/>
        </w:rPr>
        <w:t>来源和</w:t>
      </w:r>
      <w:r>
        <w:rPr>
          <w:rFonts w:hint="eastAsia" w:ascii="宋体" w:hAnsi="宋体" w:cs="宋体"/>
          <w:b/>
          <w:bCs/>
          <w:color w:val="auto"/>
          <w:spacing w:val="-3"/>
          <w:sz w:val="28"/>
          <w:highlight w:val="none"/>
        </w:rPr>
        <w:t>落</w:t>
      </w:r>
      <w:r>
        <w:rPr>
          <w:rFonts w:hint="eastAsia" w:ascii="宋体" w:hAnsi="宋体" w:cs="宋体"/>
          <w:b/>
          <w:bCs/>
          <w:color w:val="auto"/>
          <w:sz w:val="28"/>
          <w:highlight w:val="none"/>
        </w:rPr>
        <w:t>实情况</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1.2.1资</w:t>
      </w:r>
      <w:r>
        <w:rPr>
          <w:rFonts w:hint="eastAsia" w:ascii="宋体" w:hAnsi="宋体" w:cs="宋体"/>
          <w:color w:val="auto"/>
          <w:spacing w:val="-2"/>
          <w:highlight w:val="none"/>
        </w:rPr>
        <w:t>金</w:t>
      </w:r>
      <w:r>
        <w:rPr>
          <w:rFonts w:hint="eastAsia" w:ascii="宋体" w:hAnsi="宋体" w:cs="宋体"/>
          <w:color w:val="auto"/>
          <w:highlight w:val="none"/>
        </w:rPr>
        <w:t>来</w:t>
      </w:r>
      <w:r>
        <w:rPr>
          <w:rFonts w:hint="eastAsia" w:ascii="宋体" w:hAnsi="宋体" w:cs="宋体"/>
          <w:color w:val="auto"/>
          <w:spacing w:val="-2"/>
          <w:highlight w:val="none"/>
        </w:rPr>
        <w:t>源</w:t>
      </w:r>
      <w:r>
        <w:rPr>
          <w:rFonts w:hint="eastAsia" w:ascii="宋体" w:hAnsi="宋体" w:cs="宋体"/>
          <w:color w:val="auto"/>
          <w:highlight w:val="none"/>
        </w:rPr>
        <w:t>及</w:t>
      </w:r>
      <w:r>
        <w:rPr>
          <w:rFonts w:hint="eastAsia" w:ascii="宋体" w:hAnsi="宋体" w:cs="宋体"/>
          <w:color w:val="auto"/>
          <w:spacing w:val="-2"/>
          <w:highlight w:val="none"/>
        </w:rPr>
        <w:t>比</w:t>
      </w:r>
      <w:r>
        <w:rPr>
          <w:rFonts w:hint="eastAsia" w:ascii="宋体" w:hAnsi="宋体" w:cs="宋体"/>
          <w:color w:val="auto"/>
          <w:highlight w:val="none"/>
        </w:rPr>
        <w:t>例</w:t>
      </w:r>
      <w:r>
        <w:rPr>
          <w:rFonts w:hint="eastAsia" w:ascii="宋体" w:hAnsi="宋体" w:cs="宋体"/>
          <w:color w:val="auto"/>
          <w:spacing w:val="-2"/>
          <w:highlight w:val="none"/>
        </w:rPr>
        <w:t>：见</w:t>
      </w:r>
      <w:r>
        <w:rPr>
          <w:rFonts w:hint="eastAsia" w:ascii="宋体" w:hAnsi="宋体" w:cs="宋体"/>
          <w:color w:val="auto"/>
          <w:highlight w:val="none"/>
        </w:rPr>
        <w:t>投标</w:t>
      </w:r>
      <w:r>
        <w:rPr>
          <w:rFonts w:hint="eastAsia" w:ascii="宋体" w:hAnsi="宋体" w:cs="宋体"/>
          <w:color w:val="auto"/>
          <w:spacing w:val="-2"/>
          <w:highlight w:val="none"/>
        </w:rPr>
        <w:t>人</w:t>
      </w:r>
      <w:r>
        <w:rPr>
          <w:rFonts w:hint="eastAsia" w:ascii="宋体" w:hAnsi="宋体" w:cs="宋体"/>
          <w:color w:val="auto"/>
          <w:highlight w:val="none"/>
        </w:rPr>
        <w:t>须</w:t>
      </w:r>
      <w:r>
        <w:rPr>
          <w:rFonts w:hint="eastAsia" w:ascii="宋体" w:hAnsi="宋体" w:cs="宋体"/>
          <w:color w:val="auto"/>
          <w:spacing w:val="-2"/>
          <w:highlight w:val="none"/>
        </w:rPr>
        <w:t>知</w:t>
      </w:r>
      <w:r>
        <w:rPr>
          <w:rFonts w:hint="eastAsia" w:ascii="宋体" w:hAnsi="宋体" w:cs="宋体"/>
          <w:color w:val="auto"/>
          <w:highlight w:val="none"/>
        </w:rPr>
        <w:t>前</w:t>
      </w:r>
      <w:r>
        <w:rPr>
          <w:rFonts w:hint="eastAsia" w:ascii="宋体" w:hAnsi="宋体" w:cs="宋体"/>
          <w:color w:val="auto"/>
          <w:spacing w:val="-2"/>
          <w:highlight w:val="none"/>
        </w:rPr>
        <w:t>附</w:t>
      </w:r>
      <w:r>
        <w:rPr>
          <w:rFonts w:hint="eastAsia" w:ascii="宋体" w:hAnsi="宋体" w:cs="宋体"/>
          <w:color w:val="auto"/>
          <w:highlight w:val="none"/>
        </w:rPr>
        <w:t>表。</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1.2.2资</w:t>
      </w:r>
      <w:r>
        <w:rPr>
          <w:rFonts w:hint="eastAsia" w:ascii="宋体" w:hAnsi="宋体" w:cs="宋体"/>
          <w:color w:val="auto"/>
          <w:spacing w:val="-2"/>
          <w:highlight w:val="none"/>
        </w:rPr>
        <w:t>金</w:t>
      </w:r>
      <w:r>
        <w:rPr>
          <w:rFonts w:hint="eastAsia" w:ascii="宋体" w:hAnsi="宋体" w:cs="宋体"/>
          <w:color w:val="auto"/>
          <w:highlight w:val="none"/>
        </w:rPr>
        <w:t>落</w:t>
      </w:r>
      <w:r>
        <w:rPr>
          <w:rFonts w:hint="eastAsia" w:ascii="宋体" w:hAnsi="宋体" w:cs="宋体"/>
          <w:color w:val="auto"/>
          <w:spacing w:val="-2"/>
          <w:highlight w:val="none"/>
        </w:rPr>
        <w:t>实</w:t>
      </w:r>
      <w:r>
        <w:rPr>
          <w:rFonts w:hint="eastAsia" w:ascii="宋体" w:hAnsi="宋体" w:cs="宋体"/>
          <w:color w:val="auto"/>
          <w:highlight w:val="none"/>
        </w:rPr>
        <w:t>情</w:t>
      </w:r>
      <w:r>
        <w:rPr>
          <w:rFonts w:hint="eastAsia" w:ascii="宋体" w:hAnsi="宋体" w:cs="宋体"/>
          <w:color w:val="auto"/>
          <w:spacing w:val="-2"/>
          <w:highlight w:val="none"/>
        </w:rPr>
        <w:t>况</w:t>
      </w:r>
      <w:r>
        <w:rPr>
          <w:rFonts w:hint="eastAsia" w:ascii="宋体" w:hAnsi="宋体" w:cs="宋体"/>
          <w:color w:val="auto"/>
          <w:highlight w:val="none"/>
        </w:rPr>
        <w:t>：</w:t>
      </w:r>
      <w:r>
        <w:rPr>
          <w:rFonts w:hint="eastAsia" w:ascii="宋体" w:hAnsi="宋体" w:cs="宋体"/>
          <w:color w:val="auto"/>
          <w:spacing w:val="-2"/>
          <w:highlight w:val="none"/>
        </w:rPr>
        <w:t>见投</w:t>
      </w:r>
      <w:r>
        <w:rPr>
          <w:rFonts w:hint="eastAsia" w:ascii="宋体" w:hAnsi="宋体" w:cs="宋体"/>
          <w:color w:val="auto"/>
          <w:highlight w:val="none"/>
        </w:rPr>
        <w:t>标人</w:t>
      </w:r>
      <w:r>
        <w:rPr>
          <w:rFonts w:hint="eastAsia" w:ascii="宋体" w:hAnsi="宋体" w:cs="宋体"/>
          <w:color w:val="auto"/>
          <w:spacing w:val="-2"/>
          <w:highlight w:val="none"/>
        </w:rPr>
        <w:t>须</w:t>
      </w:r>
      <w:r>
        <w:rPr>
          <w:rFonts w:hint="eastAsia" w:ascii="宋体" w:hAnsi="宋体" w:cs="宋体"/>
          <w:color w:val="auto"/>
          <w:highlight w:val="none"/>
        </w:rPr>
        <w:t>知</w:t>
      </w:r>
      <w:r>
        <w:rPr>
          <w:rFonts w:hint="eastAsia" w:ascii="宋体" w:hAnsi="宋体" w:cs="宋体"/>
          <w:color w:val="auto"/>
          <w:spacing w:val="-2"/>
          <w:highlight w:val="none"/>
        </w:rPr>
        <w:t>前</w:t>
      </w:r>
      <w:r>
        <w:rPr>
          <w:rFonts w:hint="eastAsia" w:ascii="宋体" w:hAnsi="宋体" w:cs="宋体"/>
          <w:color w:val="auto"/>
          <w:highlight w:val="none"/>
        </w:rPr>
        <w:t>附</w:t>
      </w:r>
      <w:r>
        <w:rPr>
          <w:rFonts w:hint="eastAsia" w:ascii="宋体" w:hAnsi="宋体" w:cs="宋体"/>
          <w:color w:val="auto"/>
          <w:spacing w:val="-2"/>
          <w:highlight w:val="none"/>
        </w:rPr>
        <w:t>表</w:t>
      </w:r>
      <w:r>
        <w:rPr>
          <w:rFonts w:hint="eastAsia" w:ascii="宋体" w:hAnsi="宋体" w:cs="宋体"/>
          <w:color w:val="auto"/>
          <w:highlight w:val="none"/>
        </w:rPr>
        <w:t>。</w:t>
      </w:r>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pacing w:val="1"/>
          <w:sz w:val="28"/>
          <w:highlight w:val="none"/>
        </w:rPr>
        <w:t>1</w:t>
      </w:r>
      <w:r>
        <w:rPr>
          <w:rFonts w:hint="eastAsia" w:ascii="宋体" w:hAnsi="宋体" w:cs="宋体"/>
          <w:b/>
          <w:bCs/>
          <w:color w:val="auto"/>
          <w:sz w:val="28"/>
          <w:highlight w:val="none"/>
        </w:rPr>
        <w:t>.3招标范</w:t>
      </w:r>
      <w:r>
        <w:rPr>
          <w:rFonts w:hint="eastAsia" w:ascii="宋体" w:hAnsi="宋体" w:cs="宋体"/>
          <w:b/>
          <w:bCs/>
          <w:color w:val="auto"/>
          <w:spacing w:val="-3"/>
          <w:sz w:val="28"/>
          <w:highlight w:val="none"/>
        </w:rPr>
        <w:t>围</w:t>
      </w:r>
      <w:r>
        <w:rPr>
          <w:rFonts w:hint="eastAsia" w:ascii="宋体" w:hAnsi="宋体" w:cs="宋体"/>
          <w:b/>
          <w:bCs/>
          <w:color w:val="auto"/>
          <w:sz w:val="28"/>
          <w:highlight w:val="none"/>
        </w:rPr>
        <w:t>、监</w:t>
      </w:r>
      <w:r>
        <w:rPr>
          <w:rFonts w:hint="eastAsia" w:ascii="宋体" w:hAnsi="宋体" w:cs="宋体"/>
          <w:b/>
          <w:bCs/>
          <w:color w:val="auto"/>
          <w:spacing w:val="-2"/>
          <w:sz w:val="28"/>
          <w:highlight w:val="none"/>
        </w:rPr>
        <w:t>理</w:t>
      </w:r>
      <w:r>
        <w:rPr>
          <w:rFonts w:hint="eastAsia" w:ascii="宋体" w:hAnsi="宋体" w:cs="宋体"/>
          <w:b/>
          <w:bCs/>
          <w:color w:val="auto"/>
          <w:sz w:val="28"/>
          <w:highlight w:val="none"/>
        </w:rPr>
        <w:t>服务期</w:t>
      </w:r>
      <w:r>
        <w:rPr>
          <w:rFonts w:hint="eastAsia" w:ascii="宋体" w:hAnsi="宋体" w:cs="宋体"/>
          <w:b/>
          <w:bCs/>
          <w:color w:val="auto"/>
          <w:spacing w:val="-3"/>
          <w:sz w:val="28"/>
          <w:highlight w:val="none"/>
        </w:rPr>
        <w:t>限</w:t>
      </w:r>
      <w:r>
        <w:rPr>
          <w:rFonts w:hint="eastAsia" w:ascii="宋体" w:hAnsi="宋体" w:cs="宋体"/>
          <w:b/>
          <w:bCs/>
          <w:color w:val="auto"/>
          <w:sz w:val="28"/>
          <w:highlight w:val="none"/>
        </w:rPr>
        <w:t>和质</w:t>
      </w:r>
      <w:r>
        <w:rPr>
          <w:rFonts w:hint="eastAsia" w:ascii="宋体" w:hAnsi="宋体" w:cs="宋体"/>
          <w:b/>
          <w:bCs/>
          <w:color w:val="auto"/>
          <w:spacing w:val="-3"/>
          <w:sz w:val="28"/>
          <w:highlight w:val="none"/>
        </w:rPr>
        <w:t>量标</w:t>
      </w:r>
      <w:r>
        <w:rPr>
          <w:rFonts w:hint="eastAsia" w:ascii="宋体" w:hAnsi="宋体" w:cs="宋体"/>
          <w:b/>
          <w:bCs/>
          <w:color w:val="auto"/>
          <w:sz w:val="28"/>
          <w:highlight w:val="none"/>
        </w:rPr>
        <w:t>准</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1.3.1招</w:t>
      </w:r>
      <w:r>
        <w:rPr>
          <w:rFonts w:hint="eastAsia" w:ascii="宋体" w:hAnsi="宋体" w:cs="宋体"/>
          <w:color w:val="auto"/>
          <w:spacing w:val="-2"/>
          <w:highlight w:val="none"/>
        </w:rPr>
        <w:t>标</w:t>
      </w:r>
      <w:r>
        <w:rPr>
          <w:rFonts w:hint="eastAsia" w:ascii="宋体" w:hAnsi="宋体" w:cs="宋体"/>
          <w:color w:val="auto"/>
          <w:highlight w:val="none"/>
        </w:rPr>
        <w:t>范</w:t>
      </w:r>
      <w:r>
        <w:rPr>
          <w:rFonts w:hint="eastAsia" w:ascii="宋体" w:hAnsi="宋体" w:cs="宋体"/>
          <w:color w:val="auto"/>
          <w:spacing w:val="-2"/>
          <w:highlight w:val="none"/>
        </w:rPr>
        <w:t>围</w:t>
      </w:r>
      <w:r>
        <w:rPr>
          <w:rFonts w:hint="eastAsia" w:ascii="宋体" w:hAnsi="宋体" w:cs="宋体"/>
          <w:color w:val="auto"/>
          <w:highlight w:val="none"/>
        </w:rPr>
        <w:t>：</w:t>
      </w:r>
      <w:r>
        <w:rPr>
          <w:rFonts w:hint="eastAsia" w:ascii="宋体" w:hAnsi="宋体" w:cs="宋体"/>
          <w:color w:val="auto"/>
          <w:spacing w:val="-2"/>
          <w:highlight w:val="none"/>
        </w:rPr>
        <w:t>见</w:t>
      </w:r>
      <w:r>
        <w:rPr>
          <w:rFonts w:hint="eastAsia" w:ascii="宋体" w:hAnsi="宋体" w:cs="宋体"/>
          <w:color w:val="auto"/>
          <w:highlight w:val="none"/>
        </w:rPr>
        <w:t>投</w:t>
      </w:r>
      <w:r>
        <w:rPr>
          <w:rFonts w:hint="eastAsia" w:ascii="宋体" w:hAnsi="宋体" w:cs="宋体"/>
          <w:color w:val="auto"/>
          <w:spacing w:val="-2"/>
          <w:highlight w:val="none"/>
        </w:rPr>
        <w:t>标人</w:t>
      </w:r>
      <w:r>
        <w:rPr>
          <w:rFonts w:hint="eastAsia" w:ascii="宋体" w:hAnsi="宋体" w:cs="宋体"/>
          <w:color w:val="auto"/>
          <w:highlight w:val="none"/>
        </w:rPr>
        <w:t>须知</w:t>
      </w:r>
      <w:r>
        <w:rPr>
          <w:rFonts w:hint="eastAsia" w:ascii="宋体" w:hAnsi="宋体" w:cs="宋体"/>
          <w:color w:val="auto"/>
          <w:spacing w:val="-2"/>
          <w:highlight w:val="none"/>
        </w:rPr>
        <w:t>前</w:t>
      </w:r>
      <w:r>
        <w:rPr>
          <w:rFonts w:hint="eastAsia" w:ascii="宋体" w:hAnsi="宋体" w:cs="宋体"/>
          <w:color w:val="auto"/>
          <w:highlight w:val="none"/>
        </w:rPr>
        <w:t>附</w:t>
      </w:r>
      <w:r>
        <w:rPr>
          <w:rFonts w:hint="eastAsia" w:ascii="宋体" w:hAnsi="宋体" w:cs="宋体"/>
          <w:color w:val="auto"/>
          <w:spacing w:val="-2"/>
          <w:highlight w:val="none"/>
        </w:rPr>
        <w:t>表</w:t>
      </w:r>
      <w:r>
        <w:rPr>
          <w:rFonts w:hint="eastAsia" w:ascii="宋体" w:hAnsi="宋体" w:cs="宋体"/>
          <w:color w:val="auto"/>
          <w:highlight w:val="none"/>
        </w:rPr>
        <w:t>。</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1.3.2监</w:t>
      </w:r>
      <w:r>
        <w:rPr>
          <w:rFonts w:hint="eastAsia" w:ascii="宋体" w:hAnsi="宋体" w:cs="宋体"/>
          <w:color w:val="auto"/>
          <w:spacing w:val="-2"/>
          <w:highlight w:val="none"/>
        </w:rPr>
        <w:t>理</w:t>
      </w:r>
      <w:r>
        <w:rPr>
          <w:rFonts w:hint="eastAsia" w:ascii="宋体" w:hAnsi="宋体" w:cs="宋体"/>
          <w:color w:val="auto"/>
          <w:highlight w:val="none"/>
        </w:rPr>
        <w:t>服</w:t>
      </w:r>
      <w:r>
        <w:rPr>
          <w:rFonts w:hint="eastAsia" w:ascii="宋体" w:hAnsi="宋体" w:cs="宋体"/>
          <w:color w:val="auto"/>
          <w:spacing w:val="-2"/>
          <w:highlight w:val="none"/>
        </w:rPr>
        <w:t>务</w:t>
      </w:r>
      <w:r>
        <w:rPr>
          <w:rFonts w:hint="eastAsia" w:ascii="宋体" w:hAnsi="宋体" w:cs="宋体"/>
          <w:color w:val="auto"/>
          <w:highlight w:val="none"/>
        </w:rPr>
        <w:t>期</w:t>
      </w:r>
      <w:r>
        <w:rPr>
          <w:rFonts w:hint="eastAsia" w:ascii="宋体" w:hAnsi="宋体" w:cs="宋体"/>
          <w:color w:val="auto"/>
          <w:spacing w:val="-2"/>
          <w:highlight w:val="none"/>
        </w:rPr>
        <w:t>限</w:t>
      </w:r>
      <w:r>
        <w:rPr>
          <w:rFonts w:hint="eastAsia" w:ascii="宋体" w:hAnsi="宋体" w:cs="宋体"/>
          <w:color w:val="auto"/>
          <w:highlight w:val="none"/>
        </w:rPr>
        <w:t>：</w:t>
      </w:r>
      <w:r>
        <w:rPr>
          <w:rFonts w:hint="eastAsia" w:ascii="宋体" w:hAnsi="宋体" w:cs="宋体"/>
          <w:color w:val="auto"/>
          <w:spacing w:val="-2"/>
          <w:highlight w:val="none"/>
        </w:rPr>
        <w:t>见投</w:t>
      </w:r>
      <w:r>
        <w:rPr>
          <w:rFonts w:hint="eastAsia" w:ascii="宋体" w:hAnsi="宋体" w:cs="宋体"/>
          <w:color w:val="auto"/>
          <w:highlight w:val="none"/>
        </w:rPr>
        <w:t>标人</w:t>
      </w:r>
      <w:r>
        <w:rPr>
          <w:rFonts w:hint="eastAsia" w:ascii="宋体" w:hAnsi="宋体" w:cs="宋体"/>
          <w:color w:val="auto"/>
          <w:spacing w:val="-2"/>
          <w:highlight w:val="none"/>
        </w:rPr>
        <w:t>须</w:t>
      </w:r>
      <w:r>
        <w:rPr>
          <w:rFonts w:hint="eastAsia" w:ascii="宋体" w:hAnsi="宋体" w:cs="宋体"/>
          <w:color w:val="auto"/>
          <w:highlight w:val="none"/>
        </w:rPr>
        <w:t>知</w:t>
      </w:r>
      <w:r>
        <w:rPr>
          <w:rFonts w:hint="eastAsia" w:ascii="宋体" w:hAnsi="宋体" w:cs="宋体"/>
          <w:color w:val="auto"/>
          <w:spacing w:val="-2"/>
          <w:highlight w:val="none"/>
        </w:rPr>
        <w:t>前</w:t>
      </w:r>
      <w:r>
        <w:rPr>
          <w:rFonts w:hint="eastAsia" w:ascii="宋体" w:hAnsi="宋体" w:cs="宋体"/>
          <w:color w:val="auto"/>
          <w:highlight w:val="none"/>
        </w:rPr>
        <w:t>附</w:t>
      </w:r>
      <w:r>
        <w:rPr>
          <w:rFonts w:hint="eastAsia" w:ascii="宋体" w:hAnsi="宋体" w:cs="宋体"/>
          <w:color w:val="auto"/>
          <w:spacing w:val="-2"/>
          <w:highlight w:val="none"/>
        </w:rPr>
        <w:t>表</w:t>
      </w:r>
      <w:r>
        <w:rPr>
          <w:rFonts w:hint="eastAsia" w:ascii="宋体" w:hAnsi="宋体" w:cs="宋体"/>
          <w:color w:val="auto"/>
          <w:highlight w:val="none"/>
        </w:rPr>
        <w:t>。</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1.3.3质</w:t>
      </w:r>
      <w:r>
        <w:rPr>
          <w:rFonts w:hint="eastAsia" w:ascii="宋体" w:hAnsi="宋体" w:cs="宋体"/>
          <w:color w:val="auto"/>
          <w:spacing w:val="-2"/>
          <w:highlight w:val="none"/>
        </w:rPr>
        <w:t>量</w:t>
      </w:r>
      <w:r>
        <w:rPr>
          <w:rFonts w:hint="eastAsia" w:ascii="宋体" w:hAnsi="宋体" w:cs="宋体"/>
          <w:color w:val="auto"/>
          <w:highlight w:val="none"/>
        </w:rPr>
        <w:t>标</w:t>
      </w:r>
      <w:r>
        <w:rPr>
          <w:rFonts w:hint="eastAsia" w:ascii="宋体" w:hAnsi="宋体" w:cs="宋体"/>
          <w:color w:val="auto"/>
          <w:spacing w:val="-2"/>
          <w:highlight w:val="none"/>
        </w:rPr>
        <w:t>准</w:t>
      </w:r>
      <w:r>
        <w:rPr>
          <w:rFonts w:hint="eastAsia" w:ascii="宋体" w:hAnsi="宋体" w:cs="宋体"/>
          <w:color w:val="auto"/>
          <w:highlight w:val="none"/>
        </w:rPr>
        <w:t>：</w:t>
      </w:r>
      <w:r>
        <w:rPr>
          <w:rFonts w:hint="eastAsia" w:ascii="宋体" w:hAnsi="宋体" w:cs="宋体"/>
          <w:color w:val="auto"/>
          <w:spacing w:val="-2"/>
          <w:highlight w:val="none"/>
        </w:rPr>
        <w:t>见</w:t>
      </w:r>
      <w:r>
        <w:rPr>
          <w:rFonts w:hint="eastAsia" w:ascii="宋体" w:hAnsi="宋体" w:cs="宋体"/>
          <w:color w:val="auto"/>
          <w:highlight w:val="none"/>
        </w:rPr>
        <w:t>投</w:t>
      </w:r>
      <w:r>
        <w:rPr>
          <w:rFonts w:hint="eastAsia" w:ascii="宋体" w:hAnsi="宋体" w:cs="宋体"/>
          <w:color w:val="auto"/>
          <w:spacing w:val="-2"/>
          <w:highlight w:val="none"/>
        </w:rPr>
        <w:t>标人</w:t>
      </w:r>
      <w:r>
        <w:rPr>
          <w:rFonts w:hint="eastAsia" w:ascii="宋体" w:hAnsi="宋体" w:cs="宋体"/>
          <w:color w:val="auto"/>
          <w:highlight w:val="none"/>
        </w:rPr>
        <w:t>须知</w:t>
      </w:r>
      <w:r>
        <w:rPr>
          <w:rFonts w:hint="eastAsia" w:ascii="宋体" w:hAnsi="宋体" w:cs="宋体"/>
          <w:color w:val="auto"/>
          <w:spacing w:val="-2"/>
          <w:highlight w:val="none"/>
        </w:rPr>
        <w:t>前</w:t>
      </w:r>
      <w:r>
        <w:rPr>
          <w:rFonts w:hint="eastAsia" w:ascii="宋体" w:hAnsi="宋体" w:cs="宋体"/>
          <w:color w:val="auto"/>
          <w:highlight w:val="none"/>
        </w:rPr>
        <w:t>附</w:t>
      </w:r>
      <w:r>
        <w:rPr>
          <w:rFonts w:hint="eastAsia" w:ascii="宋体" w:hAnsi="宋体" w:cs="宋体"/>
          <w:color w:val="auto"/>
          <w:spacing w:val="-2"/>
          <w:highlight w:val="none"/>
        </w:rPr>
        <w:t>表</w:t>
      </w:r>
      <w:r>
        <w:rPr>
          <w:rFonts w:hint="eastAsia" w:ascii="宋体" w:hAnsi="宋体" w:cs="宋体"/>
          <w:color w:val="auto"/>
          <w:highlight w:val="none"/>
        </w:rPr>
        <w:t>。</w:t>
      </w:r>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pacing w:val="1"/>
          <w:sz w:val="28"/>
          <w:highlight w:val="none"/>
        </w:rPr>
        <w:t>1</w:t>
      </w:r>
      <w:r>
        <w:rPr>
          <w:rFonts w:hint="eastAsia" w:ascii="宋体" w:hAnsi="宋体" w:cs="宋体"/>
          <w:b/>
          <w:bCs/>
          <w:color w:val="auto"/>
          <w:sz w:val="28"/>
          <w:highlight w:val="none"/>
        </w:rPr>
        <w:t>.4投标人</w:t>
      </w:r>
      <w:r>
        <w:rPr>
          <w:rFonts w:hint="eastAsia" w:ascii="宋体" w:hAnsi="宋体" w:cs="宋体"/>
          <w:b/>
          <w:bCs/>
          <w:color w:val="auto"/>
          <w:spacing w:val="-3"/>
          <w:sz w:val="28"/>
          <w:highlight w:val="none"/>
        </w:rPr>
        <w:t>资</w:t>
      </w:r>
      <w:r>
        <w:rPr>
          <w:rFonts w:hint="eastAsia" w:ascii="宋体" w:hAnsi="宋体" w:cs="宋体"/>
          <w:b/>
          <w:bCs/>
          <w:color w:val="auto"/>
          <w:sz w:val="28"/>
          <w:highlight w:val="none"/>
        </w:rPr>
        <w:t>格要求</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1.4.1 投标人应具备承担本招标项目资质条件、能力和信誉：</w:t>
      </w:r>
    </w:p>
    <w:p>
      <w:pPr>
        <w:spacing w:line="360" w:lineRule="auto"/>
        <w:ind w:left="378" w:right="4711"/>
        <w:jc w:val="center"/>
        <w:rPr>
          <w:rFonts w:ascii="宋体" w:hAnsi="宋体" w:cs="宋体"/>
          <w:color w:val="auto"/>
          <w:highlight w:val="none"/>
        </w:rPr>
      </w:pPr>
      <w:r>
        <w:rPr>
          <w:rFonts w:hint="eastAsia" w:ascii="宋体" w:hAnsi="宋体" w:cs="宋体"/>
          <w:color w:val="auto"/>
          <w:highlight w:val="none"/>
        </w:rPr>
        <w:t>（1）资质要求：见投标人须知前附表；</w:t>
      </w:r>
    </w:p>
    <w:p>
      <w:pPr>
        <w:spacing w:line="360" w:lineRule="auto"/>
        <w:ind w:left="378" w:right="4711"/>
        <w:jc w:val="center"/>
        <w:rPr>
          <w:rFonts w:ascii="宋体" w:hAnsi="宋体" w:cs="宋体"/>
          <w:color w:val="auto"/>
          <w:highlight w:val="none"/>
        </w:rPr>
      </w:pPr>
      <w:r>
        <w:rPr>
          <w:rFonts w:hint="eastAsia" w:ascii="宋体" w:hAnsi="宋体" w:cs="宋体"/>
          <w:color w:val="auto"/>
          <w:highlight w:val="none"/>
        </w:rPr>
        <w:t>（2）财务要求：见投标人须知前附表；</w:t>
      </w:r>
    </w:p>
    <w:p>
      <w:pPr>
        <w:spacing w:line="360" w:lineRule="auto"/>
        <w:ind w:left="378" w:right="4711"/>
        <w:jc w:val="center"/>
        <w:rPr>
          <w:rFonts w:ascii="宋体" w:hAnsi="宋体" w:cs="宋体"/>
          <w:color w:val="auto"/>
          <w:highlight w:val="none"/>
        </w:rPr>
      </w:pPr>
      <w:r>
        <w:rPr>
          <w:rFonts w:hint="eastAsia" w:ascii="宋体" w:hAnsi="宋体" w:cs="宋体"/>
          <w:color w:val="auto"/>
          <w:highlight w:val="none"/>
        </w:rPr>
        <w:t>（3）业绩要求：见投标人须知前附表；</w:t>
      </w:r>
    </w:p>
    <w:p>
      <w:pPr>
        <w:spacing w:line="360" w:lineRule="auto"/>
        <w:ind w:left="378" w:right="4711"/>
        <w:jc w:val="center"/>
        <w:rPr>
          <w:rFonts w:ascii="宋体" w:hAnsi="宋体" w:cs="宋体"/>
          <w:color w:val="auto"/>
          <w:highlight w:val="none"/>
        </w:rPr>
      </w:pPr>
      <w:r>
        <w:rPr>
          <w:rFonts w:hint="eastAsia" w:ascii="宋体" w:hAnsi="宋体" w:cs="宋体"/>
          <w:color w:val="auto"/>
          <w:highlight w:val="none"/>
        </w:rPr>
        <w:t>（4）信誉要求：见投标人须知前附表；</w:t>
      </w:r>
    </w:p>
    <w:p>
      <w:pPr>
        <w:spacing w:line="360" w:lineRule="auto"/>
        <w:ind w:left="10" w:leftChars="5" w:right="28" w:firstLine="516" w:firstLineChars="246"/>
        <w:rPr>
          <w:rFonts w:ascii="宋体" w:hAnsi="宋体" w:cs="宋体"/>
          <w:color w:val="auto"/>
          <w:highlight w:val="none"/>
        </w:rPr>
      </w:pPr>
      <w:r>
        <w:rPr>
          <w:rFonts w:hint="eastAsia" w:ascii="宋体" w:hAnsi="宋体" w:cs="宋体"/>
          <w:color w:val="auto"/>
          <w:highlight w:val="none"/>
        </w:rPr>
        <w:t>（5）总监理工程师的资格要求：应当具备工程注册监理工程师执业资格（如有），具体要求见投标人须知前附表；</w:t>
      </w:r>
    </w:p>
    <w:p>
      <w:pPr>
        <w:spacing w:line="360" w:lineRule="auto"/>
        <w:ind w:left="415" w:right="-20"/>
        <w:jc w:val="left"/>
        <w:rPr>
          <w:rFonts w:ascii="宋体" w:hAnsi="宋体" w:cs="宋体"/>
          <w:color w:val="auto"/>
          <w:highlight w:val="none"/>
        </w:rPr>
      </w:pPr>
      <w:r>
        <w:rPr>
          <w:rFonts w:hint="eastAsia" w:ascii="宋体" w:hAnsi="宋体" w:cs="宋体"/>
          <w:color w:val="auto"/>
          <w:highlight w:val="none"/>
        </w:rPr>
        <w:t>（6）其他主要人员要求：见投标人须知前附表。</w:t>
      </w:r>
    </w:p>
    <w:p>
      <w:pPr>
        <w:spacing w:line="360" w:lineRule="auto"/>
        <w:ind w:left="415" w:right="-20"/>
        <w:jc w:val="left"/>
        <w:rPr>
          <w:rFonts w:ascii="宋体" w:hAnsi="宋体" w:cs="宋体"/>
          <w:color w:val="auto"/>
          <w:highlight w:val="none"/>
        </w:rPr>
      </w:pPr>
      <w:r>
        <w:rPr>
          <w:rFonts w:hint="eastAsia" w:ascii="宋体" w:hAnsi="宋体" w:cs="宋体"/>
          <w:color w:val="auto"/>
          <w:highlight w:val="none"/>
        </w:rPr>
        <w:t>（7）试验检测仪器设备要求：见投标人须知前附表。</w:t>
      </w:r>
    </w:p>
    <w:p>
      <w:pPr>
        <w:spacing w:line="360" w:lineRule="auto"/>
        <w:ind w:left="520" w:right="40" w:hanging="106"/>
        <w:jc w:val="left"/>
        <w:rPr>
          <w:rFonts w:ascii="宋体" w:hAnsi="宋体" w:cs="宋体"/>
          <w:color w:val="auto"/>
          <w:highlight w:val="none"/>
        </w:rPr>
      </w:pPr>
      <w:r>
        <w:rPr>
          <w:rFonts w:hint="eastAsia" w:ascii="宋体" w:hAnsi="宋体" w:cs="宋体"/>
          <w:color w:val="auto"/>
          <w:highlight w:val="none"/>
        </w:rPr>
        <w:t>（8）其他要求：见投标人须知前附表。需要提交的相关证明材料见本章第 3.5 款的规定。</w:t>
      </w:r>
    </w:p>
    <w:p>
      <w:pPr>
        <w:spacing w:line="360" w:lineRule="auto"/>
        <w:ind w:left="100" w:right="40" w:firstLine="420"/>
        <w:jc w:val="left"/>
        <w:rPr>
          <w:rFonts w:ascii="宋体" w:hAnsi="宋体" w:cs="宋体"/>
          <w:color w:val="auto"/>
          <w:highlight w:val="none"/>
        </w:rPr>
      </w:pPr>
      <w:r>
        <w:rPr>
          <w:rFonts w:hint="eastAsia" w:ascii="宋体" w:hAnsi="宋体" w:cs="宋体"/>
          <w:color w:val="auto"/>
          <w:highlight w:val="none"/>
        </w:rPr>
        <w:t>1.4.2 投标人须知前附表规定接受联合体投标的，联合体除应符合本章第 1.4.1 项和投标人 须知前附表的要求外，还应遵守以下规定：</w:t>
      </w:r>
    </w:p>
    <w:p>
      <w:pPr>
        <w:spacing w:line="360" w:lineRule="auto"/>
        <w:ind w:left="100" w:right="43" w:firstLine="314"/>
        <w:jc w:val="left"/>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w:t>
      </w:r>
      <w:r>
        <w:rPr>
          <w:rFonts w:hint="eastAsia" w:ascii="宋体" w:hAnsi="宋体" w:cs="宋体"/>
          <w:color w:val="auto"/>
          <w:highlight w:val="none"/>
          <w:lang w:eastAsia="zh-CN"/>
        </w:rPr>
        <w:t>主办方</w:t>
      </w:r>
      <w:r>
        <w:rPr>
          <w:rFonts w:hint="eastAsia" w:ascii="宋体" w:hAnsi="宋体" w:cs="宋体"/>
          <w:color w:val="auto"/>
          <w:highlight w:val="none"/>
        </w:rPr>
        <w:t>和各方权利义务，并承诺就中标项目向招标人承担连带责任；</w:t>
      </w:r>
    </w:p>
    <w:p>
      <w:pPr>
        <w:spacing w:line="360" w:lineRule="auto"/>
        <w:ind w:left="415" w:right="-20"/>
        <w:jc w:val="left"/>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pPr>
        <w:spacing w:line="360" w:lineRule="auto"/>
        <w:ind w:left="100" w:right="43" w:firstLine="314"/>
        <w:jc w:val="left"/>
        <w:rPr>
          <w:rFonts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（3）联合体各方不得再以自己名义单独或参加其他联合体在本招标项目中投标，否则各相关投标均无效。</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1.4.3 投标人不得存在下列情形之一：</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（1）为招标人不具有独立法人资格的附属机构（单位）；</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（2）与招标人存在利害关系且可能影响招标公正性；</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（3）与本招标项目的其他投标人为同一个单位负责人；</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（4）与本招标项目的其他投标人存在控股、管理关系；</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（5）为本招标项目的代建人；</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（6）为本招标项目的招标代理机构；</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（7）与本招标项目的代建人或招标代理机构同为一个法定代表人；</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（8）与本招标项目的代建人或招标代理机构存在控股或参股关系；</w:t>
      </w:r>
    </w:p>
    <w:p>
      <w:pPr>
        <w:spacing w:line="360" w:lineRule="auto"/>
        <w:ind w:left="100" w:right="39" w:firstLine="420"/>
        <w:jc w:val="left"/>
        <w:rPr>
          <w:rFonts w:ascii="宋体" w:hAnsi="宋体" w:cs="宋体"/>
          <w:color w:val="auto"/>
          <w:highlight w:val="none"/>
        </w:rPr>
      </w:pPr>
      <w:r>
        <w:rPr>
          <w:rFonts w:hint="eastAsia" w:ascii="宋体" w:hAnsi="宋体" w:cs="宋体"/>
          <w:color w:val="auto"/>
          <w:highlight w:val="none"/>
        </w:rPr>
        <w:t>（9）与本招标项目的施工承包人以及建筑材料、建筑构配件和设备供应商有隶属关系或者其他利害关系；</w:t>
      </w:r>
    </w:p>
    <w:p>
      <w:pPr>
        <w:spacing w:line="360" w:lineRule="auto"/>
        <w:ind w:left="100" w:right="39" w:firstLine="420"/>
        <w:jc w:val="left"/>
        <w:rPr>
          <w:rFonts w:hint="eastAsia" w:ascii="宋体" w:hAnsi="宋体" w:eastAsia="宋体" w:cs="宋体"/>
          <w:color w:val="auto"/>
          <w:highlight w:val="none"/>
        </w:rPr>
      </w:pPr>
      <w:r>
        <w:rPr>
          <w:rFonts w:hint="eastAsia" w:ascii="宋体" w:hAnsi="宋体" w:eastAsia="宋体" w:cs="宋体"/>
          <w:color w:val="auto"/>
          <w:highlight w:val="none"/>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360" w:lineRule="auto"/>
        <w:ind w:left="100" w:right="39" w:firstLine="420"/>
        <w:jc w:val="left"/>
        <w:rPr>
          <w:rFonts w:hint="eastAsia" w:ascii="宋体" w:hAnsi="宋体" w:eastAsia="宋体" w:cs="宋体"/>
          <w:color w:val="auto"/>
          <w:highlight w:val="none"/>
        </w:rPr>
      </w:pPr>
      <w:r>
        <w:rPr>
          <w:rFonts w:hint="eastAsia" w:ascii="宋体" w:hAnsi="宋体" w:eastAsia="宋体" w:cs="宋体"/>
          <w:color w:val="auto"/>
          <w:highlight w:val="none"/>
        </w:rPr>
        <w:t>（11）被责令停产停业、暂扣或者吊销许可证、暂扣或者吊销执照；（本项事实应当以根据《中华人民共和国行政处罚法》依法作出并已经生效的行政处罚决定为认定依据。）</w:t>
      </w:r>
    </w:p>
    <w:p>
      <w:pPr>
        <w:spacing w:line="360" w:lineRule="auto"/>
        <w:ind w:left="100" w:right="39" w:firstLine="420"/>
        <w:jc w:val="left"/>
        <w:rPr>
          <w:rFonts w:hint="eastAsia" w:ascii="宋体" w:hAnsi="宋体" w:eastAsia="宋体" w:cs="宋体"/>
          <w:color w:val="auto"/>
          <w:highlight w:val="none"/>
        </w:rPr>
      </w:pPr>
      <w:r>
        <w:rPr>
          <w:rFonts w:hint="eastAsia" w:ascii="宋体" w:hAnsi="宋体" w:eastAsia="宋体" w:cs="宋体"/>
          <w:color w:val="auto"/>
          <w:highlight w:val="none"/>
        </w:rPr>
        <w:t>（12）进入清算程序，或被宣告破产，或其他丧失履约能力的情形；</w:t>
      </w:r>
    </w:p>
    <w:p>
      <w:pPr>
        <w:spacing w:line="360" w:lineRule="auto"/>
        <w:ind w:left="100" w:right="39" w:firstLine="420"/>
        <w:jc w:val="left"/>
        <w:rPr>
          <w:rFonts w:hint="eastAsia" w:ascii="宋体" w:hAnsi="宋体" w:eastAsia="宋体" w:cs="宋体"/>
          <w:color w:val="auto"/>
          <w:highlight w:val="none"/>
        </w:rPr>
      </w:pPr>
      <w:r>
        <w:rPr>
          <w:rFonts w:hint="eastAsia" w:ascii="宋体" w:hAnsi="宋体" w:eastAsia="宋体" w:cs="宋体"/>
          <w:color w:val="auto"/>
          <w:highlight w:val="none"/>
        </w:rPr>
        <w:t>（13）法律法规或投标人须知前附表规定的其他情形。</w:t>
      </w:r>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pacing w:val="1"/>
          <w:sz w:val="28"/>
          <w:highlight w:val="none"/>
        </w:rPr>
        <w:t>1</w:t>
      </w:r>
      <w:r>
        <w:rPr>
          <w:rFonts w:hint="eastAsia" w:ascii="宋体" w:hAnsi="宋体" w:cs="宋体"/>
          <w:b/>
          <w:bCs/>
          <w:color w:val="auto"/>
          <w:sz w:val="28"/>
          <w:highlight w:val="none"/>
        </w:rPr>
        <w:t>.5费用承担</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投标</w:t>
      </w:r>
      <w:r>
        <w:rPr>
          <w:rFonts w:hint="eastAsia" w:ascii="宋体" w:hAnsi="宋体" w:cs="宋体"/>
          <w:color w:val="auto"/>
          <w:spacing w:val="-2"/>
          <w:highlight w:val="none"/>
        </w:rPr>
        <w:t>人</w:t>
      </w:r>
      <w:r>
        <w:rPr>
          <w:rFonts w:hint="eastAsia" w:ascii="宋体" w:hAnsi="宋体" w:cs="宋体"/>
          <w:color w:val="auto"/>
          <w:highlight w:val="none"/>
        </w:rPr>
        <w:t>准</w:t>
      </w:r>
      <w:r>
        <w:rPr>
          <w:rFonts w:hint="eastAsia" w:ascii="宋体" w:hAnsi="宋体" w:cs="宋体"/>
          <w:color w:val="auto"/>
          <w:spacing w:val="-2"/>
          <w:highlight w:val="none"/>
        </w:rPr>
        <w:t>备</w:t>
      </w:r>
      <w:r>
        <w:rPr>
          <w:rFonts w:hint="eastAsia" w:ascii="宋体" w:hAnsi="宋体" w:cs="宋体"/>
          <w:color w:val="auto"/>
          <w:highlight w:val="none"/>
        </w:rPr>
        <w:t>和</w:t>
      </w:r>
      <w:r>
        <w:rPr>
          <w:rFonts w:hint="eastAsia" w:ascii="宋体" w:hAnsi="宋体" w:cs="宋体"/>
          <w:color w:val="auto"/>
          <w:spacing w:val="-2"/>
          <w:highlight w:val="none"/>
        </w:rPr>
        <w:t>参</w:t>
      </w:r>
      <w:r>
        <w:rPr>
          <w:rFonts w:hint="eastAsia" w:ascii="宋体" w:hAnsi="宋体" w:cs="宋体"/>
          <w:color w:val="auto"/>
          <w:highlight w:val="none"/>
        </w:rPr>
        <w:t>加</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活</w:t>
      </w:r>
      <w:r>
        <w:rPr>
          <w:rFonts w:hint="eastAsia" w:ascii="宋体" w:hAnsi="宋体" w:cs="宋体"/>
          <w:color w:val="auto"/>
          <w:highlight w:val="none"/>
        </w:rPr>
        <w:t>动发</w:t>
      </w:r>
      <w:r>
        <w:rPr>
          <w:rFonts w:hint="eastAsia" w:ascii="宋体" w:hAnsi="宋体" w:cs="宋体"/>
          <w:color w:val="auto"/>
          <w:spacing w:val="-2"/>
          <w:highlight w:val="none"/>
        </w:rPr>
        <w:t>生</w:t>
      </w:r>
      <w:r>
        <w:rPr>
          <w:rFonts w:hint="eastAsia" w:ascii="宋体" w:hAnsi="宋体" w:cs="宋体"/>
          <w:color w:val="auto"/>
          <w:highlight w:val="none"/>
        </w:rPr>
        <w:t>的</w:t>
      </w:r>
      <w:r>
        <w:rPr>
          <w:rFonts w:hint="eastAsia" w:ascii="宋体" w:hAnsi="宋体" w:cs="宋体"/>
          <w:color w:val="auto"/>
          <w:spacing w:val="-2"/>
          <w:highlight w:val="none"/>
        </w:rPr>
        <w:t>费</w:t>
      </w:r>
      <w:r>
        <w:rPr>
          <w:rFonts w:hint="eastAsia" w:ascii="宋体" w:hAnsi="宋体" w:cs="宋体"/>
          <w:color w:val="auto"/>
          <w:highlight w:val="none"/>
        </w:rPr>
        <w:t>用</w:t>
      </w:r>
      <w:r>
        <w:rPr>
          <w:rFonts w:hint="eastAsia" w:ascii="宋体" w:hAnsi="宋体" w:cs="宋体"/>
          <w:color w:val="auto"/>
          <w:spacing w:val="-2"/>
          <w:highlight w:val="none"/>
        </w:rPr>
        <w:t>自</w:t>
      </w:r>
      <w:r>
        <w:rPr>
          <w:rFonts w:hint="eastAsia" w:ascii="宋体" w:hAnsi="宋体" w:cs="宋体"/>
          <w:color w:val="auto"/>
          <w:highlight w:val="none"/>
        </w:rPr>
        <w:t>理，不论是否中标，招标人均不予补偿。</w:t>
      </w:r>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pacing w:val="1"/>
          <w:sz w:val="28"/>
          <w:highlight w:val="none"/>
        </w:rPr>
        <w:t>1</w:t>
      </w:r>
      <w:r>
        <w:rPr>
          <w:rFonts w:hint="eastAsia" w:ascii="宋体" w:hAnsi="宋体" w:cs="宋体"/>
          <w:b/>
          <w:bCs/>
          <w:color w:val="auto"/>
          <w:sz w:val="28"/>
          <w:highlight w:val="none"/>
        </w:rPr>
        <w:t>.6保密</w:t>
      </w:r>
    </w:p>
    <w:p>
      <w:pPr>
        <w:spacing w:line="360" w:lineRule="auto"/>
        <w:ind w:left="100" w:right="43" w:firstLine="420"/>
        <w:jc w:val="left"/>
        <w:rPr>
          <w:rFonts w:ascii="宋体" w:hAnsi="宋体" w:cs="宋体"/>
          <w:color w:val="auto"/>
          <w:highlight w:val="none"/>
        </w:rPr>
      </w:pPr>
      <w:r>
        <w:rPr>
          <w:rFonts w:hint="eastAsia" w:ascii="宋体" w:hAnsi="宋体" w:cs="宋体"/>
          <w:color w:val="auto"/>
          <w:highlight w:val="none"/>
        </w:rPr>
        <w:t>参与招标投标活动</w:t>
      </w:r>
      <w:r>
        <w:rPr>
          <w:rFonts w:hint="eastAsia" w:ascii="宋体" w:hAnsi="宋体" w:cs="宋体"/>
          <w:color w:val="auto"/>
          <w:spacing w:val="-2"/>
          <w:highlight w:val="none"/>
        </w:rPr>
        <w:t>的</w:t>
      </w:r>
      <w:r>
        <w:rPr>
          <w:rFonts w:hint="eastAsia" w:ascii="宋体" w:hAnsi="宋体" w:cs="宋体"/>
          <w:color w:val="auto"/>
          <w:highlight w:val="none"/>
        </w:rPr>
        <w:t>各</w:t>
      </w:r>
      <w:r>
        <w:rPr>
          <w:rFonts w:hint="eastAsia" w:ascii="宋体" w:hAnsi="宋体" w:cs="宋体"/>
          <w:color w:val="auto"/>
          <w:spacing w:val="-2"/>
          <w:highlight w:val="none"/>
        </w:rPr>
        <w:t>方</w:t>
      </w:r>
      <w:r>
        <w:rPr>
          <w:rFonts w:hint="eastAsia" w:ascii="宋体" w:hAnsi="宋体" w:cs="宋体"/>
          <w:color w:val="auto"/>
          <w:highlight w:val="none"/>
        </w:rPr>
        <w:t>应对招标文件和投</w:t>
      </w:r>
      <w:r>
        <w:rPr>
          <w:rFonts w:hint="eastAsia" w:ascii="宋体" w:hAnsi="宋体" w:cs="宋体"/>
          <w:color w:val="auto"/>
          <w:spacing w:val="-2"/>
          <w:highlight w:val="none"/>
        </w:rPr>
        <w:t>标</w:t>
      </w:r>
      <w:r>
        <w:rPr>
          <w:rFonts w:hint="eastAsia" w:ascii="宋体" w:hAnsi="宋体" w:cs="宋体"/>
          <w:color w:val="auto"/>
          <w:highlight w:val="none"/>
        </w:rPr>
        <w:t>文</w:t>
      </w:r>
      <w:r>
        <w:rPr>
          <w:rFonts w:hint="eastAsia" w:ascii="宋体" w:hAnsi="宋体" w:cs="宋体"/>
          <w:color w:val="auto"/>
          <w:spacing w:val="-2"/>
          <w:highlight w:val="none"/>
        </w:rPr>
        <w:t>件</w:t>
      </w:r>
      <w:r>
        <w:rPr>
          <w:rFonts w:hint="eastAsia" w:ascii="宋体" w:hAnsi="宋体" w:cs="宋体"/>
          <w:color w:val="auto"/>
          <w:highlight w:val="none"/>
        </w:rPr>
        <w:t>中的商业和技术等</w:t>
      </w:r>
      <w:r>
        <w:rPr>
          <w:rFonts w:hint="eastAsia" w:ascii="宋体" w:hAnsi="宋体" w:cs="宋体"/>
          <w:color w:val="auto"/>
          <w:spacing w:val="-2"/>
          <w:highlight w:val="none"/>
        </w:rPr>
        <w:t>秘</w:t>
      </w:r>
      <w:r>
        <w:rPr>
          <w:rFonts w:hint="eastAsia" w:ascii="宋体" w:hAnsi="宋体" w:cs="宋体"/>
          <w:color w:val="auto"/>
          <w:highlight w:val="none"/>
        </w:rPr>
        <w:t>密</w:t>
      </w:r>
      <w:r>
        <w:rPr>
          <w:rFonts w:hint="eastAsia" w:ascii="宋体" w:hAnsi="宋体" w:cs="宋体"/>
          <w:color w:val="auto"/>
          <w:spacing w:val="-2"/>
          <w:highlight w:val="none"/>
        </w:rPr>
        <w:t>保</w:t>
      </w:r>
      <w:r>
        <w:rPr>
          <w:rFonts w:hint="eastAsia" w:ascii="宋体" w:hAnsi="宋体" w:cs="宋体"/>
          <w:color w:val="auto"/>
          <w:highlight w:val="none"/>
        </w:rPr>
        <w:t>密，否则应承担相</w:t>
      </w:r>
      <w:r>
        <w:rPr>
          <w:rFonts w:hint="eastAsia" w:ascii="宋体" w:hAnsi="宋体" w:cs="宋体"/>
          <w:color w:val="auto"/>
          <w:spacing w:val="-2"/>
          <w:highlight w:val="none"/>
        </w:rPr>
        <w:t>应</w:t>
      </w:r>
      <w:r>
        <w:rPr>
          <w:rFonts w:hint="eastAsia" w:ascii="宋体" w:hAnsi="宋体" w:cs="宋体"/>
          <w:color w:val="auto"/>
          <w:highlight w:val="none"/>
        </w:rPr>
        <w:t>的</w:t>
      </w:r>
      <w:r>
        <w:rPr>
          <w:rFonts w:hint="eastAsia" w:ascii="宋体" w:hAnsi="宋体" w:cs="宋体"/>
          <w:color w:val="auto"/>
          <w:spacing w:val="-2"/>
          <w:highlight w:val="none"/>
        </w:rPr>
        <w:t>法</w:t>
      </w:r>
      <w:r>
        <w:rPr>
          <w:rFonts w:hint="eastAsia" w:ascii="宋体" w:hAnsi="宋体" w:cs="宋体"/>
          <w:color w:val="auto"/>
          <w:highlight w:val="none"/>
        </w:rPr>
        <w:t>律</w:t>
      </w:r>
      <w:r>
        <w:rPr>
          <w:rFonts w:hint="eastAsia" w:ascii="宋体" w:hAnsi="宋体" w:cs="宋体"/>
          <w:color w:val="auto"/>
          <w:spacing w:val="-2"/>
          <w:highlight w:val="none"/>
        </w:rPr>
        <w:t>责</w:t>
      </w:r>
      <w:r>
        <w:rPr>
          <w:rFonts w:hint="eastAsia" w:ascii="宋体" w:hAnsi="宋体" w:cs="宋体"/>
          <w:color w:val="auto"/>
          <w:highlight w:val="none"/>
        </w:rPr>
        <w:t>任。</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1.7 语言文字</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招标投标文件使用的语言文字为中文。专用术语使用外文的，应附有中文注释。</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1.8 计量单位</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所有计量均采用中华人民共和国法定计量单位。</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1.9 踏勘现场</w:t>
      </w:r>
    </w:p>
    <w:p>
      <w:pPr>
        <w:spacing w:line="360" w:lineRule="auto"/>
        <w:ind w:left="100" w:right="42" w:firstLine="420"/>
        <w:jc w:val="left"/>
        <w:rPr>
          <w:rFonts w:ascii="宋体" w:hAnsi="宋体" w:cs="宋体"/>
          <w:color w:val="auto"/>
          <w:kern w:val="21"/>
          <w:highlight w:val="none"/>
        </w:rPr>
      </w:pPr>
      <w:r>
        <w:rPr>
          <w:rFonts w:hint="eastAsia" w:ascii="宋体" w:hAnsi="宋体" w:cs="宋体"/>
          <w:color w:val="auto"/>
          <w:kern w:val="21"/>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1.9.2 投标人踏勘现场发生的费用自理。</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1.9.3 除招标人的原因外，投标人自行负责在踏勘现场中所发生的人员伤亡和财产损失。</w:t>
      </w:r>
    </w:p>
    <w:p>
      <w:pPr>
        <w:spacing w:line="360" w:lineRule="auto"/>
        <w:ind w:left="100" w:right="39" w:firstLine="420"/>
        <w:jc w:val="left"/>
        <w:rPr>
          <w:rFonts w:ascii="宋体" w:hAnsi="宋体" w:cs="宋体"/>
          <w:color w:val="auto"/>
          <w:kern w:val="21"/>
          <w:highlight w:val="none"/>
        </w:rPr>
      </w:pPr>
      <w:r>
        <w:rPr>
          <w:rFonts w:hint="eastAsia" w:ascii="宋体" w:hAnsi="宋体" w:cs="宋体"/>
          <w:color w:val="auto"/>
          <w:kern w:val="21"/>
          <w:highlight w:val="none"/>
        </w:rPr>
        <w:t>1.9.4 招标人在踏勘现场中介绍的工程场地和相关的周边环境情况，供投标人在编制投标文 件时参考，招标人不对投标人据此作出的判断和决策负责。</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1.10 投标预备会</w:t>
      </w:r>
    </w:p>
    <w:p>
      <w:pPr>
        <w:spacing w:line="360" w:lineRule="auto"/>
        <w:ind w:left="100" w:right="43" w:firstLine="420"/>
        <w:jc w:val="left"/>
        <w:rPr>
          <w:rFonts w:ascii="宋体" w:hAnsi="宋体" w:cs="宋体"/>
          <w:color w:val="auto"/>
          <w:kern w:val="21"/>
          <w:highlight w:val="none"/>
        </w:rPr>
      </w:pPr>
      <w:r>
        <w:rPr>
          <w:rFonts w:hint="eastAsia" w:ascii="宋体" w:hAnsi="宋体" w:cs="宋体"/>
          <w:color w:val="auto"/>
          <w:kern w:val="21"/>
          <w:highlight w:val="none"/>
        </w:rPr>
        <w:t>1.10.1  投标人须知前附表规定召开投标预备会的，招标人按投标人须知前附表规定的时间 和地点召开投标预备会，澄清投标人提出的问题。</w:t>
      </w:r>
    </w:p>
    <w:p>
      <w:pPr>
        <w:spacing w:line="360" w:lineRule="auto"/>
        <w:ind w:left="100" w:right="42" w:firstLine="420"/>
        <w:jc w:val="left"/>
        <w:rPr>
          <w:rFonts w:ascii="宋体" w:hAnsi="宋体" w:cs="宋体"/>
          <w:color w:val="auto"/>
          <w:kern w:val="21"/>
          <w:highlight w:val="none"/>
        </w:rPr>
      </w:pPr>
      <w:r>
        <w:rPr>
          <w:rFonts w:hint="eastAsia" w:ascii="宋体" w:hAnsi="宋体" w:cs="宋体"/>
          <w:color w:val="auto"/>
          <w:kern w:val="21"/>
          <w:highlight w:val="none"/>
        </w:rPr>
        <w:t>1.10.2  投标人应按投标人须知前附表规定的时间和形式将提出的问题送达招标人，以便招 标人在会议期间澄清。</w:t>
      </w:r>
    </w:p>
    <w:p>
      <w:pPr>
        <w:spacing w:line="360" w:lineRule="auto"/>
        <w:ind w:left="100" w:right="43" w:firstLine="420"/>
        <w:jc w:val="left"/>
        <w:rPr>
          <w:rFonts w:ascii="宋体" w:hAnsi="宋体" w:cs="宋体"/>
          <w:color w:val="auto"/>
          <w:kern w:val="21"/>
          <w:highlight w:val="none"/>
        </w:rPr>
      </w:pPr>
      <w:r>
        <w:rPr>
          <w:rFonts w:hint="eastAsia" w:ascii="宋体" w:hAnsi="宋体" w:cs="宋体"/>
          <w:color w:val="auto"/>
          <w:kern w:val="21"/>
          <w:highlight w:val="none"/>
        </w:rPr>
        <w:t>1.10.3  投标预备会后，招标人将对投标人所提问题的澄清，以投标人须知前附表规定的形式通知所有购买招标文件的投标人。该澄清内容为招标文件的组成部分。</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1.11 分包</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本项目严禁全部或部分分包。</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1.12 响应和偏差</w:t>
      </w:r>
    </w:p>
    <w:p>
      <w:pPr>
        <w:spacing w:line="360" w:lineRule="auto"/>
        <w:ind w:left="100" w:right="34" w:firstLine="420"/>
        <w:jc w:val="left"/>
        <w:rPr>
          <w:rFonts w:ascii="宋体" w:hAnsi="宋体" w:cs="宋体"/>
          <w:color w:val="auto"/>
          <w:kern w:val="21"/>
          <w:highlight w:val="none"/>
        </w:rPr>
      </w:pPr>
      <w:r>
        <w:rPr>
          <w:rFonts w:hint="eastAsia" w:ascii="宋体" w:hAnsi="宋体" w:cs="宋体"/>
          <w:color w:val="auto"/>
          <w:kern w:val="21"/>
          <w:highlight w:val="none"/>
        </w:rPr>
        <w:t>1.12.1 投标文件应当对招标文件的实质性要求和条件作出满足性或更有利于招标人的响应， 否则，投标人的投标将被否决。实质性要求和条件见投标人须知前附表。</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1.12.2 投标人应根据招标文件的要求提供投标监理大纲等内容以对招标文件作出响应。</w:t>
      </w:r>
    </w:p>
    <w:p>
      <w:pPr>
        <w:spacing w:line="360" w:lineRule="auto"/>
        <w:ind w:left="100" w:right="145" w:firstLine="434"/>
        <w:rPr>
          <w:rFonts w:ascii="宋体" w:hAnsi="宋体" w:cs="宋体"/>
          <w:color w:val="auto"/>
          <w:kern w:val="21"/>
          <w:highlight w:val="none"/>
        </w:rPr>
      </w:pPr>
      <w:r>
        <w:rPr>
          <w:rFonts w:hint="eastAsia" w:ascii="宋体" w:hAnsi="宋体" w:cs="宋体"/>
          <w:color w:val="auto"/>
          <w:kern w:val="21"/>
          <w:highlight w:val="none"/>
        </w:rPr>
        <w:t>1.12.3 投标人须知前附表允许投标文件偏离招标文件某些要求的，偏差应当符合招标文件 规定的偏差范围和幅度。</w:t>
      </w:r>
    </w:p>
    <w:p>
      <w:pPr>
        <w:spacing w:line="360" w:lineRule="auto"/>
        <w:ind w:left="100" w:right="-20"/>
        <w:jc w:val="left"/>
        <w:outlineLvl w:val="2"/>
        <w:rPr>
          <w:rFonts w:ascii="宋体" w:hAnsi="宋体" w:cs="宋体"/>
          <w:b/>
          <w:color w:val="auto"/>
          <w:kern w:val="21"/>
          <w:sz w:val="30"/>
          <w:szCs w:val="30"/>
          <w:highlight w:val="none"/>
        </w:rPr>
      </w:pPr>
      <w:bookmarkStart w:id="82" w:name="_Toc11842"/>
      <w:bookmarkStart w:id="83" w:name="_Toc23618"/>
      <w:bookmarkStart w:id="84" w:name="_Toc16934"/>
      <w:bookmarkStart w:id="85" w:name="_Toc11074"/>
      <w:bookmarkStart w:id="86" w:name="_Toc16547"/>
      <w:bookmarkStart w:id="87" w:name="_Toc31531"/>
      <w:bookmarkStart w:id="88" w:name="_Toc32161"/>
      <w:bookmarkStart w:id="89" w:name="_Toc24453"/>
      <w:bookmarkStart w:id="90" w:name="_Toc15215"/>
      <w:bookmarkStart w:id="91" w:name="_Toc14973"/>
      <w:r>
        <w:rPr>
          <w:rFonts w:hint="eastAsia" w:ascii="宋体" w:hAnsi="宋体" w:cs="宋体"/>
          <w:b/>
          <w:color w:val="auto"/>
          <w:kern w:val="21"/>
          <w:sz w:val="30"/>
          <w:szCs w:val="30"/>
          <w:highlight w:val="none"/>
        </w:rPr>
        <w:t>2. 招标文件</w:t>
      </w:r>
      <w:bookmarkEnd w:id="82"/>
      <w:bookmarkEnd w:id="83"/>
      <w:bookmarkEnd w:id="84"/>
      <w:bookmarkEnd w:id="85"/>
      <w:bookmarkEnd w:id="86"/>
      <w:bookmarkEnd w:id="87"/>
      <w:bookmarkEnd w:id="88"/>
      <w:bookmarkEnd w:id="89"/>
      <w:bookmarkEnd w:id="90"/>
      <w:bookmarkEnd w:id="91"/>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2.1 招标文件的组成</w:t>
      </w:r>
    </w:p>
    <w:p>
      <w:pPr>
        <w:spacing w:line="360" w:lineRule="auto"/>
        <w:ind w:left="460" w:right="-20"/>
        <w:jc w:val="left"/>
        <w:rPr>
          <w:rFonts w:ascii="宋体" w:hAnsi="宋体" w:cs="宋体"/>
          <w:color w:val="auto"/>
          <w:kern w:val="21"/>
          <w:highlight w:val="none"/>
        </w:rPr>
      </w:pPr>
      <w:r>
        <w:rPr>
          <w:rFonts w:hint="eastAsia" w:ascii="宋体" w:hAnsi="宋体" w:cs="宋体"/>
          <w:color w:val="auto"/>
          <w:kern w:val="21"/>
          <w:highlight w:val="none"/>
        </w:rPr>
        <w:t>本招标文件包括：</w:t>
      </w:r>
    </w:p>
    <w:p>
      <w:pPr>
        <w:spacing w:line="360" w:lineRule="auto"/>
        <w:ind w:left="460" w:right="-20"/>
        <w:jc w:val="left"/>
        <w:rPr>
          <w:rFonts w:ascii="宋体" w:hAnsi="宋体" w:cs="宋体"/>
          <w:color w:val="auto"/>
          <w:kern w:val="21"/>
          <w:highlight w:val="none"/>
        </w:rPr>
      </w:pPr>
      <w:r>
        <w:rPr>
          <w:rFonts w:hint="eastAsia" w:ascii="宋体" w:hAnsi="宋体" w:cs="宋体"/>
          <w:color w:val="auto"/>
          <w:kern w:val="21"/>
          <w:highlight w:val="none"/>
        </w:rPr>
        <w:t>（1）招标公告；</w:t>
      </w:r>
    </w:p>
    <w:p>
      <w:pPr>
        <w:spacing w:line="360" w:lineRule="auto"/>
        <w:ind w:left="460" w:right="-20"/>
        <w:jc w:val="left"/>
        <w:rPr>
          <w:rFonts w:ascii="宋体" w:hAnsi="宋体" w:cs="宋体"/>
          <w:color w:val="auto"/>
          <w:kern w:val="21"/>
          <w:highlight w:val="none"/>
        </w:rPr>
      </w:pPr>
      <w:r>
        <w:rPr>
          <w:rFonts w:hint="eastAsia" w:ascii="宋体" w:hAnsi="宋体" w:cs="宋体"/>
          <w:color w:val="auto"/>
          <w:kern w:val="21"/>
          <w:highlight w:val="none"/>
        </w:rPr>
        <w:t>（2）投标人须知；</w:t>
      </w:r>
    </w:p>
    <w:p>
      <w:pPr>
        <w:spacing w:line="360" w:lineRule="auto"/>
        <w:ind w:left="460" w:right="-20"/>
        <w:jc w:val="left"/>
        <w:rPr>
          <w:rFonts w:ascii="宋体" w:hAnsi="宋体" w:cs="宋体"/>
          <w:color w:val="auto"/>
          <w:kern w:val="21"/>
          <w:highlight w:val="none"/>
        </w:rPr>
      </w:pPr>
      <w:r>
        <w:rPr>
          <w:rFonts w:hint="eastAsia" w:ascii="宋体" w:hAnsi="宋体" w:cs="宋体"/>
          <w:color w:val="auto"/>
          <w:kern w:val="21"/>
          <w:highlight w:val="none"/>
        </w:rPr>
        <w:t>（3）评标办法；</w:t>
      </w:r>
    </w:p>
    <w:p>
      <w:pPr>
        <w:spacing w:line="360" w:lineRule="auto"/>
        <w:ind w:left="460" w:right="-20"/>
        <w:jc w:val="left"/>
        <w:rPr>
          <w:rFonts w:ascii="宋体" w:hAnsi="宋体" w:cs="宋体"/>
          <w:color w:val="auto"/>
          <w:kern w:val="21"/>
          <w:highlight w:val="none"/>
        </w:rPr>
      </w:pPr>
      <w:r>
        <w:rPr>
          <w:rFonts w:hint="eastAsia" w:ascii="宋体" w:hAnsi="宋体" w:cs="宋体"/>
          <w:color w:val="auto"/>
          <w:kern w:val="21"/>
          <w:highlight w:val="none"/>
        </w:rPr>
        <w:t>（4）合同条款及格式；</w:t>
      </w:r>
    </w:p>
    <w:p>
      <w:pPr>
        <w:spacing w:line="360" w:lineRule="auto"/>
        <w:ind w:left="460" w:right="-20"/>
        <w:jc w:val="left"/>
        <w:rPr>
          <w:rFonts w:ascii="宋体" w:hAnsi="宋体" w:cs="宋体"/>
          <w:color w:val="auto"/>
          <w:kern w:val="21"/>
          <w:highlight w:val="none"/>
        </w:rPr>
      </w:pPr>
      <w:r>
        <w:rPr>
          <w:rFonts w:hint="eastAsia" w:ascii="宋体" w:hAnsi="宋体" w:cs="宋体"/>
          <w:color w:val="auto"/>
          <w:kern w:val="21"/>
          <w:highlight w:val="none"/>
        </w:rPr>
        <w:t>（5）委托人要求；</w:t>
      </w:r>
    </w:p>
    <w:p>
      <w:pPr>
        <w:spacing w:line="360" w:lineRule="auto"/>
        <w:ind w:left="460" w:right="-20"/>
        <w:jc w:val="left"/>
        <w:rPr>
          <w:rFonts w:ascii="宋体" w:hAnsi="宋体" w:cs="宋体"/>
          <w:color w:val="auto"/>
          <w:kern w:val="21"/>
          <w:highlight w:val="none"/>
        </w:rPr>
      </w:pPr>
      <w:r>
        <w:rPr>
          <w:rFonts w:hint="eastAsia" w:ascii="宋体" w:hAnsi="宋体" w:cs="宋体"/>
          <w:color w:val="auto"/>
          <w:kern w:val="21"/>
          <w:highlight w:val="none"/>
        </w:rPr>
        <w:t>（6）投标文件格式；</w:t>
      </w:r>
    </w:p>
    <w:p>
      <w:pPr>
        <w:spacing w:line="360" w:lineRule="auto"/>
        <w:ind w:left="460" w:right="-20"/>
        <w:jc w:val="left"/>
        <w:rPr>
          <w:rFonts w:ascii="宋体" w:hAnsi="宋体" w:cs="宋体"/>
          <w:color w:val="auto"/>
          <w:kern w:val="21"/>
          <w:highlight w:val="none"/>
        </w:rPr>
      </w:pPr>
      <w:r>
        <w:rPr>
          <w:rFonts w:hint="eastAsia" w:ascii="宋体" w:hAnsi="宋体" w:cs="宋体"/>
          <w:color w:val="auto"/>
          <w:kern w:val="21"/>
          <w:highlight w:val="none"/>
        </w:rPr>
        <w:t>（7）投标人须知前附表规定的其他资料。</w:t>
      </w:r>
    </w:p>
    <w:p>
      <w:pPr>
        <w:spacing w:line="360" w:lineRule="auto"/>
        <w:ind w:left="100" w:right="139" w:firstLine="420"/>
        <w:rPr>
          <w:rFonts w:ascii="宋体" w:hAnsi="宋体" w:cs="宋体"/>
          <w:color w:val="auto"/>
          <w:kern w:val="21"/>
          <w:highlight w:val="none"/>
        </w:rPr>
      </w:pPr>
      <w:r>
        <w:rPr>
          <w:rFonts w:hint="eastAsia" w:ascii="宋体" w:hAnsi="宋体" w:cs="宋体"/>
          <w:color w:val="auto"/>
          <w:kern w:val="21"/>
          <w:highlight w:val="none"/>
        </w:rPr>
        <w:t>根据本章第 1.10 款、第 2.2 款和第 2.3 款对招标文件所作的澄清、修改，构成招标文件的组成部分。</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2.2 招标文件的澄清</w:t>
      </w:r>
    </w:p>
    <w:p>
      <w:pPr>
        <w:spacing w:line="360" w:lineRule="auto"/>
        <w:ind w:left="100" w:right="139" w:firstLine="420"/>
        <w:rPr>
          <w:rFonts w:ascii="宋体" w:hAnsi="宋体" w:cs="宋体"/>
          <w:color w:val="auto"/>
          <w:kern w:val="21"/>
          <w:highlight w:val="none"/>
        </w:rPr>
      </w:pPr>
      <w:r>
        <w:rPr>
          <w:rFonts w:hint="eastAsia" w:ascii="宋体" w:hAnsi="宋体" w:cs="宋体"/>
          <w:color w:val="auto"/>
          <w:kern w:val="21"/>
          <w:highlight w:val="none"/>
        </w:rPr>
        <w:t>2.2.1 投标人应仔细阅读和检查招标文件的全部内容。如发现缺页或附件不全，应及时向招 标人提出，以便补齐。如有疑问，应按投标人须知前附表规定的时间和形式将提出的问题送达招标人，要求招标人对招标文件予以澄清。</w:t>
      </w:r>
    </w:p>
    <w:p>
      <w:pPr>
        <w:spacing w:line="360" w:lineRule="auto"/>
        <w:ind w:left="100" w:right="139" w:firstLine="420"/>
        <w:rPr>
          <w:rFonts w:ascii="宋体" w:hAnsi="宋体" w:cs="宋体"/>
          <w:color w:val="auto"/>
          <w:kern w:val="21"/>
          <w:highlight w:val="none"/>
        </w:rPr>
      </w:pPr>
      <w:r>
        <w:rPr>
          <w:rFonts w:hint="eastAsia" w:ascii="宋体" w:hAnsi="宋体" w:cs="宋体"/>
          <w:color w:val="auto"/>
          <w:kern w:val="21"/>
          <w:highlight w:val="none"/>
        </w:rPr>
        <w:t>2.2.2 招标文件的澄清以投标人须知前附表规定的形式发给所有购买招标文件的投标人，但 不指明澄清问题的来源。澄清发出的时间距本章第 4.2.1 项规定的投标截止时间不足 15 日的，并且澄清内容可能影响投标文件编制的，将相应延长投标截止时间。</w:t>
      </w:r>
    </w:p>
    <w:p>
      <w:pPr>
        <w:spacing w:line="360" w:lineRule="auto"/>
        <w:ind w:left="100" w:right="44" w:firstLine="420"/>
        <w:rPr>
          <w:rFonts w:ascii="宋体" w:hAnsi="宋体" w:cs="宋体"/>
          <w:color w:val="auto"/>
          <w:kern w:val="21"/>
          <w:highlight w:val="none"/>
        </w:rPr>
      </w:pPr>
      <w:r>
        <w:rPr>
          <w:rFonts w:hint="eastAsia" w:ascii="宋体" w:hAnsi="宋体" w:cs="宋体"/>
          <w:color w:val="auto"/>
          <w:kern w:val="21"/>
          <w:highlight w:val="none"/>
        </w:rPr>
        <w:t>2.2.3 投标人在收到澄清后，应按投标人须知前附表规定的时间和形式通知招标人，确认已收到该澄清。</w:t>
      </w:r>
    </w:p>
    <w:p>
      <w:pPr>
        <w:spacing w:line="360" w:lineRule="auto"/>
        <w:ind w:left="100" w:right="39" w:firstLine="420"/>
        <w:rPr>
          <w:rFonts w:ascii="宋体" w:hAnsi="宋体" w:cs="宋体"/>
          <w:color w:val="auto"/>
          <w:kern w:val="21"/>
          <w:highlight w:val="none"/>
        </w:rPr>
      </w:pPr>
      <w:r>
        <w:rPr>
          <w:rFonts w:hint="eastAsia" w:ascii="宋体" w:hAnsi="宋体" w:cs="宋体"/>
          <w:color w:val="auto"/>
          <w:kern w:val="21"/>
          <w:highlight w:val="none"/>
        </w:rPr>
        <w:t>2.2.4 除非招标人认为确有必要答复，否则，招标人有权拒绝回复投标人在本章第 2.2.1 项 规定的时间后的任何澄清要求。</w:t>
      </w:r>
    </w:p>
    <w:p>
      <w:pPr>
        <w:spacing w:line="360" w:lineRule="auto"/>
        <w:ind w:left="195" w:right="5700"/>
        <w:jc w:val="center"/>
        <w:rPr>
          <w:rFonts w:ascii="宋体" w:hAnsi="宋体" w:cs="宋体"/>
          <w:b/>
          <w:bCs/>
          <w:color w:val="auto"/>
          <w:kern w:val="21"/>
          <w:sz w:val="28"/>
          <w:highlight w:val="none"/>
        </w:rPr>
      </w:pPr>
      <w:r>
        <w:rPr>
          <w:rFonts w:hint="eastAsia" w:ascii="宋体" w:hAnsi="宋体" w:cs="宋体"/>
          <w:b/>
          <w:bCs/>
          <w:color w:val="auto"/>
          <w:kern w:val="21"/>
          <w:sz w:val="28"/>
          <w:highlight w:val="none"/>
        </w:rPr>
        <w:t>2.3 招标文件的修改</w:t>
      </w:r>
    </w:p>
    <w:p>
      <w:pPr>
        <w:spacing w:line="360" w:lineRule="auto"/>
        <w:ind w:left="100" w:right="39" w:firstLine="420"/>
        <w:rPr>
          <w:rFonts w:ascii="宋体" w:hAnsi="宋体" w:cs="宋体"/>
          <w:color w:val="auto"/>
          <w:kern w:val="21"/>
          <w:highlight w:val="none"/>
        </w:rPr>
      </w:pPr>
      <w:r>
        <w:rPr>
          <w:rFonts w:hint="eastAsia" w:ascii="宋体" w:hAnsi="宋体" w:cs="宋体"/>
          <w:color w:val="auto"/>
          <w:kern w:val="21"/>
          <w:highlight w:val="none"/>
        </w:rPr>
        <w:t>2.3.1 招标人以投标人须知前附表规定的形式修改招标文件，并通知所有已购买招标文件的 投标人。修改招标文件的时间距本章第 4.2.1 项规定的投标截止时间不足 15 日的，并且修改内 容可能影响投标文件编制的，将相应延长投标截止时间。</w:t>
      </w:r>
    </w:p>
    <w:p>
      <w:pPr>
        <w:spacing w:line="360" w:lineRule="auto"/>
        <w:ind w:left="100" w:right="42" w:firstLine="184"/>
        <w:rPr>
          <w:rFonts w:ascii="宋体" w:hAnsi="宋体" w:cs="宋体"/>
          <w:color w:val="auto"/>
          <w:kern w:val="21"/>
          <w:highlight w:val="none"/>
        </w:rPr>
      </w:pPr>
      <w:r>
        <w:rPr>
          <w:rFonts w:hint="eastAsia" w:ascii="宋体" w:hAnsi="宋体" w:cs="宋体"/>
          <w:color w:val="auto"/>
          <w:kern w:val="21"/>
          <w:highlight w:val="none"/>
        </w:rPr>
        <w:t>2.3.2 投标人收到修改内容后，应按投标人须知前附表规定的时间和形式通知招标人，确认已收到该修改。</w:t>
      </w:r>
    </w:p>
    <w:p>
      <w:pPr>
        <w:spacing w:line="360" w:lineRule="auto"/>
        <w:ind w:left="190" w:right="5700"/>
        <w:jc w:val="center"/>
        <w:rPr>
          <w:rFonts w:ascii="宋体" w:hAnsi="宋体" w:cs="宋体"/>
          <w:b/>
          <w:bCs/>
          <w:color w:val="auto"/>
          <w:kern w:val="21"/>
          <w:sz w:val="28"/>
          <w:highlight w:val="none"/>
        </w:rPr>
      </w:pPr>
      <w:r>
        <w:rPr>
          <w:rFonts w:hint="eastAsia" w:ascii="宋体" w:hAnsi="宋体" w:cs="宋体"/>
          <w:b/>
          <w:bCs/>
          <w:color w:val="auto"/>
          <w:kern w:val="21"/>
          <w:sz w:val="28"/>
          <w:highlight w:val="none"/>
        </w:rPr>
        <w:t>2.4 招标文件的异议</w:t>
      </w:r>
    </w:p>
    <w:p>
      <w:pPr>
        <w:snapToGrid w:val="0"/>
        <w:spacing w:line="360" w:lineRule="auto"/>
        <w:ind w:left="3" w:firstLine="421"/>
        <w:rPr>
          <w:rFonts w:ascii="宋体" w:hAnsi="宋体" w:cs="宋体"/>
          <w:color w:val="auto"/>
          <w:kern w:val="21"/>
          <w:highlight w:val="none"/>
        </w:rPr>
      </w:pPr>
      <w:r>
        <w:rPr>
          <w:rFonts w:hint="eastAsia" w:ascii="宋体" w:hAnsi="宋体" w:cs="宋体"/>
          <w:color w:val="auto"/>
          <w:kern w:val="21"/>
          <w:highlight w:val="none"/>
        </w:rPr>
        <w:t>投标人或者其他利害关系人对招标文件有异议的，应当在投标截止时间 10 日前以书面形式 提出。招标人将在收到异议之日起 3 日内作出答复；作出答复前，将暂停招标投标活动。</w:t>
      </w:r>
    </w:p>
    <w:p>
      <w:pPr>
        <w:snapToGrid w:val="0"/>
        <w:spacing w:line="360" w:lineRule="auto"/>
        <w:ind w:left="3" w:firstLine="421"/>
        <w:rPr>
          <w:rFonts w:ascii="宋体" w:hAnsi="宋体" w:cs="宋体"/>
          <w:color w:val="auto"/>
          <w:szCs w:val="21"/>
          <w:highlight w:val="none"/>
          <w:u w:val="single"/>
        </w:rPr>
      </w:pPr>
      <w:r>
        <w:rPr>
          <w:rFonts w:hint="eastAsia" w:ascii="宋体" w:hAnsi="宋体" w:cs="宋体"/>
          <w:color w:val="auto"/>
          <w:spacing w:val="-6"/>
          <w:szCs w:val="21"/>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left="100" w:right="39" w:firstLine="420"/>
        <w:rPr>
          <w:rFonts w:ascii="宋体" w:hAnsi="宋体" w:cs="宋体"/>
          <w:color w:val="auto"/>
          <w:kern w:val="21"/>
          <w:highlight w:val="none"/>
        </w:rPr>
      </w:pPr>
    </w:p>
    <w:p>
      <w:pPr>
        <w:spacing w:line="360" w:lineRule="auto"/>
        <w:ind w:left="100" w:right="-20"/>
        <w:jc w:val="left"/>
        <w:outlineLvl w:val="2"/>
        <w:rPr>
          <w:rFonts w:ascii="宋体" w:hAnsi="宋体" w:cs="宋体"/>
          <w:b/>
          <w:color w:val="auto"/>
          <w:kern w:val="21"/>
          <w:sz w:val="30"/>
          <w:szCs w:val="30"/>
          <w:highlight w:val="none"/>
        </w:rPr>
      </w:pPr>
      <w:bookmarkStart w:id="92" w:name="_Toc14674"/>
      <w:bookmarkStart w:id="93" w:name="_Toc27338"/>
      <w:bookmarkStart w:id="94" w:name="_Toc14593"/>
      <w:bookmarkStart w:id="95" w:name="_Toc15298"/>
      <w:bookmarkStart w:id="96" w:name="_Toc21687"/>
      <w:bookmarkStart w:id="97" w:name="_Toc15518"/>
      <w:bookmarkStart w:id="98" w:name="_Toc32384"/>
      <w:bookmarkStart w:id="99" w:name="_Toc17465"/>
      <w:bookmarkStart w:id="100" w:name="_Toc9833"/>
      <w:bookmarkStart w:id="101" w:name="_Toc9161"/>
      <w:r>
        <w:rPr>
          <w:rFonts w:hint="eastAsia" w:ascii="宋体" w:hAnsi="宋体" w:cs="宋体"/>
          <w:b/>
          <w:color w:val="auto"/>
          <w:kern w:val="21"/>
          <w:sz w:val="30"/>
          <w:szCs w:val="30"/>
          <w:highlight w:val="none"/>
        </w:rPr>
        <w:t>3. 投标文件</w:t>
      </w:r>
      <w:bookmarkEnd w:id="92"/>
      <w:bookmarkEnd w:id="93"/>
      <w:bookmarkEnd w:id="94"/>
      <w:bookmarkEnd w:id="95"/>
      <w:bookmarkEnd w:id="96"/>
      <w:bookmarkEnd w:id="97"/>
      <w:bookmarkEnd w:id="98"/>
      <w:bookmarkEnd w:id="99"/>
      <w:bookmarkEnd w:id="100"/>
      <w:bookmarkEnd w:id="101"/>
    </w:p>
    <w:p>
      <w:pPr>
        <w:spacing w:line="360" w:lineRule="auto"/>
        <w:ind w:left="195" w:right="5920"/>
        <w:jc w:val="center"/>
        <w:rPr>
          <w:rFonts w:ascii="宋体" w:hAnsi="宋体" w:cs="宋体"/>
          <w:b/>
          <w:bCs/>
          <w:color w:val="auto"/>
          <w:kern w:val="21"/>
          <w:sz w:val="28"/>
          <w:highlight w:val="none"/>
        </w:rPr>
      </w:pPr>
      <w:r>
        <w:rPr>
          <w:rFonts w:hint="eastAsia" w:ascii="宋体" w:hAnsi="宋体" w:cs="宋体"/>
          <w:b/>
          <w:bCs/>
          <w:color w:val="auto"/>
          <w:kern w:val="21"/>
          <w:sz w:val="28"/>
          <w:highlight w:val="none"/>
        </w:rPr>
        <w:t>3.1 投标文件的组成</w:t>
      </w:r>
    </w:p>
    <w:p>
      <w:pPr>
        <w:spacing w:line="360" w:lineRule="auto"/>
        <w:ind w:left="523" w:right="-20"/>
        <w:jc w:val="left"/>
        <w:rPr>
          <w:rFonts w:ascii="宋体" w:hAnsi="宋体" w:cs="宋体"/>
          <w:color w:val="auto"/>
          <w:kern w:val="21"/>
          <w:highlight w:val="none"/>
        </w:rPr>
      </w:pPr>
      <w:r>
        <w:rPr>
          <w:rFonts w:hint="eastAsia" w:ascii="宋体" w:hAnsi="宋体" w:cs="宋体"/>
          <w:color w:val="auto"/>
          <w:kern w:val="21"/>
          <w:highlight w:val="none"/>
        </w:rPr>
        <w:t>3.1.1 投标文件应包括下列内容：</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（1）投标函及投标函附录；</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（2）法定代表人身份证明书或授权委托书；</w:t>
      </w:r>
    </w:p>
    <w:p>
      <w:pPr>
        <w:spacing w:line="360" w:lineRule="auto"/>
        <w:ind w:left="100" w:right="39" w:firstLine="420"/>
        <w:rPr>
          <w:rFonts w:hint="eastAsia" w:ascii="宋体" w:hAnsi="宋体" w:cs="宋体"/>
          <w:color w:val="auto"/>
          <w:kern w:val="21"/>
          <w:highlight w:val="none"/>
        </w:rPr>
      </w:pPr>
      <w:r>
        <w:rPr>
          <w:rFonts w:hint="eastAsia" w:ascii="宋体" w:hAnsi="宋体" w:cs="宋体"/>
          <w:color w:val="auto"/>
          <w:kern w:val="21"/>
          <w:highlight w:val="none"/>
        </w:rPr>
        <w:t>（</w:t>
      </w:r>
      <w:r>
        <w:rPr>
          <w:rFonts w:hint="eastAsia" w:ascii="宋体" w:hAnsi="宋体" w:cs="宋体"/>
          <w:color w:val="auto"/>
          <w:kern w:val="21"/>
          <w:highlight w:val="none"/>
          <w:lang w:val="en-US" w:eastAsia="zh-CN"/>
        </w:rPr>
        <w:t>3</w:t>
      </w:r>
      <w:r>
        <w:rPr>
          <w:rFonts w:hint="eastAsia" w:ascii="宋体" w:hAnsi="宋体" w:cs="宋体"/>
          <w:color w:val="auto"/>
          <w:kern w:val="21"/>
          <w:highlight w:val="none"/>
        </w:rPr>
        <w:t>）投标保证金；</w:t>
      </w:r>
    </w:p>
    <w:p>
      <w:pPr>
        <w:spacing w:line="360" w:lineRule="auto"/>
        <w:ind w:left="100" w:right="39" w:firstLine="420"/>
        <w:rPr>
          <w:rFonts w:hint="eastAsia" w:ascii="宋体" w:hAnsi="宋体" w:cs="宋体"/>
          <w:color w:val="auto"/>
          <w:kern w:val="21"/>
          <w:highlight w:val="none"/>
        </w:rPr>
      </w:pPr>
      <w:r>
        <w:rPr>
          <w:rFonts w:hint="eastAsia" w:ascii="宋体" w:hAnsi="宋体" w:cs="宋体"/>
          <w:color w:val="auto"/>
          <w:kern w:val="21"/>
          <w:highlight w:val="none"/>
        </w:rPr>
        <w:t>（</w:t>
      </w:r>
      <w:r>
        <w:rPr>
          <w:rFonts w:hint="eastAsia" w:ascii="宋体" w:hAnsi="宋体" w:cs="宋体"/>
          <w:color w:val="auto"/>
          <w:kern w:val="21"/>
          <w:highlight w:val="none"/>
          <w:lang w:val="en-US" w:eastAsia="zh-CN"/>
        </w:rPr>
        <w:t>4</w:t>
      </w:r>
      <w:r>
        <w:rPr>
          <w:rFonts w:hint="eastAsia" w:ascii="宋体" w:hAnsi="宋体" w:cs="宋体"/>
          <w:color w:val="auto"/>
          <w:kern w:val="21"/>
          <w:highlight w:val="none"/>
        </w:rPr>
        <w:t>）监理报酬清单；</w:t>
      </w:r>
    </w:p>
    <w:p>
      <w:pPr>
        <w:spacing w:line="360" w:lineRule="auto"/>
        <w:ind w:left="100" w:right="39" w:firstLine="420"/>
        <w:rPr>
          <w:rFonts w:hint="eastAsia" w:ascii="宋体" w:hAnsi="宋体" w:cs="宋体"/>
          <w:color w:val="auto"/>
          <w:kern w:val="21"/>
          <w:highlight w:val="none"/>
        </w:rPr>
      </w:pPr>
      <w:r>
        <w:rPr>
          <w:rFonts w:hint="eastAsia" w:ascii="宋体" w:hAnsi="宋体" w:cs="宋体"/>
          <w:color w:val="auto"/>
          <w:kern w:val="21"/>
          <w:highlight w:val="none"/>
        </w:rPr>
        <w:t>（</w:t>
      </w:r>
      <w:r>
        <w:rPr>
          <w:rFonts w:hint="eastAsia" w:ascii="宋体" w:hAnsi="宋体" w:cs="宋体"/>
          <w:color w:val="auto"/>
          <w:kern w:val="21"/>
          <w:highlight w:val="none"/>
          <w:lang w:val="en-US" w:eastAsia="zh-CN"/>
        </w:rPr>
        <w:t>5</w:t>
      </w:r>
      <w:r>
        <w:rPr>
          <w:rFonts w:hint="eastAsia" w:ascii="宋体" w:hAnsi="宋体" w:cs="宋体"/>
          <w:color w:val="auto"/>
          <w:kern w:val="21"/>
          <w:highlight w:val="none"/>
        </w:rPr>
        <w:t>）资格审查资料；</w:t>
      </w:r>
    </w:p>
    <w:p>
      <w:pPr>
        <w:spacing w:line="360" w:lineRule="auto"/>
        <w:ind w:left="100" w:right="39" w:firstLine="420"/>
        <w:jc w:val="left"/>
        <w:rPr>
          <w:rFonts w:hint="eastAsia" w:ascii="宋体" w:hAnsi="宋体" w:cs="宋体"/>
          <w:color w:val="auto"/>
          <w:kern w:val="21"/>
          <w:highlight w:val="none"/>
        </w:rPr>
      </w:pPr>
      <w:r>
        <w:rPr>
          <w:rFonts w:hint="eastAsia" w:ascii="宋体" w:hAnsi="宋体" w:cs="宋体"/>
          <w:color w:val="auto"/>
          <w:kern w:val="21"/>
          <w:highlight w:val="none"/>
        </w:rPr>
        <w:t>（</w:t>
      </w:r>
      <w:r>
        <w:rPr>
          <w:rFonts w:hint="eastAsia" w:ascii="宋体" w:hAnsi="宋体" w:cs="宋体"/>
          <w:color w:val="auto"/>
          <w:kern w:val="21"/>
          <w:highlight w:val="none"/>
          <w:lang w:val="en-US" w:eastAsia="zh-CN"/>
        </w:rPr>
        <w:t>6</w:t>
      </w:r>
      <w:r>
        <w:rPr>
          <w:rFonts w:hint="eastAsia" w:ascii="宋体" w:hAnsi="宋体" w:cs="宋体"/>
          <w:color w:val="auto"/>
          <w:kern w:val="21"/>
          <w:highlight w:val="none"/>
        </w:rPr>
        <w:t>）监理大纲；</w:t>
      </w:r>
    </w:p>
    <w:p>
      <w:pPr>
        <w:spacing w:line="360" w:lineRule="auto"/>
        <w:ind w:left="100" w:right="39" w:firstLine="420"/>
        <w:rPr>
          <w:rFonts w:hint="eastAsia" w:ascii="宋体" w:hAnsi="宋体" w:cs="宋体"/>
          <w:color w:val="auto"/>
          <w:kern w:val="21"/>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kern w:val="21"/>
          <w:highlight w:val="none"/>
        </w:rPr>
        <w:t>投标人须知前附表规定的其他资料。</w:t>
      </w:r>
    </w:p>
    <w:p>
      <w:pPr>
        <w:spacing w:line="360" w:lineRule="auto"/>
        <w:ind w:left="-2" w:leftChars="-1" w:right="-20" w:firstLine="140" w:firstLineChars="67"/>
        <w:jc w:val="left"/>
        <w:rPr>
          <w:rFonts w:ascii="宋体" w:hAnsi="宋体" w:cs="宋体"/>
          <w:color w:val="auto"/>
          <w:kern w:val="21"/>
          <w:highlight w:val="none"/>
        </w:rPr>
      </w:pPr>
      <w:r>
        <w:rPr>
          <w:rFonts w:hint="eastAsia" w:ascii="宋体" w:hAnsi="宋体" w:cs="宋体"/>
          <w:color w:val="auto"/>
          <w:kern w:val="21"/>
          <w:highlight w:val="none"/>
        </w:rPr>
        <w:t>投标人在评标过程中作出的符合法律法规和招标文件规定的澄清确认，构成投标文件的组成部分。</w:t>
      </w:r>
    </w:p>
    <w:p>
      <w:pPr>
        <w:spacing w:line="360" w:lineRule="auto"/>
        <w:ind w:left="460" w:right="-20" w:firstLine="105" w:firstLineChars="50"/>
        <w:jc w:val="left"/>
        <w:rPr>
          <w:rFonts w:ascii="宋体" w:hAnsi="宋体" w:cs="宋体"/>
          <w:color w:val="auto"/>
          <w:kern w:val="21"/>
          <w:highlight w:val="none"/>
        </w:rPr>
      </w:pPr>
      <w:r>
        <w:rPr>
          <w:rFonts w:hint="eastAsia" w:ascii="宋体" w:hAnsi="宋体" w:cs="宋体"/>
          <w:color w:val="auto"/>
          <w:kern w:val="21"/>
          <w:highlight w:val="none"/>
        </w:rPr>
        <w:t>3.1.2 投标人须知前附表规定不接受联合体投标的，或投标人没有组成联合体的，投标文件不包括本章第 3.1.1（3）目所指的联合体协议书。</w:t>
      </w:r>
    </w:p>
    <w:p>
      <w:pPr>
        <w:spacing w:line="360" w:lineRule="auto"/>
        <w:ind w:left="100" w:right="41" w:firstLine="360"/>
        <w:rPr>
          <w:rFonts w:ascii="宋体" w:hAnsi="宋体" w:cs="宋体"/>
          <w:color w:val="auto"/>
          <w:kern w:val="21"/>
          <w:highlight w:val="none"/>
        </w:rPr>
      </w:pPr>
      <w:r>
        <w:rPr>
          <w:rFonts w:hint="eastAsia" w:ascii="宋体" w:hAnsi="宋体" w:cs="宋体"/>
          <w:color w:val="auto"/>
          <w:kern w:val="21"/>
          <w:highlight w:val="none"/>
        </w:rPr>
        <w:t>3.1.3 投标人须知前附表未要求提交投标保证金的，投标文件不包括本章第 3.1.1（4）目所指的投标保证金。</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3.2 投标报价</w:t>
      </w:r>
    </w:p>
    <w:p>
      <w:pPr>
        <w:spacing w:line="360" w:lineRule="auto"/>
        <w:ind w:left="100" w:right="40" w:firstLine="420"/>
        <w:rPr>
          <w:rFonts w:ascii="宋体" w:hAnsi="宋体" w:cs="宋体"/>
          <w:color w:val="auto"/>
          <w:kern w:val="21"/>
          <w:highlight w:val="none"/>
        </w:rPr>
      </w:pPr>
      <w:r>
        <w:rPr>
          <w:rFonts w:hint="eastAsia" w:ascii="宋体" w:hAnsi="宋体" w:cs="宋体"/>
          <w:color w:val="auto"/>
          <w:kern w:val="21"/>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3.2.2 投标人应充分了解该项目的总体情况以及影响投标报价的其他要素。</w:t>
      </w:r>
    </w:p>
    <w:p>
      <w:pPr>
        <w:spacing w:line="360" w:lineRule="auto"/>
        <w:ind w:left="100" w:right="39" w:firstLine="420"/>
        <w:rPr>
          <w:rFonts w:ascii="宋体" w:hAnsi="宋体" w:cs="宋体"/>
          <w:color w:val="auto"/>
          <w:kern w:val="21"/>
          <w:highlight w:val="none"/>
        </w:rPr>
      </w:pPr>
      <w:r>
        <w:rPr>
          <w:rFonts w:hint="eastAsia" w:ascii="宋体" w:hAnsi="宋体" w:cs="宋体"/>
          <w:color w:val="auto"/>
          <w:kern w:val="21"/>
          <w:highlight w:val="none"/>
        </w:rPr>
        <w:t>3.2.3 本项目的报价方式见投标人须知前附表。投标人在投标截止时间前修改投标函中的投标报价总额，应同时修改投标文件“监理报酬清单”中的相应报价。此修改须符合本章第 4.3 款的有关要求。</w:t>
      </w:r>
    </w:p>
    <w:p>
      <w:pPr>
        <w:spacing w:line="360" w:lineRule="auto"/>
        <w:ind w:left="100" w:right="42" w:firstLine="420"/>
        <w:rPr>
          <w:rFonts w:ascii="宋体" w:hAnsi="宋体" w:cs="宋体"/>
          <w:color w:val="auto"/>
          <w:kern w:val="21"/>
          <w:highlight w:val="none"/>
        </w:rPr>
      </w:pPr>
      <w:r>
        <w:rPr>
          <w:rFonts w:hint="eastAsia" w:ascii="宋体" w:hAnsi="宋体" w:cs="宋体"/>
          <w:color w:val="auto"/>
          <w:kern w:val="21"/>
          <w:highlight w:val="none"/>
        </w:rPr>
        <w:t>3.2.4 招标人设有最高投标限价的，投标人的投标报价不得超过最高投标限价，最高投标限价在投标人须知前附表中载明。</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3.2.5 投标报价的其他要求见投标人须知前附表。</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3.3 投标有效期</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3.3.1 除投标人须知前附表另有规定外，投标有效期为 90 天。</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3.3.2 在投标有效期内，投标人撤销投标文件的，应承担招标文件和法律规定的责任。</w:t>
      </w:r>
    </w:p>
    <w:p>
      <w:pPr>
        <w:spacing w:line="360" w:lineRule="auto"/>
        <w:ind w:left="100" w:right="39" w:firstLine="420"/>
        <w:rPr>
          <w:rFonts w:ascii="宋体" w:hAnsi="宋体" w:cs="宋体"/>
          <w:color w:val="auto"/>
          <w:kern w:val="21"/>
          <w:sz w:val="12"/>
          <w:highlight w:val="none"/>
        </w:rPr>
      </w:pPr>
      <w:r>
        <w:rPr>
          <w:rFonts w:hint="eastAsia" w:ascii="宋体" w:hAnsi="宋体" w:cs="宋体"/>
          <w:color w:val="auto"/>
          <w:kern w:val="21"/>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3.4 投标保证金</w:t>
      </w:r>
    </w:p>
    <w:p>
      <w:pPr>
        <w:spacing w:line="360" w:lineRule="auto"/>
        <w:ind w:left="100" w:right="41" w:firstLine="420"/>
        <w:rPr>
          <w:rFonts w:ascii="宋体" w:hAnsi="宋体" w:cs="宋体"/>
          <w:color w:val="auto"/>
          <w:kern w:val="21"/>
          <w:highlight w:val="none"/>
        </w:rPr>
      </w:pPr>
      <w:r>
        <w:rPr>
          <w:rFonts w:hint="eastAsia" w:ascii="宋体" w:hAnsi="宋体" w:cs="宋体"/>
          <w:color w:val="auto"/>
          <w:kern w:val="21"/>
          <w:highlight w:val="none"/>
        </w:rPr>
        <w:t>3.4.1 投标人在递交投标文件的同时，应按投标人须知前附表规定的金额、形式和第六章“投标文件格式”规定的投标保证金格式递交投标保证金，并作为其投标文件的组成部分</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要求详见</w:t>
      </w:r>
      <w:r>
        <w:rPr>
          <w:rFonts w:hint="eastAsia" w:ascii="宋体" w:hAnsi="宋体" w:cs="宋体"/>
          <w:color w:val="auto"/>
          <w:spacing w:val="-2"/>
          <w:szCs w:val="21"/>
          <w:highlight w:val="none"/>
          <w:u w:val="single"/>
        </w:rPr>
        <w:t>投标人须知前附表的规定。</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3.4.2 投标人不按本章第 3.4.1 项要求提交投标保证金的，评标委员会将否决其投标。</w:t>
      </w:r>
    </w:p>
    <w:p>
      <w:pPr>
        <w:spacing w:line="360" w:lineRule="auto"/>
        <w:ind w:left="100" w:right="119" w:firstLine="420"/>
        <w:rPr>
          <w:rFonts w:ascii="宋体" w:hAnsi="宋体" w:cs="宋体"/>
          <w:color w:val="auto"/>
          <w:kern w:val="21"/>
          <w:highlight w:val="none"/>
        </w:rPr>
      </w:pPr>
      <w:r>
        <w:rPr>
          <w:rFonts w:hint="eastAsia" w:ascii="宋体" w:hAnsi="宋体" w:cs="宋体"/>
          <w:color w:val="auto"/>
          <w:kern w:val="21"/>
          <w:highlight w:val="none"/>
        </w:rPr>
        <w:t>3.4.3 招标人最迟将在与中标人签订合同后 5日内，向未中标的投标人和中标人退还投标保证金。投标保证金以现金或者支票形式递交的，还应退还银行同期存款利息。</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3.4.4 有下列情形之一的，投标保证金将不予退还：</w:t>
      </w:r>
    </w:p>
    <w:p>
      <w:pPr>
        <w:spacing w:line="360" w:lineRule="auto"/>
        <w:ind w:left="415" w:right="-20"/>
        <w:jc w:val="left"/>
        <w:rPr>
          <w:rFonts w:ascii="宋体" w:hAnsi="宋体" w:cs="宋体"/>
          <w:color w:val="auto"/>
          <w:kern w:val="21"/>
          <w:highlight w:val="none"/>
        </w:rPr>
      </w:pPr>
      <w:r>
        <w:rPr>
          <w:rFonts w:hint="eastAsia" w:ascii="宋体" w:hAnsi="宋体" w:cs="宋体"/>
          <w:color w:val="auto"/>
          <w:kern w:val="21"/>
          <w:highlight w:val="none"/>
        </w:rPr>
        <w:t>（1）投标人在投标有效期内撤销投标文件；</w:t>
      </w:r>
    </w:p>
    <w:p>
      <w:pPr>
        <w:spacing w:line="360" w:lineRule="auto"/>
        <w:ind w:left="100" w:right="123" w:firstLine="314"/>
        <w:jc w:val="left"/>
        <w:rPr>
          <w:rFonts w:ascii="宋体" w:hAnsi="宋体" w:cs="宋体"/>
          <w:color w:val="auto"/>
          <w:kern w:val="21"/>
          <w:highlight w:val="none"/>
        </w:rPr>
      </w:pPr>
      <w:r>
        <w:rPr>
          <w:rFonts w:hint="eastAsia" w:ascii="宋体" w:hAnsi="宋体" w:cs="宋体"/>
          <w:color w:val="auto"/>
          <w:kern w:val="21"/>
          <w:highlight w:val="none"/>
        </w:rPr>
        <w:t>（2）中标人在收到中标通知书后，无正当理由不与招标人订立合同，或在签订合同时向招标人提出附加条件，或者不按照招标文件要求提交履约保证金；</w:t>
      </w:r>
    </w:p>
    <w:p>
      <w:pPr>
        <w:spacing w:line="360" w:lineRule="auto"/>
        <w:ind w:left="415" w:right="-20"/>
        <w:jc w:val="left"/>
        <w:rPr>
          <w:rFonts w:ascii="宋体" w:hAnsi="宋体" w:cs="宋体"/>
          <w:color w:val="auto"/>
          <w:kern w:val="21"/>
          <w:highlight w:val="none"/>
        </w:rPr>
      </w:pPr>
      <w:r>
        <w:rPr>
          <w:rFonts w:hint="eastAsia" w:ascii="宋体" w:hAnsi="宋体" w:cs="宋体"/>
          <w:color w:val="auto"/>
          <w:kern w:val="21"/>
          <w:highlight w:val="none"/>
        </w:rPr>
        <w:t>（3）发生投标人须知前附表规定的其他可以不予退还投标保证金的情形。</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3.5 资格审查资料（适用于未进行资格预审的）</w:t>
      </w:r>
    </w:p>
    <w:p>
      <w:pPr>
        <w:spacing w:line="360" w:lineRule="auto"/>
        <w:ind w:left="100" w:right="123" w:firstLine="420"/>
        <w:rPr>
          <w:rFonts w:ascii="宋体" w:hAnsi="宋体" w:cs="宋体"/>
          <w:color w:val="auto"/>
          <w:kern w:val="21"/>
          <w:highlight w:val="none"/>
        </w:rPr>
      </w:pPr>
      <w:r>
        <w:rPr>
          <w:rFonts w:hint="eastAsia" w:ascii="宋体" w:hAnsi="宋体" w:cs="宋体"/>
          <w:color w:val="auto"/>
          <w:kern w:val="21"/>
          <w:highlight w:val="none"/>
        </w:rPr>
        <w:t>除投标人须知前附表另有规定外，投标人应按下列规定提供资格审查资料，以证明其满足本章第 1.4 款规定的资质、财务、业绩、信誉等要求。</w:t>
      </w:r>
    </w:p>
    <w:p>
      <w:pPr>
        <w:spacing w:line="360" w:lineRule="auto"/>
        <w:ind w:left="100" w:right="28" w:firstLine="420"/>
        <w:jc w:val="left"/>
        <w:rPr>
          <w:rFonts w:ascii="宋体" w:hAnsi="宋体" w:cs="宋体"/>
          <w:color w:val="auto"/>
          <w:kern w:val="21"/>
          <w:highlight w:val="none"/>
        </w:rPr>
      </w:pPr>
      <w:r>
        <w:rPr>
          <w:rFonts w:hint="eastAsia" w:ascii="宋体" w:hAnsi="宋体" w:cs="宋体"/>
          <w:color w:val="auto"/>
          <w:kern w:val="21"/>
          <w:highlight w:val="none"/>
        </w:rPr>
        <w:t>3.5.1 “投标人基本情况表”应附投标人营业执照和组织机构代码证的扫描件（按照“三证合一”或“五证合一”登记制度进行登记的，可仅提供营业执照扫描件）、投标人监理资质证书副本等材料的扫描件。</w:t>
      </w:r>
    </w:p>
    <w:p>
      <w:pPr>
        <w:spacing w:line="360" w:lineRule="auto"/>
        <w:ind w:left="100" w:right="119" w:firstLine="420"/>
        <w:rPr>
          <w:rFonts w:ascii="宋体" w:hAnsi="宋体" w:cs="宋体"/>
          <w:color w:val="auto"/>
          <w:kern w:val="21"/>
          <w:highlight w:val="none"/>
        </w:rPr>
      </w:pPr>
      <w:r>
        <w:rPr>
          <w:rFonts w:hint="eastAsia" w:ascii="宋体" w:hAnsi="宋体" w:cs="宋体"/>
          <w:color w:val="auto"/>
          <w:kern w:val="21"/>
          <w:highlight w:val="none"/>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pPr>
        <w:spacing w:line="360" w:lineRule="auto"/>
        <w:ind w:left="100" w:right="124" w:firstLine="420"/>
        <w:rPr>
          <w:rFonts w:ascii="宋体" w:hAnsi="宋体" w:cs="宋体"/>
          <w:color w:val="auto"/>
          <w:kern w:val="21"/>
          <w:highlight w:val="none"/>
        </w:rPr>
      </w:pPr>
      <w:r>
        <w:rPr>
          <w:rFonts w:hint="eastAsia" w:ascii="宋体" w:hAnsi="宋体" w:cs="宋体"/>
          <w:color w:val="auto"/>
          <w:kern w:val="21"/>
          <w:highlight w:val="none"/>
        </w:rPr>
        <w:t>3.5.3 “近年完成的类似监理项目情况表”应附中标通知书和（或）合同协议书、委托人出具的证明文件；具体时间要求见投标人须知前附表，每张表格只填写一个项目，并标明序号。</w:t>
      </w:r>
    </w:p>
    <w:p>
      <w:pPr>
        <w:spacing w:line="360" w:lineRule="auto"/>
        <w:ind w:left="100" w:right="122" w:firstLine="420"/>
        <w:rPr>
          <w:rFonts w:ascii="宋体" w:hAnsi="宋体" w:cs="宋体"/>
          <w:color w:val="auto"/>
          <w:kern w:val="21"/>
          <w:highlight w:val="none"/>
        </w:rPr>
      </w:pPr>
      <w:r>
        <w:rPr>
          <w:rFonts w:hint="eastAsia" w:ascii="宋体" w:hAnsi="宋体" w:cs="宋体"/>
          <w:color w:val="auto"/>
          <w:kern w:val="21"/>
          <w:highlight w:val="none"/>
        </w:rPr>
        <w:t>3.5.4 “正在监理和新承接的项目情况表”应附中标通知书和（或）合同协议书扫描件。每张表格只填写一个项目，并标明序号。</w:t>
      </w:r>
    </w:p>
    <w:p>
      <w:pPr>
        <w:spacing w:line="360" w:lineRule="auto"/>
        <w:ind w:left="100" w:right="122" w:firstLine="420"/>
        <w:rPr>
          <w:rFonts w:ascii="宋体" w:hAnsi="宋体" w:cs="宋体"/>
          <w:color w:val="auto"/>
          <w:kern w:val="21"/>
          <w:highlight w:val="none"/>
        </w:rPr>
      </w:pPr>
      <w:r>
        <w:rPr>
          <w:rFonts w:hint="eastAsia" w:ascii="宋体" w:hAnsi="宋体" w:cs="宋体"/>
          <w:color w:val="auto"/>
          <w:kern w:val="21"/>
          <w:highlight w:val="none"/>
        </w:rPr>
        <w:t>3.5.5 “近年发生的诉讼及仲裁情况”应说明投标人败诉的监理合同的相关情况，并附法院或仲裁机构作出的判决、裁决等有关法律文书扫描件，具体时间要求见投标人须知前附表。</w:t>
      </w:r>
    </w:p>
    <w:p>
      <w:pPr>
        <w:spacing w:line="360" w:lineRule="auto"/>
        <w:ind w:left="100" w:right="119" w:firstLine="420"/>
        <w:rPr>
          <w:rFonts w:ascii="宋体" w:hAnsi="宋体" w:cs="宋体"/>
          <w:color w:val="auto"/>
          <w:kern w:val="21"/>
          <w:highlight w:val="none"/>
        </w:rPr>
      </w:pPr>
      <w:r>
        <w:rPr>
          <w:rFonts w:hint="eastAsia" w:ascii="宋体" w:hAnsi="宋体" w:cs="宋体"/>
          <w:color w:val="auto"/>
          <w:kern w:val="21"/>
          <w:highlight w:val="none"/>
        </w:rPr>
        <w:t>3.5.6 “拟委任的主要人员汇总表”应填报满足本章第 1.4.1 项规定的总监理工程师和其他主要人员的相关信息。“主要人员简历表”中总监理工程师应附身份证、学历证、职称证、注册监理工程师执业证书扫描件，管理过的项目业绩须附合同协议书扫描件；其他主要人员应附身份证、学历证、职称证、有关证书扫描件。</w:t>
      </w:r>
    </w:p>
    <w:p>
      <w:pPr>
        <w:spacing w:line="360" w:lineRule="auto"/>
        <w:ind w:left="100" w:right="141" w:firstLine="420"/>
        <w:rPr>
          <w:rFonts w:ascii="宋体" w:hAnsi="宋体" w:cs="宋体"/>
          <w:color w:val="auto"/>
          <w:kern w:val="21"/>
          <w:highlight w:val="none"/>
        </w:rPr>
      </w:pPr>
      <w:r>
        <w:rPr>
          <w:rFonts w:hint="eastAsia" w:ascii="宋体" w:hAnsi="宋体" w:cs="宋体"/>
          <w:color w:val="auto"/>
          <w:kern w:val="21"/>
          <w:highlight w:val="none"/>
        </w:rPr>
        <w:t>3.5.7 “拟投入本项目的主要试验检测仪器设备表”应填报满足本章第 1.4.1项规定的试验检测仪器设备。</w:t>
      </w:r>
    </w:p>
    <w:p>
      <w:pPr>
        <w:spacing w:line="360" w:lineRule="auto"/>
        <w:ind w:left="100" w:right="139" w:firstLine="420"/>
        <w:rPr>
          <w:rFonts w:ascii="宋体" w:hAnsi="宋体" w:cs="宋体"/>
          <w:strike w:val="0"/>
          <w:dstrike w:val="0"/>
          <w:color w:val="auto"/>
          <w:kern w:val="21"/>
          <w:highlight w:val="none"/>
        </w:rPr>
      </w:pPr>
      <w:r>
        <w:rPr>
          <w:rFonts w:hint="eastAsia" w:ascii="宋体" w:hAnsi="宋体" w:cs="宋体"/>
          <w:strike w:val="0"/>
          <w:dstrike w:val="0"/>
          <w:color w:val="auto"/>
          <w:kern w:val="21"/>
          <w:highlight w:val="none"/>
        </w:rPr>
        <w:t>3.5.8 投标人须知前附表规定接受联合体投标的，本章第 3.5.1 项至第 3.5.7项规定的表格和资料应包括联合体各方相关情况。</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3.6 备选投标方案</w:t>
      </w:r>
    </w:p>
    <w:p>
      <w:pPr>
        <w:spacing w:line="360" w:lineRule="auto"/>
        <w:ind w:left="100" w:right="142" w:firstLine="420"/>
        <w:rPr>
          <w:rFonts w:ascii="宋体" w:hAnsi="宋体" w:cs="宋体"/>
          <w:color w:val="auto"/>
          <w:kern w:val="21"/>
          <w:highlight w:val="none"/>
        </w:rPr>
      </w:pPr>
      <w:r>
        <w:rPr>
          <w:rFonts w:hint="eastAsia" w:ascii="宋体" w:hAnsi="宋体" w:cs="宋体"/>
          <w:color w:val="auto"/>
          <w:kern w:val="21"/>
          <w:highlight w:val="none"/>
        </w:rPr>
        <w:t>3.6.1 除投标人须知前附表规定允许外，投标人不得递交备选投标方案，否则其投标将被否决。</w:t>
      </w:r>
    </w:p>
    <w:p>
      <w:pPr>
        <w:spacing w:line="360" w:lineRule="auto"/>
        <w:ind w:left="100" w:right="37" w:firstLine="420"/>
        <w:jc w:val="left"/>
        <w:rPr>
          <w:rFonts w:ascii="宋体" w:hAnsi="宋体" w:cs="宋体"/>
          <w:color w:val="auto"/>
          <w:kern w:val="21"/>
          <w:highlight w:val="none"/>
        </w:rPr>
      </w:pPr>
      <w:r>
        <w:rPr>
          <w:rFonts w:hint="eastAsia" w:ascii="宋体" w:hAnsi="宋体" w:cs="宋体"/>
          <w:color w:val="auto"/>
          <w:kern w:val="21"/>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left="100" w:right="142" w:firstLine="420"/>
        <w:rPr>
          <w:rFonts w:ascii="宋体" w:hAnsi="宋体" w:cs="宋体"/>
          <w:color w:val="auto"/>
          <w:kern w:val="21"/>
          <w:highlight w:val="none"/>
        </w:rPr>
      </w:pPr>
      <w:r>
        <w:rPr>
          <w:rFonts w:hint="eastAsia" w:ascii="宋体" w:hAnsi="宋体" w:cs="宋体"/>
          <w:color w:val="auto"/>
          <w:kern w:val="21"/>
          <w:highlight w:val="none"/>
        </w:rPr>
        <w:t>3.6.3 投标人提供两个或两个以上投标报价，或者在投标文件中提供一个报价，但同时提供两个或两个以上监理方案的，视为提供备选方案。</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3.7 投标文件的编制</w:t>
      </w:r>
    </w:p>
    <w:p>
      <w:pPr>
        <w:spacing w:line="360" w:lineRule="auto"/>
        <w:ind w:left="100" w:right="142" w:firstLine="420"/>
        <w:rPr>
          <w:rFonts w:ascii="宋体" w:hAnsi="宋体" w:cs="宋体"/>
          <w:color w:val="auto"/>
          <w:kern w:val="21"/>
          <w:highlight w:val="none"/>
        </w:rPr>
      </w:pPr>
      <w:r>
        <w:rPr>
          <w:rFonts w:hint="eastAsia" w:ascii="宋体" w:hAnsi="宋体" w:cs="宋体"/>
          <w:color w:val="auto"/>
          <w:kern w:val="21"/>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left="100" w:right="142" w:firstLine="420"/>
        <w:rPr>
          <w:rFonts w:ascii="宋体" w:hAnsi="宋体" w:cs="宋体"/>
          <w:color w:val="auto"/>
          <w:kern w:val="21"/>
          <w:highlight w:val="none"/>
        </w:rPr>
      </w:pPr>
      <w:r>
        <w:rPr>
          <w:rFonts w:hint="eastAsia" w:ascii="宋体" w:hAnsi="宋体" w:cs="宋体"/>
          <w:color w:val="auto"/>
          <w:kern w:val="21"/>
          <w:highlight w:val="none"/>
        </w:rPr>
        <w:t>3.7.2 投标文件应当对招标文件有关监理服务期限、投标有效期、委托人要求、招标范围等实质性内容作出响应。</w:t>
      </w:r>
    </w:p>
    <w:p>
      <w:pPr>
        <w:spacing w:line="360" w:lineRule="auto"/>
        <w:ind w:left="100" w:right="42" w:firstLine="420"/>
        <w:rPr>
          <w:rFonts w:ascii="宋体" w:hAnsi="宋体" w:cs="宋体"/>
          <w:color w:val="auto"/>
          <w:kern w:val="21"/>
          <w:highlight w:val="none"/>
        </w:rPr>
      </w:pPr>
      <w:r>
        <w:rPr>
          <w:rFonts w:hint="eastAsia" w:ascii="宋体" w:hAnsi="宋体" w:cs="宋体"/>
          <w:color w:val="auto"/>
          <w:kern w:val="21"/>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书，由代理人签字或加盖电子印章的，应附由法定代表人签署的授权委托书。签字或盖章的具体要求见投标人须知前附表。</w:t>
      </w:r>
    </w:p>
    <w:p>
      <w:pPr>
        <w:spacing w:line="360" w:lineRule="auto"/>
        <w:ind w:left="100" w:right="-20"/>
        <w:jc w:val="left"/>
        <w:outlineLvl w:val="2"/>
        <w:rPr>
          <w:rFonts w:ascii="宋体" w:hAnsi="宋体" w:cs="宋体"/>
          <w:b/>
          <w:color w:val="auto"/>
          <w:kern w:val="21"/>
          <w:sz w:val="30"/>
          <w:szCs w:val="30"/>
          <w:highlight w:val="none"/>
        </w:rPr>
      </w:pPr>
      <w:bookmarkStart w:id="102" w:name="_Toc11890"/>
      <w:bookmarkStart w:id="103" w:name="_Toc25687"/>
      <w:bookmarkStart w:id="104" w:name="_Toc13722"/>
      <w:bookmarkStart w:id="105" w:name="_Toc29242"/>
      <w:bookmarkStart w:id="106" w:name="_Toc11658"/>
      <w:bookmarkStart w:id="107" w:name="_Toc7479"/>
      <w:bookmarkStart w:id="108" w:name="_Toc2229"/>
      <w:bookmarkStart w:id="109" w:name="_Toc24792"/>
      <w:bookmarkStart w:id="110" w:name="_Toc22261"/>
      <w:bookmarkStart w:id="111" w:name="_Toc19134"/>
      <w:r>
        <w:rPr>
          <w:rFonts w:hint="eastAsia" w:ascii="宋体" w:hAnsi="宋体" w:cs="宋体"/>
          <w:b/>
          <w:color w:val="auto"/>
          <w:kern w:val="21"/>
          <w:sz w:val="30"/>
          <w:szCs w:val="30"/>
          <w:highlight w:val="none"/>
        </w:rPr>
        <w:t>4. 投标</w:t>
      </w:r>
      <w:bookmarkEnd w:id="102"/>
      <w:bookmarkEnd w:id="103"/>
      <w:bookmarkEnd w:id="104"/>
      <w:bookmarkEnd w:id="105"/>
      <w:bookmarkEnd w:id="106"/>
      <w:bookmarkEnd w:id="107"/>
      <w:bookmarkEnd w:id="108"/>
      <w:bookmarkEnd w:id="109"/>
      <w:bookmarkEnd w:id="110"/>
      <w:bookmarkEnd w:id="111"/>
    </w:p>
    <w:p>
      <w:pPr>
        <w:spacing w:line="360" w:lineRule="auto"/>
        <w:ind w:left="237" w:right="-20"/>
        <w:jc w:val="left"/>
        <w:rPr>
          <w:rFonts w:ascii="宋体" w:hAnsi="宋体" w:cs="宋体"/>
          <w:strike/>
          <w:color w:val="auto"/>
          <w:kern w:val="21"/>
          <w:highlight w:val="none"/>
        </w:rPr>
      </w:pPr>
      <w:r>
        <w:rPr>
          <w:rFonts w:hint="eastAsia" w:ascii="宋体" w:hAnsi="宋体" w:cs="宋体"/>
          <w:b/>
          <w:bCs/>
          <w:color w:val="auto"/>
          <w:kern w:val="21"/>
          <w:sz w:val="28"/>
          <w:highlight w:val="none"/>
        </w:rPr>
        <w:t>4.1 投标文件的密封和标记</w:t>
      </w:r>
    </w:p>
    <w:p>
      <w:pPr>
        <w:spacing w:line="360" w:lineRule="auto"/>
        <w:ind w:left="100" w:right="39" w:firstLine="420"/>
        <w:rPr>
          <w:rFonts w:ascii="宋体" w:hAnsi="宋体" w:cs="宋体"/>
          <w:color w:val="auto"/>
          <w:kern w:val="21"/>
          <w:highlight w:val="none"/>
        </w:rPr>
      </w:pPr>
      <w:r>
        <w:rPr>
          <w:rFonts w:hint="eastAsia" w:ascii="宋体" w:hAnsi="宋体" w:cs="宋体"/>
          <w:color w:val="auto"/>
          <w:kern w:val="21"/>
          <w:highlight w:val="none"/>
        </w:rPr>
        <w:t>4.1.1 投标人应当按照招标文件和电子招标投标交易平台的要求加密投标文件，具体要求见投标人须知前附表。</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4.1.2 投标文件封套上应写明的内容见投标人须知前附表。</w:t>
      </w:r>
    </w:p>
    <w:p>
      <w:pPr>
        <w:spacing w:line="360" w:lineRule="auto"/>
        <w:ind w:left="100" w:right="42" w:firstLine="420"/>
        <w:rPr>
          <w:rFonts w:ascii="宋体" w:hAnsi="宋体" w:cs="宋体"/>
          <w:color w:val="auto"/>
          <w:kern w:val="21"/>
          <w:highlight w:val="none"/>
        </w:rPr>
      </w:pPr>
      <w:r>
        <w:rPr>
          <w:rFonts w:hint="eastAsia" w:ascii="宋体" w:hAnsi="宋体" w:cs="宋体"/>
          <w:color w:val="auto"/>
          <w:kern w:val="21"/>
          <w:highlight w:val="none"/>
        </w:rPr>
        <w:t>4.1.3 未按本章第 4.1.1 项要求密封的投标文件，招标人将予以拒收。</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4.2 投标文件的递交</w:t>
      </w:r>
    </w:p>
    <w:p>
      <w:pPr>
        <w:spacing w:line="360" w:lineRule="auto"/>
        <w:ind w:left="520" w:right="-20"/>
        <w:jc w:val="left"/>
        <w:rPr>
          <w:rFonts w:ascii="宋体" w:hAnsi="宋体" w:cs="宋体"/>
          <w:strike/>
          <w:color w:val="auto"/>
          <w:kern w:val="21"/>
          <w:highlight w:val="none"/>
        </w:rPr>
      </w:pPr>
      <w:r>
        <w:rPr>
          <w:rFonts w:hint="eastAsia" w:ascii="宋体" w:hAnsi="宋体" w:cs="宋体"/>
          <w:color w:val="auto"/>
          <w:kern w:val="21"/>
          <w:highlight w:val="none"/>
        </w:rPr>
        <w:t>4.2.1 投标人应在投标人须知前附表规定的投标截止时间前递交投标文件。</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4.2.2 投标人通过下载招标文件的电子招标投标交易平台递交电子投标文件。</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4.2.3 除投标人须知前附表另有规定外，投标人所递交的投标文件不予退还。</w:t>
      </w:r>
    </w:p>
    <w:p>
      <w:pPr>
        <w:spacing w:line="360" w:lineRule="auto"/>
        <w:ind w:left="100" w:right="39" w:firstLine="420"/>
        <w:jc w:val="left"/>
        <w:rPr>
          <w:rFonts w:ascii="宋体" w:hAnsi="宋体" w:cs="宋体"/>
          <w:strike/>
          <w:color w:val="auto"/>
          <w:kern w:val="21"/>
          <w:highlight w:val="none"/>
        </w:rPr>
      </w:pPr>
      <w:r>
        <w:rPr>
          <w:rFonts w:hint="eastAsia" w:ascii="宋体" w:hAnsi="宋体" w:cs="宋体"/>
          <w:color w:val="auto"/>
          <w:kern w:val="21"/>
          <w:highlight w:val="none"/>
        </w:rPr>
        <w:t>4.2.4 投标人完成电子投标文件上传后，电子招标投标交易平台即时向投标人发出递交回执通知。递交时间以递交回执通知载明的传输完成时间为准。</w:t>
      </w:r>
    </w:p>
    <w:p>
      <w:pPr>
        <w:spacing w:line="360" w:lineRule="auto"/>
        <w:ind w:left="100" w:right="42" w:firstLine="420"/>
        <w:rPr>
          <w:rFonts w:ascii="宋体" w:hAnsi="宋体" w:cs="宋体"/>
          <w:color w:val="auto"/>
          <w:kern w:val="21"/>
          <w:highlight w:val="none"/>
        </w:rPr>
      </w:pPr>
      <w:r>
        <w:rPr>
          <w:rFonts w:hint="eastAsia" w:ascii="宋体" w:hAnsi="宋体" w:cs="宋体"/>
          <w:color w:val="auto"/>
          <w:kern w:val="21"/>
          <w:highlight w:val="none"/>
        </w:rPr>
        <w:t>4.2.5 逾期送达的投标文件，电子招标投标交易平台将予以拒收。</w:t>
      </w:r>
    </w:p>
    <w:p>
      <w:pPr>
        <w:spacing w:line="360" w:lineRule="auto"/>
        <w:ind w:left="100" w:right="42" w:firstLine="420"/>
        <w:rPr>
          <w:rFonts w:ascii="宋体" w:hAnsi="宋体" w:cs="宋体"/>
          <w:b/>
          <w:bCs/>
          <w:color w:val="auto"/>
          <w:kern w:val="21"/>
          <w:sz w:val="28"/>
          <w:highlight w:val="none"/>
        </w:rPr>
      </w:pPr>
      <w:r>
        <w:rPr>
          <w:rFonts w:hint="eastAsia" w:ascii="宋体" w:hAnsi="宋体" w:cs="宋体"/>
          <w:b/>
          <w:bCs/>
          <w:color w:val="auto"/>
          <w:kern w:val="21"/>
          <w:sz w:val="28"/>
          <w:highlight w:val="none"/>
        </w:rPr>
        <w:t>4.3 投标文件的修改与撤回</w:t>
      </w:r>
    </w:p>
    <w:p>
      <w:pPr>
        <w:spacing w:line="360" w:lineRule="auto"/>
        <w:ind w:left="100" w:right="34" w:firstLine="420"/>
        <w:jc w:val="left"/>
        <w:rPr>
          <w:rFonts w:ascii="宋体" w:hAnsi="宋体" w:cs="宋体"/>
          <w:strike/>
          <w:color w:val="auto"/>
          <w:kern w:val="21"/>
          <w:highlight w:val="none"/>
        </w:rPr>
      </w:pPr>
      <w:r>
        <w:rPr>
          <w:rFonts w:hint="eastAsia" w:ascii="宋体" w:hAnsi="宋体" w:cs="宋体"/>
          <w:color w:val="auto"/>
          <w:kern w:val="21"/>
          <w:highlight w:val="none"/>
        </w:rPr>
        <w:t>4.3.1 在本章第 4.2.1 项规定的投标截止时间前，投标人可以修改或撤回已递交的投标文件，但应以书面形式通知招标人。</w:t>
      </w:r>
    </w:p>
    <w:p>
      <w:pPr>
        <w:spacing w:line="360" w:lineRule="auto"/>
        <w:ind w:left="100" w:right="139" w:firstLine="420"/>
        <w:rPr>
          <w:rFonts w:ascii="宋体" w:hAnsi="宋体" w:cs="宋体"/>
          <w:color w:val="auto"/>
          <w:kern w:val="21"/>
          <w:highlight w:val="none"/>
        </w:rPr>
      </w:pPr>
      <w:r>
        <w:rPr>
          <w:rFonts w:hint="eastAsia" w:ascii="宋体" w:hAnsi="宋体" w:cs="宋体"/>
          <w:color w:val="auto"/>
          <w:kern w:val="21"/>
          <w:highlight w:val="none"/>
        </w:rPr>
        <w:t>4.3.2 投标人修改或撤回已递交投标文件的通知，应按照本章第 3.7.3（B）项的要求加盖电子印章。电子招标投标交易平台收到通知后，即时向投标人发出确认回执通知。</w:t>
      </w:r>
    </w:p>
    <w:p>
      <w:pPr>
        <w:spacing w:line="360" w:lineRule="auto"/>
        <w:ind w:left="100" w:right="139" w:firstLine="420"/>
        <w:rPr>
          <w:rFonts w:ascii="宋体" w:hAnsi="宋体" w:cs="宋体"/>
          <w:color w:val="auto"/>
          <w:kern w:val="21"/>
          <w:highlight w:val="none"/>
        </w:rPr>
      </w:pPr>
      <w:r>
        <w:rPr>
          <w:rFonts w:hint="eastAsia" w:ascii="宋体" w:hAnsi="宋体" w:cs="宋体"/>
          <w:color w:val="auto"/>
          <w:kern w:val="21"/>
          <w:highlight w:val="none"/>
        </w:rPr>
        <w:t>4.3.3 投标人撤回投标文件的，招标人自收到投标人书面撤回通知之日起 5 日内退还已收取的投标保证金。</w:t>
      </w:r>
    </w:p>
    <w:p>
      <w:pPr>
        <w:spacing w:line="360" w:lineRule="auto"/>
        <w:ind w:left="100" w:right="141" w:firstLine="420"/>
        <w:rPr>
          <w:rFonts w:ascii="宋体" w:hAnsi="宋体" w:cs="宋体"/>
          <w:color w:val="auto"/>
          <w:kern w:val="21"/>
          <w:highlight w:val="none"/>
        </w:rPr>
      </w:pPr>
      <w:r>
        <w:rPr>
          <w:rFonts w:hint="eastAsia" w:ascii="宋体" w:hAnsi="宋体" w:cs="宋体"/>
          <w:color w:val="auto"/>
          <w:kern w:val="21"/>
          <w:highlight w:val="none"/>
        </w:rPr>
        <w:t>4.3.4 修改的内容为投标文件的组成部分。修改的投标文件应按照本章第 3 条、第 4 条的规定进行编制、密封、标记和递交，并标明“修改”字样。</w:t>
      </w:r>
    </w:p>
    <w:p>
      <w:pPr>
        <w:spacing w:line="360" w:lineRule="auto"/>
        <w:ind w:left="100" w:right="-20"/>
        <w:jc w:val="left"/>
        <w:outlineLvl w:val="2"/>
        <w:rPr>
          <w:rFonts w:ascii="宋体" w:hAnsi="宋体" w:cs="宋体"/>
          <w:b/>
          <w:color w:val="auto"/>
          <w:kern w:val="21"/>
          <w:sz w:val="30"/>
          <w:szCs w:val="30"/>
          <w:highlight w:val="none"/>
        </w:rPr>
      </w:pPr>
      <w:bookmarkStart w:id="112" w:name="_Toc18398"/>
      <w:bookmarkStart w:id="113" w:name="_Toc1885"/>
      <w:bookmarkStart w:id="114" w:name="_Toc12408"/>
      <w:bookmarkStart w:id="115" w:name="_Toc19637"/>
      <w:bookmarkStart w:id="116" w:name="_Toc22417"/>
      <w:bookmarkStart w:id="117" w:name="_Toc2977"/>
      <w:bookmarkStart w:id="118" w:name="_Toc18757"/>
      <w:bookmarkStart w:id="119" w:name="_Toc27052"/>
      <w:bookmarkStart w:id="120" w:name="_Toc23198"/>
      <w:bookmarkStart w:id="121" w:name="_Toc25778"/>
      <w:r>
        <w:rPr>
          <w:rFonts w:hint="eastAsia" w:ascii="宋体" w:hAnsi="宋体" w:cs="宋体"/>
          <w:b/>
          <w:color w:val="auto"/>
          <w:kern w:val="21"/>
          <w:sz w:val="30"/>
          <w:szCs w:val="30"/>
          <w:highlight w:val="none"/>
        </w:rPr>
        <w:t>5. 开标</w:t>
      </w:r>
      <w:bookmarkEnd w:id="112"/>
      <w:bookmarkEnd w:id="113"/>
      <w:bookmarkEnd w:id="114"/>
      <w:bookmarkEnd w:id="115"/>
      <w:bookmarkEnd w:id="116"/>
      <w:bookmarkEnd w:id="117"/>
      <w:bookmarkEnd w:id="118"/>
      <w:bookmarkEnd w:id="119"/>
      <w:bookmarkEnd w:id="120"/>
      <w:bookmarkEnd w:id="121"/>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5.1 开标时间和地点</w:t>
      </w:r>
    </w:p>
    <w:p>
      <w:pPr>
        <w:spacing w:line="360" w:lineRule="auto"/>
        <w:ind w:left="100" w:right="142" w:firstLine="420"/>
        <w:rPr>
          <w:rFonts w:ascii="宋体" w:hAnsi="宋体" w:cs="宋体"/>
          <w:color w:val="auto"/>
          <w:kern w:val="21"/>
          <w:highlight w:val="none"/>
          <w:u w:val="single"/>
        </w:rPr>
      </w:pPr>
      <w:r>
        <w:rPr>
          <w:rFonts w:hint="eastAsia" w:ascii="宋体" w:hAnsi="宋体" w:cs="宋体"/>
          <w:color w:val="auto"/>
          <w:kern w:val="21"/>
          <w:highlight w:val="none"/>
        </w:rPr>
        <w:t>招标人在本章第 4.2.1 项规定的投标截止时间（开标时间）,通过电子招标投标交易平台公开开标，</w:t>
      </w:r>
      <w:r>
        <w:rPr>
          <w:rFonts w:hint="eastAsia" w:ascii="宋体" w:hAnsi="宋体" w:cs="宋体"/>
          <w:color w:val="auto"/>
          <w:kern w:val="21"/>
          <w:highlight w:val="none"/>
          <w:u w:val="single"/>
        </w:rPr>
        <w:t>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5.2 开标程序</w:t>
      </w:r>
    </w:p>
    <w:p>
      <w:pPr>
        <w:autoSpaceDE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5.2.1主持人按下列程序进行开标：</w:t>
      </w:r>
    </w:p>
    <w:p>
      <w:pPr>
        <w:autoSpaceDE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pPr>
        <w:autoSpaceDE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（2）公布在投标截止时间前递交投标文件的投标人名称；</w:t>
      </w:r>
    </w:p>
    <w:p>
      <w:pPr>
        <w:autoSpaceDE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（3）宣布开标人、唱标人、记录人、监标人等有关人员姓名；</w:t>
      </w:r>
    </w:p>
    <w:p>
      <w:pPr>
        <w:autoSpaceDE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u w:val="single"/>
        </w:rPr>
        <w:t>在投标截止时间后</w:t>
      </w:r>
      <w:r>
        <w:rPr>
          <w:rFonts w:hint="eastAsia" w:ascii="宋体" w:hAnsi="宋体" w:cs="宋体"/>
          <w:b/>
          <w:bCs/>
          <w:color w:val="auto"/>
          <w:szCs w:val="21"/>
          <w:highlight w:val="none"/>
          <w:u w:val="single"/>
        </w:rPr>
        <w:t>一小时</w:t>
      </w:r>
      <w:r>
        <w:rPr>
          <w:rFonts w:hint="eastAsia" w:ascii="宋体" w:hAnsi="宋体" w:cs="宋体"/>
          <w:color w:val="auto"/>
          <w:szCs w:val="21"/>
          <w:highlight w:val="none"/>
          <w:u w:val="single"/>
        </w:rPr>
        <w:t>内，投标人通过电子招标投标交易平台对已递交的电子投标文件进行解密，再由招标人或招标代理机构进行解密。解密完成后，公布招标项目名称、投标人名称、投标保证金的递交情况、投标报价、服务期限及其他内容，并记录在案；</w:t>
      </w:r>
    </w:p>
    <w:p>
      <w:pPr>
        <w:pStyle w:val="9"/>
        <w:kinsoku w:val="0"/>
        <w:overflowPunct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（5）投标人代表、招标人代表、监标人、记录人等有关人员在开标记录上签字确认；若有关人员不签字的，不影响开标程序；</w:t>
      </w:r>
    </w:p>
    <w:p>
      <w:pPr>
        <w:pStyle w:val="9"/>
        <w:kinsoku w:val="0"/>
        <w:overflowPunct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（6）开标结束。</w:t>
      </w:r>
    </w:p>
    <w:p>
      <w:pPr>
        <w:pStyle w:val="9"/>
        <w:kinsoku w:val="0"/>
        <w:overflowPunct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5.2.2</w:t>
      </w:r>
      <w:r>
        <w:rPr>
          <w:rFonts w:hint="eastAsia" w:ascii="宋体" w:hAnsi="宋体" w:cs="宋体"/>
          <w:color w:val="auto"/>
          <w:sz w:val="21"/>
          <w:szCs w:val="21"/>
          <w:highlight w:val="none"/>
          <w:u w:val="single"/>
        </w:rPr>
        <w:t>投标截止时间前未完成投标文件传输的或因投标人之外的原因造成投标文件未解密的，视为投标人其撤回投标文件。因投标人原因造成投标文件未解密的，或未在投标截止时间后</w:t>
      </w:r>
      <w:r>
        <w:rPr>
          <w:rFonts w:hint="eastAsia" w:ascii="宋体" w:hAnsi="宋体" w:cs="宋体"/>
          <w:b/>
          <w:bCs/>
          <w:color w:val="auto"/>
          <w:sz w:val="21"/>
          <w:szCs w:val="21"/>
          <w:highlight w:val="none"/>
          <w:u w:val="single"/>
        </w:rPr>
        <w:t>一小时</w:t>
      </w:r>
      <w:r>
        <w:rPr>
          <w:rFonts w:hint="eastAsia" w:ascii="宋体" w:hAnsi="宋体" w:cs="宋体"/>
          <w:color w:val="auto"/>
          <w:sz w:val="21"/>
          <w:szCs w:val="21"/>
          <w:highlight w:val="none"/>
          <w:u w:val="single"/>
        </w:rPr>
        <w:t>内解密的，视为撤销其投标文件。</w:t>
      </w:r>
    </w:p>
    <w:p>
      <w:pPr>
        <w:pStyle w:val="9"/>
        <w:kinsoku w:val="0"/>
        <w:overflowPunct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5.2.3开标时，两个（含两个）以上的投标人加密打包投标文件的电脑机器特征码一致的，不参与下一程序，并由评标委员会否决其投标。</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5.3 开标异议</w:t>
      </w:r>
    </w:p>
    <w:p>
      <w:pPr>
        <w:spacing w:line="360" w:lineRule="auto"/>
        <w:ind w:left="460" w:right="-20"/>
        <w:jc w:val="left"/>
        <w:rPr>
          <w:rFonts w:ascii="宋体" w:hAnsi="宋体" w:cs="宋体"/>
          <w:color w:val="auto"/>
          <w:kern w:val="21"/>
          <w:highlight w:val="none"/>
        </w:rPr>
      </w:pPr>
      <w:r>
        <w:rPr>
          <w:rFonts w:hint="eastAsia" w:ascii="宋体" w:hAnsi="宋体" w:cs="宋体"/>
          <w:color w:val="auto"/>
          <w:kern w:val="21"/>
          <w:highlight w:val="none"/>
        </w:rPr>
        <w:t>投标人对开标有异议的，应当在开标现场提出，招标人当场作出答复，并制作记录。</w:t>
      </w:r>
    </w:p>
    <w:p>
      <w:pPr>
        <w:spacing w:line="360" w:lineRule="auto"/>
        <w:ind w:left="100" w:right="-20"/>
        <w:jc w:val="left"/>
        <w:outlineLvl w:val="2"/>
        <w:rPr>
          <w:rFonts w:ascii="宋体" w:hAnsi="宋体" w:cs="宋体"/>
          <w:b/>
          <w:color w:val="auto"/>
          <w:kern w:val="21"/>
          <w:sz w:val="30"/>
          <w:szCs w:val="30"/>
          <w:highlight w:val="none"/>
        </w:rPr>
      </w:pPr>
      <w:bookmarkStart w:id="122" w:name="_Toc19236"/>
      <w:bookmarkStart w:id="123" w:name="_Toc5554"/>
      <w:bookmarkStart w:id="124" w:name="_Toc4458"/>
      <w:bookmarkStart w:id="125" w:name="_Toc31484"/>
      <w:bookmarkStart w:id="126" w:name="_Toc11458"/>
      <w:bookmarkStart w:id="127" w:name="_Toc12149"/>
      <w:bookmarkStart w:id="128" w:name="_Toc17440"/>
      <w:bookmarkStart w:id="129" w:name="_Toc8980"/>
      <w:bookmarkStart w:id="130" w:name="_Toc11422"/>
      <w:bookmarkStart w:id="131" w:name="_Toc8246"/>
      <w:r>
        <w:rPr>
          <w:rFonts w:hint="eastAsia" w:ascii="宋体" w:hAnsi="宋体" w:cs="宋体"/>
          <w:b/>
          <w:color w:val="auto"/>
          <w:kern w:val="21"/>
          <w:sz w:val="30"/>
          <w:szCs w:val="30"/>
          <w:highlight w:val="none"/>
        </w:rPr>
        <w:t>6. 评标</w:t>
      </w:r>
      <w:bookmarkEnd w:id="122"/>
      <w:bookmarkEnd w:id="123"/>
      <w:bookmarkEnd w:id="124"/>
      <w:bookmarkEnd w:id="125"/>
      <w:bookmarkEnd w:id="126"/>
      <w:bookmarkEnd w:id="127"/>
      <w:bookmarkEnd w:id="128"/>
      <w:bookmarkEnd w:id="129"/>
      <w:bookmarkEnd w:id="130"/>
      <w:bookmarkEnd w:id="131"/>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6.1 评标委员会</w:t>
      </w:r>
    </w:p>
    <w:p>
      <w:pPr>
        <w:spacing w:line="360" w:lineRule="auto"/>
        <w:ind w:left="100" w:right="39" w:firstLine="420"/>
        <w:rPr>
          <w:rFonts w:ascii="宋体" w:hAnsi="宋体" w:cs="宋体"/>
          <w:color w:val="auto"/>
          <w:kern w:val="21"/>
          <w:highlight w:val="none"/>
        </w:rPr>
      </w:pPr>
      <w:r>
        <w:rPr>
          <w:rFonts w:hint="eastAsia" w:ascii="宋体" w:hAnsi="宋体" w:cs="宋体"/>
          <w:color w:val="auto"/>
          <w:kern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6.1.2 评标委员会成员有下列情形之一的，应当回避：</w:t>
      </w:r>
    </w:p>
    <w:p>
      <w:pPr>
        <w:spacing w:line="360" w:lineRule="auto"/>
        <w:ind w:right="-20" w:firstLine="420" w:firstLineChars="200"/>
        <w:jc w:val="left"/>
        <w:rPr>
          <w:rFonts w:ascii="宋体" w:hAnsi="宋体" w:cs="宋体"/>
          <w:color w:val="auto"/>
          <w:kern w:val="21"/>
          <w:highlight w:val="none"/>
        </w:rPr>
      </w:pPr>
      <w:r>
        <w:rPr>
          <w:rFonts w:hint="eastAsia" w:ascii="宋体" w:hAnsi="宋体" w:cs="宋体"/>
          <w:color w:val="auto"/>
          <w:kern w:val="21"/>
          <w:highlight w:val="none"/>
        </w:rPr>
        <w:t>（1）投标人或投标人主要负责人的近亲属；</w:t>
      </w:r>
    </w:p>
    <w:p>
      <w:pPr>
        <w:spacing w:line="360" w:lineRule="auto"/>
        <w:ind w:right="-20" w:firstLine="420" w:firstLineChars="200"/>
        <w:jc w:val="left"/>
        <w:rPr>
          <w:rFonts w:ascii="宋体" w:hAnsi="宋体" w:cs="宋体"/>
          <w:color w:val="auto"/>
          <w:kern w:val="21"/>
          <w:highlight w:val="none"/>
        </w:rPr>
      </w:pPr>
      <w:r>
        <w:rPr>
          <w:rFonts w:hint="eastAsia" w:ascii="宋体" w:hAnsi="宋体" w:cs="宋体"/>
          <w:color w:val="auto"/>
          <w:kern w:val="21"/>
          <w:highlight w:val="none"/>
        </w:rPr>
        <w:t>（2）项目主管部门或者行政监督部门的人员；</w:t>
      </w:r>
    </w:p>
    <w:p>
      <w:pPr>
        <w:spacing w:line="360" w:lineRule="auto"/>
        <w:ind w:right="-20" w:firstLine="420" w:firstLineChars="200"/>
        <w:jc w:val="left"/>
        <w:rPr>
          <w:rFonts w:ascii="宋体" w:hAnsi="宋体" w:cs="宋体"/>
          <w:color w:val="auto"/>
          <w:kern w:val="21"/>
          <w:highlight w:val="none"/>
        </w:rPr>
      </w:pPr>
      <w:r>
        <w:rPr>
          <w:rFonts w:hint="eastAsia" w:ascii="宋体" w:hAnsi="宋体" w:cs="宋体"/>
          <w:color w:val="auto"/>
          <w:kern w:val="21"/>
          <w:highlight w:val="none"/>
        </w:rPr>
        <w:t>（3）与投标人有经济利益关系，可能影响对投标公正评审的；</w:t>
      </w:r>
    </w:p>
    <w:p>
      <w:pPr>
        <w:spacing w:line="360" w:lineRule="auto"/>
        <w:ind w:right="44" w:firstLine="420" w:firstLineChars="200"/>
        <w:jc w:val="left"/>
        <w:rPr>
          <w:rFonts w:ascii="宋体" w:hAnsi="宋体" w:cs="宋体"/>
          <w:color w:val="auto"/>
          <w:kern w:val="21"/>
          <w:highlight w:val="none"/>
        </w:rPr>
      </w:pPr>
      <w:r>
        <w:rPr>
          <w:rFonts w:hint="eastAsia" w:ascii="宋体" w:hAnsi="宋体" w:cs="宋体"/>
          <w:color w:val="auto"/>
          <w:kern w:val="21"/>
          <w:highlight w:val="none"/>
        </w:rPr>
        <w:t>（4）曾因在招标、评标以及其他与招标投标有关活动中从事违法行为而受过行政处罚或刑事处罚的；</w:t>
      </w:r>
    </w:p>
    <w:p>
      <w:pPr>
        <w:spacing w:line="360" w:lineRule="auto"/>
        <w:ind w:right="-20" w:firstLine="420" w:firstLineChars="200"/>
        <w:jc w:val="left"/>
        <w:rPr>
          <w:rFonts w:ascii="宋体" w:hAnsi="宋体" w:cs="宋体"/>
          <w:color w:val="auto"/>
          <w:kern w:val="21"/>
          <w:highlight w:val="none"/>
        </w:rPr>
      </w:pPr>
      <w:r>
        <w:rPr>
          <w:rFonts w:hint="eastAsia" w:ascii="宋体" w:hAnsi="宋体" w:cs="宋体"/>
          <w:color w:val="auto"/>
          <w:kern w:val="21"/>
          <w:highlight w:val="none"/>
        </w:rPr>
        <w:t>（5）与投标人有其他利害关系。</w:t>
      </w:r>
    </w:p>
    <w:p>
      <w:pPr>
        <w:spacing w:line="360" w:lineRule="auto"/>
        <w:ind w:left="100" w:right="39" w:firstLine="420"/>
        <w:rPr>
          <w:rFonts w:ascii="宋体" w:hAnsi="宋体" w:cs="宋体"/>
          <w:color w:val="auto"/>
          <w:kern w:val="21"/>
          <w:highlight w:val="none"/>
        </w:rPr>
      </w:pPr>
      <w:r>
        <w:rPr>
          <w:rFonts w:hint="eastAsia" w:ascii="宋体" w:hAnsi="宋体" w:cs="宋体"/>
          <w:color w:val="auto"/>
          <w:kern w:val="21"/>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6.2 评标原则</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评标活动遵循公平、公正、科学和择优的原则。</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6.3 评标</w:t>
      </w:r>
    </w:p>
    <w:p>
      <w:pPr>
        <w:spacing w:line="360" w:lineRule="auto"/>
        <w:ind w:left="100" w:right="39" w:firstLine="420"/>
        <w:rPr>
          <w:rFonts w:ascii="宋体" w:hAnsi="宋体" w:cs="宋体"/>
          <w:color w:val="auto"/>
          <w:kern w:val="21"/>
          <w:highlight w:val="none"/>
        </w:rPr>
      </w:pPr>
      <w:r>
        <w:rPr>
          <w:rFonts w:hint="eastAsia" w:ascii="宋体" w:hAnsi="宋体" w:cs="宋体"/>
          <w:color w:val="auto"/>
          <w:kern w:val="21"/>
          <w:highlight w:val="none"/>
        </w:rPr>
        <w:t>6.3.1 评标委员会按照第三章“评标办法”规定的方法、评审因素、标准和程序对投标文件进行评审。第三章“评标办法”没有规定的方法、评审因素和标准，不作为评标依据。</w:t>
      </w:r>
    </w:p>
    <w:p>
      <w:pPr>
        <w:spacing w:line="360" w:lineRule="auto"/>
        <w:ind w:left="100" w:right="39" w:firstLine="420"/>
        <w:rPr>
          <w:rFonts w:ascii="宋体" w:hAnsi="宋体" w:cs="宋体"/>
          <w:color w:val="auto"/>
          <w:kern w:val="21"/>
          <w:highlight w:val="none"/>
        </w:rPr>
      </w:pPr>
      <w:r>
        <w:rPr>
          <w:rFonts w:hint="eastAsia" w:ascii="宋体" w:hAnsi="宋体" w:cs="宋体"/>
          <w:color w:val="auto"/>
          <w:kern w:val="21"/>
          <w:highlight w:val="none"/>
        </w:rPr>
        <w:t>6.3.2 评标完成后，评标委员会应当向招标人提交书面评标报告和中标候选人名单。评标委员会推荐中标候选人的人数见投标人须知前附表。</w:t>
      </w:r>
    </w:p>
    <w:p>
      <w:pPr>
        <w:spacing w:line="360" w:lineRule="auto"/>
        <w:ind w:left="100" w:right="-20"/>
        <w:jc w:val="left"/>
        <w:outlineLvl w:val="2"/>
        <w:rPr>
          <w:rFonts w:ascii="宋体" w:hAnsi="宋体" w:cs="宋体"/>
          <w:b/>
          <w:color w:val="auto"/>
          <w:kern w:val="21"/>
          <w:sz w:val="30"/>
          <w:szCs w:val="30"/>
          <w:highlight w:val="none"/>
        </w:rPr>
      </w:pPr>
      <w:bookmarkStart w:id="132" w:name="_Toc17505"/>
      <w:bookmarkStart w:id="133" w:name="_Toc1224"/>
      <w:bookmarkStart w:id="134" w:name="_Toc19423"/>
      <w:bookmarkStart w:id="135" w:name="_Toc22404"/>
      <w:bookmarkStart w:id="136" w:name="_Toc20086"/>
      <w:bookmarkStart w:id="137" w:name="_Toc3140"/>
      <w:bookmarkStart w:id="138" w:name="_Toc13361"/>
      <w:bookmarkStart w:id="139" w:name="_Toc13150"/>
      <w:bookmarkStart w:id="140" w:name="_Toc29116"/>
      <w:bookmarkStart w:id="141" w:name="_Toc25117"/>
      <w:r>
        <w:rPr>
          <w:rFonts w:hint="eastAsia" w:ascii="宋体" w:hAnsi="宋体" w:cs="宋体"/>
          <w:b/>
          <w:color w:val="auto"/>
          <w:kern w:val="21"/>
          <w:sz w:val="30"/>
          <w:szCs w:val="30"/>
          <w:highlight w:val="none"/>
        </w:rPr>
        <w:t>7. 合同授予</w:t>
      </w:r>
      <w:bookmarkEnd w:id="132"/>
      <w:bookmarkEnd w:id="133"/>
      <w:bookmarkEnd w:id="134"/>
      <w:bookmarkEnd w:id="135"/>
      <w:bookmarkEnd w:id="136"/>
      <w:bookmarkEnd w:id="137"/>
      <w:bookmarkEnd w:id="138"/>
      <w:bookmarkEnd w:id="139"/>
      <w:bookmarkEnd w:id="140"/>
      <w:bookmarkEnd w:id="141"/>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7.1 中标候选人公示</w:t>
      </w:r>
    </w:p>
    <w:p>
      <w:pPr>
        <w:spacing w:line="360" w:lineRule="auto"/>
        <w:ind w:left="100" w:right="39" w:firstLine="420"/>
        <w:rPr>
          <w:rFonts w:ascii="宋体" w:hAnsi="宋体" w:cs="宋体"/>
          <w:color w:val="auto"/>
          <w:kern w:val="21"/>
          <w:highlight w:val="none"/>
        </w:rPr>
      </w:pPr>
      <w:r>
        <w:rPr>
          <w:rFonts w:hint="eastAsia" w:ascii="宋体" w:hAnsi="宋体" w:cs="宋体"/>
          <w:color w:val="auto"/>
          <w:kern w:val="21"/>
          <w:highlight w:val="none"/>
        </w:rPr>
        <w:t>招标人在收到评标报告之日起 3 日内，按照投标人须知前附表规定的公示媒介和期限公示中标候选人，公示期不得少于 3 天。</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7.2 评标结果异议</w:t>
      </w:r>
    </w:p>
    <w:p>
      <w:pPr>
        <w:spacing w:line="360" w:lineRule="auto"/>
        <w:ind w:left="100" w:right="43" w:firstLine="420"/>
        <w:rPr>
          <w:rFonts w:ascii="宋体" w:hAnsi="宋体" w:cs="宋体"/>
          <w:color w:val="auto"/>
          <w:kern w:val="21"/>
          <w:highlight w:val="none"/>
        </w:rPr>
      </w:pPr>
      <w:r>
        <w:rPr>
          <w:rFonts w:hint="eastAsia" w:ascii="宋体" w:hAnsi="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r>
        <w:rPr>
          <w:rFonts w:hint="eastAsia" w:ascii="宋体" w:hAnsi="宋体" w:cs="宋体"/>
          <w:color w:val="auto"/>
          <w:kern w:val="21"/>
          <w:highlight w:val="none"/>
        </w:rPr>
        <w:t>。</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7.3 中标候选人履约能力审查</w:t>
      </w:r>
    </w:p>
    <w:p>
      <w:pPr>
        <w:spacing w:line="360" w:lineRule="auto"/>
        <w:ind w:left="100" w:right="42" w:firstLine="420"/>
        <w:rPr>
          <w:rFonts w:ascii="宋体" w:hAnsi="宋体" w:cs="宋体"/>
          <w:color w:val="auto"/>
          <w:kern w:val="21"/>
          <w:highlight w:val="none"/>
        </w:rPr>
      </w:pPr>
      <w:r>
        <w:rPr>
          <w:rFonts w:hint="eastAsia" w:ascii="宋体" w:hAnsi="宋体" w:cs="宋体"/>
          <w:color w:val="auto"/>
          <w:kern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7.4 定标</w:t>
      </w:r>
    </w:p>
    <w:p>
      <w:pPr>
        <w:spacing w:line="360"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按照投标人须知前附表的规定，招标人或招标人授权的评标委员会依法确定中标人。</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7.5 中标通知</w:t>
      </w:r>
    </w:p>
    <w:p>
      <w:pPr>
        <w:spacing w:line="360" w:lineRule="auto"/>
        <w:ind w:left="100" w:right="39" w:firstLine="420"/>
        <w:rPr>
          <w:rFonts w:ascii="宋体" w:hAnsi="宋体" w:cs="宋体"/>
          <w:color w:val="auto"/>
          <w:kern w:val="21"/>
          <w:highlight w:val="none"/>
        </w:rPr>
      </w:pPr>
      <w:r>
        <w:rPr>
          <w:rFonts w:hint="eastAsia" w:ascii="宋体" w:hAnsi="宋体" w:cs="宋体"/>
          <w:color w:val="auto"/>
          <w:kern w:val="21"/>
          <w:highlight w:val="none"/>
        </w:rPr>
        <w:t>在本章第 3.3 款规定的投标有效期内，招标人以书面形式向中标人发出中标通知书，同时将中标结果通知未中标的投标人。</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7.6 履约保证金</w:t>
      </w:r>
    </w:p>
    <w:p>
      <w:pPr>
        <w:spacing w:line="360" w:lineRule="auto"/>
        <w:ind w:right="-20" w:firstLine="420" w:firstLineChars="200"/>
        <w:jc w:val="left"/>
        <w:rPr>
          <w:rFonts w:ascii="宋体" w:hAnsi="宋体" w:cs="宋体"/>
          <w:strike w:val="0"/>
          <w:color w:val="auto"/>
          <w:kern w:val="21"/>
          <w:highlight w:val="none"/>
        </w:rPr>
      </w:pPr>
      <w:r>
        <w:rPr>
          <w:rFonts w:hint="eastAsia" w:ascii="宋体" w:hAnsi="宋体" w:cs="宋体"/>
          <w:strike w:val="0"/>
          <w:color w:val="auto"/>
          <w:kern w:val="21"/>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p>
    <w:p>
      <w:pPr>
        <w:spacing w:line="360" w:lineRule="auto"/>
        <w:ind w:left="100" w:right="139" w:firstLine="420"/>
        <w:rPr>
          <w:rFonts w:ascii="宋体" w:hAnsi="宋体" w:cs="宋体"/>
          <w:strike/>
          <w:color w:val="auto"/>
          <w:kern w:val="21"/>
          <w:highlight w:val="none"/>
        </w:rPr>
      </w:pPr>
      <w:r>
        <w:rPr>
          <w:rFonts w:hint="eastAsia" w:ascii="宋体" w:hAnsi="宋体" w:cs="宋体"/>
          <w:strike w:val="0"/>
          <w:color w:val="auto"/>
          <w:kern w:val="21"/>
          <w:highlight w:val="none"/>
        </w:rPr>
        <w:t>7.6.2 中标人不能按本章第 7.6.1 项要求提交履约保证金的，视为放弃中标，其投标保证金不予退还，给招标人造成的损失超过投标保证金数额的，中标人还应当对超过部分予以赔偿。</w:t>
      </w:r>
    </w:p>
    <w:p>
      <w:pPr>
        <w:spacing w:line="360"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7.7 签订合同</w:t>
      </w:r>
    </w:p>
    <w:p>
      <w:pPr>
        <w:spacing w:line="360" w:lineRule="auto"/>
        <w:ind w:left="100" w:right="139" w:firstLine="420"/>
        <w:rPr>
          <w:rFonts w:ascii="宋体" w:hAnsi="宋体" w:cs="宋体"/>
          <w:strike w:val="0"/>
          <w:color w:val="auto"/>
          <w:kern w:val="21"/>
          <w:highlight w:val="none"/>
        </w:rPr>
      </w:pPr>
      <w:r>
        <w:rPr>
          <w:rFonts w:hint="eastAsia" w:ascii="宋体" w:hAnsi="宋体" w:cs="宋体"/>
          <w:strike w:val="0"/>
          <w:color w:val="auto"/>
          <w:kern w:val="21"/>
          <w:highlight w:val="none"/>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left="100" w:right="139" w:firstLine="420"/>
        <w:rPr>
          <w:rFonts w:ascii="宋体" w:hAnsi="宋体" w:cs="宋体"/>
          <w:strike w:val="0"/>
          <w:color w:val="auto"/>
          <w:kern w:val="21"/>
          <w:highlight w:val="none"/>
        </w:rPr>
      </w:pPr>
      <w:r>
        <w:rPr>
          <w:rFonts w:hint="eastAsia" w:ascii="宋体" w:hAnsi="宋体" w:cs="宋体"/>
          <w:strike w:val="0"/>
          <w:color w:val="auto"/>
          <w:kern w:val="21"/>
          <w:highlight w:val="none"/>
        </w:rPr>
        <w:t>7.7.2 发出中标通知书后，招标人无正当理由拒签合同，或者在签订合同时向中标人提出附加条件的，招标人向中标人退还投标保证金；给中标人造成损失的，还应当赔偿损失。</w:t>
      </w:r>
    </w:p>
    <w:p>
      <w:pPr>
        <w:spacing w:line="348" w:lineRule="auto"/>
        <w:ind w:left="100" w:right="139" w:firstLine="420"/>
        <w:rPr>
          <w:rFonts w:ascii="宋体" w:hAnsi="宋体" w:cs="宋体"/>
          <w:strike w:val="0"/>
          <w:dstrike w:val="0"/>
          <w:color w:val="auto"/>
          <w:kern w:val="21"/>
          <w:highlight w:val="none"/>
        </w:rPr>
      </w:pPr>
      <w:r>
        <w:rPr>
          <w:rFonts w:hint="eastAsia" w:ascii="宋体" w:hAnsi="宋体" w:cs="宋体"/>
          <w:strike w:val="0"/>
          <w:dstrike w:val="0"/>
          <w:color w:val="auto"/>
          <w:kern w:val="21"/>
          <w:highlight w:val="none"/>
        </w:rPr>
        <w:t>7.7.3 联合体中标的，联合体各方应当共同与招标人签订合同，就中标项目向招标人承担连带责任。</w:t>
      </w:r>
    </w:p>
    <w:p>
      <w:pPr>
        <w:spacing w:line="360" w:lineRule="auto"/>
        <w:ind w:left="100" w:right="-20"/>
        <w:jc w:val="left"/>
        <w:outlineLvl w:val="2"/>
        <w:rPr>
          <w:rFonts w:ascii="宋体" w:hAnsi="宋体" w:cs="宋体"/>
          <w:b/>
          <w:color w:val="auto"/>
          <w:kern w:val="21"/>
          <w:sz w:val="30"/>
          <w:szCs w:val="30"/>
          <w:highlight w:val="none"/>
        </w:rPr>
      </w:pPr>
      <w:bookmarkStart w:id="142" w:name="_Toc14285"/>
      <w:bookmarkStart w:id="143" w:name="_Toc17999"/>
      <w:bookmarkStart w:id="144" w:name="_Toc2296"/>
      <w:bookmarkStart w:id="145" w:name="_Toc14269"/>
      <w:bookmarkStart w:id="146" w:name="_Toc3249"/>
      <w:bookmarkStart w:id="147" w:name="_Toc14835"/>
      <w:bookmarkStart w:id="148" w:name="_Toc19446"/>
      <w:bookmarkStart w:id="149" w:name="_Toc20173"/>
      <w:bookmarkStart w:id="150" w:name="_Toc3077"/>
      <w:bookmarkStart w:id="151" w:name="_Toc18550"/>
      <w:r>
        <w:rPr>
          <w:rFonts w:hint="eastAsia" w:ascii="宋体" w:hAnsi="宋体" w:cs="宋体"/>
          <w:b/>
          <w:color w:val="auto"/>
          <w:kern w:val="21"/>
          <w:sz w:val="30"/>
          <w:szCs w:val="30"/>
          <w:highlight w:val="none"/>
        </w:rPr>
        <w:t>8.纪律和监督</w:t>
      </w:r>
      <w:bookmarkEnd w:id="142"/>
      <w:bookmarkEnd w:id="143"/>
      <w:bookmarkEnd w:id="144"/>
      <w:bookmarkEnd w:id="145"/>
      <w:bookmarkEnd w:id="146"/>
      <w:bookmarkEnd w:id="147"/>
      <w:bookmarkEnd w:id="148"/>
      <w:bookmarkEnd w:id="149"/>
      <w:bookmarkEnd w:id="150"/>
      <w:bookmarkEnd w:id="151"/>
    </w:p>
    <w:p>
      <w:pPr>
        <w:spacing w:line="348"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8.1 对招标人的纪律要求</w:t>
      </w:r>
    </w:p>
    <w:p>
      <w:pPr>
        <w:spacing w:line="348" w:lineRule="auto"/>
        <w:ind w:left="100" w:right="34" w:firstLine="420"/>
        <w:jc w:val="left"/>
        <w:rPr>
          <w:rFonts w:ascii="宋体" w:hAnsi="宋体" w:cs="宋体"/>
          <w:color w:val="auto"/>
          <w:kern w:val="21"/>
          <w:highlight w:val="none"/>
        </w:rPr>
      </w:pPr>
      <w:r>
        <w:rPr>
          <w:rFonts w:hint="eastAsia" w:ascii="宋体" w:hAnsi="宋体" w:cs="宋体"/>
          <w:color w:val="auto"/>
          <w:kern w:val="21"/>
          <w:highlight w:val="none"/>
        </w:rPr>
        <w:t>招标人不得泄露招标投标活动中应当保密的情况和资料，不得与投标人串通损害国家利益、社会公共利益或者他人合法权益。</w:t>
      </w:r>
    </w:p>
    <w:p>
      <w:pPr>
        <w:spacing w:line="348"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8.2 对投标人的纪律要求</w:t>
      </w:r>
    </w:p>
    <w:p>
      <w:pPr>
        <w:spacing w:line="348" w:lineRule="auto"/>
        <w:ind w:left="100" w:right="142" w:firstLine="420"/>
        <w:rPr>
          <w:rFonts w:ascii="宋体" w:hAnsi="宋体" w:cs="宋体"/>
          <w:color w:val="auto"/>
          <w:kern w:val="21"/>
          <w:highlight w:val="none"/>
        </w:rPr>
      </w:pPr>
      <w:r>
        <w:rPr>
          <w:rFonts w:hint="eastAsia" w:ascii="宋体" w:hAnsi="宋体" w:cs="宋体"/>
          <w:color w:val="auto"/>
          <w:kern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48"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8.3 对评标委员会成员的纪律要求</w:t>
      </w:r>
    </w:p>
    <w:p>
      <w:pPr>
        <w:spacing w:line="348" w:lineRule="auto"/>
        <w:ind w:left="100" w:right="-20" w:firstLine="420" w:firstLineChars="200"/>
        <w:jc w:val="left"/>
        <w:rPr>
          <w:rFonts w:ascii="宋体" w:hAnsi="宋体" w:cs="宋体"/>
          <w:color w:val="auto"/>
          <w:kern w:val="21"/>
          <w:highlight w:val="none"/>
        </w:rPr>
      </w:pPr>
      <w:r>
        <w:rPr>
          <w:rFonts w:hint="eastAsia" w:ascii="宋体" w:hAnsi="宋体" w:cs="宋体"/>
          <w:color w:val="auto"/>
          <w:kern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48"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8.4 对与评标活动有关的工作人员的纪律要求</w:t>
      </w:r>
    </w:p>
    <w:p>
      <w:pPr>
        <w:spacing w:line="348" w:lineRule="auto"/>
        <w:ind w:left="100" w:right="42" w:firstLine="420"/>
        <w:rPr>
          <w:rFonts w:ascii="宋体" w:hAnsi="宋体" w:cs="宋体"/>
          <w:color w:val="auto"/>
          <w:kern w:val="21"/>
          <w:highlight w:val="none"/>
        </w:rPr>
      </w:pPr>
      <w:r>
        <w:rPr>
          <w:rFonts w:hint="eastAsia" w:ascii="宋体" w:hAnsi="宋体" w:cs="宋体"/>
          <w:color w:val="auto"/>
          <w:kern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48" w:lineRule="auto"/>
        <w:ind w:left="237" w:right="-20"/>
        <w:jc w:val="left"/>
        <w:rPr>
          <w:rFonts w:ascii="宋体" w:hAnsi="宋体" w:cs="宋体"/>
          <w:b/>
          <w:bCs/>
          <w:color w:val="auto"/>
          <w:kern w:val="21"/>
          <w:sz w:val="28"/>
          <w:highlight w:val="none"/>
        </w:rPr>
      </w:pPr>
      <w:r>
        <w:rPr>
          <w:rFonts w:hint="eastAsia" w:ascii="宋体" w:hAnsi="宋体" w:cs="宋体"/>
          <w:b/>
          <w:bCs/>
          <w:color w:val="auto"/>
          <w:kern w:val="21"/>
          <w:sz w:val="28"/>
          <w:highlight w:val="none"/>
        </w:rPr>
        <w:t>8.5 投诉</w:t>
      </w:r>
    </w:p>
    <w:p>
      <w:pPr>
        <w:spacing w:line="348" w:lineRule="auto"/>
        <w:ind w:left="100" w:right="42" w:firstLine="420"/>
        <w:rPr>
          <w:rFonts w:ascii="宋体" w:hAnsi="宋体" w:cs="宋体"/>
          <w:color w:val="auto"/>
          <w:kern w:val="21"/>
          <w:highlight w:val="none"/>
        </w:rPr>
      </w:pPr>
      <w:r>
        <w:rPr>
          <w:rFonts w:hint="eastAsia" w:ascii="宋体" w:hAnsi="宋体" w:cs="宋体"/>
          <w:color w:val="auto"/>
          <w:kern w:val="21"/>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spacing w:line="348" w:lineRule="auto"/>
        <w:ind w:left="100" w:right="41" w:firstLine="420"/>
        <w:rPr>
          <w:rFonts w:ascii="宋体" w:hAnsi="宋体" w:cs="宋体"/>
          <w:color w:val="auto"/>
          <w:kern w:val="21"/>
          <w:highlight w:val="none"/>
        </w:rPr>
      </w:pPr>
      <w:r>
        <w:rPr>
          <w:rFonts w:hint="eastAsia" w:ascii="宋体" w:hAnsi="宋体" w:cs="宋体"/>
          <w:color w:val="auto"/>
          <w:kern w:val="21"/>
          <w:highlight w:val="none"/>
        </w:rPr>
        <w:t>8.5.2 投标人或者其他利害关系人对招标文件、开标和评标结果提出投诉的，应当按照投标人须知第 2.4 款、第 5.3 款和第 7.2 款的规定先向招标人提出异议。异议答复期间不计算在第 8.5.1 项规定的期限内。</w:t>
      </w:r>
    </w:p>
    <w:p>
      <w:pPr>
        <w:spacing w:line="360" w:lineRule="auto"/>
        <w:ind w:left="100" w:right="-20"/>
        <w:jc w:val="left"/>
        <w:outlineLvl w:val="2"/>
        <w:rPr>
          <w:rFonts w:ascii="宋体" w:hAnsi="宋体" w:cs="宋体"/>
          <w:b/>
          <w:color w:val="auto"/>
          <w:kern w:val="21"/>
          <w:sz w:val="30"/>
          <w:szCs w:val="30"/>
          <w:highlight w:val="none"/>
        </w:rPr>
      </w:pPr>
      <w:bookmarkStart w:id="152" w:name="_Toc19276"/>
      <w:bookmarkStart w:id="153" w:name="_Toc22083"/>
      <w:bookmarkStart w:id="154" w:name="_Toc17964"/>
      <w:bookmarkStart w:id="155" w:name="_Toc23692"/>
      <w:bookmarkStart w:id="156" w:name="_Toc27042"/>
      <w:bookmarkStart w:id="157" w:name="_Toc14025"/>
      <w:bookmarkStart w:id="158" w:name="_Toc28791"/>
      <w:bookmarkStart w:id="159" w:name="_Toc25187"/>
      <w:bookmarkStart w:id="160" w:name="_Toc23499"/>
      <w:bookmarkStart w:id="161" w:name="_Toc10260"/>
      <w:r>
        <w:rPr>
          <w:rFonts w:hint="eastAsia" w:ascii="宋体" w:hAnsi="宋体" w:cs="宋体"/>
          <w:b/>
          <w:color w:val="auto"/>
          <w:kern w:val="21"/>
          <w:sz w:val="30"/>
          <w:szCs w:val="30"/>
          <w:highlight w:val="none"/>
        </w:rPr>
        <w:t>9. 是否采用电子招标投标</w:t>
      </w:r>
      <w:bookmarkEnd w:id="152"/>
      <w:bookmarkEnd w:id="153"/>
      <w:bookmarkEnd w:id="154"/>
      <w:bookmarkEnd w:id="155"/>
      <w:bookmarkEnd w:id="156"/>
      <w:bookmarkEnd w:id="157"/>
      <w:bookmarkEnd w:id="158"/>
      <w:bookmarkEnd w:id="159"/>
      <w:bookmarkEnd w:id="160"/>
      <w:bookmarkEnd w:id="161"/>
    </w:p>
    <w:p>
      <w:pPr>
        <w:spacing w:line="348" w:lineRule="auto"/>
        <w:ind w:left="520" w:right="-20"/>
        <w:jc w:val="left"/>
        <w:rPr>
          <w:rFonts w:ascii="宋体" w:hAnsi="宋体" w:cs="宋体"/>
          <w:color w:val="auto"/>
          <w:kern w:val="21"/>
          <w:highlight w:val="none"/>
        </w:rPr>
      </w:pPr>
      <w:r>
        <w:rPr>
          <w:rFonts w:hint="eastAsia" w:ascii="宋体" w:hAnsi="宋体" w:cs="宋体"/>
          <w:color w:val="auto"/>
          <w:kern w:val="21"/>
          <w:highlight w:val="none"/>
        </w:rPr>
        <w:t>本招标项目是否采用电子招标投标方式，见投标人须知前附表。</w:t>
      </w:r>
    </w:p>
    <w:p>
      <w:pPr>
        <w:spacing w:line="360" w:lineRule="auto"/>
        <w:ind w:left="100" w:right="-20"/>
        <w:jc w:val="left"/>
        <w:outlineLvl w:val="2"/>
        <w:rPr>
          <w:rFonts w:ascii="宋体" w:hAnsi="宋体" w:cs="宋体"/>
          <w:b/>
          <w:color w:val="auto"/>
          <w:kern w:val="21"/>
          <w:sz w:val="30"/>
          <w:szCs w:val="30"/>
          <w:highlight w:val="none"/>
        </w:rPr>
      </w:pPr>
      <w:bookmarkStart w:id="162" w:name="_Toc25106"/>
      <w:bookmarkStart w:id="163" w:name="_Toc11965"/>
      <w:bookmarkStart w:id="164" w:name="_Toc31872"/>
      <w:bookmarkStart w:id="165" w:name="_Toc10896"/>
      <w:bookmarkStart w:id="166" w:name="_Toc29315"/>
      <w:bookmarkStart w:id="167" w:name="_Toc24045"/>
      <w:bookmarkStart w:id="168" w:name="_Toc29981"/>
      <w:bookmarkStart w:id="169" w:name="_Toc29351"/>
      <w:bookmarkStart w:id="170" w:name="_Toc1488"/>
      <w:bookmarkStart w:id="171" w:name="_Toc5878"/>
      <w:r>
        <w:rPr>
          <w:rFonts w:hint="eastAsia" w:ascii="宋体" w:hAnsi="宋体" w:cs="宋体"/>
          <w:b/>
          <w:color w:val="auto"/>
          <w:kern w:val="21"/>
          <w:sz w:val="30"/>
          <w:szCs w:val="30"/>
          <w:highlight w:val="none"/>
        </w:rPr>
        <w:t>10. 需要补充的其他内容</w:t>
      </w:r>
      <w:bookmarkEnd w:id="162"/>
      <w:bookmarkEnd w:id="163"/>
      <w:bookmarkEnd w:id="164"/>
      <w:bookmarkEnd w:id="165"/>
      <w:bookmarkEnd w:id="166"/>
      <w:bookmarkEnd w:id="167"/>
      <w:bookmarkEnd w:id="168"/>
      <w:bookmarkEnd w:id="169"/>
      <w:bookmarkEnd w:id="170"/>
      <w:bookmarkEnd w:id="171"/>
    </w:p>
    <w:p>
      <w:pPr>
        <w:spacing w:line="348" w:lineRule="auto"/>
        <w:ind w:left="520" w:right="-20"/>
        <w:jc w:val="left"/>
        <w:rPr>
          <w:rFonts w:ascii="宋体" w:hAnsi="宋体" w:cs="宋体"/>
          <w:color w:val="auto"/>
          <w:highlight w:val="none"/>
        </w:rPr>
      </w:pPr>
      <w:r>
        <w:rPr>
          <w:rFonts w:hint="eastAsia" w:ascii="宋体" w:hAnsi="宋体" w:cs="宋体"/>
          <w:color w:val="auto"/>
          <w:kern w:val="21"/>
          <w:highlight w:val="none"/>
        </w:rPr>
        <w:t>需要补充的其他内容：见投标人须知前附表。</w:t>
      </w:r>
    </w:p>
    <w:p>
      <w:pPr>
        <w:tabs>
          <w:tab w:val="left" w:pos="1950"/>
        </w:tabs>
        <w:rPr>
          <w:rFonts w:ascii="宋体" w:hAnsi="宋体" w:cs="宋体"/>
          <w:color w:val="auto"/>
          <w:highlight w:val="none"/>
        </w:rPr>
        <w:sectPr>
          <w:pgSz w:w="11906" w:h="16838"/>
          <w:pgMar w:top="1417" w:right="1417" w:bottom="1276" w:left="1417" w:header="850" w:footer="992" w:gutter="0"/>
          <w:cols w:space="720" w:num="1"/>
          <w:docGrid w:linePitch="285" w:charSpace="0"/>
        </w:sectPr>
      </w:pPr>
      <w:r>
        <w:rPr>
          <w:rFonts w:hint="eastAsia" w:ascii="宋体" w:hAnsi="宋体" w:cs="宋体"/>
          <w:color w:val="auto"/>
          <w:highlight w:val="none"/>
        </w:rPr>
        <w:tab/>
      </w:r>
    </w:p>
    <w:p>
      <w:pPr>
        <w:spacing w:line="383" w:lineRule="exact"/>
        <w:ind w:left="237" w:right="-20"/>
        <w:jc w:val="left"/>
        <w:rPr>
          <w:rFonts w:ascii="宋体" w:hAnsi="宋体" w:cs="宋体"/>
          <w:b/>
          <w:bCs/>
          <w:color w:val="auto"/>
          <w:position w:val="-4"/>
          <w:sz w:val="28"/>
          <w:highlight w:val="none"/>
        </w:rPr>
      </w:pPr>
      <w:r>
        <w:rPr>
          <w:rFonts w:hint="eastAsia" w:ascii="宋体" w:hAnsi="宋体" w:cs="宋体"/>
          <w:b/>
          <w:bCs/>
          <w:color w:val="auto"/>
          <w:position w:val="-4"/>
          <w:sz w:val="28"/>
          <w:highlight w:val="none"/>
        </w:rPr>
        <w:t>附件一：开标记录表</w:t>
      </w:r>
    </w:p>
    <w:p>
      <w:pPr>
        <w:spacing w:line="200" w:lineRule="exact"/>
        <w:jc w:val="left"/>
        <w:rPr>
          <w:rFonts w:ascii="宋体" w:hAnsi="宋体" w:cs="宋体"/>
          <w:color w:val="auto"/>
          <w:sz w:val="20"/>
          <w:highlight w:val="none"/>
        </w:rPr>
      </w:pPr>
    </w:p>
    <w:p>
      <w:pPr>
        <w:spacing w:before="12" w:line="200" w:lineRule="exact"/>
        <w:jc w:val="left"/>
        <w:rPr>
          <w:rFonts w:ascii="宋体" w:hAnsi="宋体" w:cs="宋体"/>
          <w:color w:val="auto"/>
          <w:sz w:val="20"/>
          <w:highlight w:val="none"/>
        </w:rPr>
      </w:pPr>
    </w:p>
    <w:p>
      <w:pPr>
        <w:spacing w:line="360" w:lineRule="auto"/>
        <w:ind w:left="3540" w:right="3536"/>
        <w:jc w:val="center"/>
        <w:rPr>
          <w:rFonts w:ascii="宋体" w:hAnsi="宋体" w:cs="宋体"/>
          <w:color w:val="auto"/>
          <w:sz w:val="28"/>
          <w:szCs w:val="28"/>
          <w:highlight w:val="none"/>
        </w:rPr>
      </w:pPr>
      <w:r>
        <w:rPr>
          <w:rFonts w:hint="eastAsia" w:ascii="宋体" w:hAnsi="宋体" w:cs="宋体"/>
          <w:color w:val="auto"/>
          <w:sz w:val="28"/>
          <w:szCs w:val="28"/>
          <w:highlight w:val="none"/>
        </w:rPr>
        <w:t>开标记录表</w:t>
      </w:r>
    </w:p>
    <w:p>
      <w:pPr>
        <w:spacing w:before="7" w:line="140" w:lineRule="exact"/>
        <w:jc w:val="left"/>
        <w:rPr>
          <w:rFonts w:ascii="宋体" w:hAnsi="宋体" w:cs="宋体"/>
          <w:color w:val="auto"/>
          <w:sz w:val="18"/>
          <w:szCs w:val="18"/>
          <w:highlight w:val="none"/>
        </w:rPr>
      </w:pPr>
    </w:p>
    <w:p>
      <w:pPr>
        <w:tabs>
          <w:tab w:val="left" w:pos="3600"/>
          <w:tab w:val="left" w:pos="4760"/>
          <w:tab w:val="left" w:pos="5920"/>
          <w:tab w:val="left" w:pos="7060"/>
          <w:tab w:val="left" w:pos="8220"/>
        </w:tabs>
        <w:spacing w:line="337" w:lineRule="exact"/>
        <w:ind w:right="-20"/>
        <w:jc w:val="left"/>
        <w:rPr>
          <w:rFonts w:ascii="宋体" w:hAnsi="宋体" w:cs="宋体"/>
          <w:color w:val="auto"/>
          <w:sz w:val="18"/>
          <w:szCs w:val="18"/>
          <w:highlight w:val="none"/>
        </w:rPr>
      </w:pPr>
      <w:r>
        <w:rPr>
          <w:rFonts w:hint="eastAsia" w:ascii="宋体" w:hAnsi="宋体" w:cs="宋体"/>
          <w:color w:val="auto"/>
          <w:sz w:val="18"/>
          <w:szCs w:val="18"/>
          <w:highlight w:val="none"/>
        </w:rPr>
        <w:t>开标时间：年月日时分</w:t>
      </w:r>
    </w:p>
    <w:p>
      <w:pPr>
        <w:spacing w:before="1" w:line="170" w:lineRule="exact"/>
        <w:jc w:val="left"/>
        <w:rPr>
          <w:rFonts w:ascii="宋体" w:hAnsi="宋体" w:cs="宋体"/>
          <w:color w:val="auto"/>
          <w:sz w:val="18"/>
          <w:szCs w:val="18"/>
          <w:highlight w:val="none"/>
        </w:rPr>
      </w:pPr>
    </w:p>
    <w:tbl>
      <w:tblPr>
        <w:tblStyle w:val="20"/>
        <w:tblW w:w="0" w:type="auto"/>
        <w:jc w:val="center"/>
        <w:tblLayout w:type="fixed"/>
        <w:tblCellMar>
          <w:top w:w="0" w:type="dxa"/>
          <w:left w:w="108" w:type="dxa"/>
          <w:bottom w:w="0" w:type="dxa"/>
          <w:right w:w="108" w:type="dxa"/>
        </w:tblCellMar>
      </w:tblPr>
      <w:tblGrid>
        <w:gridCol w:w="465"/>
        <w:gridCol w:w="1020"/>
        <w:gridCol w:w="1365"/>
        <w:gridCol w:w="1502"/>
        <w:gridCol w:w="1078"/>
        <w:gridCol w:w="930"/>
        <w:gridCol w:w="750"/>
        <w:gridCol w:w="870"/>
        <w:gridCol w:w="555"/>
        <w:gridCol w:w="1035"/>
      </w:tblGrid>
      <w:tr>
        <w:tblPrEx>
          <w:tblCellMar>
            <w:top w:w="0" w:type="dxa"/>
            <w:left w:w="108" w:type="dxa"/>
            <w:bottom w:w="0" w:type="dxa"/>
            <w:right w:w="108" w:type="dxa"/>
          </w:tblCellMar>
        </w:tblPrEx>
        <w:trPr>
          <w:trHeight w:val="1745"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center"/>
          </w:tcPr>
          <w:p>
            <w:pPr>
              <w:ind w:right="-20"/>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ind w:right="-20"/>
              <w:jc w:val="center"/>
              <w:rPr>
                <w:rFonts w:ascii="宋体" w:hAnsi="宋体" w:cs="宋体"/>
                <w:color w:val="auto"/>
                <w:sz w:val="18"/>
                <w:szCs w:val="18"/>
                <w:highlight w:val="none"/>
              </w:rPr>
            </w:pPr>
            <w:r>
              <w:rPr>
                <w:rFonts w:hint="eastAsia" w:ascii="宋体" w:hAnsi="宋体" w:cs="宋体"/>
                <w:color w:val="auto"/>
                <w:sz w:val="18"/>
                <w:szCs w:val="18"/>
                <w:highlight w:val="none"/>
              </w:rPr>
              <w:t>投标人</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ind w:right="80"/>
              <w:jc w:val="center"/>
              <w:rPr>
                <w:rFonts w:ascii="宋体" w:hAnsi="宋体" w:cs="宋体"/>
                <w:color w:val="auto"/>
                <w:sz w:val="18"/>
                <w:szCs w:val="18"/>
                <w:highlight w:val="none"/>
              </w:rPr>
            </w:pPr>
            <w:r>
              <w:rPr>
                <w:rFonts w:hint="eastAsia" w:ascii="宋体" w:hAnsi="宋体" w:cs="宋体"/>
                <w:color w:val="auto"/>
                <w:sz w:val="18"/>
                <w:szCs w:val="18"/>
                <w:highlight w:val="none"/>
              </w:rPr>
              <w:t>机器码是否与其它投标人相同</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ind w:right="80"/>
              <w:jc w:val="center"/>
              <w:rPr>
                <w:rFonts w:ascii="宋体" w:hAnsi="宋体" w:cs="宋体"/>
                <w:color w:val="auto"/>
                <w:sz w:val="18"/>
                <w:szCs w:val="18"/>
                <w:highlight w:val="none"/>
              </w:rPr>
            </w:pPr>
            <w:r>
              <w:rPr>
                <w:rFonts w:hint="eastAsia" w:ascii="宋体" w:hAnsi="宋体" w:cs="宋体"/>
                <w:color w:val="auto"/>
                <w:sz w:val="18"/>
                <w:szCs w:val="18"/>
                <w:highlight w:val="none"/>
              </w:rPr>
              <w:t>投标文件光盘密封情况</w:t>
            </w:r>
          </w:p>
        </w:tc>
        <w:tc>
          <w:tcPr>
            <w:tcW w:w="1078" w:type="dxa"/>
            <w:tcBorders>
              <w:top w:val="single" w:color="000000" w:sz="4" w:space="0"/>
              <w:left w:val="single" w:color="000000" w:sz="4" w:space="0"/>
              <w:bottom w:val="single" w:color="000000" w:sz="4" w:space="0"/>
              <w:right w:val="single" w:color="000000" w:sz="4" w:space="0"/>
            </w:tcBorders>
            <w:noWrap/>
            <w:vAlign w:val="center"/>
          </w:tcPr>
          <w:p>
            <w:pPr>
              <w:ind w:right="80"/>
              <w:jc w:val="center"/>
              <w:rPr>
                <w:rFonts w:ascii="宋体" w:hAnsi="宋体" w:cs="宋体"/>
                <w:color w:val="auto"/>
                <w:sz w:val="18"/>
                <w:szCs w:val="18"/>
                <w:highlight w:val="none"/>
              </w:rPr>
            </w:pPr>
            <w:r>
              <w:rPr>
                <w:rFonts w:hint="eastAsia" w:ascii="宋体" w:hAnsi="宋体" w:cs="宋体"/>
                <w:color w:val="auto"/>
                <w:sz w:val="18"/>
                <w:szCs w:val="18"/>
                <w:highlight w:val="none"/>
              </w:rPr>
              <w:t>投标保证金</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ind w:right="-20"/>
              <w:jc w:val="center"/>
              <w:rPr>
                <w:rFonts w:ascii="宋体" w:hAnsi="宋体" w:cs="宋体"/>
                <w:color w:val="auto"/>
                <w:sz w:val="18"/>
                <w:szCs w:val="18"/>
                <w:highlight w:val="none"/>
              </w:rPr>
            </w:pPr>
            <w:r>
              <w:rPr>
                <w:rFonts w:hint="eastAsia" w:ascii="宋体" w:hAnsi="宋体" w:cs="宋体"/>
                <w:color w:val="auto"/>
                <w:sz w:val="18"/>
                <w:szCs w:val="18"/>
                <w:highlight w:val="none"/>
              </w:rPr>
              <w:t>投标报价</w:t>
            </w:r>
          </w:p>
          <w:p>
            <w:pPr>
              <w:ind w:right="-20"/>
              <w:jc w:val="center"/>
              <w:rPr>
                <w:rFonts w:ascii="宋体" w:hAnsi="宋体" w:cs="宋体"/>
                <w:color w:val="auto"/>
                <w:sz w:val="18"/>
                <w:szCs w:val="18"/>
                <w:highlight w:val="none"/>
              </w:rPr>
            </w:pPr>
            <w:r>
              <w:rPr>
                <w:rFonts w:hint="eastAsia" w:ascii="宋体" w:hAnsi="宋体" w:cs="宋体"/>
                <w:color w:val="auto"/>
                <w:sz w:val="18"/>
                <w:szCs w:val="18"/>
                <w:highlight w:val="none"/>
              </w:rPr>
              <w:t>（元）</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ind w:right="-20"/>
              <w:jc w:val="center"/>
              <w:rPr>
                <w:rFonts w:ascii="宋体" w:hAnsi="宋体" w:cs="宋体"/>
                <w:color w:val="auto"/>
                <w:sz w:val="18"/>
                <w:szCs w:val="18"/>
                <w:highlight w:val="none"/>
              </w:rPr>
            </w:pPr>
            <w:r>
              <w:rPr>
                <w:rFonts w:hint="eastAsia" w:ascii="宋体" w:hAnsi="宋体" w:cs="宋体"/>
                <w:color w:val="auto"/>
                <w:sz w:val="18"/>
                <w:szCs w:val="18"/>
                <w:highlight w:val="none"/>
              </w:rPr>
              <w:t>总监理工程师</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ind w:right="77"/>
              <w:jc w:val="center"/>
              <w:rPr>
                <w:rFonts w:ascii="宋体" w:hAnsi="宋体" w:cs="宋体"/>
                <w:color w:val="auto"/>
                <w:sz w:val="18"/>
                <w:szCs w:val="18"/>
                <w:highlight w:val="none"/>
              </w:rPr>
            </w:pPr>
            <w:r>
              <w:rPr>
                <w:rFonts w:hint="eastAsia" w:ascii="宋体" w:hAnsi="宋体" w:cs="宋体"/>
                <w:color w:val="auto"/>
                <w:sz w:val="18"/>
                <w:szCs w:val="18"/>
                <w:highlight w:val="none"/>
              </w:rPr>
              <w:t>监理服务期限</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ind w:right="-20"/>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ind w:right="-20"/>
              <w:jc w:val="center"/>
              <w:rPr>
                <w:rFonts w:ascii="宋体" w:hAnsi="宋体" w:cs="宋体"/>
                <w:color w:val="auto"/>
                <w:sz w:val="18"/>
                <w:szCs w:val="18"/>
                <w:highlight w:val="none"/>
              </w:rPr>
            </w:pPr>
            <w:r>
              <w:rPr>
                <w:rFonts w:hint="eastAsia" w:ascii="宋体" w:hAnsi="宋体" w:cs="宋体"/>
                <w:color w:val="auto"/>
                <w:sz w:val="18"/>
                <w:szCs w:val="18"/>
                <w:highlight w:val="none"/>
              </w:rPr>
              <w:t>投标人代表签名</w:t>
            </w:r>
          </w:p>
        </w:tc>
      </w:tr>
      <w:tr>
        <w:tblPrEx>
          <w:tblCellMar>
            <w:top w:w="0" w:type="dxa"/>
            <w:left w:w="108" w:type="dxa"/>
            <w:bottom w:w="0" w:type="dxa"/>
            <w:right w:w="108" w:type="dxa"/>
          </w:tblCellMar>
        </w:tblPrEx>
        <w:trPr>
          <w:trHeight w:val="509"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7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55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11"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7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55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09"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7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55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11"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7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55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09"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7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55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11"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7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55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09"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7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55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11"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7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55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11"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7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55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11"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7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55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09" w:hRule="exact"/>
          <w:jc w:val="center"/>
        </w:trPr>
        <w:tc>
          <w:tcPr>
            <w:tcW w:w="4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36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7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55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11" w:hRule="exact"/>
          <w:jc w:val="center"/>
        </w:trPr>
        <w:tc>
          <w:tcPr>
            <w:tcW w:w="9570" w:type="dxa"/>
            <w:gridSpan w:val="10"/>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18"/>
                <w:szCs w:val="18"/>
                <w:highlight w:val="none"/>
              </w:rPr>
            </w:pPr>
          </w:p>
        </w:tc>
      </w:tr>
    </w:tbl>
    <w:p>
      <w:pPr>
        <w:spacing w:line="200" w:lineRule="exact"/>
        <w:jc w:val="left"/>
        <w:rPr>
          <w:rFonts w:ascii="宋体" w:hAnsi="宋体" w:cs="宋体"/>
          <w:color w:val="auto"/>
          <w:sz w:val="18"/>
          <w:szCs w:val="18"/>
          <w:highlight w:val="none"/>
        </w:rPr>
      </w:pPr>
    </w:p>
    <w:p>
      <w:pPr>
        <w:spacing w:line="200" w:lineRule="exact"/>
        <w:jc w:val="left"/>
        <w:rPr>
          <w:rFonts w:ascii="宋体" w:hAnsi="宋体" w:cs="宋体"/>
          <w:color w:val="auto"/>
          <w:sz w:val="18"/>
          <w:szCs w:val="18"/>
          <w:highlight w:val="none"/>
        </w:rPr>
      </w:pPr>
    </w:p>
    <w:p>
      <w:pPr>
        <w:spacing w:before="14" w:line="280" w:lineRule="exact"/>
        <w:jc w:val="left"/>
        <w:rPr>
          <w:rFonts w:ascii="宋体" w:hAnsi="宋体" w:cs="宋体"/>
          <w:color w:val="auto"/>
          <w:sz w:val="18"/>
          <w:szCs w:val="18"/>
          <w:highlight w:val="none"/>
        </w:rPr>
      </w:pPr>
    </w:p>
    <w:p>
      <w:pPr>
        <w:tabs>
          <w:tab w:val="left" w:pos="2200"/>
          <w:tab w:val="left" w:pos="3040"/>
          <w:tab w:val="left" w:pos="4620"/>
          <w:tab w:val="left" w:pos="5360"/>
          <w:tab w:val="left" w:pos="6940"/>
        </w:tabs>
        <w:spacing w:line="271" w:lineRule="exact"/>
        <w:ind w:left="220" w:right="-20"/>
        <w:jc w:val="left"/>
        <w:rPr>
          <w:rFonts w:ascii="宋体" w:hAnsi="宋体" w:cs="宋体"/>
          <w:color w:val="auto"/>
          <w:sz w:val="18"/>
          <w:szCs w:val="18"/>
          <w:highlight w:val="none"/>
        </w:rPr>
      </w:pPr>
      <w:r>
        <w:rPr>
          <w:rFonts w:hint="eastAsia" w:ascii="宋体" w:hAnsi="宋体" w:cs="宋体"/>
          <w:color w:val="auto"/>
          <w:sz w:val="18"/>
          <w:szCs w:val="18"/>
          <w:highlight w:val="none"/>
        </w:rPr>
        <w:t>招标人代表：</w:t>
      </w:r>
      <w:r>
        <w:rPr>
          <w:rFonts w:hint="eastAsia" w:ascii="宋体" w:hAnsi="宋体" w:cs="宋体"/>
          <w:color w:val="auto"/>
          <w:sz w:val="18"/>
          <w:szCs w:val="18"/>
          <w:highlight w:val="none"/>
        </w:rPr>
        <w:tab/>
      </w:r>
      <w:r>
        <w:rPr>
          <w:rFonts w:hint="eastAsia" w:ascii="宋体" w:hAnsi="宋体" w:cs="宋体"/>
          <w:color w:val="auto"/>
          <w:sz w:val="18"/>
          <w:szCs w:val="18"/>
          <w:highlight w:val="none"/>
        </w:rPr>
        <w:tab/>
      </w:r>
      <w:r>
        <w:rPr>
          <w:rFonts w:hint="eastAsia" w:ascii="宋体" w:hAnsi="宋体" w:cs="宋体"/>
          <w:color w:val="auto"/>
          <w:sz w:val="18"/>
          <w:szCs w:val="18"/>
          <w:highlight w:val="none"/>
        </w:rPr>
        <w:t>记录人：</w:t>
      </w:r>
      <w:r>
        <w:rPr>
          <w:rFonts w:hint="eastAsia" w:ascii="宋体" w:hAnsi="宋体" w:cs="宋体"/>
          <w:color w:val="auto"/>
          <w:sz w:val="18"/>
          <w:szCs w:val="18"/>
          <w:highlight w:val="none"/>
        </w:rPr>
        <w:tab/>
      </w:r>
      <w:r>
        <w:rPr>
          <w:rFonts w:hint="eastAsia" w:ascii="宋体" w:hAnsi="宋体" w:cs="宋体"/>
          <w:color w:val="auto"/>
          <w:sz w:val="18"/>
          <w:szCs w:val="18"/>
          <w:highlight w:val="none"/>
        </w:rPr>
        <w:t>监标人：</w:t>
      </w:r>
    </w:p>
    <w:p>
      <w:pPr>
        <w:spacing w:line="150" w:lineRule="exact"/>
        <w:jc w:val="left"/>
        <w:rPr>
          <w:rFonts w:ascii="宋体" w:hAnsi="宋体" w:cs="宋体"/>
          <w:color w:val="auto"/>
          <w:sz w:val="18"/>
          <w:szCs w:val="18"/>
          <w:highlight w:val="none"/>
        </w:rPr>
      </w:pPr>
    </w:p>
    <w:p>
      <w:pPr>
        <w:spacing w:line="200" w:lineRule="exact"/>
        <w:jc w:val="left"/>
        <w:rPr>
          <w:rFonts w:ascii="宋体" w:hAnsi="宋体" w:cs="宋体"/>
          <w:color w:val="auto"/>
          <w:sz w:val="18"/>
          <w:szCs w:val="18"/>
          <w:highlight w:val="none"/>
        </w:rPr>
      </w:pPr>
    </w:p>
    <w:p>
      <w:pPr>
        <w:tabs>
          <w:tab w:val="left" w:pos="720"/>
          <w:tab w:val="left" w:pos="1680"/>
          <w:tab w:val="left" w:pos="2620"/>
        </w:tabs>
        <w:spacing w:line="295" w:lineRule="exact"/>
        <w:ind w:right="96"/>
        <w:jc w:val="right"/>
        <w:rPr>
          <w:rFonts w:ascii="宋体" w:hAnsi="宋体" w:cs="宋体"/>
          <w:color w:val="auto"/>
          <w:sz w:val="18"/>
          <w:szCs w:val="18"/>
          <w:highlight w:val="none"/>
        </w:rPr>
      </w:pPr>
      <w:r>
        <w:rPr>
          <w:rFonts w:hint="eastAsia" w:ascii="宋体" w:hAnsi="宋体" w:cs="宋体"/>
          <w:color w:val="auto"/>
          <w:sz w:val="18"/>
          <w:szCs w:val="18"/>
          <w:highlight w:val="none"/>
        </w:rPr>
        <w:t>年月日</w:t>
      </w:r>
    </w:p>
    <w:bookmarkEnd w:id="63"/>
    <w:bookmarkEnd w:id="64"/>
    <w:bookmarkEnd w:id="65"/>
    <w:bookmarkEnd w:id="66"/>
    <w:bookmarkEnd w:id="67"/>
    <w:bookmarkEnd w:id="68"/>
    <w:bookmarkEnd w:id="69"/>
    <w:bookmarkEnd w:id="70"/>
    <w:bookmarkEnd w:id="71"/>
    <w:p>
      <w:pPr>
        <w:spacing w:line="383" w:lineRule="exact"/>
        <w:ind w:left="237" w:right="-20"/>
        <w:jc w:val="left"/>
        <w:rPr>
          <w:rFonts w:ascii="宋体" w:hAnsi="宋体" w:cs="宋体"/>
          <w:b/>
          <w:bCs/>
          <w:color w:val="auto"/>
          <w:sz w:val="28"/>
          <w:highlight w:val="none"/>
        </w:rPr>
      </w:pPr>
      <w:r>
        <w:rPr>
          <w:rFonts w:hint="eastAsia" w:ascii="宋体" w:hAnsi="宋体" w:cs="宋体"/>
          <w:b/>
          <w:bCs/>
          <w:color w:val="auto"/>
          <w:highlight w:val="none"/>
        </w:rPr>
        <w:t>注：以上格式只供参考，最终以广州交易集团有限公司（广州公共资源交易中心）系统生成格式为准。</w:t>
      </w:r>
      <w:r>
        <w:rPr>
          <w:rFonts w:hint="eastAsia" w:ascii="宋体" w:hAnsi="宋体" w:cs="宋体"/>
          <w:b/>
          <w:bCs/>
          <w:color w:val="auto"/>
          <w:highlight w:val="none"/>
        </w:rPr>
        <w:br w:type="page"/>
      </w:r>
      <w:r>
        <w:rPr>
          <w:rFonts w:hint="eastAsia" w:ascii="宋体" w:hAnsi="宋体" w:cs="宋体"/>
          <w:b/>
          <w:bCs/>
          <w:color w:val="auto"/>
          <w:position w:val="-4"/>
          <w:sz w:val="28"/>
          <w:highlight w:val="none"/>
        </w:rPr>
        <w:t>附件二</w:t>
      </w:r>
      <w:r>
        <w:rPr>
          <w:rFonts w:hint="eastAsia" w:ascii="宋体" w:hAnsi="宋体" w:cs="宋体"/>
          <w:b/>
          <w:bCs/>
          <w:color w:val="auto"/>
          <w:spacing w:val="-3"/>
          <w:position w:val="-4"/>
          <w:sz w:val="28"/>
          <w:highlight w:val="none"/>
        </w:rPr>
        <w:t>：</w:t>
      </w:r>
      <w:r>
        <w:rPr>
          <w:rFonts w:hint="eastAsia" w:ascii="宋体" w:hAnsi="宋体" w:cs="宋体"/>
          <w:b/>
          <w:bCs/>
          <w:color w:val="auto"/>
          <w:position w:val="-4"/>
          <w:sz w:val="28"/>
          <w:highlight w:val="none"/>
        </w:rPr>
        <w:t>问题</w:t>
      </w:r>
      <w:r>
        <w:rPr>
          <w:rFonts w:hint="eastAsia" w:ascii="宋体" w:hAnsi="宋体" w:cs="宋体"/>
          <w:b/>
          <w:bCs/>
          <w:color w:val="auto"/>
          <w:spacing w:val="-3"/>
          <w:position w:val="-4"/>
          <w:sz w:val="28"/>
          <w:highlight w:val="none"/>
        </w:rPr>
        <w:t>澄清</w:t>
      </w:r>
      <w:r>
        <w:rPr>
          <w:rFonts w:hint="eastAsia" w:ascii="宋体" w:hAnsi="宋体" w:cs="宋体"/>
          <w:b/>
          <w:bCs/>
          <w:color w:val="auto"/>
          <w:position w:val="-4"/>
          <w:sz w:val="28"/>
          <w:highlight w:val="none"/>
        </w:rPr>
        <w:t>通知（按广州交易集团有限公司（广州公共资源交易中心）问题澄清通知格式）</w:t>
      </w: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before="11" w:line="240" w:lineRule="exact"/>
        <w:jc w:val="left"/>
        <w:rPr>
          <w:rFonts w:ascii="宋体" w:hAnsi="宋体" w:cs="宋体"/>
          <w:color w:val="auto"/>
          <w:sz w:val="24"/>
          <w:highlight w:val="none"/>
        </w:rPr>
      </w:pPr>
    </w:p>
    <w:p>
      <w:pPr>
        <w:spacing w:line="383" w:lineRule="exact"/>
        <w:ind w:left="237" w:right="-20"/>
        <w:jc w:val="left"/>
        <w:rPr>
          <w:rFonts w:ascii="宋体" w:hAnsi="宋体" w:cs="宋体"/>
          <w:b/>
          <w:bCs/>
          <w:color w:val="auto"/>
          <w:position w:val="-4"/>
          <w:sz w:val="28"/>
          <w:highlight w:val="none"/>
        </w:rPr>
      </w:pPr>
      <w:r>
        <w:rPr>
          <w:rFonts w:hint="eastAsia" w:ascii="宋体" w:hAnsi="宋体" w:cs="宋体"/>
          <w:b/>
          <w:bCs/>
          <w:color w:val="auto"/>
          <w:position w:val="-4"/>
          <w:sz w:val="28"/>
          <w:highlight w:val="none"/>
        </w:rPr>
        <w:t>附件三：问题的澄清（按广州交易集团有限公司（广州公共资源交易中心）问题澄清格式）</w:t>
      </w:r>
    </w:p>
    <w:p>
      <w:pPr>
        <w:spacing w:before="9" w:line="170" w:lineRule="exact"/>
        <w:jc w:val="left"/>
        <w:rPr>
          <w:rFonts w:ascii="宋体" w:hAnsi="宋体" w:cs="宋体"/>
          <w:color w:val="auto"/>
          <w:sz w:val="17"/>
          <w:highlight w:val="none"/>
        </w:rPr>
      </w:pPr>
    </w:p>
    <w:p>
      <w:pPr>
        <w:spacing w:line="200" w:lineRule="exact"/>
        <w:jc w:val="left"/>
        <w:rPr>
          <w:rFonts w:ascii="宋体" w:hAnsi="宋体" w:cs="宋体"/>
          <w:color w:val="auto"/>
          <w:sz w:val="20"/>
          <w:highlight w:val="none"/>
        </w:rPr>
      </w:pPr>
    </w:p>
    <w:p>
      <w:pPr>
        <w:tabs>
          <w:tab w:val="left" w:pos="6420"/>
          <w:tab w:val="left" w:pos="7480"/>
          <w:tab w:val="left" w:pos="8520"/>
        </w:tabs>
        <w:spacing w:line="360" w:lineRule="auto"/>
        <w:ind w:left="5595" w:right="-20"/>
        <w:jc w:val="left"/>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highlight w:val="none"/>
        </w:rPr>
      </w:pPr>
    </w:p>
    <w:p>
      <w:pPr>
        <w:pStyle w:val="3"/>
        <w:rPr>
          <w:rFonts w:ascii="宋体" w:hAnsi="宋体" w:eastAsia="宋体" w:cs="宋体"/>
          <w:color w:val="auto"/>
          <w:highlight w:val="none"/>
        </w:rPr>
        <w:sectPr>
          <w:pgSz w:w="11906" w:h="16838"/>
          <w:pgMar w:top="1417" w:right="1417" w:bottom="1417" w:left="1417" w:header="850" w:footer="992" w:gutter="0"/>
          <w:cols w:space="720" w:num="1"/>
          <w:docGrid w:linePitch="285" w:charSpace="0"/>
        </w:sectPr>
      </w:pPr>
    </w:p>
    <w:p>
      <w:pPr>
        <w:pStyle w:val="3"/>
        <w:spacing w:before="0" w:after="0" w:line="360" w:lineRule="auto"/>
        <w:jc w:val="center"/>
        <w:rPr>
          <w:rFonts w:ascii="宋体" w:hAnsi="宋体" w:eastAsia="宋体" w:cs="宋体"/>
          <w:color w:val="auto"/>
          <w:highlight w:val="none"/>
        </w:rPr>
      </w:pPr>
      <w:bookmarkStart w:id="172" w:name="_Toc1324"/>
      <w:bookmarkStart w:id="173" w:name="_Toc393961876"/>
      <w:bookmarkStart w:id="174" w:name="_Toc9728"/>
      <w:bookmarkStart w:id="175" w:name="_Toc7263"/>
      <w:bookmarkStart w:id="176" w:name="_Toc31846"/>
      <w:bookmarkStart w:id="177" w:name="_Toc15544"/>
      <w:bookmarkStart w:id="178" w:name="_Toc10968"/>
      <w:bookmarkStart w:id="179" w:name="_Toc6739"/>
      <w:bookmarkStart w:id="180" w:name="_Toc10286"/>
      <w:bookmarkStart w:id="181" w:name="_Toc32244"/>
      <w:bookmarkStart w:id="182" w:name="_Toc19513"/>
      <w:bookmarkStart w:id="183" w:name="_Toc13048"/>
      <w:bookmarkStart w:id="184" w:name="_Toc514170131"/>
      <w:bookmarkStart w:id="185" w:name="_Toc16484"/>
      <w:bookmarkStart w:id="186" w:name="_Toc19607"/>
      <w:bookmarkStart w:id="187" w:name="_Toc10780"/>
      <w:bookmarkStart w:id="188" w:name="_Toc10625"/>
      <w:bookmarkStart w:id="189" w:name="_Toc28172"/>
      <w:bookmarkStart w:id="190" w:name="_Toc23508"/>
      <w:bookmarkStart w:id="191" w:name="_Toc27162"/>
      <w:bookmarkStart w:id="192" w:name="_Toc179"/>
      <w:r>
        <w:rPr>
          <w:rFonts w:hint="eastAsia" w:ascii="宋体" w:hAnsi="宋体" w:eastAsia="宋体" w:cs="宋体"/>
          <w:color w:val="auto"/>
          <w:highlight w:val="none"/>
        </w:rPr>
        <w:t>第三章  评标办法（综合评估法）</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jc w:val="center"/>
        <w:rPr>
          <w:rFonts w:ascii="宋体" w:hAnsi="宋体" w:cs="宋体"/>
          <w:b/>
          <w:bCs/>
          <w:color w:val="auto"/>
          <w:sz w:val="28"/>
          <w:szCs w:val="28"/>
          <w:highlight w:val="none"/>
        </w:rPr>
      </w:pPr>
      <w:bookmarkStart w:id="193" w:name="_Toc18570"/>
      <w:bookmarkStart w:id="194" w:name="_Toc5818"/>
      <w:bookmarkStart w:id="195" w:name="_Toc248"/>
      <w:bookmarkStart w:id="196" w:name="_Toc9919"/>
      <w:bookmarkStart w:id="197" w:name="_Toc28666"/>
      <w:bookmarkStart w:id="198" w:name="_Toc5789"/>
      <w:bookmarkStart w:id="199" w:name="_Toc28569"/>
      <w:bookmarkStart w:id="200" w:name="_Toc24228"/>
      <w:bookmarkStart w:id="201" w:name="_Toc393961877"/>
      <w:bookmarkStart w:id="202" w:name="_Toc10610"/>
      <w:bookmarkStart w:id="203" w:name="_Toc16683"/>
      <w:bookmarkStart w:id="204" w:name="_Toc22116"/>
      <w:bookmarkStart w:id="205" w:name="_Toc15676"/>
      <w:bookmarkStart w:id="206" w:name="_Toc30974"/>
      <w:bookmarkStart w:id="207" w:name="_Toc2997"/>
      <w:bookmarkStart w:id="208" w:name="_Toc28209"/>
      <w:bookmarkStart w:id="209" w:name="_Toc514170132"/>
      <w:bookmarkStart w:id="210" w:name="_Toc14511"/>
      <w:bookmarkStart w:id="211" w:name="_Toc32266"/>
      <w:bookmarkStart w:id="212" w:name="_Toc184635089"/>
      <w:bookmarkStart w:id="213" w:name="_Toc393961878"/>
      <w:r>
        <w:rPr>
          <w:rFonts w:hint="eastAsia" w:ascii="宋体" w:hAnsi="宋体" w:cs="宋体"/>
          <w:b/>
          <w:bCs/>
          <w:color w:val="auto"/>
          <w:sz w:val="28"/>
          <w:szCs w:val="28"/>
          <w:highlight w:val="none"/>
        </w:rPr>
        <w:t>评标办法前附表</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51"/>
        <w:gridCol w:w="998"/>
        <w:gridCol w:w="867"/>
        <w:gridCol w:w="794"/>
        <w:gridCol w:w="5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4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auto"/>
                <w:sz w:val="18"/>
                <w:szCs w:val="18"/>
                <w:highlight w:val="none"/>
              </w:rPr>
            </w:pPr>
            <w:bookmarkStart w:id="214" w:name="_Toc32699"/>
            <w:bookmarkStart w:id="215" w:name="_Toc6837"/>
            <w:bookmarkStart w:id="216" w:name="_Toc14335"/>
            <w:bookmarkStart w:id="217" w:name="_Toc3992"/>
            <w:bookmarkStart w:id="218" w:name="_Toc18778"/>
            <w:bookmarkStart w:id="219" w:name="_Toc32130"/>
            <w:bookmarkStart w:id="220" w:name="_Toc20250"/>
            <w:bookmarkStart w:id="221" w:name="_Toc8146"/>
            <w:bookmarkStart w:id="222" w:name="_Toc2468"/>
            <w:bookmarkStart w:id="223" w:name="_Toc514170133"/>
            <w:bookmarkStart w:id="224" w:name="_Toc13470"/>
            <w:bookmarkStart w:id="225" w:name="_Toc19290"/>
            <w:bookmarkStart w:id="226" w:name="_Toc12886"/>
            <w:bookmarkStart w:id="227" w:name="_Toc22155"/>
            <w:bookmarkStart w:id="228" w:name="_Toc24248"/>
            <w:r>
              <w:rPr>
                <w:rFonts w:hint="eastAsia" w:ascii="宋体" w:hAnsi="宋体" w:cs="宋体"/>
                <w:b/>
                <w:color w:val="auto"/>
                <w:sz w:val="18"/>
                <w:szCs w:val="18"/>
                <w:highlight w:val="none"/>
              </w:rPr>
              <w:t>条款号</w:t>
            </w: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b/>
                <w:color w:val="auto"/>
                <w:sz w:val="18"/>
                <w:szCs w:val="18"/>
                <w:highlight w:val="none"/>
              </w:rPr>
            </w:pPr>
            <w:r>
              <w:rPr>
                <w:rFonts w:hint="eastAsia" w:ascii="宋体" w:hAnsi="宋体" w:cs="宋体"/>
                <w:b/>
                <w:color w:val="auto"/>
                <w:sz w:val="18"/>
                <w:szCs w:val="18"/>
                <w:highlight w:val="none"/>
              </w:rPr>
              <w:t>评审因素</w:t>
            </w:r>
          </w:p>
        </w:tc>
        <w:tc>
          <w:tcPr>
            <w:tcW w:w="5332"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b/>
                <w:color w:val="auto"/>
                <w:sz w:val="18"/>
                <w:szCs w:val="18"/>
                <w:highlight w:val="none"/>
              </w:rPr>
            </w:pPr>
            <w:r>
              <w:rPr>
                <w:rFonts w:hint="eastAsia" w:ascii="宋体" w:hAnsi="宋体" w:cs="宋体"/>
                <w:b/>
                <w:color w:val="auto"/>
                <w:sz w:val="18"/>
                <w:szCs w:val="1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jc w:val="center"/>
        </w:trPr>
        <w:tc>
          <w:tcPr>
            <w:tcW w:w="119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auto"/>
                <w:sz w:val="18"/>
                <w:szCs w:val="18"/>
                <w:highlight w:val="none"/>
              </w:rPr>
            </w:pPr>
            <w:r>
              <w:rPr>
                <w:rFonts w:hint="eastAsia" w:ascii="宋体" w:hAnsi="宋体" w:cs="宋体"/>
                <w:b/>
                <w:color w:val="auto"/>
                <w:sz w:val="18"/>
                <w:szCs w:val="18"/>
                <w:highlight w:val="none"/>
              </w:rPr>
              <w:t>1</w:t>
            </w:r>
          </w:p>
        </w:tc>
        <w:tc>
          <w:tcPr>
            <w:tcW w:w="1049"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评标方法</w:t>
            </w: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中标候选人排序方法</w:t>
            </w:r>
          </w:p>
        </w:tc>
        <w:tc>
          <w:tcPr>
            <w:tcW w:w="5332"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rPr>
                <w:rFonts w:ascii="宋体" w:hAnsi="宋体" w:cs="宋体"/>
                <w:b/>
                <w:bCs/>
                <w:color w:val="auto"/>
                <w:sz w:val="18"/>
                <w:szCs w:val="18"/>
                <w:highlight w:val="none"/>
              </w:rPr>
            </w:pPr>
            <w:r>
              <w:rPr>
                <w:rFonts w:hint="eastAsia" w:ascii="宋体" w:hAnsi="宋体" w:cs="宋体"/>
                <w:color w:val="auto"/>
                <w:sz w:val="18"/>
                <w:szCs w:val="18"/>
                <w:highlight w:val="none"/>
              </w:rPr>
              <w:t>本次评标采用综合评估法。评标委员会对满足招标文件实质性要求的投标文件，按照本章第2.2款规定的评分标准进行打分，并按得分由高到低顺序推荐中标候选人，排序的前一</w:t>
            </w:r>
            <w:r>
              <w:rPr>
                <w:rFonts w:hint="eastAsia" w:ascii="宋体" w:hAnsi="宋体" w:cs="宋体"/>
                <w:color w:val="auto"/>
                <w:sz w:val="18"/>
                <w:szCs w:val="18"/>
                <w:highlight w:val="none"/>
                <w:lang w:val="en-US" w:eastAsia="zh-CN"/>
              </w:rPr>
              <w:t>至</w:t>
            </w:r>
            <w:r>
              <w:rPr>
                <w:rFonts w:hint="eastAsia" w:ascii="宋体" w:hAnsi="宋体" w:cs="宋体"/>
                <w:color w:val="auto"/>
                <w:sz w:val="18"/>
                <w:szCs w:val="18"/>
                <w:highlight w:val="none"/>
              </w:rPr>
              <w:t>三名为第一中标候选人、第二中标候选人和第三中标候选人。综合得分相等时，以投标报价低的优先；投标报价也相等的，以监理大纲得分高的优先；如果监理大纲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1195" w:type="dxa"/>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2.1.1</w:t>
            </w:r>
          </w:p>
        </w:tc>
        <w:tc>
          <w:tcPr>
            <w:tcW w:w="1049" w:type="dxa"/>
            <w:gridSpan w:val="2"/>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形式评审标准</w:t>
            </w: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投标人名称</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与营业执照、资质证书（或备案证明文件）一致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投标函及投标函附录</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函及投标函附录格式及签字盖章符合招标文件要求。有法定代表人或其委托代理人签字或加盖单位公章。由法定代表人签字的，应附法定代表人身份证明书，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投标文件格式</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联合体投标人</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提交符合招标文件要求的联合体协议书，明确各方承担连带责任，并明确联合体主办方。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备选投标方案</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投标人机器码</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投标人与本项目其他投标人加密打包投标文件电脑特征码一致的（以广州公共资源交易中心评标系统的检索信息为准）将被否决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195" w:type="dxa"/>
            <w:vMerge w:val="restart"/>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2.1.2</w:t>
            </w:r>
          </w:p>
        </w:tc>
        <w:tc>
          <w:tcPr>
            <w:tcW w:w="1049" w:type="dxa"/>
            <w:gridSpan w:val="2"/>
            <w:vMerge w:val="restart"/>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资格评审</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标    准</w:t>
            </w: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营业执照和组织机构代码证</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资质要求</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业绩要求</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195" w:type="dxa"/>
            <w:vMerge w:val="continue"/>
            <w:tcBorders>
              <w:left w:val="single" w:color="auto" w:sz="4" w:space="0"/>
              <w:right w:val="single" w:color="auto" w:sz="4" w:space="0"/>
            </w:tcBorders>
            <w:noWrap/>
            <w:vAlign w:val="center"/>
          </w:tcPr>
          <w:p>
            <w:pPr>
              <w:widowControl/>
              <w:jc w:val="left"/>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vAlign w:val="center"/>
          </w:tcPr>
          <w:p>
            <w:pPr>
              <w:widowControl/>
              <w:jc w:val="left"/>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总监理工程师</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195" w:type="dxa"/>
            <w:vMerge w:val="continue"/>
            <w:tcBorders>
              <w:left w:val="single" w:color="auto" w:sz="4" w:space="0"/>
              <w:right w:val="single" w:color="auto" w:sz="4" w:space="0"/>
            </w:tcBorders>
            <w:noWrap/>
            <w:vAlign w:val="center"/>
          </w:tcPr>
          <w:p>
            <w:pPr>
              <w:widowControl/>
              <w:jc w:val="left"/>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vAlign w:val="center"/>
          </w:tcPr>
          <w:p>
            <w:pPr>
              <w:widowControl/>
              <w:jc w:val="left"/>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其他要求</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195" w:type="dxa"/>
            <w:vMerge w:val="continue"/>
            <w:tcBorders>
              <w:left w:val="single" w:color="auto" w:sz="4" w:space="0"/>
              <w:right w:val="single" w:color="auto" w:sz="4" w:space="0"/>
            </w:tcBorders>
            <w:noWrap/>
            <w:vAlign w:val="center"/>
          </w:tcPr>
          <w:p>
            <w:pPr>
              <w:widowControl/>
              <w:jc w:val="left"/>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vAlign w:val="center"/>
          </w:tcPr>
          <w:p>
            <w:pPr>
              <w:widowControl/>
              <w:jc w:val="left"/>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联合体投标人</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cs="宋体"/>
                <w:color w:val="auto"/>
                <w:sz w:val="18"/>
                <w:szCs w:val="18"/>
                <w:highlight w:val="none"/>
                <w:lang w:val="en-US"/>
              </w:rPr>
            </w:pPr>
            <w:r>
              <w:rPr>
                <w:rFonts w:hint="eastAsia" w:ascii="宋体" w:hAnsi="宋体" w:cs="宋体"/>
                <w:color w:val="auto"/>
                <w:sz w:val="18"/>
                <w:szCs w:val="18"/>
                <w:highlight w:val="none"/>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195" w:type="dxa"/>
            <w:vMerge w:val="continue"/>
            <w:tcBorders>
              <w:left w:val="single" w:color="auto" w:sz="4" w:space="0"/>
              <w:right w:val="single" w:color="auto" w:sz="4" w:space="0"/>
            </w:tcBorders>
            <w:noWrap/>
            <w:vAlign w:val="top"/>
          </w:tcPr>
          <w:p>
            <w:pPr>
              <w:widowControl/>
              <w:jc w:val="left"/>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vAlign w:val="top"/>
          </w:tcPr>
          <w:p>
            <w:pPr>
              <w:widowControl/>
              <w:jc w:val="left"/>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不存在禁止投标的情形</w:t>
            </w:r>
          </w:p>
        </w:tc>
        <w:tc>
          <w:tcPr>
            <w:tcW w:w="5332" w:type="dxa"/>
            <w:tcBorders>
              <w:top w:val="single" w:color="auto" w:sz="4" w:space="0"/>
              <w:left w:val="single" w:color="auto" w:sz="4" w:space="0"/>
              <w:bottom w:val="single" w:color="auto" w:sz="4" w:space="0"/>
              <w:right w:val="single" w:color="auto" w:sz="4" w:space="0"/>
            </w:tcBorders>
            <w:noWrap/>
            <w:vAlign w:val="center"/>
          </w:tcPr>
          <w:p>
            <w:pPr>
              <w:jc w:val="both"/>
              <w:rPr>
                <w:rFonts w:ascii="宋体" w:hAnsi="宋体" w:cs="宋体"/>
                <w:color w:val="auto"/>
                <w:sz w:val="18"/>
                <w:szCs w:val="18"/>
                <w:highlight w:val="none"/>
              </w:rPr>
            </w:pPr>
            <w:r>
              <w:rPr>
                <w:rFonts w:hint="eastAsia" w:ascii="宋体" w:hAnsi="宋体" w:cs="宋体"/>
                <w:color w:val="auto"/>
                <w:sz w:val="18"/>
                <w:szCs w:val="18"/>
                <w:highlight w:val="none"/>
              </w:rPr>
              <w:t>不存在第二章“投标人须知”第1.4.3项规定的任何一种情形（以《投标人声明》为准）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195" w:type="dxa"/>
            <w:vMerge w:val="restar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2.1.3</w:t>
            </w:r>
          </w:p>
        </w:tc>
        <w:tc>
          <w:tcPr>
            <w:tcW w:w="1049" w:type="dxa"/>
            <w:gridSpan w:val="2"/>
            <w:vMerge w:val="restar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响应性评审标准</w:t>
            </w: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投标文件</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投标文件所列投标人名称、项目负责人（总监）与投标登记时一致。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投标报价</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符合第二章“投标人须知”第3.2款规定进行投标报价的；</w:t>
            </w:r>
            <w:r>
              <w:rPr>
                <w:rFonts w:hint="eastAsia" w:ascii="宋体" w:hAnsi="宋体" w:cs="宋体"/>
                <w:color w:val="auto"/>
                <w:sz w:val="18"/>
                <w:szCs w:val="18"/>
                <w:highlight w:val="none"/>
                <w:u w:val="single"/>
              </w:rPr>
              <w:t>对同一招标项目没有出现两个或以上的投标报价，且修正无依据；投标报价没有出现低于成本报价（对于投标报价低于成本警戒价，或明显低于其他投标报价，使得其投标报价可能低于其个别成本，又不能合理说明或者不能提供相关证明材料，评标委员会认定该投标人低于成本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投标内容</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监理服务期限</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质量标准</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投标有效期</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投标保证金</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监理承诺</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标函承诺书、</w:t>
            </w:r>
            <w:r>
              <w:rPr>
                <w:rFonts w:hint="eastAsia" w:ascii="宋体" w:hAnsi="宋体" w:cs="宋体"/>
                <w:color w:val="auto"/>
                <w:sz w:val="18"/>
                <w:szCs w:val="18"/>
                <w:highlight w:val="none"/>
                <w:lang w:val="en-US" w:eastAsia="zh-CN"/>
              </w:rPr>
              <w:t>项目总监履约承诺书</w:t>
            </w: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总监代表履约承诺书、</w:t>
            </w:r>
            <w:r>
              <w:rPr>
                <w:rFonts w:hint="eastAsia" w:ascii="宋体" w:hAnsi="宋体" w:cs="宋体"/>
                <w:color w:val="auto"/>
                <w:sz w:val="18"/>
                <w:szCs w:val="18"/>
                <w:highlight w:val="none"/>
              </w:rPr>
              <w:t>项目监理机构配备情况、《监理项目管理团队人员信息表》（格式见第六章投标文件格式）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195" w:type="dxa"/>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049"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串通投标情形</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不存在串通投标情形（串通投标情形以《广东省实施&lt;中华人民共和国招标投标法&gt;</w:t>
            </w:r>
            <w:r>
              <w:rPr>
                <w:rFonts w:hint="eastAsia" w:ascii="宋体" w:hAnsi="宋体" w:cs="宋体"/>
                <w:color w:val="auto"/>
                <w:sz w:val="18"/>
                <w:szCs w:val="18"/>
                <w:highlight w:val="none"/>
                <w:lang w:val="en-US" w:eastAsia="zh-CN"/>
              </w:rPr>
              <w:t>办法</w:t>
            </w:r>
            <w:r>
              <w:rPr>
                <w:rFonts w:hint="eastAsia" w:ascii="宋体" w:hAnsi="宋体" w:cs="宋体"/>
                <w:color w:val="auto"/>
                <w:sz w:val="18"/>
                <w:szCs w:val="18"/>
                <w:highlight w:val="none"/>
              </w:rPr>
              <w:t>》第十六条的规定为准）。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244"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条款号</w:t>
            </w: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条款内容</w:t>
            </w:r>
          </w:p>
        </w:tc>
        <w:tc>
          <w:tcPr>
            <w:tcW w:w="533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18"/>
                <w:szCs w:val="18"/>
                <w:highlight w:val="none"/>
                <w:u w:val="single"/>
              </w:rPr>
            </w:pPr>
            <w:r>
              <w:rPr>
                <w:rFonts w:hint="eastAsia" w:ascii="宋体" w:hAnsi="宋体" w:cs="宋体"/>
                <w:b/>
                <w:bCs/>
                <w:color w:val="auto"/>
                <w:sz w:val="18"/>
                <w:szCs w:val="18"/>
                <w:highlight w:val="none"/>
                <w:u w:val="singl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244"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2.2.1</w:t>
            </w: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分值构成</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（总分100分）</w:t>
            </w:r>
          </w:p>
        </w:tc>
        <w:tc>
          <w:tcPr>
            <w:tcW w:w="5332" w:type="dxa"/>
            <w:tcBorders>
              <w:top w:val="single" w:color="auto" w:sz="4" w:space="0"/>
              <w:left w:val="single" w:color="auto" w:sz="4" w:space="0"/>
              <w:bottom w:val="single" w:color="auto" w:sz="4" w:space="0"/>
              <w:right w:val="single" w:color="auto" w:sz="4" w:space="0"/>
            </w:tcBorders>
            <w:noWrap/>
            <w:vAlign w:val="center"/>
          </w:tcPr>
          <w:p>
            <w:pPr>
              <w:ind w:left="180"/>
              <w:rPr>
                <w:rFonts w:ascii="宋体" w:hAnsi="宋体" w:cs="宋体"/>
                <w:color w:val="auto"/>
                <w:sz w:val="18"/>
                <w:szCs w:val="18"/>
                <w:highlight w:val="none"/>
              </w:rPr>
            </w:pPr>
            <w:r>
              <w:rPr>
                <w:rFonts w:hint="eastAsia" w:ascii="宋体" w:hAnsi="宋体" w:cs="宋体"/>
                <w:color w:val="auto"/>
                <w:sz w:val="18"/>
                <w:szCs w:val="18"/>
                <w:highlight w:val="none"/>
              </w:rPr>
              <w:t>A.资信业绩部分：</w:t>
            </w:r>
            <w:r>
              <w:rPr>
                <w:rFonts w:hint="eastAsia" w:ascii="宋体" w:hAnsi="宋体" w:cs="宋体"/>
                <w:color w:val="auto"/>
                <w:sz w:val="18"/>
                <w:szCs w:val="18"/>
                <w:highlight w:val="none"/>
                <w:u w:val="single"/>
                <w:lang w:val="en-US" w:eastAsia="zh-CN"/>
              </w:rPr>
              <w:t>35</w:t>
            </w:r>
            <w:r>
              <w:rPr>
                <w:rFonts w:hint="eastAsia" w:ascii="宋体" w:hAnsi="宋体" w:cs="宋体"/>
                <w:color w:val="auto"/>
                <w:sz w:val="18"/>
                <w:szCs w:val="18"/>
                <w:highlight w:val="none"/>
                <w:u w:val="single"/>
              </w:rPr>
              <w:t>分</w:t>
            </w:r>
          </w:p>
          <w:p>
            <w:pPr>
              <w:ind w:left="180"/>
              <w:rPr>
                <w:rFonts w:ascii="宋体" w:hAnsi="宋体" w:cs="宋体"/>
                <w:color w:val="auto"/>
                <w:sz w:val="18"/>
                <w:szCs w:val="18"/>
                <w:highlight w:val="none"/>
              </w:rPr>
            </w:pPr>
            <w:r>
              <w:rPr>
                <w:rFonts w:hint="eastAsia" w:ascii="宋体" w:hAnsi="宋体" w:cs="宋体"/>
                <w:color w:val="auto"/>
                <w:sz w:val="18"/>
                <w:szCs w:val="18"/>
                <w:highlight w:val="none"/>
              </w:rPr>
              <w:t>B.监理大纲部分：</w:t>
            </w:r>
            <w:r>
              <w:rPr>
                <w:rFonts w:hint="eastAsia" w:ascii="宋体" w:hAnsi="宋体" w:cs="宋体"/>
                <w:color w:val="auto"/>
                <w:sz w:val="18"/>
                <w:szCs w:val="18"/>
                <w:highlight w:val="none"/>
                <w:u w:val="single"/>
                <w:lang w:val="en-US" w:eastAsia="zh-CN"/>
              </w:rPr>
              <w:t>35</w:t>
            </w:r>
            <w:r>
              <w:rPr>
                <w:rFonts w:hint="eastAsia" w:ascii="宋体" w:hAnsi="宋体" w:cs="宋体"/>
                <w:color w:val="auto"/>
                <w:sz w:val="18"/>
                <w:szCs w:val="18"/>
                <w:highlight w:val="none"/>
                <w:u w:val="single"/>
              </w:rPr>
              <w:t>分</w:t>
            </w:r>
          </w:p>
          <w:p>
            <w:pPr>
              <w:ind w:left="180"/>
              <w:rPr>
                <w:rFonts w:ascii="宋体" w:hAnsi="宋体" w:cs="宋体"/>
                <w:color w:val="auto"/>
                <w:sz w:val="18"/>
                <w:szCs w:val="18"/>
                <w:highlight w:val="none"/>
                <w:u w:val="single"/>
              </w:rPr>
            </w:pPr>
            <w:r>
              <w:rPr>
                <w:rFonts w:hint="eastAsia" w:ascii="宋体" w:hAnsi="宋体" w:cs="宋体"/>
                <w:color w:val="auto"/>
                <w:sz w:val="18"/>
                <w:szCs w:val="18"/>
                <w:highlight w:val="none"/>
              </w:rPr>
              <w:t>C.投标报价：</w:t>
            </w:r>
            <w:r>
              <w:rPr>
                <w:rFonts w:hint="eastAsia" w:ascii="宋体" w:hAnsi="宋体" w:cs="宋体"/>
                <w:color w:val="auto"/>
                <w:sz w:val="18"/>
                <w:szCs w:val="18"/>
                <w:highlight w:val="none"/>
                <w:u w:val="single"/>
              </w:rPr>
              <w:t>10分</w:t>
            </w:r>
          </w:p>
          <w:p>
            <w:pPr>
              <w:ind w:left="180"/>
              <w:rPr>
                <w:rFonts w:ascii="宋体" w:hAnsi="宋体" w:cs="宋体"/>
                <w:color w:val="auto"/>
                <w:sz w:val="18"/>
                <w:szCs w:val="18"/>
                <w:highlight w:val="none"/>
                <w:u w:val="single"/>
              </w:rPr>
            </w:pPr>
            <w:r>
              <w:rPr>
                <w:rFonts w:hint="eastAsia" w:ascii="宋体" w:hAnsi="宋体" w:cs="宋体"/>
                <w:color w:val="auto"/>
                <w:sz w:val="18"/>
                <w:szCs w:val="18"/>
                <w:highlight w:val="none"/>
                <w:u w:val="single"/>
              </w:rPr>
              <w:t>D.其他评分因素（诚信综合评价）：</w:t>
            </w:r>
            <w:r>
              <w:rPr>
                <w:rFonts w:hint="eastAsia" w:ascii="宋体" w:hAnsi="宋体" w:cs="宋体"/>
                <w:color w:val="auto"/>
                <w:sz w:val="18"/>
                <w:szCs w:val="18"/>
                <w:highlight w:val="none"/>
                <w:u w:val="single"/>
                <w:lang w:val="en-US" w:eastAsia="zh-CN"/>
              </w:rPr>
              <w:t>2</w:t>
            </w:r>
            <w:r>
              <w:rPr>
                <w:rFonts w:hint="eastAsia" w:ascii="宋体" w:hAnsi="宋体" w:cs="宋体"/>
                <w:color w:val="auto"/>
                <w:sz w:val="18"/>
                <w:szCs w:val="18"/>
                <w:highlight w:val="none"/>
                <w:u w:val="single"/>
              </w:rPr>
              <w:t>0分</w:t>
            </w:r>
          </w:p>
          <w:p>
            <w:pPr>
              <w:pStyle w:val="25"/>
              <w:ind w:left="180" w:firstLine="0" w:firstLineChars="0"/>
              <w:rPr>
                <w:rFonts w:ascii="宋体" w:hAnsi="宋体" w:cs="宋体"/>
                <w:color w:val="auto"/>
                <w:sz w:val="18"/>
                <w:szCs w:val="18"/>
                <w:highlight w:val="none"/>
              </w:rPr>
            </w:pPr>
            <w:r>
              <w:rPr>
                <w:rFonts w:hint="eastAsia" w:ascii="宋体" w:hAnsi="宋体" w:cs="宋体"/>
                <w:color w:val="auto"/>
                <w:sz w:val="18"/>
                <w:szCs w:val="18"/>
                <w:highlight w:val="none"/>
                <w:u w:val="single"/>
              </w:rPr>
              <w:t>注：1）投标人总得分=综合得分（A+B+C+D)</w:t>
            </w:r>
            <w:r>
              <w:rPr>
                <w:rFonts w:hint="eastAsia" w:ascii="宋体" w:hAnsi="宋体" w:cs="宋体"/>
                <w:color w:val="auto"/>
                <w:sz w:val="18"/>
                <w:szCs w:val="18"/>
                <w:highlight w:val="none"/>
              </w:rPr>
              <w:t>。</w:t>
            </w:r>
          </w:p>
          <w:p>
            <w:pPr>
              <w:pStyle w:val="25"/>
              <w:ind w:left="180" w:firstLine="360"/>
              <w:rPr>
                <w:rFonts w:ascii="宋体" w:hAnsi="宋体" w:cs="宋体"/>
                <w:color w:val="auto"/>
                <w:sz w:val="18"/>
                <w:szCs w:val="18"/>
                <w:highlight w:val="none"/>
              </w:rPr>
            </w:pPr>
            <w:r>
              <w:rPr>
                <w:rFonts w:ascii="宋体" w:hAnsi="宋体" w:cs="宋体"/>
                <w:color w:val="auto"/>
                <w:sz w:val="18"/>
                <w:szCs w:val="18"/>
                <w:highlight w:val="none"/>
              </w:rPr>
              <w:t>2）</w:t>
            </w:r>
            <w:r>
              <w:rPr>
                <w:rFonts w:hint="eastAsia" w:ascii="宋体" w:hAnsi="宋体" w:cs="宋体"/>
                <w:color w:val="auto"/>
                <w:sz w:val="18"/>
                <w:szCs w:val="18"/>
                <w:highlight w:val="none"/>
              </w:rPr>
              <w:t>投标报价的计算以含税的总报价作为评审价。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44"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2.2.2</w:t>
            </w: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评标基准价计算</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方法</w:t>
            </w:r>
          </w:p>
        </w:tc>
        <w:tc>
          <w:tcPr>
            <w:tcW w:w="5332"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rFonts w:ascii="宋体" w:hAnsi="宋体" w:cs="宋体"/>
                <w:color w:val="auto"/>
                <w:sz w:val="18"/>
                <w:szCs w:val="18"/>
                <w:highlight w:val="none"/>
              </w:rPr>
            </w:pPr>
            <w:r>
              <w:rPr>
                <w:rFonts w:hint="eastAsia" w:ascii="宋体" w:hAnsi="宋体" w:cs="宋体"/>
                <w:color w:val="auto"/>
                <w:sz w:val="18"/>
                <w:szCs w:val="18"/>
                <w:highlight w:val="none"/>
              </w:rPr>
              <w:t>当通过形式评审、资格评审、响应性评审的有效投标人大于或等于</w:t>
            </w:r>
            <w:r>
              <w:rPr>
                <w:rFonts w:ascii="宋体" w:hAnsi="宋体" w:cs="宋体"/>
                <w:color w:val="auto"/>
                <w:sz w:val="18"/>
                <w:szCs w:val="18"/>
                <w:highlight w:val="none"/>
              </w:rPr>
              <w:t>5</w:t>
            </w:r>
            <w:r>
              <w:rPr>
                <w:rFonts w:hint="eastAsia" w:ascii="宋体" w:hAnsi="宋体" w:cs="宋体"/>
                <w:color w:val="auto"/>
                <w:sz w:val="18"/>
                <w:szCs w:val="18"/>
                <w:highlight w:val="none"/>
              </w:rPr>
              <w:t>名且投标报价为有效投标价时，去掉一个最高价和一个最低价，取余下有效投标价的算术平均值作为评标基准价。当通过形式评审、资格评审、响应性评审的有效投标人小于</w:t>
            </w:r>
            <w:r>
              <w:rPr>
                <w:rFonts w:ascii="宋体" w:hAnsi="宋体" w:cs="宋体"/>
                <w:color w:val="auto"/>
                <w:sz w:val="18"/>
                <w:szCs w:val="18"/>
                <w:highlight w:val="none"/>
              </w:rPr>
              <w:t>5</w:t>
            </w:r>
            <w:r>
              <w:rPr>
                <w:rFonts w:hint="eastAsia" w:ascii="宋体" w:hAnsi="宋体" w:cs="宋体"/>
                <w:color w:val="auto"/>
                <w:sz w:val="18"/>
                <w:szCs w:val="18"/>
                <w:highlight w:val="none"/>
              </w:rPr>
              <w:t>名大于等于</w:t>
            </w:r>
            <w:r>
              <w:rPr>
                <w:rFonts w:ascii="宋体" w:hAnsi="宋体" w:cs="宋体"/>
                <w:color w:val="auto"/>
                <w:sz w:val="18"/>
                <w:szCs w:val="18"/>
                <w:highlight w:val="none"/>
              </w:rPr>
              <w:t>3</w:t>
            </w:r>
            <w:r>
              <w:rPr>
                <w:rFonts w:hint="eastAsia" w:ascii="宋体" w:hAnsi="宋体" w:cs="宋体"/>
                <w:color w:val="auto"/>
                <w:sz w:val="18"/>
                <w:szCs w:val="18"/>
                <w:highlight w:val="none"/>
              </w:rPr>
              <w:t>名时，取所有入围的有效投标价的算术平均值作为评标基准价。</w:t>
            </w:r>
            <w:r>
              <w:rPr>
                <w:rFonts w:ascii="宋体" w:hAnsi="宋体" w:cs="宋体"/>
                <w:color w:val="auto"/>
                <w:sz w:val="18"/>
                <w:szCs w:val="18"/>
                <w:highlight w:val="none"/>
              </w:rPr>
              <w:t>(</w:t>
            </w:r>
            <w:r>
              <w:rPr>
                <w:rFonts w:hint="eastAsia" w:ascii="宋体" w:hAnsi="宋体" w:cs="宋体"/>
                <w:color w:val="auto"/>
                <w:sz w:val="18"/>
                <w:szCs w:val="18"/>
                <w:highlight w:val="none"/>
              </w:rPr>
              <w:t>有效报价范围为</w:t>
            </w:r>
            <w:r>
              <w:rPr>
                <w:rFonts w:ascii="宋体" w:hAnsi="宋体" w:cs="宋体"/>
                <w:color w:val="auto"/>
                <w:sz w:val="18"/>
                <w:szCs w:val="18"/>
                <w:highlight w:val="none"/>
              </w:rPr>
              <w:t>[</w:t>
            </w:r>
            <w:r>
              <w:rPr>
                <w:rFonts w:hint="eastAsia" w:ascii="宋体" w:hAnsi="宋体" w:cs="宋体"/>
                <w:color w:val="auto"/>
                <w:sz w:val="18"/>
                <w:szCs w:val="18"/>
                <w:highlight w:val="none"/>
              </w:rPr>
              <w:t>最高投标限价×</w:t>
            </w:r>
            <w:r>
              <w:rPr>
                <w:rFonts w:hint="eastAsia" w:ascii="宋体" w:hAnsi="宋体" w:cs="宋体"/>
                <w:color w:val="auto"/>
                <w:sz w:val="18"/>
                <w:szCs w:val="18"/>
                <w:highlight w:val="none"/>
                <w:lang w:val="en-US" w:eastAsia="zh-CN"/>
              </w:rPr>
              <w:t>8</w:t>
            </w:r>
            <w:r>
              <w:rPr>
                <w:rFonts w:ascii="宋体" w:hAnsi="宋体" w:cs="宋体"/>
                <w:color w:val="auto"/>
                <w:sz w:val="18"/>
                <w:szCs w:val="18"/>
                <w:highlight w:val="none"/>
              </w:rPr>
              <w:t>0%</w:t>
            </w:r>
            <w:r>
              <w:rPr>
                <w:rFonts w:hint="eastAsia" w:ascii="宋体" w:hAnsi="宋体" w:cs="宋体"/>
                <w:color w:val="auto"/>
                <w:sz w:val="18"/>
                <w:szCs w:val="18"/>
                <w:highlight w:val="none"/>
              </w:rPr>
              <w:t>，最高投标限价</w:t>
            </w:r>
            <w:r>
              <w:rPr>
                <w:rFonts w:ascii="宋体" w:hAnsi="宋体" w:cs="宋体"/>
                <w:color w:val="auto"/>
                <w:sz w:val="18"/>
                <w:szCs w:val="18"/>
                <w:highlight w:val="none"/>
              </w:rPr>
              <w:t>]</w:t>
            </w:r>
            <w:r>
              <w:rPr>
                <w:rFonts w:hint="eastAsia" w:ascii="宋体" w:hAnsi="宋体" w:cs="宋体"/>
                <w:color w:val="auto"/>
                <w:sz w:val="18"/>
                <w:szCs w:val="18"/>
                <w:highlight w:val="none"/>
              </w:rPr>
              <w:t>，超过此范围的报价不参与评标基准价的计算</w:t>
            </w:r>
            <w:r>
              <w:rPr>
                <w:rFonts w:ascii="宋体" w:hAnsi="宋体" w:cs="宋体"/>
                <w:color w:val="auto"/>
                <w:sz w:val="18"/>
                <w:szCs w:val="18"/>
                <w:highlight w:val="none"/>
              </w:rPr>
              <w:t>)</w:t>
            </w:r>
            <w:r>
              <w:rPr>
                <w:rFonts w:hint="eastAsia" w:ascii="宋体" w:hAnsi="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244"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2.2.3</w:t>
            </w: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投标报价的偏差率</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计算公式</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投标报价的偏差率=（有效投标报价-评标基准价）/评标基准价×100%（偏差率出现小数点时，保留小数点后2位，第三位小数四舍五入。）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44"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条款号</w:t>
            </w:r>
          </w:p>
        </w:tc>
        <w:tc>
          <w:tcPr>
            <w:tcW w:w="1661"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评分因素（偏差率）</w:t>
            </w:r>
          </w:p>
        </w:tc>
        <w:tc>
          <w:tcPr>
            <w:tcW w:w="533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246" w:type="dxa"/>
            <w:gridSpan w:val="2"/>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ind w:left="234" w:right="-20"/>
              <w:jc w:val="center"/>
              <w:rPr>
                <w:rFonts w:ascii="宋体" w:hAnsi="宋体" w:cs="宋体"/>
                <w:color w:val="auto"/>
                <w:sz w:val="18"/>
                <w:szCs w:val="18"/>
                <w:highlight w:val="none"/>
              </w:rPr>
            </w:pPr>
            <w:r>
              <w:rPr>
                <w:rFonts w:hint="eastAsia" w:ascii="宋体" w:hAnsi="宋体" w:cs="宋体"/>
                <w:color w:val="auto"/>
                <w:sz w:val="18"/>
                <w:szCs w:val="18"/>
                <w:highlight w:val="none"/>
              </w:rPr>
              <w:t>2.2.4</w:t>
            </w:r>
          </w:p>
          <w:p>
            <w:pPr>
              <w:spacing w:before="88"/>
              <w:ind w:left="181" w:right="-20"/>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998"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spacing w:line="293" w:lineRule="auto"/>
              <w:ind w:left="136" w:right="59"/>
              <w:jc w:val="center"/>
              <w:rPr>
                <w:rFonts w:ascii="宋体" w:hAnsi="宋体" w:cs="宋体"/>
                <w:color w:val="auto"/>
                <w:sz w:val="18"/>
                <w:szCs w:val="18"/>
                <w:highlight w:val="none"/>
              </w:rPr>
            </w:pPr>
            <w:r>
              <w:rPr>
                <w:rFonts w:hint="eastAsia" w:ascii="宋体" w:hAnsi="宋体" w:cs="宋体"/>
                <w:color w:val="auto"/>
                <w:sz w:val="18"/>
                <w:szCs w:val="18"/>
                <w:highlight w:val="none"/>
              </w:rPr>
              <w:t>资信</w:t>
            </w:r>
            <w:r>
              <w:rPr>
                <w:rFonts w:hint="eastAsia" w:ascii="宋体" w:hAnsi="宋体" w:cs="宋体"/>
                <w:color w:val="auto"/>
                <w:spacing w:val="-2"/>
                <w:sz w:val="18"/>
                <w:szCs w:val="18"/>
                <w:highlight w:val="none"/>
              </w:rPr>
              <w:t>业</w:t>
            </w:r>
            <w:r>
              <w:rPr>
                <w:rFonts w:hint="eastAsia" w:ascii="宋体" w:hAnsi="宋体" w:cs="宋体"/>
                <w:color w:val="auto"/>
                <w:sz w:val="18"/>
                <w:szCs w:val="18"/>
                <w:highlight w:val="none"/>
              </w:rPr>
              <w:t>绩评分</w:t>
            </w:r>
            <w:r>
              <w:rPr>
                <w:rFonts w:hint="eastAsia" w:ascii="宋体" w:hAnsi="宋体" w:cs="宋体"/>
                <w:color w:val="auto"/>
                <w:spacing w:val="-2"/>
                <w:sz w:val="18"/>
                <w:szCs w:val="18"/>
                <w:highlight w:val="none"/>
              </w:rPr>
              <w:t>标</w:t>
            </w:r>
            <w:r>
              <w:rPr>
                <w:rFonts w:hint="eastAsia" w:ascii="宋体" w:hAnsi="宋体" w:cs="宋体"/>
                <w:color w:val="auto"/>
                <w:sz w:val="18"/>
                <w:szCs w:val="18"/>
                <w:highlight w:val="none"/>
              </w:rPr>
              <w:t>准</w:t>
            </w:r>
          </w:p>
        </w:tc>
        <w:tc>
          <w:tcPr>
            <w:tcW w:w="1661" w:type="dxa"/>
            <w:gridSpan w:val="2"/>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ind w:left="146" w:right="126"/>
              <w:jc w:val="center"/>
              <w:rPr>
                <w:rFonts w:ascii="宋体" w:hAnsi="宋体" w:cs="宋体"/>
                <w:b/>
                <w:bCs/>
                <w:color w:val="auto"/>
                <w:sz w:val="18"/>
                <w:szCs w:val="18"/>
                <w:highlight w:val="none"/>
              </w:rPr>
            </w:pPr>
            <w:r>
              <w:rPr>
                <w:rFonts w:hint="eastAsia" w:ascii="宋体" w:hAnsi="宋体" w:cs="宋体"/>
                <w:color w:val="auto"/>
                <w:sz w:val="18"/>
                <w:szCs w:val="18"/>
                <w:highlight w:val="none"/>
              </w:rPr>
              <w:t>详见本章附表：监理综合评分表</w:t>
            </w:r>
          </w:p>
        </w:tc>
        <w:tc>
          <w:tcPr>
            <w:tcW w:w="5332" w:type="dxa"/>
            <w:vMerge w:val="restart"/>
            <w:tcBorders>
              <w:top w:val="single" w:color="auto" w:sz="4" w:space="0"/>
              <w:left w:val="single" w:color="auto" w:sz="4" w:space="0"/>
              <w:right w:val="single" w:color="auto" w:sz="4" w:space="0"/>
            </w:tcBorders>
            <w:noWrap/>
            <w:vAlign w:val="center"/>
          </w:tcPr>
          <w:p>
            <w:pPr>
              <w:ind w:left="1661" w:right="2063" w:hanging="1661" w:hangingChars="923"/>
              <w:jc w:val="center"/>
              <w:rPr>
                <w:rFonts w:ascii="宋体" w:hAnsi="宋体" w:cs="宋体"/>
                <w:color w:val="auto"/>
                <w:sz w:val="18"/>
                <w:szCs w:val="18"/>
                <w:highlight w:val="none"/>
              </w:rPr>
            </w:pPr>
            <w:r>
              <w:rPr>
                <w:rFonts w:hint="eastAsia" w:ascii="宋体" w:hAnsi="宋体" w:cs="宋体"/>
                <w:color w:val="auto"/>
                <w:sz w:val="18"/>
                <w:szCs w:val="18"/>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246" w:type="dxa"/>
            <w:gridSpan w:val="2"/>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ind w:left="234" w:right="-20"/>
              <w:jc w:val="center"/>
              <w:rPr>
                <w:rFonts w:ascii="宋体" w:hAnsi="宋体" w:cs="宋体"/>
                <w:color w:val="auto"/>
                <w:sz w:val="18"/>
                <w:szCs w:val="18"/>
                <w:highlight w:val="none"/>
              </w:rPr>
            </w:pPr>
            <w:r>
              <w:rPr>
                <w:rFonts w:hint="eastAsia" w:ascii="宋体" w:hAnsi="宋体" w:cs="宋体"/>
                <w:color w:val="auto"/>
                <w:sz w:val="18"/>
                <w:szCs w:val="18"/>
                <w:highlight w:val="none"/>
              </w:rPr>
              <w:t>2.2.4</w:t>
            </w:r>
          </w:p>
          <w:p>
            <w:pPr>
              <w:spacing w:before="86"/>
              <w:ind w:left="181" w:right="-20"/>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998"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spacing w:line="292" w:lineRule="auto"/>
              <w:ind w:left="136" w:right="59"/>
              <w:jc w:val="center"/>
              <w:rPr>
                <w:rFonts w:ascii="宋体" w:hAnsi="宋体" w:cs="宋体"/>
                <w:color w:val="auto"/>
                <w:sz w:val="18"/>
                <w:szCs w:val="18"/>
                <w:highlight w:val="none"/>
              </w:rPr>
            </w:pPr>
            <w:r>
              <w:rPr>
                <w:rFonts w:hint="eastAsia" w:ascii="宋体" w:hAnsi="宋体" w:cs="宋体"/>
                <w:color w:val="auto"/>
                <w:sz w:val="18"/>
                <w:szCs w:val="18"/>
                <w:highlight w:val="none"/>
              </w:rPr>
              <w:t>监理</w:t>
            </w:r>
            <w:r>
              <w:rPr>
                <w:rFonts w:hint="eastAsia" w:ascii="宋体" w:hAnsi="宋体" w:cs="宋体"/>
                <w:color w:val="auto"/>
                <w:spacing w:val="-2"/>
                <w:sz w:val="18"/>
                <w:szCs w:val="18"/>
                <w:highlight w:val="none"/>
              </w:rPr>
              <w:t>大</w:t>
            </w:r>
            <w:r>
              <w:rPr>
                <w:rFonts w:hint="eastAsia" w:ascii="宋体" w:hAnsi="宋体" w:cs="宋体"/>
                <w:color w:val="auto"/>
                <w:sz w:val="18"/>
                <w:szCs w:val="18"/>
                <w:highlight w:val="none"/>
              </w:rPr>
              <w:t>纲评分</w:t>
            </w:r>
            <w:r>
              <w:rPr>
                <w:rFonts w:hint="eastAsia" w:ascii="宋体" w:hAnsi="宋体" w:cs="宋体"/>
                <w:color w:val="auto"/>
                <w:spacing w:val="-2"/>
                <w:sz w:val="18"/>
                <w:szCs w:val="18"/>
                <w:highlight w:val="none"/>
              </w:rPr>
              <w:t>标</w:t>
            </w:r>
            <w:r>
              <w:rPr>
                <w:rFonts w:hint="eastAsia" w:ascii="宋体" w:hAnsi="宋体" w:cs="宋体"/>
                <w:color w:val="auto"/>
                <w:sz w:val="18"/>
                <w:szCs w:val="18"/>
                <w:highlight w:val="none"/>
              </w:rPr>
              <w:t>准</w:t>
            </w:r>
          </w:p>
        </w:tc>
        <w:tc>
          <w:tcPr>
            <w:tcW w:w="1661" w:type="dxa"/>
            <w:gridSpan w:val="2"/>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ind w:left="16" w:right="100"/>
              <w:jc w:val="center"/>
              <w:rPr>
                <w:rFonts w:ascii="宋体" w:hAnsi="宋体" w:cs="宋体"/>
                <w:color w:val="auto"/>
                <w:sz w:val="18"/>
                <w:szCs w:val="18"/>
                <w:highlight w:val="none"/>
              </w:rPr>
            </w:pPr>
            <w:r>
              <w:rPr>
                <w:rFonts w:hint="eastAsia" w:ascii="宋体" w:hAnsi="宋体" w:cs="宋体"/>
                <w:color w:val="auto"/>
                <w:sz w:val="18"/>
                <w:szCs w:val="18"/>
                <w:highlight w:val="none"/>
              </w:rPr>
              <w:t>详见本章附表：监理综合评分表</w:t>
            </w:r>
          </w:p>
        </w:tc>
        <w:tc>
          <w:tcPr>
            <w:tcW w:w="5332" w:type="dxa"/>
            <w:vMerge w:val="restart"/>
            <w:tcBorders>
              <w:top w:val="single" w:color="auto" w:sz="4" w:space="0"/>
              <w:left w:val="single" w:color="auto" w:sz="4" w:space="0"/>
              <w:bottom w:val="single" w:color="auto" w:sz="4" w:space="0"/>
              <w:right w:val="single" w:color="auto" w:sz="4" w:space="0"/>
            </w:tcBorders>
            <w:noWrap/>
            <w:vAlign w:val="center"/>
          </w:tcPr>
          <w:p>
            <w:pPr>
              <w:ind w:left="1665" w:right="2060" w:hanging="1665" w:hangingChars="925"/>
              <w:jc w:val="center"/>
              <w:rPr>
                <w:rFonts w:ascii="宋体" w:hAnsi="宋体" w:cs="宋体"/>
                <w:color w:val="auto"/>
                <w:sz w:val="18"/>
                <w:szCs w:val="18"/>
                <w:highlight w:val="none"/>
              </w:rPr>
            </w:pPr>
            <w:r>
              <w:rPr>
                <w:rFonts w:hint="eastAsia" w:ascii="宋体" w:hAnsi="宋体" w:cs="宋体"/>
                <w:color w:val="auto"/>
                <w:sz w:val="18"/>
                <w:szCs w:val="18"/>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46" w:type="dxa"/>
            <w:gridSpan w:val="2"/>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spacing w:line="3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2.2.4</w:t>
            </w:r>
          </w:p>
          <w:p>
            <w:pPr>
              <w:spacing w:line="3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865" w:type="dxa"/>
            <w:gridSpan w:val="2"/>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pPr>
              <w:spacing w:line="3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投标报价评分标准</w:t>
            </w:r>
          </w:p>
        </w:tc>
        <w:tc>
          <w:tcPr>
            <w:tcW w:w="794"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spacing w:line="3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偏差率</w:t>
            </w:r>
          </w:p>
        </w:tc>
        <w:tc>
          <w:tcPr>
            <w:tcW w:w="5332" w:type="dxa"/>
            <w:tcBorders>
              <w:top w:val="single" w:color="auto" w:sz="4" w:space="0"/>
              <w:left w:val="single" w:color="auto" w:sz="4" w:space="0"/>
              <w:bottom w:val="single" w:color="auto" w:sz="4" w:space="0"/>
              <w:right w:val="single" w:color="auto" w:sz="4" w:space="0"/>
            </w:tcBorders>
            <w:noWrap/>
            <w:vAlign w:val="center"/>
          </w:tcPr>
          <w:p>
            <w:pPr>
              <w:spacing w:line="340" w:lineRule="exact"/>
              <w:jc w:val="left"/>
              <w:rPr>
                <w:rFonts w:ascii="宋体" w:hAnsi="宋体" w:cs="宋体"/>
                <w:color w:val="auto"/>
                <w:sz w:val="18"/>
                <w:szCs w:val="18"/>
                <w:highlight w:val="none"/>
              </w:rPr>
            </w:pPr>
            <w:r>
              <w:rPr>
                <w:rFonts w:hint="eastAsia" w:ascii="宋体" w:hAnsi="宋体" w:cs="宋体"/>
                <w:color w:val="auto"/>
                <w:sz w:val="18"/>
                <w:szCs w:val="18"/>
                <w:highlight w:val="none"/>
              </w:rPr>
              <w:t>投标报价的偏差率=（有效投标报价-评标基准价）/评标基准价×100%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46"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spacing w:line="340" w:lineRule="exact"/>
              <w:jc w:val="center"/>
              <w:rPr>
                <w:rFonts w:ascii="宋体" w:hAnsi="宋体" w:cs="宋体"/>
                <w:color w:val="auto"/>
                <w:sz w:val="18"/>
                <w:szCs w:val="18"/>
                <w:highlight w:val="none"/>
              </w:rPr>
            </w:pPr>
          </w:p>
        </w:tc>
        <w:tc>
          <w:tcPr>
            <w:tcW w:w="1865" w:type="dxa"/>
            <w:gridSpan w:val="2"/>
            <w:vMerge w:val="continue"/>
            <w:tcBorders>
              <w:left w:val="single" w:color="auto" w:sz="4" w:space="0"/>
              <w:right w:val="single" w:color="auto" w:sz="4" w:space="0"/>
            </w:tcBorders>
            <w:noWrap/>
            <w:tcMar>
              <w:top w:w="0" w:type="dxa"/>
              <w:left w:w="57" w:type="dxa"/>
              <w:bottom w:w="0" w:type="dxa"/>
              <w:right w:w="57" w:type="dxa"/>
            </w:tcMar>
            <w:vAlign w:val="center"/>
          </w:tcPr>
          <w:p>
            <w:pPr>
              <w:spacing w:line="340" w:lineRule="exact"/>
              <w:jc w:val="center"/>
              <w:rPr>
                <w:rFonts w:ascii="宋体" w:hAnsi="宋体" w:cs="宋体"/>
                <w:color w:val="auto"/>
                <w:sz w:val="18"/>
                <w:szCs w:val="18"/>
                <w:highlight w:val="none"/>
              </w:rPr>
            </w:pPr>
          </w:p>
        </w:tc>
        <w:tc>
          <w:tcPr>
            <w:tcW w:w="794"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spacing w:line="3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计算</w:t>
            </w:r>
          </w:p>
          <w:p>
            <w:pPr>
              <w:spacing w:line="3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方法</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投标报价得分以评标参考价作为计算各有效投标报价得分的基础，当有效投标报价等于评标参考价时得10分；投标有效投价与评标参考价相比，每上偏扣1%扣</w:t>
            </w:r>
            <w:r>
              <w:rPr>
                <w:rFonts w:hint="eastAsia" w:ascii="宋体" w:hAnsi="宋体" w:cs="宋体"/>
                <w:color w:val="auto"/>
                <w:sz w:val="18"/>
                <w:szCs w:val="18"/>
                <w:highlight w:val="none"/>
                <w:lang w:val="en-US" w:eastAsia="zh-CN"/>
              </w:rPr>
              <w:t>1.5</w:t>
            </w:r>
            <w:r>
              <w:rPr>
                <w:rFonts w:hint="eastAsia" w:ascii="宋体" w:hAnsi="宋体" w:cs="宋体"/>
                <w:color w:val="auto"/>
                <w:sz w:val="18"/>
                <w:szCs w:val="18"/>
                <w:highlight w:val="none"/>
              </w:rPr>
              <w:t>分、下偏1%扣</w:t>
            </w:r>
            <w:r>
              <w:rPr>
                <w:rFonts w:hint="eastAsia" w:ascii="宋体" w:hAnsi="宋体" w:cs="宋体"/>
                <w:color w:val="auto"/>
                <w:sz w:val="18"/>
                <w:szCs w:val="18"/>
                <w:highlight w:val="none"/>
                <w:lang w:val="en-US" w:eastAsia="zh-CN"/>
              </w:rPr>
              <w:t>1.0</w:t>
            </w:r>
            <w:r>
              <w:rPr>
                <w:rFonts w:hint="eastAsia" w:ascii="宋体" w:hAnsi="宋体" w:cs="宋体"/>
                <w:color w:val="auto"/>
                <w:sz w:val="18"/>
                <w:szCs w:val="18"/>
                <w:highlight w:val="none"/>
              </w:rPr>
              <w:t>分</w:t>
            </w:r>
            <w:r>
              <w:rPr>
                <w:rFonts w:hint="eastAsia" w:ascii="宋体" w:hAnsi="宋体" w:cs="宋体"/>
                <w:color w:val="auto"/>
                <w:sz w:val="18"/>
                <w:szCs w:val="18"/>
                <w:highlight w:val="none"/>
                <w:lang w:eastAsia="zh-CN"/>
              </w:rPr>
              <w:t>，中间分值采用插值计算，</w:t>
            </w:r>
            <w:r>
              <w:rPr>
                <w:rFonts w:hint="eastAsia" w:ascii="宋体" w:hAnsi="宋体" w:cs="宋体"/>
                <w:color w:val="auto"/>
                <w:sz w:val="18"/>
                <w:szCs w:val="18"/>
                <w:highlight w:val="none"/>
              </w:rPr>
              <w:t>保留小数点后两位，小数点后第三位采用四舍五入方式计算，最多扣10分。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24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2.2.4</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（4）</w:t>
            </w:r>
          </w:p>
        </w:tc>
        <w:tc>
          <w:tcPr>
            <w:tcW w:w="1865"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其他因素（诚信综合评价）评分标准</w:t>
            </w:r>
          </w:p>
        </w:tc>
        <w:tc>
          <w:tcPr>
            <w:tcW w:w="794"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0分）</w:t>
            </w:r>
          </w:p>
        </w:tc>
        <w:tc>
          <w:tcPr>
            <w:tcW w:w="5332"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auto"/>
                <w:szCs w:val="21"/>
                <w:highlight w:val="none"/>
                <w:u w:val="none"/>
              </w:rPr>
            </w:pPr>
            <w:r>
              <w:rPr>
                <w:rFonts w:hint="eastAsia" w:ascii="宋体" w:hAnsi="宋体" w:cs="宋体"/>
                <w:color w:val="auto"/>
                <w:szCs w:val="21"/>
                <w:highlight w:val="none"/>
                <w:u w:val="none"/>
              </w:rPr>
              <w:t>（若为联合体投标，由联合体主办方提供）</w:t>
            </w:r>
          </w:p>
          <w:p>
            <w:pPr>
              <w:rPr>
                <w:rFonts w:ascii="宋体" w:hAnsi="宋体" w:cs="宋体"/>
                <w:color w:val="auto"/>
                <w:sz w:val="18"/>
                <w:szCs w:val="18"/>
                <w:highlight w:val="none"/>
              </w:rPr>
            </w:pPr>
            <w:r>
              <w:rPr>
                <w:rFonts w:hint="eastAsia" w:ascii="宋体" w:hAnsi="宋体" w:cs="宋体"/>
                <w:color w:val="auto"/>
                <w:sz w:val="18"/>
                <w:szCs w:val="18"/>
                <w:highlight w:val="none"/>
              </w:rPr>
              <w:t>投标人诚信得分=企业的诚信综合评价排名得分×</w:t>
            </w: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0%。企业的诚信综合评价排名得分以投标截止当日</w:t>
            </w:r>
            <w:r>
              <w:rPr>
                <w:rFonts w:hint="eastAsia" w:ascii="宋体" w:hAnsi="宋体" w:cs="宋体"/>
                <w:color w:val="auto"/>
                <w:sz w:val="18"/>
                <w:szCs w:val="18"/>
                <w:highlight w:val="none"/>
                <w:lang w:eastAsia="zh-CN"/>
              </w:rPr>
              <w:t>广州市工程招标行业协会网站</w:t>
            </w:r>
            <w:r>
              <w:rPr>
                <w:rFonts w:hint="eastAsia" w:ascii="宋体" w:hAnsi="宋体" w:cs="宋体"/>
                <w:color w:val="auto"/>
                <w:sz w:val="18"/>
                <w:szCs w:val="18"/>
                <w:highlight w:val="none"/>
              </w:rPr>
              <w:t>监理企业专栏上公布的企业60日诚信分得分为准。企业诚信综合诚信评价排名得分以</w:t>
            </w:r>
            <w:r>
              <w:rPr>
                <w:rFonts w:hint="eastAsia" w:ascii="宋体" w:hAnsi="宋体" w:cs="宋体"/>
                <w:b/>
                <w:bCs/>
                <w:color w:val="auto"/>
                <w:sz w:val="18"/>
                <w:szCs w:val="18"/>
                <w:highlight w:val="none"/>
              </w:rPr>
              <w:t>监理-房建</w:t>
            </w:r>
            <w:r>
              <w:rPr>
                <w:rFonts w:hint="eastAsia" w:ascii="宋体" w:hAnsi="宋体" w:cs="宋体"/>
                <w:color w:val="auto"/>
                <w:sz w:val="18"/>
                <w:szCs w:val="18"/>
                <w:highlight w:val="none"/>
              </w:rPr>
              <w:t>排名得分为准。</w:t>
            </w:r>
          </w:p>
        </w:tc>
      </w:tr>
    </w:tbl>
    <w:p>
      <w:pPr>
        <w:rPr>
          <w:rFonts w:ascii="宋体" w:hAnsi="宋体" w:cs="宋体"/>
          <w:color w:val="auto"/>
          <w:sz w:val="18"/>
          <w:szCs w:val="18"/>
          <w:highlight w:val="none"/>
        </w:rPr>
      </w:pPr>
    </w:p>
    <w:p>
      <w:pPr>
        <w:spacing w:line="360" w:lineRule="auto"/>
        <w:ind w:left="100" w:right="-20"/>
        <w:jc w:val="left"/>
        <w:outlineLvl w:val="2"/>
        <w:rPr>
          <w:rFonts w:ascii="宋体" w:hAnsi="宋体" w:cs="宋体"/>
          <w:color w:val="auto"/>
          <w:highlight w:val="none"/>
        </w:rPr>
      </w:pPr>
      <w:r>
        <w:rPr>
          <w:rFonts w:hint="eastAsia" w:ascii="宋体" w:hAnsi="宋体" w:cs="宋体"/>
          <w:color w:val="auto"/>
          <w:spacing w:val="1"/>
          <w:highlight w:val="none"/>
        </w:rPr>
        <w:br w:type="page"/>
      </w:r>
      <w:bookmarkStart w:id="229" w:name="_Toc27158"/>
      <w:bookmarkStart w:id="230" w:name="_Toc14886"/>
      <w:r>
        <w:rPr>
          <w:rFonts w:hint="eastAsia" w:ascii="宋体" w:hAnsi="宋体" w:cs="宋体"/>
          <w:b/>
          <w:bCs/>
          <w:color w:val="auto"/>
          <w:sz w:val="30"/>
          <w:szCs w:val="30"/>
          <w:highlight w:val="none"/>
        </w:rPr>
        <w:t>1.评标方法</w:t>
      </w:r>
      <w:bookmarkEnd w:id="229"/>
      <w:bookmarkEnd w:id="230"/>
    </w:p>
    <w:p>
      <w:pPr>
        <w:spacing w:line="360" w:lineRule="auto"/>
        <w:ind w:left="100" w:right="-20" w:firstLine="420" w:firstLineChars="200"/>
        <w:jc w:val="left"/>
        <w:rPr>
          <w:rFonts w:ascii="宋体" w:hAnsi="宋体" w:cs="宋体"/>
          <w:color w:val="auto"/>
          <w:sz w:val="21"/>
          <w:szCs w:val="21"/>
          <w:highlight w:val="none"/>
        </w:rPr>
      </w:pPr>
      <w:bookmarkStart w:id="231" w:name="_Toc14766"/>
      <w:bookmarkStart w:id="232" w:name="_Toc24988"/>
      <w:r>
        <w:rPr>
          <w:rFonts w:hint="eastAsia" w:ascii="宋体" w:hAnsi="宋体" w:cs="宋体"/>
          <w:color w:val="auto"/>
          <w:sz w:val="21"/>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bookmarkEnd w:id="231"/>
      <w:bookmarkEnd w:id="232"/>
    </w:p>
    <w:p>
      <w:pPr>
        <w:spacing w:line="360" w:lineRule="auto"/>
        <w:ind w:left="100" w:right="-20"/>
        <w:jc w:val="left"/>
        <w:outlineLvl w:val="2"/>
        <w:rPr>
          <w:rFonts w:ascii="宋体" w:hAnsi="宋体" w:cs="宋体"/>
          <w:b/>
          <w:bCs/>
          <w:color w:val="auto"/>
          <w:sz w:val="30"/>
          <w:szCs w:val="30"/>
          <w:highlight w:val="none"/>
        </w:rPr>
      </w:pPr>
      <w:bookmarkStart w:id="233" w:name="_Toc2348"/>
      <w:bookmarkStart w:id="234" w:name="_Toc16443"/>
      <w:r>
        <w:rPr>
          <w:rFonts w:hint="eastAsia" w:ascii="宋体" w:hAnsi="宋体" w:cs="宋体"/>
          <w:b/>
          <w:bCs/>
          <w:color w:val="auto"/>
          <w:sz w:val="30"/>
          <w:szCs w:val="30"/>
          <w:highlight w:val="none"/>
        </w:rPr>
        <w:t>2. 评审标准</w:t>
      </w:r>
      <w:bookmarkEnd w:id="214"/>
      <w:bookmarkEnd w:id="215"/>
      <w:bookmarkEnd w:id="216"/>
      <w:bookmarkEnd w:id="217"/>
      <w:bookmarkEnd w:id="218"/>
      <w:bookmarkEnd w:id="219"/>
      <w:bookmarkEnd w:id="220"/>
      <w:bookmarkEnd w:id="221"/>
      <w:bookmarkEnd w:id="233"/>
      <w:bookmarkEnd w:id="234"/>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z w:val="28"/>
          <w:highlight w:val="none"/>
        </w:rPr>
        <w:t>2.1 初步评审标准</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2.1.1 形式评审标准：见评标办法前附表。</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2.1.2 资格评审标准：见评标办法前附表。</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2.1.3 响应性评审标准：见评标办法前附表。</w:t>
      </w:r>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z w:val="28"/>
          <w:highlight w:val="none"/>
        </w:rPr>
        <w:t>2.2 分值构成与评分标准</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2.2.1 分值构成</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（1）资信业绩部分：见评标办法前附表；</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（2）监理大纲部分：见评标办法前附表；</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（3）投标报价：见评标办法前附表；</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（4）其他因素（</w:t>
      </w:r>
      <w:r>
        <w:rPr>
          <w:rFonts w:hint="eastAsia" w:ascii="宋体" w:hAnsi="宋体"/>
          <w:color w:val="auto"/>
          <w:szCs w:val="21"/>
          <w:highlight w:val="none"/>
        </w:rPr>
        <w:t>诚信综合评价</w:t>
      </w:r>
      <w:r>
        <w:rPr>
          <w:rFonts w:hint="eastAsia" w:ascii="宋体" w:hAnsi="宋体" w:cs="宋体"/>
          <w:color w:val="auto"/>
          <w:highlight w:val="none"/>
        </w:rPr>
        <w:t>）：见评标办法前附表；</w:t>
      </w:r>
    </w:p>
    <w:p>
      <w:pPr>
        <w:spacing w:line="360" w:lineRule="auto"/>
        <w:ind w:left="522"/>
        <w:jc w:val="left"/>
        <w:rPr>
          <w:rFonts w:ascii="宋体" w:hAnsi="宋体" w:cs="宋体"/>
          <w:color w:val="auto"/>
          <w:highlight w:val="none"/>
        </w:rPr>
      </w:pPr>
      <w:r>
        <w:rPr>
          <w:rFonts w:hint="eastAsia" w:ascii="宋体" w:hAnsi="宋体" w:cs="宋体"/>
          <w:color w:val="auto"/>
          <w:highlight w:val="none"/>
        </w:rPr>
        <w:t>2.2.2 评标基准价计算评标基准价计算方法：见评标办法前附表。</w:t>
      </w:r>
    </w:p>
    <w:p>
      <w:pPr>
        <w:spacing w:line="360" w:lineRule="auto"/>
        <w:ind w:left="520" w:right="40"/>
        <w:jc w:val="left"/>
        <w:rPr>
          <w:rFonts w:ascii="宋体" w:hAnsi="宋体" w:cs="宋体"/>
          <w:color w:val="auto"/>
          <w:highlight w:val="none"/>
        </w:rPr>
      </w:pPr>
      <w:r>
        <w:rPr>
          <w:rFonts w:hint="eastAsia" w:ascii="宋体" w:hAnsi="宋体" w:cs="宋体"/>
          <w:color w:val="auto"/>
          <w:highlight w:val="none"/>
        </w:rPr>
        <w:t>2.2.3 投标报价的偏差率计算投标报价的偏差率计算公式：见评标办法前附表。</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2.2.4 评分标准</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（1）资信业绩评分标准：见评标办法前附表；</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（2）监理大纲评分标准：见评标办法前附表；</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（3）投标报价评分标准：见评标办法前附表；</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（4）其他因素（</w:t>
      </w:r>
      <w:r>
        <w:rPr>
          <w:rFonts w:hint="eastAsia" w:ascii="宋体" w:hAnsi="宋体"/>
          <w:color w:val="auto"/>
          <w:szCs w:val="21"/>
          <w:highlight w:val="none"/>
        </w:rPr>
        <w:t>诚信综合评价</w:t>
      </w:r>
      <w:r>
        <w:rPr>
          <w:rFonts w:hint="eastAsia" w:ascii="宋体" w:hAnsi="宋体" w:cs="宋体"/>
          <w:color w:val="auto"/>
          <w:highlight w:val="none"/>
        </w:rPr>
        <w:t>）评分标准：见评标办法前附表；</w:t>
      </w:r>
    </w:p>
    <w:p>
      <w:pPr>
        <w:spacing w:line="360" w:lineRule="auto"/>
        <w:ind w:left="520" w:right="-20"/>
        <w:jc w:val="left"/>
        <w:rPr>
          <w:rFonts w:ascii="宋体" w:hAnsi="宋体" w:cs="宋体"/>
          <w:b/>
          <w:bCs/>
          <w:color w:val="auto"/>
          <w:sz w:val="30"/>
          <w:szCs w:val="30"/>
          <w:highlight w:val="none"/>
        </w:rPr>
      </w:pPr>
      <w:bookmarkStart w:id="235" w:name="_Toc19467"/>
      <w:bookmarkStart w:id="236" w:name="_Toc31897"/>
      <w:bookmarkStart w:id="237" w:name="_Toc4430"/>
      <w:bookmarkStart w:id="238" w:name="_Toc11432"/>
      <w:bookmarkStart w:id="239" w:name="_Toc15457"/>
      <w:bookmarkStart w:id="240" w:name="_Toc27547"/>
      <w:bookmarkStart w:id="241" w:name="_Toc3926"/>
      <w:bookmarkStart w:id="242" w:name="_Toc21409"/>
      <w:bookmarkStart w:id="243" w:name="_Toc673"/>
      <w:r>
        <w:rPr>
          <w:rFonts w:hint="eastAsia" w:ascii="宋体" w:hAnsi="宋体" w:cs="宋体"/>
          <w:b/>
          <w:bCs/>
          <w:color w:val="auto"/>
          <w:sz w:val="30"/>
          <w:szCs w:val="30"/>
          <w:highlight w:val="none"/>
        </w:rPr>
        <w:t>3. 评标程序</w:t>
      </w:r>
      <w:bookmarkEnd w:id="235"/>
      <w:bookmarkEnd w:id="236"/>
      <w:bookmarkEnd w:id="237"/>
      <w:bookmarkEnd w:id="238"/>
      <w:bookmarkEnd w:id="239"/>
      <w:bookmarkEnd w:id="240"/>
      <w:bookmarkEnd w:id="241"/>
      <w:bookmarkEnd w:id="242"/>
      <w:bookmarkEnd w:id="243"/>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z w:val="28"/>
          <w:highlight w:val="none"/>
        </w:rPr>
        <w:t>3.1 初步评审</w:t>
      </w:r>
    </w:p>
    <w:p>
      <w:pPr>
        <w:spacing w:line="360" w:lineRule="auto"/>
        <w:ind w:left="100" w:right="39" w:firstLine="420"/>
        <w:jc w:val="left"/>
        <w:rPr>
          <w:rFonts w:ascii="宋体" w:hAnsi="宋体" w:cs="宋体"/>
          <w:color w:val="auto"/>
          <w:highlight w:val="none"/>
        </w:rPr>
      </w:pPr>
      <w:r>
        <w:rPr>
          <w:rFonts w:hint="eastAsia" w:ascii="宋体" w:hAnsi="宋体" w:cs="宋体"/>
          <w:color w:val="auto"/>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3.1.2 投标人有以下情形之一的，评标委员会应当否决其投标：</w:t>
      </w:r>
    </w:p>
    <w:p>
      <w:pPr>
        <w:spacing w:line="360" w:lineRule="auto"/>
        <w:ind w:left="100" w:right="139" w:firstLine="420"/>
        <w:jc w:val="left"/>
        <w:rPr>
          <w:rFonts w:ascii="宋体" w:hAnsi="宋体" w:cs="宋体"/>
          <w:color w:val="auto"/>
          <w:highlight w:val="none"/>
        </w:rPr>
      </w:pPr>
      <w:r>
        <w:rPr>
          <w:rFonts w:hint="eastAsia" w:ascii="宋体" w:hAnsi="宋体" w:cs="宋体"/>
          <w:color w:val="auto"/>
          <w:highlight w:val="none"/>
        </w:rPr>
        <w:t>（1）投标文件没有对招标文件的实质性要求和条件作出响应，或者对招标文件的偏差超出招标文件规定的偏差范围或最高项数；</w:t>
      </w:r>
    </w:p>
    <w:p>
      <w:pPr>
        <w:spacing w:line="360" w:lineRule="auto"/>
        <w:ind w:left="520" w:right="-20"/>
        <w:jc w:val="left"/>
        <w:rPr>
          <w:rFonts w:hint="eastAsia" w:ascii="宋体" w:hAnsi="宋体" w:cs="宋体"/>
          <w:color w:val="auto"/>
          <w:highlight w:val="none"/>
        </w:rPr>
      </w:pPr>
      <w:r>
        <w:rPr>
          <w:rFonts w:hint="eastAsia" w:ascii="宋体" w:hAnsi="宋体" w:cs="宋体"/>
          <w:color w:val="auto"/>
          <w:highlight w:val="none"/>
        </w:rPr>
        <w:t>（2）有串通投标、弄虚作假、行贿等违法行为。</w:t>
      </w:r>
    </w:p>
    <w:p>
      <w:pPr>
        <w:spacing w:line="360" w:lineRule="auto"/>
        <w:ind w:left="520" w:right="-20"/>
        <w:jc w:val="left"/>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注：</w:t>
      </w:r>
      <w:r>
        <w:rPr>
          <w:rFonts w:hint="eastAsia" w:ascii="宋体" w:hAnsi="宋体" w:eastAsia="宋体" w:cs="宋体"/>
          <w:b/>
          <w:bCs/>
          <w:color w:val="auto"/>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初步评审，不得直接否决投标，若出现评标委员会否决投标的，应在评标报告中载明否决投标的具体情形、原因。若评委意见不一致时，则按少数服从多数的原则，作出评审结论。</w:t>
      </w:r>
      <w:r>
        <w:rPr>
          <w:rFonts w:hint="eastAsia" w:ascii="宋体" w:hAnsi="宋体" w:eastAsia="宋体" w:cs="宋体"/>
          <w:b/>
          <w:bCs/>
          <w:color w:val="auto"/>
          <w:highlight w:val="none"/>
          <w:lang w:eastAsia="zh-CN"/>
        </w:rPr>
        <w:t>）</w:t>
      </w:r>
    </w:p>
    <w:p>
      <w:pPr>
        <w:spacing w:line="360" w:lineRule="auto"/>
        <w:ind w:left="100" w:right="139" w:firstLine="420"/>
        <w:jc w:val="left"/>
        <w:rPr>
          <w:rFonts w:ascii="宋体" w:hAnsi="宋体" w:cs="宋体"/>
          <w:color w:val="auto"/>
          <w:highlight w:val="none"/>
        </w:rPr>
      </w:pPr>
      <w:r>
        <w:rPr>
          <w:rFonts w:hint="eastAsia" w:ascii="宋体" w:hAnsi="宋体" w:cs="宋体"/>
          <w:color w:val="auto"/>
          <w:highlight w:val="none"/>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（1）投标文件中的大写金额与小写金额不一致的，以大写金额为准；</w:t>
      </w:r>
    </w:p>
    <w:p>
      <w:pPr>
        <w:spacing w:line="360" w:lineRule="auto"/>
        <w:ind w:left="100" w:right="142" w:firstLine="420"/>
        <w:jc w:val="left"/>
        <w:rPr>
          <w:rFonts w:ascii="宋体" w:hAnsi="宋体" w:cs="宋体"/>
          <w:color w:val="auto"/>
          <w:highlight w:val="none"/>
        </w:rPr>
      </w:pPr>
      <w:r>
        <w:rPr>
          <w:rFonts w:hint="eastAsia" w:ascii="宋体" w:hAnsi="宋体" w:cs="宋体"/>
          <w:color w:val="auto"/>
          <w:highlight w:val="none"/>
        </w:rPr>
        <w:t>（2）总价金额与单价金额不一致的，以单价金额为准，但单价金额小数点有明显错误的除外。</w:t>
      </w:r>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z w:val="28"/>
          <w:highlight w:val="none"/>
        </w:rPr>
        <w:t>3.2 详细评审</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3.2.1 评标委员会按本章第 2.2 款规定的量化因素和分值进行打分，并计算出综合评估得分。</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（1）按本章第 2.2.4（1）目规定的评审因素和分值对资信业绩部分计算出得分A；</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（2）按本章第 2.2.4（2）目规定的评审因素和分值对监理大纲部分计算出得分B；</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（3）按本章第 2.2.4（3）目规定的评审因素和分值对投标报价计算出得分C；</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（4）按本章第 2.2.4（4）目规定的评审因素和分值对</w:t>
      </w:r>
      <w:r>
        <w:rPr>
          <w:rFonts w:hint="eastAsia" w:ascii="宋体" w:hAnsi="宋体" w:cs="宋体"/>
          <w:color w:val="auto"/>
          <w:highlight w:val="none"/>
          <w:lang w:val="en-US" w:eastAsia="zh-CN"/>
        </w:rPr>
        <w:t>其他因素</w:t>
      </w:r>
      <w:r>
        <w:rPr>
          <w:rFonts w:hint="eastAsia" w:ascii="宋体" w:hAnsi="宋体" w:cs="宋体"/>
          <w:color w:val="auto"/>
          <w:highlight w:val="none"/>
        </w:rPr>
        <w:t>（</w:t>
      </w:r>
      <w:r>
        <w:rPr>
          <w:rFonts w:hint="eastAsia" w:ascii="宋体" w:hAnsi="宋体"/>
          <w:color w:val="auto"/>
          <w:szCs w:val="21"/>
          <w:highlight w:val="none"/>
        </w:rPr>
        <w:t>诚信综合评价</w:t>
      </w:r>
      <w:r>
        <w:rPr>
          <w:rFonts w:hint="eastAsia" w:ascii="宋体" w:hAnsi="宋体" w:cs="宋体"/>
          <w:color w:val="auto"/>
          <w:highlight w:val="none"/>
        </w:rPr>
        <w:t>）计算出得分D；</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3.2.2 评分分值计算保留小数点后两位，小数点后第三位“四舍五入”。</w:t>
      </w:r>
    </w:p>
    <w:p>
      <w:pPr>
        <w:spacing w:line="360" w:lineRule="auto"/>
        <w:ind w:left="520" w:right="-20"/>
        <w:jc w:val="left"/>
        <w:rPr>
          <w:rFonts w:ascii="宋体" w:hAnsi="宋体" w:cs="宋体"/>
          <w:color w:val="auto"/>
          <w:highlight w:val="none"/>
        </w:rPr>
      </w:pPr>
      <w:r>
        <w:rPr>
          <w:rFonts w:hint="eastAsia" w:ascii="宋体" w:hAnsi="宋体" w:cs="宋体"/>
          <w:color w:val="auto"/>
          <w:highlight w:val="none"/>
        </w:rPr>
        <w:t>3.2.3 投标人得分</w:t>
      </w:r>
      <w:r>
        <w:rPr>
          <w:rFonts w:hint="eastAsia" w:ascii="宋体" w:hAnsi="宋体" w:cs="宋体"/>
          <w:color w:val="auto"/>
          <w:szCs w:val="21"/>
          <w:highlight w:val="none"/>
        </w:rPr>
        <w:t>=A+B+C+D</w:t>
      </w:r>
      <w:r>
        <w:rPr>
          <w:rFonts w:hint="eastAsia" w:ascii="宋体" w:hAnsi="宋体" w:cs="宋体"/>
          <w:color w:val="auto"/>
          <w:highlight w:val="none"/>
        </w:rPr>
        <w:t>。</w:t>
      </w:r>
    </w:p>
    <w:p>
      <w:pPr>
        <w:spacing w:line="360" w:lineRule="auto"/>
        <w:ind w:left="100" w:right="139" w:firstLine="420"/>
        <w:rPr>
          <w:rFonts w:ascii="宋体" w:hAnsi="宋体" w:cs="宋体"/>
          <w:color w:val="auto"/>
          <w:highlight w:val="none"/>
        </w:rPr>
      </w:pPr>
      <w:r>
        <w:rPr>
          <w:rFonts w:hint="eastAsia" w:ascii="宋体" w:hAnsi="宋体" w:cs="宋体"/>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z w:val="28"/>
          <w:highlight w:val="none"/>
        </w:rPr>
        <w:t>3.3 投标文件的澄清</w:t>
      </w:r>
    </w:p>
    <w:p>
      <w:pPr>
        <w:spacing w:line="360" w:lineRule="auto"/>
        <w:ind w:left="100" w:right="139" w:firstLine="420"/>
        <w:rPr>
          <w:rFonts w:ascii="宋体" w:hAnsi="宋体" w:cs="宋体"/>
          <w:color w:val="auto"/>
          <w:highlight w:val="none"/>
        </w:rPr>
      </w:pPr>
      <w:r>
        <w:rPr>
          <w:rFonts w:hint="eastAsia" w:ascii="宋体" w:hAnsi="宋体" w:cs="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left="100" w:right="139" w:firstLine="420"/>
        <w:jc w:val="left"/>
        <w:rPr>
          <w:rFonts w:ascii="宋体" w:hAnsi="宋体" w:cs="宋体"/>
          <w:color w:val="auto"/>
          <w:highlight w:val="none"/>
        </w:rPr>
      </w:pPr>
      <w:r>
        <w:rPr>
          <w:rFonts w:hint="eastAsia" w:ascii="宋体" w:hAnsi="宋体" w:cs="宋体"/>
          <w:color w:val="auto"/>
          <w:highlight w:val="none"/>
        </w:rPr>
        <w:t>3.3.2 澄清、说明或补正不得超出投标文件的范围且不得改变投标文件的实质性内容，并构成投标文件的组成部分。</w:t>
      </w:r>
    </w:p>
    <w:p>
      <w:pPr>
        <w:spacing w:line="360" w:lineRule="auto"/>
        <w:ind w:left="100" w:right="34" w:firstLine="420"/>
        <w:jc w:val="left"/>
        <w:rPr>
          <w:rFonts w:ascii="宋体" w:hAnsi="宋体" w:cs="宋体"/>
          <w:color w:val="auto"/>
          <w:highlight w:val="none"/>
        </w:rPr>
      </w:pPr>
      <w:r>
        <w:rPr>
          <w:rFonts w:hint="eastAsia" w:ascii="宋体" w:hAnsi="宋体" w:cs="宋体"/>
          <w:color w:val="auto"/>
          <w:highlight w:val="none"/>
        </w:rPr>
        <w:t>3.3.3 评标委员会对投标人提交的澄清、说明或补正有疑问的，可以要求投标人进一步澄清、说明或补正，直至满足评标委员会的要求。</w:t>
      </w:r>
    </w:p>
    <w:p>
      <w:pPr>
        <w:spacing w:line="360" w:lineRule="auto"/>
        <w:ind w:left="237" w:right="-20"/>
        <w:jc w:val="left"/>
        <w:rPr>
          <w:rFonts w:ascii="宋体" w:hAnsi="宋体" w:cs="宋体"/>
          <w:b/>
          <w:bCs/>
          <w:color w:val="auto"/>
          <w:sz w:val="28"/>
          <w:highlight w:val="none"/>
        </w:rPr>
      </w:pPr>
      <w:r>
        <w:rPr>
          <w:rFonts w:hint="eastAsia" w:ascii="宋体" w:hAnsi="宋体" w:cs="宋体"/>
          <w:b/>
          <w:bCs/>
          <w:color w:val="auto"/>
          <w:sz w:val="28"/>
          <w:highlight w:val="none"/>
        </w:rPr>
        <w:t>3.4 评标结果</w:t>
      </w:r>
    </w:p>
    <w:p>
      <w:pPr>
        <w:spacing w:line="360" w:lineRule="auto"/>
        <w:ind w:left="100" w:right="141" w:firstLine="420"/>
        <w:jc w:val="left"/>
        <w:rPr>
          <w:rFonts w:ascii="宋体" w:hAnsi="宋体" w:cs="宋体"/>
          <w:color w:val="auto"/>
          <w:highlight w:val="none"/>
        </w:rPr>
      </w:pPr>
      <w:r>
        <w:rPr>
          <w:rFonts w:hint="eastAsia" w:ascii="宋体" w:hAnsi="宋体" w:cs="宋体"/>
          <w:color w:val="auto"/>
          <w:highlight w:val="none"/>
        </w:rPr>
        <w:t>3.4.1 除第二章“投标人须知”前附表授权直接确定中标人外，评标委员会按照得分由高到低的顺序推荐中标候选人，并标明排序。</w:t>
      </w:r>
    </w:p>
    <w:p>
      <w:pPr>
        <w:spacing w:line="360" w:lineRule="auto"/>
        <w:ind w:left="484" w:right="711"/>
        <w:jc w:val="left"/>
        <w:rPr>
          <w:rFonts w:ascii="宋体" w:hAnsi="宋体" w:cs="宋体"/>
          <w:color w:val="auto"/>
          <w:highlight w:val="none"/>
        </w:rPr>
      </w:pPr>
      <w:r>
        <w:rPr>
          <w:rFonts w:hint="eastAsia" w:ascii="宋体" w:hAnsi="宋体" w:cs="宋体"/>
          <w:color w:val="auto"/>
          <w:highlight w:val="none"/>
        </w:rPr>
        <w:t>3.4.2 评标委员会完成评标后，应当向招标人提交书面评标报告和中标候选人名单。</w:t>
      </w:r>
    </w:p>
    <w:bookmarkEnd w:id="212"/>
    <w:bookmarkEnd w:id="213"/>
    <w:bookmarkEnd w:id="222"/>
    <w:bookmarkEnd w:id="223"/>
    <w:bookmarkEnd w:id="224"/>
    <w:bookmarkEnd w:id="225"/>
    <w:bookmarkEnd w:id="226"/>
    <w:bookmarkEnd w:id="227"/>
    <w:bookmarkEnd w:id="228"/>
    <w:p>
      <w:pPr>
        <w:pStyle w:val="4"/>
        <w:spacing w:line="410" w:lineRule="auto"/>
        <w:rPr>
          <w:rFonts w:ascii="宋体" w:hAnsi="宋体" w:cs="宋体"/>
          <w:b w:val="0"/>
          <w:bCs w:val="0"/>
          <w:color w:val="auto"/>
          <w:sz w:val="30"/>
          <w:szCs w:val="30"/>
          <w:highlight w:val="none"/>
        </w:rPr>
      </w:pPr>
      <w:r>
        <w:rPr>
          <w:rFonts w:hint="eastAsia" w:ascii="宋体" w:hAnsi="宋体" w:cs="宋体"/>
          <w:b w:val="0"/>
          <w:bCs w:val="0"/>
          <w:color w:val="auto"/>
          <w:sz w:val="30"/>
          <w:szCs w:val="30"/>
          <w:highlight w:val="none"/>
        </w:rPr>
        <w:br w:type="page"/>
      </w:r>
      <w:bookmarkStart w:id="244" w:name="_Toc18312"/>
      <w:bookmarkStart w:id="245" w:name="_Toc9510"/>
      <w:bookmarkStart w:id="246" w:name="_Toc19025"/>
      <w:bookmarkStart w:id="247" w:name="_Toc29623"/>
      <w:bookmarkStart w:id="248" w:name="_Toc9513"/>
      <w:bookmarkStart w:id="249" w:name="_Toc5121"/>
      <w:bookmarkStart w:id="250" w:name="_Toc30119"/>
      <w:bookmarkStart w:id="251" w:name="_Toc20295"/>
      <w:bookmarkStart w:id="252" w:name="_Toc2742"/>
      <w:bookmarkStart w:id="253" w:name="_Toc18679"/>
      <w:bookmarkStart w:id="254" w:name="_Toc28189"/>
      <w:bookmarkStart w:id="255" w:name="_Toc11328"/>
      <w:r>
        <w:rPr>
          <w:rFonts w:hint="eastAsia" w:ascii="宋体" w:hAnsi="宋体" w:cs="宋体"/>
          <w:b w:val="0"/>
          <w:bCs w:val="0"/>
          <w:color w:val="auto"/>
          <w:sz w:val="30"/>
          <w:szCs w:val="30"/>
          <w:highlight w:val="none"/>
        </w:rPr>
        <w:t>附表一：形式评审表</w:t>
      </w:r>
      <w:bookmarkEnd w:id="244"/>
      <w:bookmarkEnd w:id="245"/>
      <w:bookmarkEnd w:id="246"/>
      <w:bookmarkEnd w:id="247"/>
      <w:bookmarkEnd w:id="248"/>
      <w:bookmarkEnd w:id="249"/>
      <w:bookmarkEnd w:id="250"/>
      <w:bookmarkEnd w:id="251"/>
      <w:bookmarkEnd w:id="252"/>
      <w:bookmarkEnd w:id="253"/>
      <w:bookmarkEnd w:id="254"/>
      <w:bookmarkEnd w:id="255"/>
    </w:p>
    <w:p>
      <w:pPr>
        <w:spacing w:line="360" w:lineRule="auto"/>
        <w:ind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项目名称：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8"/>
        <w:gridCol w:w="3041"/>
        <w:gridCol w:w="779"/>
        <w:gridCol w:w="779"/>
        <w:gridCol w:w="780"/>
        <w:gridCol w:w="779"/>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04"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编号</w:t>
            </w:r>
          </w:p>
        </w:tc>
        <w:tc>
          <w:tcPr>
            <w:tcW w:w="4639" w:type="dxa"/>
            <w:gridSpan w:val="2"/>
            <w:tcBorders>
              <w:tl2br w:val="single" w:color="auto" w:sz="4" w:space="0"/>
            </w:tcBorders>
            <w:noWrap/>
            <w:vAlign w:val="center"/>
          </w:tcPr>
          <w:p>
            <w:pPr>
              <w:tabs>
                <w:tab w:val="left" w:pos="720"/>
              </w:tabs>
              <w:snapToGrid w:val="0"/>
              <w:ind w:firstLine="3240" w:firstLineChars="1800"/>
              <w:rPr>
                <w:rFonts w:ascii="宋体" w:hAnsi="宋体" w:cs="宋体"/>
                <w:color w:val="auto"/>
                <w:sz w:val="18"/>
                <w:szCs w:val="18"/>
                <w:highlight w:val="none"/>
              </w:rPr>
            </w:pPr>
            <w:r>
              <w:rPr>
                <w:rFonts w:hint="eastAsia" w:ascii="宋体" w:hAnsi="宋体" w:cs="宋体"/>
                <w:color w:val="auto"/>
                <w:sz w:val="18"/>
                <w:szCs w:val="18"/>
                <w:highlight w:val="none"/>
              </w:rPr>
              <w:t>投标人名称</w:t>
            </w:r>
          </w:p>
          <w:p>
            <w:pPr>
              <w:tabs>
                <w:tab w:val="left" w:pos="720"/>
              </w:tabs>
              <w:snapToGrid w:val="0"/>
              <w:rPr>
                <w:rFonts w:ascii="宋体" w:hAnsi="宋体" w:cs="宋体"/>
                <w:color w:val="auto"/>
                <w:sz w:val="18"/>
                <w:szCs w:val="18"/>
                <w:highlight w:val="none"/>
              </w:rPr>
            </w:pPr>
          </w:p>
          <w:p>
            <w:pPr>
              <w:tabs>
                <w:tab w:val="left" w:pos="720"/>
              </w:tabs>
              <w:snapToGrid w:val="0"/>
              <w:rPr>
                <w:rFonts w:ascii="宋体" w:hAnsi="宋体" w:cs="宋体"/>
                <w:color w:val="auto"/>
                <w:sz w:val="18"/>
                <w:szCs w:val="18"/>
                <w:highlight w:val="none"/>
              </w:rPr>
            </w:pPr>
            <w:r>
              <w:rPr>
                <w:rFonts w:hint="eastAsia" w:ascii="宋体" w:hAnsi="宋体" w:cs="宋体"/>
                <w:color w:val="auto"/>
                <w:sz w:val="18"/>
                <w:szCs w:val="18"/>
                <w:highlight w:val="none"/>
              </w:rPr>
              <w:t>评审项目</w:t>
            </w:r>
          </w:p>
        </w:tc>
        <w:tc>
          <w:tcPr>
            <w:tcW w:w="779" w:type="dxa"/>
            <w:noWrap/>
            <w:vAlign w:val="center"/>
          </w:tcPr>
          <w:p>
            <w:pPr>
              <w:tabs>
                <w:tab w:val="left" w:pos="720"/>
              </w:tabs>
              <w:snapToGrid w:val="0"/>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04"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598"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投标人名称</w:t>
            </w:r>
          </w:p>
        </w:tc>
        <w:tc>
          <w:tcPr>
            <w:tcW w:w="3041" w:type="dxa"/>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与营业执照、资质证书（或备案证明文件）一致</w:t>
            </w: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804"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598"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投标函及投标函附录</w:t>
            </w:r>
          </w:p>
        </w:tc>
        <w:tc>
          <w:tcPr>
            <w:tcW w:w="3041" w:type="dxa"/>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函及投标函附录格式及签字盖章符合招标文件要求。有法定代表人或其委托代理人签字或加盖单位公章。由法定代表人签字的，应附法定代表人身份证明书，由代理人签字的，应附授权委托书，身份证明或授权委托书应符合第六章“投标文件格式”的规定</w:t>
            </w: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04"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598"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投标文件格式</w:t>
            </w:r>
          </w:p>
        </w:tc>
        <w:tc>
          <w:tcPr>
            <w:tcW w:w="3041" w:type="dxa"/>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符合第六章“投标文件格式”的规定</w:t>
            </w: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04"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598"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联合体投标人</w:t>
            </w:r>
          </w:p>
        </w:tc>
        <w:tc>
          <w:tcPr>
            <w:tcW w:w="3041" w:type="dxa"/>
            <w:noWrap/>
            <w:vAlign w:val="center"/>
          </w:tcPr>
          <w:p>
            <w:pP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提交符合招标文件要求的联合体协议书，明确各方承担连带责任，并明确联合体主办方。</w:t>
            </w: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04"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598"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备选投标方案</w:t>
            </w:r>
          </w:p>
        </w:tc>
        <w:tc>
          <w:tcPr>
            <w:tcW w:w="3041" w:type="dxa"/>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除招标文件明确允许提交备选投标方案外，投标人不得提交备选投标方案</w:t>
            </w: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4"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598"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投标人机器码</w:t>
            </w:r>
          </w:p>
        </w:tc>
        <w:tc>
          <w:tcPr>
            <w:tcW w:w="3041" w:type="dxa"/>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投标人与本项目其他投标人加密打包投标文件电脑特征码一致的（以广州公共资源交易中心评标系统的检索信息为准）将被否决。</w:t>
            </w: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4"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结论</w:t>
            </w:r>
          </w:p>
        </w:tc>
        <w:tc>
          <w:tcPr>
            <w:tcW w:w="4639" w:type="dxa"/>
            <w:gridSpan w:val="2"/>
            <w:noWrap/>
            <w:vAlign w:val="center"/>
          </w:tcPr>
          <w:p>
            <w:pPr>
              <w:tabs>
                <w:tab w:val="left" w:pos="720"/>
              </w:tabs>
              <w:snapToGrid w:val="0"/>
              <w:rPr>
                <w:rFonts w:ascii="宋体" w:hAnsi="宋体" w:cs="宋体"/>
                <w:color w:val="auto"/>
                <w:sz w:val="18"/>
                <w:szCs w:val="18"/>
                <w:highlight w:val="none"/>
              </w:rPr>
            </w:pPr>
            <w:r>
              <w:rPr>
                <w:rFonts w:hint="eastAsia" w:ascii="宋体" w:hAnsi="宋体" w:cs="宋体"/>
                <w:color w:val="auto"/>
                <w:sz w:val="18"/>
                <w:szCs w:val="18"/>
                <w:highlight w:val="none"/>
              </w:rPr>
              <w:t>是否通过并进入下一阶段评审</w:t>
            </w: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c>
          <w:tcPr>
            <w:tcW w:w="779" w:type="dxa"/>
            <w:noWrap/>
            <w:vAlign w:val="center"/>
          </w:tcPr>
          <w:p>
            <w:pPr>
              <w:tabs>
                <w:tab w:val="left" w:pos="720"/>
              </w:tabs>
              <w:snapToGrid w:val="0"/>
              <w:jc w:val="center"/>
              <w:rPr>
                <w:rFonts w:ascii="宋体" w:hAnsi="宋体" w:cs="宋体"/>
                <w:color w:val="auto"/>
                <w:sz w:val="18"/>
                <w:szCs w:val="18"/>
                <w:highlight w:val="none"/>
              </w:rPr>
            </w:pPr>
          </w:p>
        </w:tc>
        <w:tc>
          <w:tcPr>
            <w:tcW w:w="780" w:type="dxa"/>
            <w:noWrap/>
            <w:vAlign w:val="center"/>
          </w:tcPr>
          <w:p>
            <w:pPr>
              <w:tabs>
                <w:tab w:val="left" w:pos="720"/>
              </w:tabs>
              <w:snapToGrid w:val="0"/>
              <w:jc w:val="center"/>
              <w:rPr>
                <w:rFonts w:ascii="宋体" w:hAnsi="宋体" w:cs="宋体"/>
                <w:color w:val="auto"/>
                <w:sz w:val="18"/>
                <w:szCs w:val="18"/>
                <w:highlight w:val="none"/>
              </w:rPr>
            </w:pPr>
          </w:p>
        </w:tc>
      </w:tr>
    </w:tbl>
    <w:p>
      <w:pPr>
        <w:tabs>
          <w:tab w:val="left" w:pos="720"/>
        </w:tabs>
        <w:snapToGrid w:val="0"/>
        <w:rPr>
          <w:rFonts w:ascii="宋体" w:hAnsi="宋体" w:cs="宋体"/>
          <w:color w:val="auto"/>
          <w:sz w:val="18"/>
          <w:szCs w:val="18"/>
          <w:highlight w:val="none"/>
        </w:rPr>
      </w:pPr>
      <w:r>
        <w:rPr>
          <w:rFonts w:hint="eastAsia" w:ascii="宋体" w:hAnsi="宋体" w:cs="宋体"/>
          <w:color w:val="auto"/>
          <w:sz w:val="18"/>
          <w:szCs w:val="18"/>
          <w:highlight w:val="none"/>
        </w:rPr>
        <w:t>备注：1、“是否通过并进入下一阶段评审”一栏应写“通过”“不通过”。</w:t>
      </w:r>
    </w:p>
    <w:p>
      <w:pPr>
        <w:tabs>
          <w:tab w:val="left" w:pos="720"/>
        </w:tabs>
        <w:snapToGrid w:val="0"/>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2、</w:t>
      </w:r>
      <w:r>
        <w:rPr>
          <w:rFonts w:hint="eastAsia" w:ascii="宋体" w:hAnsi="宋体" w:cs="宋体"/>
          <w:b/>
          <w:color w:val="auto"/>
          <w:sz w:val="18"/>
          <w:szCs w:val="18"/>
          <w:highlight w:val="none"/>
        </w:rPr>
        <w:t>符合要求的打“○”，不符合的打“×”。</w:t>
      </w:r>
    </w:p>
    <w:p>
      <w:pPr>
        <w:tabs>
          <w:tab w:val="left" w:pos="720"/>
        </w:tabs>
        <w:snapToGrid w:val="0"/>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3、经评标委员会审核后，出现一个“×”的结论为“不通过”，即按无效投标处理。</w:t>
      </w:r>
    </w:p>
    <w:p>
      <w:pPr>
        <w:tabs>
          <w:tab w:val="left" w:pos="720"/>
        </w:tabs>
        <w:snapToGrid w:val="0"/>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4、表中全部条件满足为“通过”，同意进入下一阶段评审。</w:t>
      </w:r>
    </w:p>
    <w:p>
      <w:pPr>
        <w:tabs>
          <w:tab w:val="left" w:pos="720"/>
        </w:tabs>
        <w:snapToGrid w:val="0"/>
        <w:rPr>
          <w:rFonts w:ascii="宋体" w:hAnsi="宋体" w:cs="宋体"/>
          <w:color w:val="auto"/>
          <w:sz w:val="18"/>
          <w:szCs w:val="18"/>
          <w:highlight w:val="none"/>
        </w:rPr>
      </w:pPr>
      <w:r>
        <w:rPr>
          <w:rFonts w:hint="eastAsia" w:ascii="宋体" w:hAnsi="宋体" w:cs="宋体"/>
          <w:color w:val="auto"/>
          <w:sz w:val="18"/>
          <w:szCs w:val="18"/>
          <w:highlight w:val="none"/>
        </w:rPr>
        <w:t xml:space="preserve">      5、若评委意见不一致时，则按少数服从多数的原则，决定该投标人是否通过符合性审查，进入下一阶段评审。</w:t>
      </w:r>
    </w:p>
    <w:p>
      <w:pPr>
        <w:tabs>
          <w:tab w:val="left" w:pos="720"/>
        </w:tabs>
        <w:snapToGrid w:val="0"/>
        <w:spacing w:before="120" w:after="120" w:line="360" w:lineRule="auto"/>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评委签名：                                                  日期：</w:t>
      </w:r>
    </w:p>
    <w:p>
      <w:pPr>
        <w:pStyle w:val="4"/>
        <w:spacing w:line="410" w:lineRule="auto"/>
        <w:rPr>
          <w:rFonts w:ascii="宋体" w:hAnsi="宋体" w:cs="宋体"/>
          <w:b w:val="0"/>
          <w:bCs w:val="0"/>
          <w:color w:val="auto"/>
          <w:sz w:val="30"/>
          <w:szCs w:val="30"/>
          <w:highlight w:val="none"/>
        </w:rPr>
      </w:pPr>
      <w:r>
        <w:rPr>
          <w:rFonts w:hint="eastAsia" w:ascii="宋体" w:hAnsi="宋体" w:cs="宋体"/>
          <w:color w:val="auto"/>
          <w:szCs w:val="21"/>
          <w:highlight w:val="none"/>
        </w:rPr>
        <w:br w:type="page"/>
      </w:r>
      <w:bookmarkStart w:id="256" w:name="_Toc32081"/>
      <w:bookmarkStart w:id="257" w:name="_Toc9797"/>
      <w:bookmarkStart w:id="258" w:name="_Toc31542"/>
      <w:bookmarkStart w:id="259" w:name="_Toc7888"/>
      <w:bookmarkStart w:id="260" w:name="_Toc14357"/>
      <w:bookmarkStart w:id="261" w:name="_Toc15051"/>
      <w:bookmarkStart w:id="262" w:name="_Toc6355"/>
      <w:bookmarkStart w:id="263" w:name="_Toc32725"/>
      <w:bookmarkStart w:id="264" w:name="_Toc32697"/>
      <w:bookmarkStart w:id="265" w:name="_Toc32691"/>
      <w:bookmarkStart w:id="266" w:name="_Toc25289"/>
      <w:bookmarkStart w:id="267" w:name="_Toc22551"/>
      <w:r>
        <w:rPr>
          <w:rFonts w:hint="eastAsia" w:ascii="宋体" w:hAnsi="宋体" w:cs="宋体"/>
          <w:b w:val="0"/>
          <w:bCs w:val="0"/>
          <w:color w:val="auto"/>
          <w:sz w:val="30"/>
          <w:szCs w:val="30"/>
          <w:highlight w:val="none"/>
        </w:rPr>
        <w:t>附表二：资格评审表</w:t>
      </w:r>
      <w:bookmarkEnd w:id="256"/>
      <w:bookmarkEnd w:id="257"/>
      <w:bookmarkEnd w:id="258"/>
      <w:bookmarkEnd w:id="259"/>
      <w:bookmarkEnd w:id="260"/>
      <w:bookmarkEnd w:id="261"/>
      <w:bookmarkEnd w:id="262"/>
      <w:bookmarkEnd w:id="263"/>
      <w:bookmarkEnd w:id="264"/>
      <w:bookmarkEnd w:id="265"/>
      <w:bookmarkEnd w:id="266"/>
      <w:bookmarkEnd w:id="267"/>
    </w:p>
    <w:p>
      <w:pPr>
        <w:spacing w:line="360" w:lineRule="auto"/>
        <w:ind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资格评审表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项目名称：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541"/>
        <w:gridCol w:w="2664"/>
        <w:gridCol w:w="698"/>
        <w:gridCol w:w="699"/>
        <w:gridCol w:w="698"/>
        <w:gridCol w:w="686"/>
        <w:gridCol w:w="739"/>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1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编号</w:t>
            </w:r>
          </w:p>
        </w:tc>
        <w:tc>
          <w:tcPr>
            <w:tcW w:w="4205" w:type="dxa"/>
            <w:gridSpan w:val="2"/>
            <w:tcBorders>
              <w:tl2br w:val="single" w:color="auto" w:sz="4" w:space="0"/>
            </w:tcBorders>
            <w:noWrap/>
            <w:vAlign w:val="center"/>
          </w:tcPr>
          <w:p>
            <w:pPr>
              <w:tabs>
                <w:tab w:val="left" w:pos="720"/>
              </w:tabs>
              <w:snapToGrid w:val="0"/>
              <w:ind w:firstLine="3060" w:firstLineChars="1700"/>
              <w:rPr>
                <w:rFonts w:ascii="宋体" w:hAnsi="宋体" w:cs="宋体"/>
                <w:color w:val="auto"/>
                <w:sz w:val="18"/>
                <w:szCs w:val="18"/>
                <w:highlight w:val="none"/>
              </w:rPr>
            </w:pPr>
            <w:r>
              <w:rPr>
                <w:rFonts w:hint="eastAsia" w:ascii="宋体" w:hAnsi="宋体" w:cs="宋体"/>
                <w:color w:val="auto"/>
                <w:sz w:val="18"/>
                <w:szCs w:val="18"/>
                <w:highlight w:val="none"/>
              </w:rPr>
              <w:t>投标人名称</w:t>
            </w:r>
          </w:p>
          <w:p>
            <w:pPr>
              <w:tabs>
                <w:tab w:val="left" w:pos="720"/>
              </w:tabs>
              <w:snapToGrid w:val="0"/>
              <w:rPr>
                <w:rFonts w:ascii="宋体" w:hAnsi="宋体" w:cs="宋体"/>
                <w:color w:val="auto"/>
                <w:sz w:val="18"/>
                <w:szCs w:val="18"/>
                <w:highlight w:val="none"/>
              </w:rPr>
            </w:pPr>
            <w:r>
              <w:rPr>
                <w:rFonts w:hint="eastAsia" w:ascii="宋体" w:hAnsi="宋体" w:cs="宋体"/>
                <w:color w:val="auto"/>
                <w:sz w:val="18"/>
                <w:szCs w:val="18"/>
                <w:highlight w:val="none"/>
              </w:rPr>
              <w:t>审查项目</w:t>
            </w: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99" w:type="dxa"/>
            <w:noWrap/>
            <w:vAlign w:val="center"/>
          </w:tcPr>
          <w:p>
            <w:pPr>
              <w:tabs>
                <w:tab w:val="left" w:pos="720"/>
              </w:tabs>
              <w:snapToGrid w:val="0"/>
              <w:jc w:val="center"/>
              <w:rPr>
                <w:rFonts w:ascii="宋体" w:hAnsi="宋体" w:cs="宋体"/>
                <w:color w:val="auto"/>
                <w:sz w:val="18"/>
                <w:szCs w:val="18"/>
                <w:highlight w:val="none"/>
              </w:rPr>
            </w:pP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86"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1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541"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营业执照和组织机构代码证</w:t>
            </w:r>
          </w:p>
        </w:tc>
        <w:tc>
          <w:tcPr>
            <w:tcW w:w="2664" w:type="dxa"/>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符合第二章“投标人须知”第3.5.1项规定</w:t>
            </w: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99" w:type="dxa"/>
            <w:noWrap/>
            <w:vAlign w:val="center"/>
          </w:tcPr>
          <w:p>
            <w:pPr>
              <w:tabs>
                <w:tab w:val="left" w:pos="720"/>
              </w:tabs>
              <w:snapToGrid w:val="0"/>
              <w:jc w:val="center"/>
              <w:rPr>
                <w:rFonts w:ascii="宋体" w:hAnsi="宋体" w:cs="宋体"/>
                <w:color w:val="auto"/>
                <w:sz w:val="18"/>
                <w:szCs w:val="18"/>
                <w:highlight w:val="none"/>
              </w:rPr>
            </w:pP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86"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541"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资质要求</w:t>
            </w:r>
          </w:p>
        </w:tc>
        <w:tc>
          <w:tcPr>
            <w:tcW w:w="2664" w:type="dxa"/>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符合第二章“投标人须知”第1.4.1项规定</w:t>
            </w: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99" w:type="dxa"/>
            <w:noWrap/>
            <w:vAlign w:val="center"/>
          </w:tcPr>
          <w:p>
            <w:pPr>
              <w:tabs>
                <w:tab w:val="left" w:pos="720"/>
              </w:tabs>
              <w:snapToGrid w:val="0"/>
              <w:jc w:val="center"/>
              <w:rPr>
                <w:rFonts w:ascii="宋体" w:hAnsi="宋体" w:cs="宋体"/>
                <w:color w:val="auto"/>
                <w:sz w:val="18"/>
                <w:szCs w:val="18"/>
                <w:highlight w:val="none"/>
              </w:rPr>
            </w:pP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86"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1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541"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业绩要求</w:t>
            </w:r>
          </w:p>
        </w:tc>
        <w:tc>
          <w:tcPr>
            <w:tcW w:w="2664" w:type="dxa"/>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符合第二章“投标人须知”第1.4.1项规定</w:t>
            </w: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99" w:type="dxa"/>
            <w:noWrap/>
            <w:vAlign w:val="center"/>
          </w:tcPr>
          <w:p>
            <w:pPr>
              <w:tabs>
                <w:tab w:val="left" w:pos="720"/>
              </w:tabs>
              <w:snapToGrid w:val="0"/>
              <w:jc w:val="center"/>
              <w:rPr>
                <w:rFonts w:ascii="宋体" w:hAnsi="宋体" w:cs="宋体"/>
                <w:color w:val="auto"/>
                <w:sz w:val="18"/>
                <w:szCs w:val="18"/>
                <w:highlight w:val="none"/>
              </w:rPr>
            </w:pP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86"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1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541"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总监理工程师</w:t>
            </w:r>
          </w:p>
        </w:tc>
        <w:tc>
          <w:tcPr>
            <w:tcW w:w="2664" w:type="dxa"/>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符合第二章“投标人须知”第1.4.1项规定</w:t>
            </w: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99" w:type="dxa"/>
            <w:noWrap/>
            <w:vAlign w:val="center"/>
          </w:tcPr>
          <w:p>
            <w:pPr>
              <w:tabs>
                <w:tab w:val="left" w:pos="720"/>
              </w:tabs>
              <w:snapToGrid w:val="0"/>
              <w:jc w:val="center"/>
              <w:rPr>
                <w:rFonts w:ascii="宋体" w:hAnsi="宋体" w:cs="宋体"/>
                <w:color w:val="auto"/>
                <w:sz w:val="18"/>
                <w:szCs w:val="18"/>
                <w:highlight w:val="none"/>
              </w:rPr>
            </w:pP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86"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541"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其他要求</w:t>
            </w:r>
          </w:p>
        </w:tc>
        <w:tc>
          <w:tcPr>
            <w:tcW w:w="2664" w:type="dxa"/>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符合第二章“投标人须知”第1.4.1项规定</w:t>
            </w: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99" w:type="dxa"/>
            <w:noWrap/>
            <w:vAlign w:val="center"/>
          </w:tcPr>
          <w:p>
            <w:pPr>
              <w:tabs>
                <w:tab w:val="left" w:pos="720"/>
              </w:tabs>
              <w:snapToGrid w:val="0"/>
              <w:jc w:val="center"/>
              <w:rPr>
                <w:rFonts w:ascii="宋体" w:hAnsi="宋体" w:cs="宋体"/>
                <w:color w:val="auto"/>
                <w:sz w:val="18"/>
                <w:szCs w:val="18"/>
                <w:highlight w:val="none"/>
              </w:rPr>
            </w:pP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86"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1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541"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联合体投标人</w:t>
            </w:r>
          </w:p>
        </w:tc>
        <w:tc>
          <w:tcPr>
            <w:tcW w:w="2664" w:type="dxa"/>
            <w:noWrap/>
            <w:vAlign w:val="center"/>
          </w:tcPr>
          <w:p>
            <w:pP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符合第二章“投标人须知”第 1.4.2 项规定</w:t>
            </w: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99" w:type="dxa"/>
            <w:noWrap/>
            <w:vAlign w:val="center"/>
          </w:tcPr>
          <w:p>
            <w:pPr>
              <w:tabs>
                <w:tab w:val="left" w:pos="720"/>
              </w:tabs>
              <w:snapToGrid w:val="0"/>
              <w:jc w:val="center"/>
              <w:rPr>
                <w:rFonts w:ascii="宋体" w:hAnsi="宋体" w:cs="宋体"/>
                <w:color w:val="auto"/>
                <w:sz w:val="18"/>
                <w:szCs w:val="18"/>
                <w:highlight w:val="none"/>
              </w:rPr>
            </w:pP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86"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1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1541"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不存在禁止投标的情形</w:t>
            </w:r>
          </w:p>
        </w:tc>
        <w:tc>
          <w:tcPr>
            <w:tcW w:w="2664" w:type="dxa"/>
            <w:noWrap/>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不存在第二章“投标人须知”第1.4.3项规定的任何一种情形（以《投标人声明》为准）</w:t>
            </w: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99" w:type="dxa"/>
            <w:noWrap/>
            <w:vAlign w:val="center"/>
          </w:tcPr>
          <w:p>
            <w:pPr>
              <w:tabs>
                <w:tab w:val="left" w:pos="720"/>
              </w:tabs>
              <w:snapToGrid w:val="0"/>
              <w:jc w:val="center"/>
              <w:rPr>
                <w:rFonts w:ascii="宋体" w:hAnsi="宋体" w:cs="宋体"/>
                <w:color w:val="auto"/>
                <w:sz w:val="18"/>
                <w:szCs w:val="18"/>
                <w:highlight w:val="none"/>
              </w:rPr>
            </w:pP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86"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1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结论</w:t>
            </w:r>
          </w:p>
        </w:tc>
        <w:tc>
          <w:tcPr>
            <w:tcW w:w="4205" w:type="dxa"/>
            <w:gridSpan w:val="2"/>
            <w:noWrap/>
            <w:vAlign w:val="center"/>
          </w:tcPr>
          <w:p>
            <w:pPr>
              <w:tabs>
                <w:tab w:val="left" w:pos="720"/>
              </w:tabs>
              <w:snapToGrid w:val="0"/>
              <w:rPr>
                <w:rFonts w:ascii="宋体" w:hAnsi="宋体" w:cs="宋体"/>
                <w:color w:val="auto"/>
                <w:sz w:val="18"/>
                <w:szCs w:val="18"/>
                <w:highlight w:val="none"/>
              </w:rPr>
            </w:pPr>
            <w:r>
              <w:rPr>
                <w:rFonts w:hint="eastAsia" w:ascii="宋体" w:hAnsi="宋体" w:cs="宋体"/>
                <w:color w:val="auto"/>
                <w:sz w:val="18"/>
                <w:szCs w:val="18"/>
                <w:highlight w:val="none"/>
              </w:rPr>
              <w:t>是否通过并进入下一阶段评审</w:t>
            </w: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99" w:type="dxa"/>
            <w:noWrap/>
            <w:vAlign w:val="center"/>
          </w:tcPr>
          <w:p>
            <w:pPr>
              <w:tabs>
                <w:tab w:val="left" w:pos="720"/>
              </w:tabs>
              <w:snapToGrid w:val="0"/>
              <w:jc w:val="center"/>
              <w:rPr>
                <w:rFonts w:ascii="宋体" w:hAnsi="宋体" w:cs="宋体"/>
                <w:color w:val="auto"/>
                <w:sz w:val="18"/>
                <w:szCs w:val="18"/>
                <w:highlight w:val="none"/>
              </w:rPr>
            </w:pPr>
          </w:p>
        </w:tc>
        <w:tc>
          <w:tcPr>
            <w:tcW w:w="698" w:type="dxa"/>
            <w:noWrap/>
            <w:vAlign w:val="center"/>
          </w:tcPr>
          <w:p>
            <w:pPr>
              <w:tabs>
                <w:tab w:val="left" w:pos="720"/>
              </w:tabs>
              <w:snapToGrid w:val="0"/>
              <w:jc w:val="center"/>
              <w:rPr>
                <w:rFonts w:ascii="宋体" w:hAnsi="宋体" w:cs="宋体"/>
                <w:color w:val="auto"/>
                <w:sz w:val="18"/>
                <w:szCs w:val="18"/>
                <w:highlight w:val="none"/>
              </w:rPr>
            </w:pPr>
          </w:p>
        </w:tc>
        <w:tc>
          <w:tcPr>
            <w:tcW w:w="686"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c>
          <w:tcPr>
            <w:tcW w:w="739" w:type="dxa"/>
            <w:noWrap/>
            <w:vAlign w:val="center"/>
          </w:tcPr>
          <w:p>
            <w:pPr>
              <w:tabs>
                <w:tab w:val="left" w:pos="720"/>
              </w:tabs>
              <w:snapToGrid w:val="0"/>
              <w:jc w:val="center"/>
              <w:rPr>
                <w:rFonts w:ascii="宋体" w:hAnsi="宋体" w:cs="宋体"/>
                <w:color w:val="auto"/>
                <w:sz w:val="18"/>
                <w:szCs w:val="18"/>
                <w:highlight w:val="none"/>
              </w:rPr>
            </w:pPr>
          </w:p>
        </w:tc>
      </w:tr>
    </w:tbl>
    <w:p>
      <w:pPr>
        <w:tabs>
          <w:tab w:val="left" w:pos="720"/>
        </w:tabs>
        <w:snapToGrid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备注：1、“是否通过并进入下一阶段评审”一栏应写“通过”“不通过”。</w:t>
      </w:r>
    </w:p>
    <w:p>
      <w:pPr>
        <w:tabs>
          <w:tab w:val="left" w:pos="720"/>
        </w:tabs>
        <w:snapToGrid w:val="0"/>
        <w:spacing w:line="360" w:lineRule="auto"/>
        <w:ind w:firstLine="540" w:firstLineChars="300"/>
        <w:rPr>
          <w:rFonts w:ascii="宋体" w:hAnsi="宋体" w:cs="宋体"/>
          <w:bCs/>
          <w:color w:val="auto"/>
          <w:sz w:val="18"/>
          <w:szCs w:val="18"/>
          <w:highlight w:val="none"/>
        </w:rPr>
      </w:pPr>
      <w:r>
        <w:rPr>
          <w:rFonts w:hint="eastAsia" w:ascii="宋体" w:hAnsi="宋体" w:cs="宋体"/>
          <w:bCs/>
          <w:color w:val="auto"/>
          <w:sz w:val="18"/>
          <w:szCs w:val="18"/>
          <w:highlight w:val="none"/>
        </w:rPr>
        <w:t>2、符合要求的打“○”，不符合的打“×”。</w:t>
      </w:r>
    </w:p>
    <w:p>
      <w:pPr>
        <w:tabs>
          <w:tab w:val="left" w:pos="720"/>
        </w:tabs>
        <w:snapToGrid w:val="0"/>
        <w:spacing w:line="360" w:lineRule="auto"/>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3、经评标委员会审核后，出现一个“×”的结论为“不通过”，即按无效投标处理。</w:t>
      </w:r>
    </w:p>
    <w:p>
      <w:pPr>
        <w:tabs>
          <w:tab w:val="left" w:pos="720"/>
        </w:tabs>
        <w:snapToGrid w:val="0"/>
        <w:spacing w:line="360" w:lineRule="auto"/>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4、表中全部条件满足为“通过”，同意进入下一阶段评审。</w:t>
      </w:r>
    </w:p>
    <w:p>
      <w:pPr>
        <w:tabs>
          <w:tab w:val="left" w:pos="720"/>
        </w:tabs>
        <w:snapToGrid w:val="0"/>
        <w:spacing w:line="360" w:lineRule="auto"/>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5、若评委意见不一致时，则按少数服从多数的原则，决定该投标人是否通过符合性审查，进入下一阶段评审。</w:t>
      </w:r>
    </w:p>
    <w:p>
      <w:pPr>
        <w:tabs>
          <w:tab w:val="left" w:pos="720"/>
        </w:tabs>
        <w:snapToGrid w:val="0"/>
        <w:spacing w:before="120" w:after="120" w:line="360" w:lineRule="auto"/>
        <w:ind w:firstLine="540" w:firstLineChars="300"/>
        <w:rPr>
          <w:rFonts w:ascii="宋体" w:hAnsi="宋体" w:cs="宋体"/>
          <w:b w:val="0"/>
          <w:bCs w:val="0"/>
          <w:color w:val="auto"/>
          <w:sz w:val="30"/>
          <w:szCs w:val="30"/>
          <w:highlight w:val="none"/>
        </w:rPr>
      </w:pPr>
      <w:r>
        <w:rPr>
          <w:rFonts w:hint="eastAsia" w:ascii="宋体" w:hAnsi="宋体" w:cs="宋体"/>
          <w:color w:val="auto"/>
          <w:sz w:val="18"/>
          <w:szCs w:val="18"/>
          <w:highlight w:val="none"/>
        </w:rPr>
        <w:t>评委签名：                                             日期：</w:t>
      </w:r>
      <w:r>
        <w:rPr>
          <w:rFonts w:hint="eastAsia" w:ascii="宋体" w:hAnsi="宋体" w:cs="宋体"/>
          <w:color w:val="auto"/>
          <w:szCs w:val="21"/>
          <w:highlight w:val="none"/>
        </w:rPr>
        <w:br w:type="page"/>
      </w:r>
      <w:bookmarkStart w:id="268" w:name="_Toc20583"/>
      <w:bookmarkStart w:id="269" w:name="_Toc8308"/>
      <w:bookmarkStart w:id="270" w:name="_Toc24065"/>
      <w:bookmarkStart w:id="271" w:name="_Toc26971"/>
      <w:bookmarkStart w:id="272" w:name="_Toc20936"/>
      <w:bookmarkStart w:id="273" w:name="_Toc1557"/>
      <w:bookmarkStart w:id="274" w:name="_Toc27818"/>
      <w:bookmarkStart w:id="275" w:name="_Toc18656"/>
      <w:bookmarkStart w:id="276" w:name="_Toc23343"/>
      <w:bookmarkStart w:id="277" w:name="_Toc25992"/>
      <w:bookmarkStart w:id="278" w:name="_Toc2033"/>
      <w:r>
        <w:rPr>
          <w:rFonts w:hint="eastAsia" w:ascii="宋体" w:hAnsi="宋体" w:cs="宋体"/>
          <w:b w:val="0"/>
          <w:bCs w:val="0"/>
          <w:color w:val="auto"/>
          <w:sz w:val="30"/>
          <w:szCs w:val="30"/>
          <w:highlight w:val="none"/>
        </w:rPr>
        <w:t>附表三：响应性评审表</w:t>
      </w:r>
      <w:bookmarkEnd w:id="268"/>
      <w:bookmarkEnd w:id="269"/>
      <w:bookmarkEnd w:id="270"/>
      <w:bookmarkEnd w:id="271"/>
      <w:bookmarkEnd w:id="272"/>
      <w:bookmarkEnd w:id="273"/>
      <w:bookmarkEnd w:id="274"/>
      <w:bookmarkEnd w:id="275"/>
      <w:bookmarkEnd w:id="276"/>
      <w:bookmarkEnd w:id="277"/>
      <w:bookmarkEnd w:id="278"/>
    </w:p>
    <w:p>
      <w:pPr>
        <w:spacing w:line="360" w:lineRule="auto"/>
        <w:ind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tbl>
      <w:tblPr>
        <w:tblStyle w:val="20"/>
        <w:tblpPr w:leftFromText="180" w:rightFromText="180" w:vertAnchor="text" w:horzAnchor="page" w:tblpX="1688" w:tblpY="8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39"/>
        <w:gridCol w:w="3027"/>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编号</w:t>
            </w:r>
          </w:p>
        </w:tc>
        <w:tc>
          <w:tcPr>
            <w:tcW w:w="4366" w:type="dxa"/>
            <w:gridSpan w:val="2"/>
            <w:tcBorders>
              <w:tl2br w:val="single" w:color="auto" w:sz="4" w:space="0"/>
            </w:tcBorders>
            <w:noWrap/>
            <w:vAlign w:val="center"/>
          </w:tcPr>
          <w:p>
            <w:pPr>
              <w:tabs>
                <w:tab w:val="left" w:pos="720"/>
              </w:tabs>
              <w:snapToGrid w:val="0"/>
              <w:ind w:firstLine="3240" w:firstLineChars="1800"/>
              <w:rPr>
                <w:rFonts w:ascii="宋体" w:hAnsi="宋体" w:cs="宋体"/>
                <w:color w:val="auto"/>
                <w:sz w:val="18"/>
                <w:szCs w:val="18"/>
                <w:highlight w:val="none"/>
              </w:rPr>
            </w:pPr>
            <w:r>
              <w:rPr>
                <w:rFonts w:hint="eastAsia" w:ascii="宋体" w:hAnsi="宋体" w:cs="宋体"/>
                <w:color w:val="auto"/>
                <w:sz w:val="18"/>
                <w:szCs w:val="18"/>
                <w:highlight w:val="none"/>
              </w:rPr>
              <w:t>投标人名称</w:t>
            </w:r>
          </w:p>
          <w:p>
            <w:pPr>
              <w:tabs>
                <w:tab w:val="left" w:pos="720"/>
              </w:tabs>
              <w:snapToGrid w:val="0"/>
              <w:rPr>
                <w:rFonts w:ascii="宋体" w:hAnsi="宋体" w:cs="宋体"/>
                <w:color w:val="auto"/>
                <w:sz w:val="18"/>
                <w:szCs w:val="18"/>
                <w:highlight w:val="none"/>
              </w:rPr>
            </w:pPr>
            <w:r>
              <w:rPr>
                <w:rFonts w:hint="eastAsia" w:ascii="宋体" w:hAnsi="宋体" w:cs="宋体"/>
                <w:color w:val="auto"/>
                <w:sz w:val="18"/>
                <w:szCs w:val="18"/>
                <w:highlight w:val="none"/>
              </w:rPr>
              <w:t>评审项目</w:t>
            </w:r>
          </w:p>
        </w:tc>
        <w:tc>
          <w:tcPr>
            <w:tcW w:w="761" w:type="dxa"/>
            <w:noWrap/>
            <w:vAlign w:val="center"/>
          </w:tcPr>
          <w:p>
            <w:pPr>
              <w:tabs>
                <w:tab w:val="left" w:pos="720"/>
              </w:tabs>
              <w:snapToGrid w:val="0"/>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2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39"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投标文件</w:t>
            </w:r>
          </w:p>
        </w:tc>
        <w:tc>
          <w:tcPr>
            <w:tcW w:w="3027" w:type="dxa"/>
            <w:noWrap/>
            <w:vAlign w:val="center"/>
          </w:tcPr>
          <w:p>
            <w:pPr>
              <w:rPr>
                <w:rFonts w:ascii="宋体" w:hAnsi="宋体" w:cs="宋体"/>
                <w:color w:val="auto"/>
                <w:sz w:val="18"/>
                <w:szCs w:val="18"/>
                <w:highlight w:val="none"/>
              </w:rPr>
            </w:pPr>
            <w:r>
              <w:rPr>
                <w:rFonts w:hint="eastAsia" w:ascii="宋体" w:hAnsi="宋体" w:cs="宋体"/>
                <w:sz w:val="18"/>
                <w:szCs w:val="18"/>
                <w:highlight w:val="none"/>
              </w:rPr>
              <w:t>投标文件所列投标人名称、项目负责人（总监）与投标登记时一致。</w:t>
            </w:r>
          </w:p>
        </w:tc>
        <w:tc>
          <w:tcPr>
            <w:tcW w:w="761"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2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39"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投标报价</w:t>
            </w:r>
          </w:p>
        </w:tc>
        <w:tc>
          <w:tcPr>
            <w:tcW w:w="3027" w:type="dxa"/>
            <w:noWrap/>
            <w:vAlign w:val="center"/>
          </w:tcPr>
          <w:p>
            <w:pPr>
              <w:rPr>
                <w:rFonts w:ascii="宋体" w:hAnsi="宋体" w:cs="宋体"/>
                <w:color w:val="auto"/>
                <w:sz w:val="18"/>
                <w:szCs w:val="18"/>
                <w:highlight w:val="none"/>
              </w:rPr>
            </w:pPr>
            <w:r>
              <w:rPr>
                <w:rFonts w:hint="eastAsia"/>
                <w:sz w:val="18"/>
                <w:szCs w:val="18"/>
                <w:highlight w:val="none"/>
              </w:rPr>
              <w:t>符合第二章“投标人须知”第3.2款规定进行投标报价的；对同一招标项目没有出现两个或以上的投标报价，且修正无依据；投标报价没有出现低于成本报价（对于投标报价低于成本警戒价，或明显低于其他投标报价，使得其投标报价可能低于其个别成本，又不能合理说明或者不能提供相关证明材料，评标委员会认定该投标人低于成本报价的）。</w:t>
            </w:r>
          </w:p>
        </w:tc>
        <w:tc>
          <w:tcPr>
            <w:tcW w:w="761"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2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39"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投标内容</w:t>
            </w:r>
          </w:p>
        </w:tc>
        <w:tc>
          <w:tcPr>
            <w:tcW w:w="3027" w:type="dxa"/>
            <w:noWrap/>
            <w:vAlign w:val="center"/>
          </w:tcPr>
          <w:p>
            <w:pPr>
              <w:rPr>
                <w:rFonts w:ascii="宋体" w:hAnsi="宋体" w:cs="宋体"/>
                <w:color w:val="auto"/>
                <w:sz w:val="18"/>
                <w:szCs w:val="18"/>
                <w:highlight w:val="none"/>
              </w:rPr>
            </w:pPr>
            <w:r>
              <w:rPr>
                <w:rFonts w:hint="eastAsia" w:ascii="宋体" w:hAnsi="宋体" w:cs="宋体"/>
                <w:sz w:val="18"/>
                <w:szCs w:val="18"/>
                <w:highlight w:val="none"/>
              </w:rPr>
              <w:t>符合第二章“投标人须知”第1.3.1项规定</w:t>
            </w:r>
          </w:p>
        </w:tc>
        <w:tc>
          <w:tcPr>
            <w:tcW w:w="761"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39"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监理服务期限</w:t>
            </w:r>
          </w:p>
        </w:tc>
        <w:tc>
          <w:tcPr>
            <w:tcW w:w="3027" w:type="dxa"/>
            <w:noWrap/>
            <w:vAlign w:val="center"/>
          </w:tcPr>
          <w:p>
            <w:pPr>
              <w:rPr>
                <w:rFonts w:ascii="宋体" w:hAnsi="宋体" w:cs="宋体"/>
                <w:color w:val="auto"/>
                <w:sz w:val="18"/>
                <w:szCs w:val="18"/>
                <w:highlight w:val="none"/>
              </w:rPr>
            </w:pPr>
            <w:r>
              <w:rPr>
                <w:rFonts w:hint="eastAsia" w:ascii="宋体" w:hAnsi="宋体" w:cs="宋体"/>
                <w:sz w:val="18"/>
                <w:szCs w:val="18"/>
                <w:highlight w:val="none"/>
              </w:rPr>
              <w:t>符合第二章“投标人须知”第1.3.2项规定</w:t>
            </w:r>
          </w:p>
        </w:tc>
        <w:tc>
          <w:tcPr>
            <w:tcW w:w="761"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2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39"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质量标准</w:t>
            </w:r>
          </w:p>
        </w:tc>
        <w:tc>
          <w:tcPr>
            <w:tcW w:w="3027" w:type="dxa"/>
            <w:noWrap/>
            <w:vAlign w:val="center"/>
          </w:tcPr>
          <w:p>
            <w:pPr>
              <w:rPr>
                <w:rFonts w:ascii="宋体" w:hAnsi="宋体" w:cs="宋体"/>
                <w:color w:val="auto"/>
                <w:sz w:val="18"/>
                <w:szCs w:val="18"/>
                <w:highlight w:val="none"/>
              </w:rPr>
            </w:pPr>
            <w:r>
              <w:rPr>
                <w:rFonts w:hint="eastAsia" w:ascii="宋体" w:hAnsi="宋体" w:cs="宋体"/>
                <w:sz w:val="18"/>
                <w:szCs w:val="18"/>
                <w:highlight w:val="none"/>
              </w:rPr>
              <w:t>符合第二章“投标人须知”第1.3.3项规定</w:t>
            </w:r>
          </w:p>
        </w:tc>
        <w:tc>
          <w:tcPr>
            <w:tcW w:w="761"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2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39"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投标有效期</w:t>
            </w:r>
          </w:p>
        </w:tc>
        <w:tc>
          <w:tcPr>
            <w:tcW w:w="3027" w:type="dxa"/>
            <w:noWrap/>
            <w:vAlign w:val="center"/>
          </w:tcPr>
          <w:p>
            <w:pPr>
              <w:rPr>
                <w:rFonts w:ascii="宋体" w:hAnsi="宋体" w:cs="宋体"/>
                <w:color w:val="auto"/>
                <w:sz w:val="18"/>
                <w:szCs w:val="18"/>
                <w:highlight w:val="none"/>
              </w:rPr>
            </w:pPr>
            <w:r>
              <w:rPr>
                <w:rFonts w:hint="eastAsia" w:ascii="宋体" w:hAnsi="宋体" w:cs="宋体"/>
                <w:sz w:val="18"/>
                <w:szCs w:val="18"/>
                <w:highlight w:val="none"/>
              </w:rPr>
              <w:t>符合第二章“投标人须知”第3.3.1项规定</w:t>
            </w:r>
          </w:p>
        </w:tc>
        <w:tc>
          <w:tcPr>
            <w:tcW w:w="761"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1339"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投标保证金</w:t>
            </w:r>
          </w:p>
        </w:tc>
        <w:tc>
          <w:tcPr>
            <w:tcW w:w="3027" w:type="dxa"/>
            <w:noWrap/>
            <w:vAlign w:val="center"/>
          </w:tcPr>
          <w:p>
            <w:pPr>
              <w:rPr>
                <w:rFonts w:ascii="宋体" w:hAnsi="宋体" w:cs="宋体"/>
                <w:color w:val="auto"/>
                <w:sz w:val="18"/>
                <w:szCs w:val="18"/>
                <w:highlight w:val="none"/>
              </w:rPr>
            </w:pPr>
            <w:r>
              <w:rPr>
                <w:rFonts w:hint="eastAsia" w:ascii="宋体" w:hAnsi="宋体" w:cs="宋体"/>
                <w:sz w:val="18"/>
                <w:szCs w:val="18"/>
                <w:highlight w:val="none"/>
              </w:rPr>
              <w:t>符合第二章“投标人须知”第3.4.1项规定</w:t>
            </w:r>
          </w:p>
        </w:tc>
        <w:tc>
          <w:tcPr>
            <w:tcW w:w="761"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8</w:t>
            </w:r>
          </w:p>
        </w:tc>
        <w:tc>
          <w:tcPr>
            <w:tcW w:w="1339"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监理承诺</w:t>
            </w:r>
          </w:p>
        </w:tc>
        <w:tc>
          <w:tcPr>
            <w:tcW w:w="3027" w:type="dxa"/>
            <w:noWrap/>
            <w:vAlign w:val="center"/>
          </w:tcPr>
          <w:p>
            <w:pPr>
              <w:rPr>
                <w:rFonts w:ascii="宋体" w:hAnsi="宋体" w:cs="宋体"/>
                <w:color w:val="auto"/>
                <w:sz w:val="18"/>
                <w:szCs w:val="18"/>
                <w:highlight w:val="none"/>
              </w:rPr>
            </w:pPr>
            <w:r>
              <w:rPr>
                <w:rFonts w:hint="eastAsia" w:ascii="宋体" w:hAnsi="宋体" w:cs="宋体"/>
                <w:sz w:val="18"/>
                <w:szCs w:val="18"/>
                <w:highlight w:val="none"/>
              </w:rPr>
              <w:t>标函承诺书、项目总监履约承诺书、总监代表履约承诺书、项目监理机构配备情况、《监理项目管理团队人员信息表》（格式见第六章投标文件格式）</w:t>
            </w:r>
          </w:p>
        </w:tc>
        <w:tc>
          <w:tcPr>
            <w:tcW w:w="761"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9</w:t>
            </w:r>
          </w:p>
        </w:tc>
        <w:tc>
          <w:tcPr>
            <w:tcW w:w="1339" w:type="dxa"/>
            <w:noWrap/>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串通投标情形</w:t>
            </w:r>
          </w:p>
        </w:tc>
        <w:tc>
          <w:tcPr>
            <w:tcW w:w="3027" w:type="dxa"/>
            <w:noWrap/>
            <w:vAlign w:val="center"/>
          </w:tcPr>
          <w:p>
            <w:pPr>
              <w:rPr>
                <w:rFonts w:ascii="宋体" w:hAnsi="宋体" w:cs="宋体"/>
                <w:color w:val="auto"/>
                <w:sz w:val="18"/>
                <w:szCs w:val="18"/>
                <w:highlight w:val="none"/>
              </w:rPr>
            </w:pPr>
            <w:r>
              <w:rPr>
                <w:rFonts w:hint="eastAsia" w:ascii="宋体" w:hAnsi="宋体" w:cs="宋体"/>
                <w:sz w:val="18"/>
                <w:szCs w:val="18"/>
                <w:highlight w:val="none"/>
              </w:rPr>
              <w:t>不存在串通投标情形（串通投标情形以《广东省实施&lt;中华人民共和国招标投标法&gt;</w:t>
            </w:r>
            <w:r>
              <w:rPr>
                <w:rFonts w:hint="eastAsia" w:ascii="宋体" w:hAnsi="宋体" w:cs="宋体"/>
                <w:sz w:val="18"/>
                <w:szCs w:val="18"/>
                <w:highlight w:val="none"/>
                <w:lang w:val="en-US" w:eastAsia="zh-CN"/>
              </w:rPr>
              <w:t>办法</w:t>
            </w:r>
            <w:r>
              <w:rPr>
                <w:rFonts w:hint="eastAsia" w:ascii="宋体" w:hAnsi="宋体" w:cs="宋体"/>
                <w:sz w:val="18"/>
                <w:szCs w:val="18"/>
                <w:highlight w:val="none"/>
              </w:rPr>
              <w:t>》第十六条的规定为准）。</w:t>
            </w:r>
          </w:p>
        </w:tc>
        <w:tc>
          <w:tcPr>
            <w:tcW w:w="761"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noWrap/>
            <w:vAlign w:val="center"/>
          </w:tcPr>
          <w:p>
            <w:pPr>
              <w:tabs>
                <w:tab w:val="left" w:pos="720"/>
              </w:tabs>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结论</w:t>
            </w:r>
          </w:p>
        </w:tc>
        <w:tc>
          <w:tcPr>
            <w:tcW w:w="4366" w:type="dxa"/>
            <w:gridSpan w:val="2"/>
            <w:noWrap/>
            <w:vAlign w:val="center"/>
          </w:tcPr>
          <w:p>
            <w:pPr>
              <w:tabs>
                <w:tab w:val="left" w:pos="720"/>
              </w:tabs>
              <w:snapToGrid w:val="0"/>
              <w:rPr>
                <w:rFonts w:ascii="宋体" w:hAnsi="宋体" w:cs="宋体"/>
                <w:color w:val="auto"/>
                <w:sz w:val="18"/>
                <w:szCs w:val="18"/>
                <w:highlight w:val="none"/>
              </w:rPr>
            </w:pPr>
            <w:r>
              <w:rPr>
                <w:rFonts w:hint="eastAsia" w:ascii="宋体" w:hAnsi="宋体" w:cs="宋体"/>
                <w:color w:val="auto"/>
                <w:sz w:val="18"/>
                <w:szCs w:val="18"/>
                <w:highlight w:val="none"/>
              </w:rPr>
              <w:t>是否通过并进入下一阶段评审</w:t>
            </w:r>
          </w:p>
        </w:tc>
        <w:tc>
          <w:tcPr>
            <w:tcW w:w="761"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c>
          <w:tcPr>
            <w:tcW w:w="762" w:type="dxa"/>
            <w:noWrap/>
            <w:vAlign w:val="center"/>
          </w:tcPr>
          <w:p>
            <w:pPr>
              <w:tabs>
                <w:tab w:val="left" w:pos="720"/>
              </w:tabs>
              <w:snapToGrid w:val="0"/>
              <w:jc w:val="center"/>
              <w:rPr>
                <w:rFonts w:ascii="宋体" w:hAnsi="宋体" w:cs="宋体"/>
                <w:color w:val="auto"/>
                <w:sz w:val="18"/>
                <w:szCs w:val="18"/>
                <w:highlight w:val="none"/>
              </w:rPr>
            </w:pPr>
          </w:p>
        </w:tc>
      </w:tr>
    </w:tbl>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项目名称： </w:t>
      </w:r>
    </w:p>
    <w:p>
      <w:pPr>
        <w:tabs>
          <w:tab w:val="left" w:pos="720"/>
        </w:tabs>
        <w:snapToGrid w:val="0"/>
        <w:rPr>
          <w:rFonts w:ascii="宋体" w:hAnsi="宋体" w:cs="宋体"/>
          <w:color w:val="auto"/>
          <w:sz w:val="18"/>
          <w:szCs w:val="18"/>
          <w:highlight w:val="none"/>
        </w:rPr>
      </w:pPr>
    </w:p>
    <w:p>
      <w:pPr>
        <w:tabs>
          <w:tab w:val="left" w:pos="720"/>
        </w:tabs>
        <w:snapToGrid w:val="0"/>
        <w:rPr>
          <w:rFonts w:ascii="宋体" w:hAnsi="宋体" w:cs="宋体"/>
          <w:color w:val="auto"/>
          <w:sz w:val="18"/>
          <w:szCs w:val="18"/>
          <w:highlight w:val="none"/>
        </w:rPr>
      </w:pPr>
      <w:r>
        <w:rPr>
          <w:rFonts w:hint="eastAsia" w:ascii="宋体" w:hAnsi="宋体" w:cs="宋体"/>
          <w:color w:val="auto"/>
          <w:sz w:val="18"/>
          <w:szCs w:val="18"/>
          <w:highlight w:val="none"/>
        </w:rPr>
        <w:t>备注：1、“是否通过并进入下一阶段评审”一栏应写“通过”“不通过”。</w:t>
      </w:r>
    </w:p>
    <w:p>
      <w:pPr>
        <w:tabs>
          <w:tab w:val="left" w:pos="720"/>
        </w:tabs>
        <w:snapToGrid w:val="0"/>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2、符合要求的打“○”，不符合的打“×”。</w:t>
      </w:r>
    </w:p>
    <w:p>
      <w:pPr>
        <w:tabs>
          <w:tab w:val="left" w:pos="720"/>
        </w:tabs>
        <w:snapToGrid w:val="0"/>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3、经评标委员会审核后，出现一个“×”的结论为“不通过”，即按无效投标处理。</w:t>
      </w:r>
    </w:p>
    <w:p>
      <w:pPr>
        <w:tabs>
          <w:tab w:val="left" w:pos="720"/>
        </w:tabs>
        <w:snapToGrid w:val="0"/>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4、表中全部条件满足为“通过”，同意进入下一阶段评审。</w:t>
      </w:r>
    </w:p>
    <w:p>
      <w:pPr>
        <w:tabs>
          <w:tab w:val="left" w:pos="720"/>
        </w:tabs>
        <w:snapToGrid w:val="0"/>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5、若评委意见不一致时，则按少数服从多数的原则，决定该投标人是否通过符合性审查，进入下一阶段评审。</w:t>
      </w:r>
    </w:p>
    <w:p>
      <w:pPr>
        <w:tabs>
          <w:tab w:val="left" w:pos="720"/>
        </w:tabs>
        <w:snapToGrid w:val="0"/>
        <w:spacing w:before="120" w:after="120" w:line="360" w:lineRule="auto"/>
        <w:ind w:firstLine="540" w:firstLineChars="300"/>
        <w:rPr>
          <w:rFonts w:ascii="宋体" w:hAnsi="宋体" w:cs="宋体"/>
          <w:color w:val="auto"/>
          <w:sz w:val="18"/>
          <w:szCs w:val="18"/>
          <w:highlight w:val="none"/>
        </w:rPr>
      </w:pPr>
      <w:r>
        <w:rPr>
          <w:rFonts w:hint="eastAsia" w:ascii="宋体" w:hAnsi="宋体" w:cs="宋体"/>
          <w:color w:val="auto"/>
          <w:sz w:val="18"/>
          <w:szCs w:val="18"/>
          <w:highlight w:val="none"/>
        </w:rPr>
        <w:t>评委签名：                                             日期：</w:t>
      </w:r>
    </w:p>
    <w:p>
      <w:pPr>
        <w:pStyle w:val="4"/>
        <w:spacing w:line="410" w:lineRule="auto"/>
        <w:rPr>
          <w:rFonts w:ascii="宋体" w:hAnsi="宋体" w:cs="宋体"/>
          <w:color w:val="auto"/>
          <w:szCs w:val="21"/>
          <w:highlight w:val="none"/>
        </w:rPr>
      </w:pPr>
      <w:r>
        <w:rPr>
          <w:rFonts w:hint="eastAsia" w:ascii="宋体" w:hAnsi="宋体" w:cs="宋体"/>
          <w:color w:val="auto"/>
          <w:szCs w:val="21"/>
          <w:highlight w:val="none"/>
        </w:rPr>
        <w:br w:type="page"/>
      </w:r>
      <w:bookmarkStart w:id="279" w:name="_Toc22409"/>
      <w:bookmarkStart w:id="280" w:name="_Toc24975"/>
      <w:bookmarkStart w:id="281" w:name="_Toc9402"/>
      <w:bookmarkStart w:id="282" w:name="_Toc27876"/>
      <w:bookmarkStart w:id="283" w:name="_Toc29390"/>
      <w:bookmarkStart w:id="284" w:name="_Toc32006"/>
      <w:bookmarkStart w:id="285" w:name="_Toc1216"/>
      <w:bookmarkStart w:id="286" w:name="_Toc25241"/>
      <w:bookmarkStart w:id="287" w:name="_Toc8169"/>
      <w:bookmarkStart w:id="288" w:name="_Toc7447"/>
      <w:bookmarkStart w:id="289" w:name="_Toc21679"/>
      <w:bookmarkStart w:id="290" w:name="_Toc7902"/>
      <w:bookmarkStart w:id="291" w:name="_Toc15539"/>
      <w:bookmarkStart w:id="292" w:name="_Toc10735"/>
      <w:bookmarkStart w:id="293" w:name="_Toc28889"/>
      <w:r>
        <w:rPr>
          <w:rFonts w:hint="eastAsia" w:ascii="宋体" w:hAnsi="宋体" w:cs="宋体"/>
          <w:b w:val="0"/>
          <w:bCs w:val="0"/>
          <w:color w:val="auto"/>
          <w:sz w:val="30"/>
          <w:szCs w:val="30"/>
          <w:highlight w:val="none"/>
        </w:rPr>
        <w:t>附表四：监理综合评分表</w:t>
      </w:r>
      <w:bookmarkEnd w:id="279"/>
      <w:bookmarkEnd w:id="28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632"/>
        <w:gridCol w:w="541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1283" w:type="dxa"/>
            <w:noWrap w:val="0"/>
            <w:vAlign w:val="center"/>
          </w:tcPr>
          <w:p>
            <w:pPr>
              <w:jc w:val="left"/>
              <w:rPr>
                <w:rFonts w:ascii="宋体" w:hAnsi="宋体" w:cs="宋体"/>
                <w:szCs w:val="21"/>
                <w:highlight w:val="none"/>
              </w:rPr>
            </w:pPr>
            <w:r>
              <w:rPr>
                <w:rFonts w:hint="eastAsia" w:ascii="宋体" w:hAnsi="宋体" w:cs="宋体"/>
                <w:szCs w:val="21"/>
                <w:highlight w:val="none"/>
              </w:rPr>
              <w:t>评分项</w:t>
            </w:r>
          </w:p>
        </w:tc>
        <w:tc>
          <w:tcPr>
            <w:tcW w:w="1632" w:type="dxa"/>
            <w:noWrap w:val="0"/>
            <w:vAlign w:val="center"/>
          </w:tcPr>
          <w:p>
            <w:pPr>
              <w:jc w:val="center"/>
              <w:rPr>
                <w:rFonts w:ascii="宋体" w:hAnsi="宋体" w:cs="宋体"/>
                <w:szCs w:val="21"/>
                <w:highlight w:val="none"/>
              </w:rPr>
            </w:pPr>
            <w:r>
              <w:rPr>
                <w:rFonts w:hint="eastAsia" w:ascii="宋体" w:hAnsi="宋体" w:cs="宋体"/>
                <w:szCs w:val="21"/>
                <w:highlight w:val="none"/>
              </w:rPr>
              <w:t>评分因素</w:t>
            </w:r>
          </w:p>
        </w:tc>
        <w:tc>
          <w:tcPr>
            <w:tcW w:w="5419" w:type="dxa"/>
            <w:noWrap w:val="0"/>
            <w:vAlign w:val="center"/>
          </w:tcPr>
          <w:p>
            <w:pPr>
              <w:jc w:val="center"/>
              <w:rPr>
                <w:rFonts w:ascii="宋体" w:hAnsi="宋体" w:cs="宋体"/>
                <w:szCs w:val="21"/>
                <w:highlight w:val="none"/>
              </w:rPr>
            </w:pPr>
            <w:r>
              <w:rPr>
                <w:rFonts w:hint="eastAsia" w:ascii="宋体" w:hAnsi="宋体" w:cs="宋体"/>
                <w:szCs w:val="21"/>
                <w:highlight w:val="none"/>
              </w:rPr>
              <w:t>评分标准</w:t>
            </w:r>
          </w:p>
        </w:tc>
        <w:tc>
          <w:tcPr>
            <w:tcW w:w="947" w:type="dxa"/>
            <w:noWrap w:val="0"/>
            <w:vAlign w:val="center"/>
          </w:tcPr>
          <w:p>
            <w:pPr>
              <w:jc w:val="left"/>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283" w:type="dxa"/>
            <w:vMerge w:val="restart"/>
            <w:noWrap w:val="0"/>
            <w:vAlign w:val="center"/>
          </w:tcPr>
          <w:p>
            <w:pPr>
              <w:jc w:val="center"/>
              <w:rPr>
                <w:rFonts w:ascii="宋体" w:hAnsi="宋体" w:cs="宋体"/>
                <w:szCs w:val="21"/>
                <w:highlight w:val="none"/>
              </w:rPr>
            </w:pPr>
            <w:r>
              <w:rPr>
                <w:rFonts w:hint="eastAsia" w:ascii="宋体" w:hAnsi="宋体" w:cs="宋体"/>
                <w:szCs w:val="21"/>
                <w:highlight w:val="none"/>
              </w:rPr>
              <w:t>A、资信</w:t>
            </w:r>
          </w:p>
          <w:p>
            <w:pPr>
              <w:jc w:val="left"/>
              <w:rPr>
                <w:rFonts w:ascii="宋体" w:hAnsi="宋体" w:cs="宋体"/>
                <w:szCs w:val="21"/>
                <w:highlight w:val="none"/>
              </w:rPr>
            </w:pPr>
            <w:r>
              <w:rPr>
                <w:rFonts w:hint="eastAsia" w:ascii="宋体" w:hAnsi="宋体" w:cs="宋体"/>
                <w:szCs w:val="21"/>
                <w:highlight w:val="none"/>
              </w:rPr>
              <w:t>业绩（35分）</w:t>
            </w:r>
          </w:p>
        </w:tc>
        <w:tc>
          <w:tcPr>
            <w:tcW w:w="1632" w:type="dxa"/>
            <w:vMerge w:val="restart"/>
            <w:noWrap w:val="0"/>
            <w:vAlign w:val="center"/>
          </w:tcPr>
          <w:p>
            <w:pPr>
              <w:widowControl/>
              <w:jc w:val="center"/>
              <w:rPr>
                <w:rFonts w:ascii="宋体" w:hAnsi="宋体" w:cs="宋体"/>
                <w:strike/>
                <w:szCs w:val="21"/>
                <w:highlight w:val="none"/>
              </w:rPr>
            </w:pPr>
            <w:r>
              <w:rPr>
                <w:rFonts w:hint="eastAsia" w:ascii="宋体" w:hAnsi="宋体" w:cs="宋体"/>
                <w:kern w:val="0"/>
                <w:szCs w:val="21"/>
                <w:highlight w:val="none"/>
                <w:shd w:val="clear" w:color="auto" w:fill="FFFFFF"/>
                <w:lang w:bidi="ar"/>
              </w:rPr>
              <w:t>类似工程监理业绩</w:t>
            </w:r>
            <w:r>
              <w:rPr>
                <w:rFonts w:hint="eastAsia" w:ascii="宋体" w:hAnsi="宋体" w:cs="宋体"/>
                <w:szCs w:val="21"/>
                <w:highlight w:val="none"/>
              </w:rPr>
              <w:t>（15分）</w:t>
            </w:r>
          </w:p>
        </w:tc>
        <w:tc>
          <w:tcPr>
            <w:tcW w:w="5419" w:type="dxa"/>
            <w:vMerge w:val="restart"/>
            <w:noWrap w:val="0"/>
            <w:vAlign w:val="center"/>
          </w:tcPr>
          <w:p>
            <w:pPr>
              <w:jc w:val="left"/>
              <w:rPr>
                <w:rFonts w:ascii="宋体" w:hAnsi="宋体" w:cs="宋体"/>
                <w:color w:val="auto"/>
                <w:szCs w:val="21"/>
                <w:highlight w:val="none"/>
              </w:rPr>
            </w:pPr>
            <w:r>
              <w:rPr>
                <w:rFonts w:hint="eastAsia" w:ascii="宋体" w:hAnsi="宋体" w:cs="宋体"/>
                <w:color w:val="auto"/>
                <w:szCs w:val="21"/>
                <w:highlight w:val="none"/>
              </w:rPr>
              <w:t>（若为联合体投标，由联合体任意一方提供）</w:t>
            </w:r>
          </w:p>
          <w:p>
            <w:pPr>
              <w:jc w:val="left"/>
              <w:rPr>
                <w:rFonts w:hint="eastAsia" w:ascii="宋体" w:hAnsi="宋体" w:cs="宋体"/>
                <w:szCs w:val="21"/>
                <w:highlight w:val="none"/>
              </w:rPr>
            </w:pPr>
            <w:r>
              <w:rPr>
                <w:rFonts w:hint="eastAsia" w:ascii="宋体" w:hAnsi="宋体" w:cs="宋体"/>
                <w:szCs w:val="21"/>
                <w:highlight w:val="none"/>
              </w:rPr>
              <w:t>投标人自2022年1月1日至今，独立完成质量合格的监理酬金≥</w:t>
            </w:r>
            <w:r>
              <w:rPr>
                <w:rFonts w:hint="eastAsia" w:ascii="宋体" w:hAnsi="宋体" w:cs="宋体"/>
                <w:szCs w:val="21"/>
                <w:highlight w:val="none"/>
                <w:lang w:val="en-US" w:eastAsia="zh-CN"/>
              </w:rPr>
              <w:t>50</w:t>
            </w:r>
            <w:r>
              <w:rPr>
                <w:rFonts w:hint="eastAsia" w:ascii="宋体" w:hAnsi="宋体" w:cs="宋体"/>
                <w:szCs w:val="21"/>
                <w:highlight w:val="none"/>
              </w:rPr>
              <w:t>0万元的房屋建筑工程监理项目，每项得3分，最多得15分。</w:t>
            </w:r>
          </w:p>
          <w:p>
            <w:pPr>
              <w:jc w:val="left"/>
              <w:rPr>
                <w:rFonts w:ascii="宋体" w:hAnsi="宋体" w:cs="宋体"/>
                <w:strike/>
                <w:szCs w:val="21"/>
                <w:highlight w:val="none"/>
              </w:rPr>
            </w:pPr>
            <w:r>
              <w:rPr>
                <w:rFonts w:hint="eastAsia" w:ascii="宋体" w:hAnsi="宋体" w:cs="宋体"/>
                <w:szCs w:val="21"/>
                <w:highlight w:val="none"/>
              </w:rPr>
              <w:t>注：需同时提供中标通知书或免招标的相关证明、监理合同关键页、竣工验收证明文件</w:t>
            </w:r>
            <w:r>
              <w:rPr>
                <w:rFonts w:hint="eastAsia" w:ascii="宋体" w:hAnsi="宋体" w:cs="宋体"/>
                <w:szCs w:val="21"/>
                <w:highlight w:val="none"/>
                <w:lang w:eastAsia="zh-CN"/>
              </w:rPr>
              <w:t>（</w:t>
            </w:r>
            <w:r>
              <w:rPr>
                <w:rFonts w:hint="eastAsia" w:ascii="宋体" w:hAnsi="宋体" w:cs="宋体"/>
                <w:szCs w:val="21"/>
                <w:highlight w:val="none"/>
              </w:rPr>
              <w:t>竣工验收报告或竣工验收证明材料至少包含建设单位、设计单位、施工单位、监理单位四方主体盖章，否则不予以认可</w:t>
            </w:r>
            <w:r>
              <w:rPr>
                <w:rFonts w:hint="eastAsia" w:ascii="宋体" w:hAnsi="宋体" w:cs="宋体"/>
                <w:szCs w:val="21"/>
                <w:highlight w:val="none"/>
                <w:lang w:eastAsia="zh-CN"/>
              </w:rPr>
              <w:t>）</w:t>
            </w:r>
            <w:r>
              <w:rPr>
                <w:rFonts w:hint="eastAsia" w:ascii="宋体" w:hAnsi="宋体" w:cs="宋体"/>
                <w:szCs w:val="21"/>
                <w:highlight w:val="none"/>
              </w:rPr>
              <w:t>，否则不得分。业绩时间以竣工验收日期为准，监理酬金以监理合同</w:t>
            </w:r>
            <w:r>
              <w:rPr>
                <w:rFonts w:hint="eastAsia" w:ascii="宋体" w:hAnsi="宋体" w:cs="宋体"/>
                <w:szCs w:val="21"/>
                <w:highlight w:val="none"/>
                <w:lang w:eastAsia="zh-CN"/>
              </w:rPr>
              <w:t>（</w:t>
            </w:r>
            <w:r>
              <w:rPr>
                <w:rFonts w:hint="eastAsia" w:ascii="宋体" w:hAnsi="宋体" w:cs="宋体"/>
                <w:szCs w:val="21"/>
                <w:highlight w:val="none"/>
                <w:lang w:val="en-US" w:eastAsia="zh-CN"/>
              </w:rPr>
              <w:t>不含补充合同</w:t>
            </w:r>
            <w:r>
              <w:rPr>
                <w:rFonts w:hint="eastAsia" w:ascii="宋体" w:hAnsi="宋体" w:cs="宋体"/>
                <w:szCs w:val="21"/>
                <w:highlight w:val="none"/>
                <w:lang w:eastAsia="zh-CN"/>
              </w:rPr>
              <w:t>）</w:t>
            </w:r>
            <w:r>
              <w:rPr>
                <w:rFonts w:hint="eastAsia" w:ascii="宋体" w:hAnsi="宋体" w:cs="宋体"/>
                <w:szCs w:val="21"/>
                <w:highlight w:val="none"/>
              </w:rPr>
              <w:t>上载明为准。</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283" w:type="dxa"/>
            <w:vMerge w:val="continue"/>
            <w:noWrap w:val="0"/>
            <w:vAlign w:val="center"/>
          </w:tcPr>
          <w:p>
            <w:pPr>
              <w:jc w:val="left"/>
              <w:rPr>
                <w:rFonts w:ascii="宋体" w:hAnsi="宋体" w:cs="宋体"/>
                <w:szCs w:val="21"/>
                <w:highlight w:val="none"/>
              </w:rPr>
            </w:pPr>
          </w:p>
        </w:tc>
        <w:tc>
          <w:tcPr>
            <w:tcW w:w="1632" w:type="dxa"/>
            <w:vMerge w:val="continue"/>
            <w:noWrap w:val="0"/>
            <w:vAlign w:val="center"/>
          </w:tcPr>
          <w:p>
            <w:pPr>
              <w:widowControl/>
              <w:jc w:val="center"/>
              <w:rPr>
                <w:rFonts w:ascii="宋体" w:hAnsi="宋体" w:cs="宋体"/>
                <w:strike/>
                <w:szCs w:val="21"/>
                <w:highlight w:val="none"/>
              </w:rPr>
            </w:pPr>
          </w:p>
        </w:tc>
        <w:tc>
          <w:tcPr>
            <w:tcW w:w="5419" w:type="dxa"/>
            <w:vMerge w:val="continue"/>
            <w:noWrap w:val="0"/>
            <w:vAlign w:val="center"/>
          </w:tcPr>
          <w:p>
            <w:pPr>
              <w:jc w:val="left"/>
              <w:rPr>
                <w:rFonts w:ascii="宋体" w:hAnsi="宋体" w:cs="宋体"/>
                <w:strike/>
                <w:szCs w:val="21"/>
                <w:highlight w:val="none"/>
              </w:rPr>
            </w:pP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283" w:type="dxa"/>
            <w:vMerge w:val="continue"/>
            <w:noWrap w:val="0"/>
            <w:vAlign w:val="center"/>
          </w:tcPr>
          <w:p>
            <w:pPr>
              <w:jc w:val="left"/>
              <w:rPr>
                <w:rFonts w:ascii="宋体" w:hAnsi="宋体" w:cs="宋体"/>
                <w:szCs w:val="21"/>
                <w:highlight w:val="none"/>
              </w:rPr>
            </w:pPr>
          </w:p>
        </w:tc>
        <w:tc>
          <w:tcPr>
            <w:tcW w:w="1632" w:type="dxa"/>
            <w:vMerge w:val="restart"/>
            <w:noWrap w:val="0"/>
            <w:vAlign w:val="center"/>
          </w:tcPr>
          <w:p>
            <w:pPr>
              <w:widowControl/>
              <w:jc w:val="center"/>
              <w:rPr>
                <w:rFonts w:ascii="宋体" w:hAnsi="宋体" w:cs="宋体"/>
                <w:szCs w:val="21"/>
                <w:highlight w:val="none"/>
              </w:rPr>
            </w:pPr>
            <w:r>
              <w:rPr>
                <w:rFonts w:hint="eastAsia" w:ascii="宋体" w:hAnsi="宋体" w:cs="宋体"/>
                <w:szCs w:val="21"/>
                <w:highlight w:val="none"/>
              </w:rPr>
              <w:t>项目总监综合素质（5分）</w:t>
            </w:r>
          </w:p>
        </w:tc>
        <w:tc>
          <w:tcPr>
            <w:tcW w:w="5419" w:type="dxa"/>
            <w:noWrap w:val="0"/>
            <w:vAlign w:val="center"/>
          </w:tcPr>
          <w:p>
            <w:pPr>
              <w:jc w:val="left"/>
              <w:rPr>
                <w:rFonts w:ascii="宋体" w:hAnsi="宋体" w:cs="宋体"/>
                <w:color w:val="auto"/>
                <w:szCs w:val="21"/>
                <w:highlight w:val="none"/>
              </w:rPr>
            </w:pPr>
            <w:r>
              <w:rPr>
                <w:rFonts w:hint="eastAsia" w:ascii="宋体" w:hAnsi="宋体" w:cs="宋体"/>
                <w:color w:val="auto"/>
                <w:szCs w:val="21"/>
                <w:highlight w:val="none"/>
              </w:rPr>
              <w:t>（若为联合体投标，由联合体主办方提供）</w:t>
            </w:r>
          </w:p>
          <w:p>
            <w:pPr>
              <w:pStyle w:val="26"/>
              <w:jc w:val="left"/>
              <w:rPr>
                <w:rFonts w:ascii="宋体" w:hAnsi="宋体"/>
                <w:b/>
                <w:bCs/>
                <w:szCs w:val="21"/>
                <w:highlight w:val="none"/>
              </w:rPr>
            </w:pPr>
            <w:r>
              <w:rPr>
                <w:rFonts w:hint="eastAsia" w:ascii="宋体" w:hAnsi="宋体"/>
                <w:b/>
                <w:bCs/>
                <w:szCs w:val="21"/>
                <w:highlight w:val="none"/>
              </w:rPr>
              <w:t>一、项目总监资历</w:t>
            </w:r>
          </w:p>
          <w:p>
            <w:pPr>
              <w:pStyle w:val="26"/>
              <w:jc w:val="left"/>
              <w:rPr>
                <w:rFonts w:ascii="宋体" w:hAnsi="宋体"/>
                <w:szCs w:val="21"/>
                <w:highlight w:val="none"/>
              </w:rPr>
            </w:pPr>
            <w:r>
              <w:rPr>
                <w:rFonts w:hint="eastAsia" w:ascii="宋体" w:hAnsi="宋体"/>
                <w:szCs w:val="21"/>
                <w:highlight w:val="none"/>
              </w:rPr>
              <w:t>1、满足公告要求，具有工程类高级或以上技术职称的得3分，具有工程类中级技术职称的得1分，其他不得分；</w:t>
            </w:r>
          </w:p>
          <w:p>
            <w:pPr>
              <w:pStyle w:val="26"/>
              <w:jc w:val="left"/>
              <w:rPr>
                <w:rFonts w:ascii="宋体" w:hAnsi="宋体"/>
                <w:szCs w:val="21"/>
                <w:highlight w:val="none"/>
              </w:rPr>
            </w:pPr>
            <w:r>
              <w:rPr>
                <w:rFonts w:hint="eastAsia" w:ascii="宋体" w:hAnsi="宋体"/>
                <w:szCs w:val="21"/>
                <w:highlight w:val="none"/>
              </w:rPr>
              <w:t>注：提供相关证书扫描件。</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vMerge w:val="continue"/>
            <w:noWrap w:val="0"/>
            <w:vAlign w:val="center"/>
          </w:tcPr>
          <w:p>
            <w:pPr>
              <w:jc w:val="left"/>
              <w:rPr>
                <w:rFonts w:ascii="宋体" w:hAnsi="宋体" w:cs="宋体"/>
                <w:szCs w:val="21"/>
                <w:highlight w:val="none"/>
              </w:rPr>
            </w:pPr>
          </w:p>
        </w:tc>
        <w:tc>
          <w:tcPr>
            <w:tcW w:w="1632" w:type="dxa"/>
            <w:vMerge w:val="continue"/>
            <w:noWrap w:val="0"/>
            <w:vAlign w:val="center"/>
          </w:tcPr>
          <w:p>
            <w:pPr>
              <w:widowControl/>
              <w:jc w:val="center"/>
              <w:rPr>
                <w:rFonts w:ascii="宋体" w:hAnsi="宋体" w:cs="宋体"/>
                <w:szCs w:val="21"/>
                <w:highlight w:val="none"/>
              </w:rPr>
            </w:pPr>
          </w:p>
        </w:tc>
        <w:tc>
          <w:tcPr>
            <w:tcW w:w="5419" w:type="dxa"/>
            <w:noWrap w:val="0"/>
            <w:vAlign w:val="center"/>
          </w:tcPr>
          <w:p>
            <w:pPr>
              <w:jc w:val="left"/>
              <w:rPr>
                <w:rFonts w:ascii="宋体" w:hAnsi="宋体" w:cs="宋体"/>
                <w:color w:val="auto"/>
                <w:szCs w:val="21"/>
                <w:highlight w:val="none"/>
              </w:rPr>
            </w:pPr>
            <w:r>
              <w:rPr>
                <w:rFonts w:hint="eastAsia" w:ascii="宋体" w:hAnsi="宋体" w:cs="宋体"/>
                <w:color w:val="auto"/>
                <w:szCs w:val="21"/>
                <w:highlight w:val="none"/>
              </w:rPr>
              <w:t>（若为联合体投标，由联合体主办方提供）</w:t>
            </w:r>
          </w:p>
          <w:p>
            <w:pPr>
              <w:pStyle w:val="26"/>
              <w:jc w:val="left"/>
              <w:rPr>
                <w:rFonts w:ascii="宋体" w:hAnsi="宋体"/>
                <w:szCs w:val="21"/>
                <w:highlight w:val="none"/>
              </w:rPr>
            </w:pPr>
            <w:r>
              <w:rPr>
                <w:rFonts w:hint="eastAsia" w:ascii="宋体" w:hAnsi="宋体"/>
                <w:b/>
                <w:bCs/>
                <w:szCs w:val="21"/>
                <w:highlight w:val="none"/>
              </w:rPr>
              <w:t>二、项目总监业绩</w:t>
            </w:r>
          </w:p>
          <w:p>
            <w:pPr>
              <w:pStyle w:val="26"/>
              <w:jc w:val="left"/>
              <w:rPr>
                <w:rFonts w:ascii="宋体" w:hAnsi="宋体"/>
                <w:szCs w:val="21"/>
                <w:highlight w:val="none"/>
              </w:rPr>
            </w:pPr>
            <w:r>
              <w:rPr>
                <w:rFonts w:hint="eastAsia" w:ascii="宋体" w:hAnsi="宋体"/>
                <w:szCs w:val="21"/>
                <w:highlight w:val="none"/>
              </w:rPr>
              <w:t>1、自2022年1月1日至今（以竣工验收日期为准）担任总监完成过监理酬金≥500万元的房屋建筑工程监理项目的，每项得2分，最高不超过2分；</w:t>
            </w:r>
          </w:p>
          <w:p>
            <w:pPr>
              <w:pStyle w:val="26"/>
              <w:jc w:val="left"/>
              <w:rPr>
                <w:rFonts w:ascii="宋体" w:hAnsi="宋体"/>
                <w:szCs w:val="21"/>
                <w:highlight w:val="none"/>
              </w:rPr>
            </w:pPr>
            <w:r>
              <w:rPr>
                <w:rFonts w:hint="eastAsia" w:ascii="宋体" w:hAnsi="宋体"/>
                <w:szCs w:val="21"/>
                <w:highlight w:val="none"/>
              </w:rPr>
              <w:t>注：完成过房屋建筑工程监理项目业绩需同时提供中标通知书或免招标的相关证明、监理合同关键页、竣工验收证明文件</w:t>
            </w:r>
            <w:r>
              <w:rPr>
                <w:rFonts w:hint="eastAsia" w:ascii="宋体" w:hAnsi="宋体"/>
                <w:szCs w:val="21"/>
                <w:highlight w:val="none"/>
                <w:lang w:eastAsia="zh-CN"/>
              </w:rPr>
              <w:t>（</w:t>
            </w:r>
            <w:r>
              <w:rPr>
                <w:rFonts w:hint="eastAsia" w:ascii="宋体" w:hAnsi="宋体"/>
                <w:szCs w:val="21"/>
                <w:highlight w:val="none"/>
              </w:rPr>
              <w:t>竣工验收报告或竣工验收证明材料至少包含建设单位、设计单位、施工单位、监理单位四方主体盖章，否则不予以认可</w:t>
            </w:r>
            <w:r>
              <w:rPr>
                <w:rFonts w:hint="eastAsia" w:ascii="宋体" w:hAnsi="宋体"/>
                <w:szCs w:val="21"/>
                <w:highlight w:val="none"/>
                <w:lang w:eastAsia="zh-CN"/>
              </w:rPr>
              <w:t>）</w:t>
            </w:r>
            <w:r>
              <w:rPr>
                <w:rFonts w:hint="eastAsia" w:ascii="宋体" w:hAnsi="宋体"/>
                <w:szCs w:val="21"/>
                <w:highlight w:val="none"/>
              </w:rPr>
              <w:t>，否则不得分。业绩时间以竣工验收日期为准。</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283" w:type="dxa"/>
            <w:vMerge w:val="continue"/>
            <w:noWrap w:val="0"/>
            <w:vAlign w:val="center"/>
          </w:tcPr>
          <w:p>
            <w:pPr>
              <w:jc w:val="left"/>
              <w:rPr>
                <w:rFonts w:ascii="宋体" w:hAnsi="宋体" w:cs="宋体"/>
                <w:szCs w:val="21"/>
                <w:highlight w:val="none"/>
              </w:rPr>
            </w:pPr>
          </w:p>
        </w:tc>
        <w:tc>
          <w:tcPr>
            <w:tcW w:w="1632" w:type="dxa"/>
            <w:vMerge w:val="restart"/>
            <w:noWrap w:val="0"/>
            <w:vAlign w:val="center"/>
          </w:tcPr>
          <w:p>
            <w:pPr>
              <w:widowControl/>
              <w:jc w:val="center"/>
              <w:rPr>
                <w:rFonts w:ascii="宋体" w:hAnsi="宋体" w:cs="宋体"/>
                <w:szCs w:val="21"/>
                <w:highlight w:val="none"/>
              </w:rPr>
            </w:pPr>
            <w:r>
              <w:rPr>
                <w:rFonts w:hint="eastAsia" w:ascii="宋体" w:hAnsi="宋体" w:cs="宋体"/>
                <w:szCs w:val="21"/>
                <w:highlight w:val="none"/>
              </w:rPr>
              <w:t>项目总监代表综合素质（5分）</w:t>
            </w:r>
          </w:p>
        </w:tc>
        <w:tc>
          <w:tcPr>
            <w:tcW w:w="5419" w:type="dxa"/>
            <w:noWrap w:val="0"/>
            <w:vAlign w:val="center"/>
          </w:tcPr>
          <w:p>
            <w:pPr>
              <w:jc w:val="left"/>
              <w:rPr>
                <w:rFonts w:ascii="宋体" w:hAnsi="宋体" w:cs="宋体"/>
                <w:color w:val="auto"/>
                <w:szCs w:val="21"/>
                <w:highlight w:val="none"/>
              </w:rPr>
            </w:pPr>
            <w:r>
              <w:rPr>
                <w:rFonts w:hint="eastAsia" w:ascii="宋体" w:hAnsi="宋体" w:cs="宋体"/>
                <w:color w:val="auto"/>
                <w:szCs w:val="21"/>
                <w:highlight w:val="none"/>
              </w:rPr>
              <w:t>（若为联合体投标，由联合体主办方提供）</w:t>
            </w:r>
          </w:p>
          <w:p>
            <w:pPr>
              <w:jc w:val="left"/>
              <w:rPr>
                <w:rFonts w:ascii="宋体" w:hAnsi="宋体" w:cs="宋体"/>
                <w:b/>
                <w:bCs/>
                <w:szCs w:val="21"/>
                <w:highlight w:val="none"/>
              </w:rPr>
            </w:pPr>
            <w:r>
              <w:rPr>
                <w:rFonts w:hint="eastAsia" w:ascii="宋体" w:hAnsi="宋体" w:cs="宋体"/>
                <w:b/>
                <w:bCs/>
                <w:szCs w:val="21"/>
                <w:highlight w:val="none"/>
              </w:rPr>
              <w:t>一、项目总监代表资历</w:t>
            </w:r>
          </w:p>
          <w:p>
            <w:pPr>
              <w:pStyle w:val="26"/>
              <w:jc w:val="left"/>
              <w:rPr>
                <w:rFonts w:ascii="宋体" w:hAnsi="宋体"/>
                <w:szCs w:val="21"/>
                <w:highlight w:val="none"/>
              </w:rPr>
            </w:pPr>
            <w:r>
              <w:rPr>
                <w:rFonts w:hint="eastAsia" w:ascii="宋体" w:hAnsi="宋体"/>
                <w:szCs w:val="21"/>
                <w:highlight w:val="none"/>
              </w:rPr>
              <w:t>1、具有工程类高级或以上技术职称的得3分，具有工程类中级技术职称的得1分，其他不得分。</w:t>
            </w:r>
          </w:p>
          <w:p>
            <w:pPr>
              <w:pStyle w:val="26"/>
              <w:jc w:val="left"/>
              <w:rPr>
                <w:rFonts w:ascii="宋体" w:hAnsi="宋体"/>
                <w:szCs w:val="21"/>
                <w:highlight w:val="none"/>
              </w:rPr>
            </w:pPr>
            <w:r>
              <w:rPr>
                <w:rFonts w:hint="eastAsia" w:ascii="宋体" w:hAnsi="宋体"/>
                <w:szCs w:val="21"/>
                <w:highlight w:val="none"/>
              </w:rPr>
              <w:t>注：提供相关证书扫描件。</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283" w:type="dxa"/>
            <w:vMerge w:val="continue"/>
            <w:noWrap w:val="0"/>
            <w:vAlign w:val="center"/>
          </w:tcPr>
          <w:p>
            <w:pPr>
              <w:jc w:val="left"/>
              <w:rPr>
                <w:rFonts w:ascii="宋体" w:hAnsi="宋体" w:cs="宋体"/>
                <w:szCs w:val="21"/>
                <w:highlight w:val="none"/>
              </w:rPr>
            </w:pPr>
          </w:p>
        </w:tc>
        <w:tc>
          <w:tcPr>
            <w:tcW w:w="1632" w:type="dxa"/>
            <w:vMerge w:val="continue"/>
            <w:noWrap w:val="0"/>
            <w:vAlign w:val="center"/>
          </w:tcPr>
          <w:p>
            <w:pPr>
              <w:widowControl/>
              <w:jc w:val="center"/>
              <w:rPr>
                <w:rFonts w:ascii="宋体" w:hAnsi="宋体" w:cs="宋体"/>
                <w:szCs w:val="21"/>
                <w:highlight w:val="none"/>
              </w:rPr>
            </w:pPr>
          </w:p>
        </w:tc>
        <w:tc>
          <w:tcPr>
            <w:tcW w:w="5419" w:type="dxa"/>
            <w:noWrap w:val="0"/>
            <w:vAlign w:val="center"/>
          </w:tcPr>
          <w:p>
            <w:pPr>
              <w:jc w:val="left"/>
              <w:rPr>
                <w:rFonts w:ascii="宋体" w:hAnsi="宋体" w:cs="宋体"/>
                <w:color w:val="auto"/>
                <w:szCs w:val="21"/>
                <w:highlight w:val="none"/>
              </w:rPr>
            </w:pPr>
            <w:r>
              <w:rPr>
                <w:rFonts w:hint="eastAsia" w:ascii="宋体" w:hAnsi="宋体" w:cs="宋体"/>
                <w:color w:val="auto"/>
                <w:szCs w:val="21"/>
                <w:highlight w:val="none"/>
              </w:rPr>
              <w:t>（若为联合体投标，由联合体主办方提供）</w:t>
            </w:r>
          </w:p>
          <w:p>
            <w:pPr>
              <w:pStyle w:val="26"/>
              <w:jc w:val="left"/>
              <w:rPr>
                <w:rFonts w:ascii="宋体" w:hAnsi="宋体"/>
                <w:szCs w:val="21"/>
                <w:highlight w:val="none"/>
              </w:rPr>
            </w:pPr>
            <w:r>
              <w:rPr>
                <w:rFonts w:hint="eastAsia" w:ascii="宋体" w:hAnsi="宋体"/>
                <w:b/>
                <w:bCs/>
                <w:szCs w:val="21"/>
                <w:highlight w:val="none"/>
              </w:rPr>
              <w:t>二、项目总监代表业绩</w:t>
            </w:r>
          </w:p>
          <w:p>
            <w:pPr>
              <w:pStyle w:val="26"/>
              <w:jc w:val="left"/>
              <w:rPr>
                <w:rFonts w:ascii="宋体" w:hAnsi="宋体"/>
                <w:szCs w:val="21"/>
                <w:highlight w:val="none"/>
              </w:rPr>
            </w:pPr>
            <w:r>
              <w:rPr>
                <w:rFonts w:hint="eastAsia" w:ascii="宋体" w:hAnsi="宋体"/>
                <w:szCs w:val="21"/>
                <w:highlight w:val="none"/>
              </w:rPr>
              <w:t>1、自2022年1月1日至今（以竣工验收日期为准）担任总监或总监代表完成过</w:t>
            </w:r>
            <w:r>
              <w:rPr>
                <w:rFonts w:hint="eastAsia"/>
                <w:highlight w:val="none"/>
              </w:rPr>
              <w:t>监理酬金≥500万元的</w:t>
            </w:r>
            <w:r>
              <w:rPr>
                <w:rFonts w:hint="eastAsia" w:ascii="宋体" w:hAnsi="宋体"/>
                <w:szCs w:val="21"/>
                <w:highlight w:val="none"/>
              </w:rPr>
              <w:t>房屋建筑工程监理项目的，每项得2分，最高不超过2分。</w:t>
            </w:r>
          </w:p>
          <w:p>
            <w:pPr>
              <w:pStyle w:val="26"/>
              <w:jc w:val="left"/>
              <w:rPr>
                <w:rFonts w:ascii="宋体" w:hAnsi="宋体"/>
                <w:szCs w:val="21"/>
                <w:highlight w:val="none"/>
              </w:rPr>
            </w:pPr>
            <w:r>
              <w:rPr>
                <w:rFonts w:hint="eastAsia" w:ascii="宋体" w:hAnsi="宋体"/>
                <w:szCs w:val="21"/>
                <w:highlight w:val="none"/>
              </w:rPr>
              <w:t>注：（1）完成过房屋建筑工程监理项目业绩需同时提供中标通知书或免招标的相关证明、监理合同关键页、竣工验收证明文件</w:t>
            </w:r>
            <w:r>
              <w:rPr>
                <w:rFonts w:hint="eastAsia" w:ascii="宋体" w:hAnsi="宋体"/>
                <w:szCs w:val="21"/>
                <w:highlight w:val="none"/>
                <w:lang w:eastAsia="zh-CN"/>
              </w:rPr>
              <w:t>（</w:t>
            </w:r>
            <w:r>
              <w:rPr>
                <w:rFonts w:hint="eastAsia" w:ascii="宋体" w:hAnsi="宋体"/>
                <w:szCs w:val="21"/>
                <w:highlight w:val="none"/>
              </w:rPr>
              <w:t>竣工验收报告或竣工验收证明材料至少包含建设单位、设计单位、施工单位、监理单位四方主体盖章，否则不予以认可</w:t>
            </w:r>
            <w:r>
              <w:rPr>
                <w:rFonts w:hint="eastAsia" w:ascii="宋体" w:hAnsi="宋体"/>
                <w:szCs w:val="21"/>
                <w:highlight w:val="none"/>
                <w:lang w:eastAsia="zh-CN"/>
              </w:rPr>
              <w:t>）</w:t>
            </w:r>
            <w:r>
              <w:rPr>
                <w:rFonts w:hint="eastAsia" w:ascii="宋体" w:hAnsi="宋体"/>
                <w:szCs w:val="21"/>
                <w:highlight w:val="none"/>
              </w:rPr>
              <w:t>，否则不得分。业绩时间以竣工验收日期为准。</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283" w:type="dxa"/>
            <w:vMerge w:val="continue"/>
            <w:noWrap w:val="0"/>
            <w:vAlign w:val="center"/>
          </w:tcPr>
          <w:p>
            <w:pPr>
              <w:jc w:val="left"/>
              <w:rPr>
                <w:rFonts w:ascii="宋体" w:hAnsi="宋体" w:cs="宋体"/>
                <w:szCs w:val="21"/>
                <w:highlight w:val="none"/>
              </w:rPr>
            </w:pPr>
          </w:p>
        </w:tc>
        <w:tc>
          <w:tcPr>
            <w:tcW w:w="1632" w:type="dxa"/>
            <w:noWrap w:val="0"/>
            <w:vAlign w:val="center"/>
          </w:tcPr>
          <w:p>
            <w:pPr>
              <w:jc w:val="left"/>
              <w:rPr>
                <w:rFonts w:ascii="宋体" w:hAnsi="宋体" w:cs="宋体"/>
                <w:szCs w:val="21"/>
                <w:highlight w:val="none"/>
              </w:rPr>
            </w:pPr>
            <w:r>
              <w:rPr>
                <w:rFonts w:hint="eastAsia" w:ascii="宋体" w:hAnsi="宋体" w:cs="宋体"/>
                <w:szCs w:val="21"/>
                <w:highlight w:val="none"/>
              </w:rPr>
              <w:t>监理机构人员配备（除总监理工程师及总监代表外）（5分）</w:t>
            </w:r>
          </w:p>
        </w:tc>
        <w:tc>
          <w:tcPr>
            <w:tcW w:w="5419" w:type="dxa"/>
            <w:noWrap w:val="0"/>
            <w:vAlign w:val="top"/>
          </w:tcPr>
          <w:p>
            <w:pPr>
              <w:jc w:val="left"/>
              <w:rPr>
                <w:rFonts w:ascii="宋体" w:hAnsi="宋体" w:cs="宋体"/>
                <w:color w:val="auto"/>
                <w:szCs w:val="21"/>
                <w:highlight w:val="none"/>
              </w:rPr>
            </w:pPr>
            <w:r>
              <w:rPr>
                <w:rFonts w:hint="eastAsia" w:ascii="宋体" w:hAnsi="宋体" w:cs="宋体"/>
                <w:color w:val="auto"/>
                <w:szCs w:val="21"/>
                <w:highlight w:val="none"/>
              </w:rPr>
              <w:t>（若为联合体投标，由联合体任意一方提供）</w:t>
            </w:r>
          </w:p>
          <w:p>
            <w:pPr>
              <w:pStyle w:val="26"/>
              <w:jc w:val="left"/>
              <w:rPr>
                <w:rFonts w:hint="eastAsia" w:ascii="宋体" w:hAnsi="宋体"/>
                <w:szCs w:val="21"/>
                <w:highlight w:val="none"/>
              </w:rPr>
            </w:pPr>
            <w:r>
              <w:rPr>
                <w:rFonts w:hint="eastAsia" w:ascii="宋体" w:hAnsi="宋体"/>
                <w:szCs w:val="21"/>
                <w:highlight w:val="none"/>
              </w:rPr>
              <w:t>1、监理机构人员配备（除总监理工程师及总监代表外）</w:t>
            </w:r>
            <w:r>
              <w:rPr>
                <w:rFonts w:hint="eastAsia" w:ascii="宋体" w:hAnsi="宋体"/>
                <w:kern w:val="2"/>
                <w:szCs w:val="21"/>
                <w:highlight w:val="none"/>
                <w:lang w:bidi="ar"/>
              </w:rPr>
              <w:t>满足本招标文件第二章投标人须知中</w:t>
            </w:r>
            <w:r>
              <w:rPr>
                <w:rFonts w:hint="eastAsia" w:ascii="宋体" w:hAnsi="宋体"/>
                <w:szCs w:val="21"/>
                <w:highlight w:val="none"/>
              </w:rPr>
              <w:t>《附表1监理机构人员配备要求》，得2分。</w:t>
            </w:r>
          </w:p>
          <w:p>
            <w:pPr>
              <w:pStyle w:val="26"/>
              <w:jc w:val="left"/>
              <w:rPr>
                <w:rFonts w:ascii="宋体" w:hAnsi="宋体"/>
                <w:szCs w:val="21"/>
                <w:highlight w:val="none"/>
              </w:rPr>
            </w:pPr>
            <w:r>
              <w:rPr>
                <w:rFonts w:hint="eastAsia" w:ascii="宋体" w:hAnsi="宋体"/>
                <w:szCs w:val="21"/>
                <w:highlight w:val="none"/>
              </w:rPr>
              <w:t>2、拟配备人员具有工程类高级或以上技术职称的每人加1.5分，工程类</w:t>
            </w:r>
            <w:r>
              <w:rPr>
                <w:rFonts w:hint="eastAsia" w:ascii="宋体" w:hAnsi="宋体"/>
                <w:szCs w:val="21"/>
                <w:highlight w:val="none"/>
                <w:lang w:val="en-US" w:eastAsia="zh-CN"/>
              </w:rPr>
              <w:t>中</w:t>
            </w:r>
            <w:r>
              <w:rPr>
                <w:rFonts w:hint="eastAsia" w:ascii="宋体" w:hAnsi="宋体"/>
                <w:szCs w:val="21"/>
                <w:highlight w:val="none"/>
              </w:rPr>
              <w:t>级技术职称的每人加1分</w:t>
            </w:r>
            <w:r>
              <w:rPr>
                <w:rFonts w:hint="eastAsia" w:ascii="宋体" w:hAnsi="宋体"/>
                <w:szCs w:val="21"/>
                <w:highlight w:val="none"/>
                <w:lang w:eastAsia="zh-CN"/>
              </w:rPr>
              <w:t>，</w:t>
            </w:r>
            <w:r>
              <w:rPr>
                <w:rFonts w:hint="eastAsia" w:ascii="宋体" w:hAnsi="宋体"/>
                <w:szCs w:val="21"/>
                <w:highlight w:val="none"/>
              </w:rPr>
              <w:t>最多得3分。</w:t>
            </w:r>
          </w:p>
          <w:p>
            <w:pPr>
              <w:pStyle w:val="26"/>
              <w:jc w:val="left"/>
              <w:rPr>
                <w:rFonts w:hint="eastAsia" w:ascii="宋体" w:hAnsi="宋体" w:eastAsia="宋体"/>
                <w:szCs w:val="21"/>
                <w:highlight w:val="none"/>
                <w:lang w:val="en-US" w:eastAsia="zh-CN"/>
              </w:rPr>
            </w:pPr>
            <w:r>
              <w:rPr>
                <w:rFonts w:hint="eastAsia" w:ascii="宋体" w:hAnsi="宋体"/>
                <w:szCs w:val="21"/>
                <w:highlight w:val="none"/>
              </w:rPr>
              <w:t>注：提供相关证书扫描件。</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1283" w:type="dxa"/>
            <w:vMerge w:val="continue"/>
            <w:noWrap w:val="0"/>
            <w:vAlign w:val="center"/>
          </w:tcPr>
          <w:p>
            <w:pPr>
              <w:rPr>
                <w:rFonts w:ascii="宋体" w:hAnsi="宋体" w:cs="宋体"/>
                <w:szCs w:val="21"/>
                <w:highlight w:val="none"/>
              </w:rPr>
            </w:pPr>
          </w:p>
        </w:tc>
        <w:tc>
          <w:tcPr>
            <w:tcW w:w="1632" w:type="dxa"/>
            <w:noWrap w:val="0"/>
            <w:vAlign w:val="center"/>
          </w:tcPr>
          <w:p>
            <w:pPr>
              <w:jc w:val="left"/>
              <w:rPr>
                <w:rFonts w:ascii="宋体" w:hAnsi="宋体" w:cs="宋体"/>
                <w:szCs w:val="21"/>
                <w:highlight w:val="none"/>
              </w:rPr>
            </w:pPr>
            <w:r>
              <w:rPr>
                <w:rFonts w:hint="eastAsia" w:ascii="宋体" w:hAnsi="宋体" w:cs="宋体"/>
                <w:szCs w:val="21"/>
                <w:highlight w:val="none"/>
              </w:rPr>
              <w:t>管理体系认证</w:t>
            </w:r>
          </w:p>
          <w:p>
            <w:pPr>
              <w:jc w:val="center"/>
              <w:rPr>
                <w:rFonts w:ascii="宋体" w:hAnsi="宋体" w:cs="宋体"/>
                <w:szCs w:val="21"/>
                <w:highlight w:val="none"/>
              </w:rPr>
            </w:pPr>
            <w:r>
              <w:rPr>
                <w:rFonts w:hint="eastAsia" w:ascii="宋体" w:hAnsi="宋体" w:cs="宋体"/>
                <w:szCs w:val="21"/>
                <w:highlight w:val="none"/>
              </w:rPr>
              <w:t>（2分）</w:t>
            </w:r>
          </w:p>
        </w:tc>
        <w:tc>
          <w:tcPr>
            <w:tcW w:w="5419" w:type="dxa"/>
            <w:noWrap w:val="0"/>
            <w:vAlign w:val="center"/>
          </w:tcPr>
          <w:p>
            <w:pPr>
              <w:jc w:val="left"/>
              <w:rPr>
                <w:rFonts w:hint="eastAsia" w:ascii="宋体" w:hAnsi="宋体" w:cs="宋体"/>
                <w:color w:val="auto"/>
                <w:szCs w:val="21"/>
                <w:highlight w:val="none"/>
                <w:u w:val="none"/>
              </w:rPr>
            </w:pPr>
            <w:r>
              <w:rPr>
                <w:rFonts w:hint="eastAsia" w:ascii="宋体" w:hAnsi="宋体" w:cs="宋体"/>
                <w:color w:val="auto"/>
                <w:szCs w:val="21"/>
                <w:highlight w:val="none"/>
                <w:u w:val="none"/>
              </w:rPr>
              <w:t>（若为联合体投标，由联合体主办方提供）</w:t>
            </w:r>
          </w:p>
          <w:p>
            <w:pPr>
              <w:jc w:val="left"/>
              <w:rPr>
                <w:rFonts w:ascii="宋体" w:hAnsi="宋体" w:cs="宋体"/>
                <w:szCs w:val="21"/>
                <w:highlight w:val="none"/>
              </w:rPr>
            </w:pPr>
            <w:r>
              <w:rPr>
                <w:rFonts w:hint="eastAsia" w:ascii="宋体" w:hAnsi="宋体" w:cs="宋体"/>
                <w:szCs w:val="21"/>
                <w:highlight w:val="none"/>
              </w:rPr>
              <w:t>投标人具有有效的质量管理体系认证、环境管理体系认证、职业健康安全管理体系认证的，全部满足的得2分，满足其中2项的，得1.5分，满足其中1项的，得1分；其他情况不得分。</w:t>
            </w:r>
          </w:p>
          <w:p>
            <w:pPr>
              <w:widowControl/>
              <w:spacing w:before="93" w:beforeLines="30" w:after="93" w:afterLines="30"/>
              <w:jc w:val="left"/>
              <w:rPr>
                <w:rFonts w:ascii="宋体" w:hAnsi="宋体" w:cs="宋体"/>
                <w:szCs w:val="21"/>
                <w:highlight w:val="none"/>
              </w:rPr>
            </w:pPr>
            <w:r>
              <w:rPr>
                <w:rFonts w:hint="eastAsia" w:ascii="宋体" w:hAnsi="宋体" w:cs="宋体"/>
                <w:snapToGrid w:val="0"/>
                <w:szCs w:val="21"/>
                <w:highlight w:val="none"/>
              </w:rPr>
              <w:t>注：同时提供认证证书以及全国认证认可信息公共服务平台（http://cx.cnca.cn/）查询结果网页截图，且证书状态应为“有效”。</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atLeast"/>
          <w:jc w:val="center"/>
        </w:trPr>
        <w:tc>
          <w:tcPr>
            <w:tcW w:w="1283" w:type="dxa"/>
            <w:vMerge w:val="continue"/>
            <w:noWrap w:val="0"/>
            <w:vAlign w:val="center"/>
          </w:tcPr>
          <w:p>
            <w:pPr>
              <w:rPr>
                <w:rFonts w:ascii="宋体" w:hAnsi="宋体" w:cs="宋体"/>
                <w:szCs w:val="21"/>
                <w:highlight w:val="none"/>
              </w:rPr>
            </w:pPr>
          </w:p>
        </w:tc>
        <w:tc>
          <w:tcPr>
            <w:tcW w:w="163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纳税信用等级（3分）</w:t>
            </w:r>
          </w:p>
        </w:tc>
        <w:tc>
          <w:tcPr>
            <w:tcW w:w="5419" w:type="dxa"/>
            <w:noWrap w:val="0"/>
            <w:vAlign w:val="center"/>
          </w:tcPr>
          <w:p>
            <w:pPr>
              <w:jc w:val="left"/>
              <w:rPr>
                <w:rFonts w:hint="eastAsia" w:ascii="宋体" w:hAnsi="宋体" w:cs="宋体"/>
                <w:szCs w:val="21"/>
                <w:highlight w:val="none"/>
              </w:rPr>
            </w:pPr>
            <w:r>
              <w:rPr>
                <w:rFonts w:hint="eastAsia" w:ascii="宋体" w:hAnsi="宋体" w:cs="宋体"/>
                <w:szCs w:val="21"/>
                <w:highlight w:val="none"/>
              </w:rPr>
              <w:t>（若为联合体投标，由联合体主办方提供）</w:t>
            </w:r>
          </w:p>
          <w:p>
            <w:pPr>
              <w:jc w:val="left"/>
              <w:rPr>
                <w:rFonts w:hint="eastAsia" w:ascii="宋体" w:hAnsi="宋体" w:cs="宋体"/>
                <w:szCs w:val="21"/>
                <w:highlight w:val="none"/>
              </w:rPr>
            </w:pPr>
            <w:r>
              <w:rPr>
                <w:rFonts w:hint="eastAsia" w:ascii="宋体" w:hAnsi="宋体" w:cs="宋体"/>
                <w:szCs w:val="21"/>
                <w:highlight w:val="none"/>
              </w:rPr>
              <w:t>投标人自2022年至今获得过税务机关评定的“A级纳税人”称号得3分；获得过税务机关评定的“B级纳税人”称号得2分；获得过税务机关评定的“M级纳税人”称号得1分。最多得3分。</w:t>
            </w:r>
            <w:r>
              <w:rPr>
                <w:rFonts w:ascii="宋体" w:hAnsi="宋体" w:cs="宋体"/>
                <w:szCs w:val="21"/>
                <w:highlight w:val="none"/>
              </w:rPr>
              <w:br w:type="textWrapping"/>
            </w:r>
            <w:r>
              <w:rPr>
                <w:rFonts w:hint="eastAsia" w:ascii="宋体" w:hAnsi="宋体" w:cs="宋体"/>
                <w:szCs w:val="21"/>
                <w:highlight w:val="none"/>
              </w:rPr>
              <w:t>注：需提供证书扫描件，或税务局网站查询路径及查询结果截图。</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283" w:type="dxa"/>
            <w:vMerge w:val="restart"/>
            <w:noWrap w:val="0"/>
            <w:vAlign w:val="center"/>
          </w:tcPr>
          <w:p>
            <w:pPr>
              <w:jc w:val="center"/>
              <w:rPr>
                <w:rFonts w:ascii="宋体" w:hAnsi="宋体" w:cs="宋体"/>
                <w:szCs w:val="21"/>
                <w:highlight w:val="none"/>
              </w:rPr>
            </w:pPr>
            <w:r>
              <w:rPr>
                <w:rFonts w:hint="eastAsia" w:ascii="宋体" w:hAnsi="宋体" w:cs="宋体"/>
                <w:szCs w:val="21"/>
                <w:highlight w:val="none"/>
              </w:rPr>
              <w:t>B、监理大纲（35分）</w:t>
            </w:r>
          </w:p>
        </w:tc>
        <w:tc>
          <w:tcPr>
            <w:tcW w:w="1632" w:type="dxa"/>
            <w:noWrap w:val="0"/>
            <w:vAlign w:val="center"/>
          </w:tcPr>
          <w:p>
            <w:pPr>
              <w:spacing w:line="240" w:lineRule="exact"/>
              <w:jc w:val="center"/>
              <w:rPr>
                <w:rFonts w:ascii="宋体" w:hAnsi="宋体" w:cs="宋体"/>
                <w:szCs w:val="21"/>
                <w:highlight w:val="none"/>
              </w:rPr>
            </w:pPr>
            <w:r>
              <w:rPr>
                <w:rFonts w:hint="eastAsia" w:ascii="宋体" w:hAnsi="宋体" w:cs="宋体"/>
                <w:szCs w:val="21"/>
                <w:highlight w:val="none"/>
              </w:rPr>
              <w:t>质量控制措施（5分）</w:t>
            </w:r>
          </w:p>
        </w:tc>
        <w:tc>
          <w:tcPr>
            <w:tcW w:w="5419" w:type="dxa"/>
            <w:noWrap w:val="0"/>
            <w:vAlign w:val="center"/>
          </w:tcPr>
          <w:p>
            <w:pPr>
              <w:spacing w:line="240" w:lineRule="exact"/>
              <w:jc w:val="left"/>
              <w:rPr>
                <w:rFonts w:ascii="宋体" w:hAnsi="宋体" w:cs="宋体"/>
                <w:szCs w:val="21"/>
                <w:highlight w:val="none"/>
              </w:rPr>
            </w:pPr>
            <w:r>
              <w:rPr>
                <w:rFonts w:hint="eastAsia" w:ascii="宋体" w:hAnsi="宋体" w:cs="宋体"/>
                <w:szCs w:val="21"/>
                <w:highlight w:val="none"/>
              </w:rPr>
              <w:t>质量控制措施目标明确、方法合理可行、措施具体、针对性强。</w:t>
            </w:r>
          </w:p>
          <w:p>
            <w:pPr>
              <w:spacing w:line="240" w:lineRule="exact"/>
              <w:jc w:val="left"/>
              <w:rPr>
                <w:rFonts w:ascii="宋体" w:hAnsi="宋体" w:cs="宋体"/>
                <w:szCs w:val="21"/>
                <w:highlight w:val="none"/>
              </w:rPr>
            </w:pPr>
            <w:r>
              <w:rPr>
                <w:rFonts w:hint="eastAsia" w:ascii="宋体" w:hAnsi="宋体" w:cs="宋体"/>
                <w:szCs w:val="21"/>
                <w:highlight w:val="none"/>
              </w:rPr>
              <w:t>优得(</w:t>
            </w:r>
            <w:r>
              <w:rPr>
                <w:rFonts w:hint="eastAsia" w:ascii="宋体" w:hAnsi="宋体" w:cs="宋体"/>
                <w:szCs w:val="21"/>
                <w:highlight w:val="none"/>
                <w:lang w:val="en-US" w:eastAsia="zh-CN"/>
              </w:rPr>
              <w:t>3</w:t>
            </w:r>
            <w:r>
              <w:rPr>
                <w:rFonts w:hint="eastAsia" w:ascii="宋体" w:hAnsi="宋体" w:cs="宋体"/>
                <w:szCs w:val="21"/>
                <w:highlight w:val="none"/>
              </w:rPr>
              <w:t>,5]分；良得(</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]分；差得[0,1]分；未提供的不得分；最高不超过5分。</w:t>
            </w:r>
          </w:p>
        </w:tc>
        <w:tc>
          <w:tcPr>
            <w:tcW w:w="947" w:type="dxa"/>
            <w:noWrap w:val="0"/>
            <w:vAlign w:val="center"/>
          </w:tcPr>
          <w:p>
            <w:pPr>
              <w:jc w:val="left"/>
              <w:rPr>
                <w:rFonts w:ascii="宋体" w:hAnsi="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283" w:type="dxa"/>
            <w:vMerge w:val="continue"/>
            <w:noWrap w:val="0"/>
            <w:vAlign w:val="top"/>
          </w:tcPr>
          <w:p>
            <w:pPr>
              <w:rPr>
                <w:rFonts w:ascii="宋体" w:hAnsi="宋体" w:cs="宋体"/>
                <w:szCs w:val="21"/>
                <w:highlight w:val="none"/>
              </w:rPr>
            </w:pPr>
          </w:p>
        </w:tc>
        <w:tc>
          <w:tcPr>
            <w:tcW w:w="1632" w:type="dxa"/>
            <w:noWrap w:val="0"/>
            <w:vAlign w:val="center"/>
          </w:tcPr>
          <w:p>
            <w:pPr>
              <w:spacing w:line="240" w:lineRule="exact"/>
              <w:jc w:val="center"/>
              <w:rPr>
                <w:rFonts w:ascii="宋体" w:hAnsi="宋体" w:cs="宋体"/>
                <w:szCs w:val="21"/>
                <w:highlight w:val="none"/>
              </w:rPr>
            </w:pPr>
            <w:r>
              <w:rPr>
                <w:rFonts w:hint="eastAsia" w:ascii="宋体" w:hAnsi="宋体" w:cs="宋体"/>
                <w:szCs w:val="21"/>
                <w:highlight w:val="none"/>
              </w:rPr>
              <w:t>进度控制措施（5分）</w:t>
            </w:r>
          </w:p>
        </w:tc>
        <w:tc>
          <w:tcPr>
            <w:tcW w:w="5419" w:type="dxa"/>
            <w:noWrap w:val="0"/>
            <w:vAlign w:val="center"/>
          </w:tcPr>
          <w:p>
            <w:pPr>
              <w:spacing w:line="240" w:lineRule="exact"/>
              <w:jc w:val="left"/>
              <w:rPr>
                <w:rFonts w:ascii="宋体" w:hAnsi="宋体" w:cs="宋体"/>
                <w:szCs w:val="21"/>
                <w:highlight w:val="none"/>
              </w:rPr>
            </w:pPr>
            <w:r>
              <w:rPr>
                <w:rFonts w:hint="eastAsia" w:ascii="宋体" w:hAnsi="宋体" w:cs="宋体"/>
                <w:szCs w:val="21"/>
                <w:highlight w:val="none"/>
              </w:rPr>
              <w:t>进度控制措施目标明确、方法合理可行、措施具体、针对性强。</w:t>
            </w:r>
          </w:p>
          <w:p>
            <w:pPr>
              <w:spacing w:line="240" w:lineRule="exact"/>
              <w:jc w:val="left"/>
              <w:rPr>
                <w:rFonts w:ascii="宋体" w:hAnsi="宋体" w:cs="宋体"/>
                <w:szCs w:val="21"/>
                <w:highlight w:val="none"/>
              </w:rPr>
            </w:pPr>
            <w:r>
              <w:rPr>
                <w:rFonts w:hint="eastAsia" w:ascii="宋体" w:hAnsi="宋体" w:cs="宋体"/>
                <w:szCs w:val="21"/>
                <w:highlight w:val="none"/>
              </w:rPr>
              <w:t>优得(</w:t>
            </w:r>
            <w:r>
              <w:rPr>
                <w:rFonts w:hint="eastAsia" w:ascii="宋体" w:hAnsi="宋体" w:cs="宋体"/>
                <w:szCs w:val="21"/>
                <w:highlight w:val="none"/>
                <w:lang w:val="en-US" w:eastAsia="zh-CN"/>
              </w:rPr>
              <w:t>3</w:t>
            </w:r>
            <w:r>
              <w:rPr>
                <w:rFonts w:hint="eastAsia" w:ascii="宋体" w:hAnsi="宋体" w:cs="宋体"/>
                <w:szCs w:val="21"/>
                <w:highlight w:val="none"/>
              </w:rPr>
              <w:t>,5]分；良得(</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]分；差得[0,1]分；未提供的不得分；最高不超过5分。</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283" w:type="dxa"/>
            <w:vMerge w:val="continue"/>
            <w:noWrap w:val="0"/>
            <w:vAlign w:val="top"/>
          </w:tcPr>
          <w:p>
            <w:pPr>
              <w:rPr>
                <w:rFonts w:ascii="宋体" w:hAnsi="宋体" w:cs="宋体"/>
                <w:szCs w:val="21"/>
                <w:highlight w:val="none"/>
              </w:rPr>
            </w:pPr>
          </w:p>
        </w:tc>
        <w:tc>
          <w:tcPr>
            <w:tcW w:w="1632" w:type="dxa"/>
            <w:noWrap w:val="0"/>
            <w:vAlign w:val="center"/>
          </w:tcPr>
          <w:p>
            <w:pPr>
              <w:spacing w:line="240" w:lineRule="exact"/>
              <w:jc w:val="center"/>
              <w:rPr>
                <w:rFonts w:ascii="宋体" w:hAnsi="宋体" w:cs="宋体"/>
                <w:szCs w:val="21"/>
                <w:highlight w:val="none"/>
              </w:rPr>
            </w:pPr>
            <w:r>
              <w:rPr>
                <w:rFonts w:hint="eastAsia" w:ascii="宋体" w:hAnsi="宋体" w:cs="宋体"/>
                <w:szCs w:val="21"/>
                <w:highlight w:val="none"/>
              </w:rPr>
              <w:t>投资控制措施（5分）</w:t>
            </w:r>
          </w:p>
        </w:tc>
        <w:tc>
          <w:tcPr>
            <w:tcW w:w="5419" w:type="dxa"/>
            <w:noWrap w:val="0"/>
            <w:vAlign w:val="center"/>
          </w:tcPr>
          <w:p>
            <w:pPr>
              <w:spacing w:line="240" w:lineRule="exact"/>
              <w:jc w:val="left"/>
              <w:rPr>
                <w:rFonts w:ascii="宋体" w:hAnsi="宋体" w:cs="宋体"/>
                <w:szCs w:val="21"/>
                <w:highlight w:val="none"/>
              </w:rPr>
            </w:pPr>
            <w:r>
              <w:rPr>
                <w:rFonts w:hint="eastAsia" w:ascii="宋体" w:hAnsi="宋体" w:cs="宋体"/>
                <w:szCs w:val="21"/>
                <w:highlight w:val="none"/>
              </w:rPr>
              <w:t>投资控制措施目标明确、方法合理可行、措施具体、针对性强。</w:t>
            </w:r>
          </w:p>
          <w:p>
            <w:pPr>
              <w:spacing w:line="240" w:lineRule="exact"/>
              <w:jc w:val="left"/>
              <w:rPr>
                <w:rFonts w:ascii="宋体" w:hAnsi="宋体" w:cs="宋体"/>
                <w:szCs w:val="21"/>
                <w:highlight w:val="none"/>
              </w:rPr>
            </w:pPr>
            <w:r>
              <w:rPr>
                <w:rFonts w:hint="eastAsia" w:ascii="宋体" w:hAnsi="宋体" w:cs="宋体"/>
                <w:szCs w:val="21"/>
                <w:highlight w:val="none"/>
              </w:rPr>
              <w:t>优得(</w:t>
            </w:r>
            <w:r>
              <w:rPr>
                <w:rFonts w:hint="eastAsia" w:ascii="宋体" w:hAnsi="宋体" w:cs="宋体"/>
                <w:szCs w:val="21"/>
                <w:highlight w:val="none"/>
                <w:lang w:val="en-US" w:eastAsia="zh-CN"/>
              </w:rPr>
              <w:t>3</w:t>
            </w:r>
            <w:r>
              <w:rPr>
                <w:rFonts w:hint="eastAsia" w:ascii="宋体" w:hAnsi="宋体" w:cs="宋体"/>
                <w:szCs w:val="21"/>
                <w:highlight w:val="none"/>
              </w:rPr>
              <w:t>,5]分；良得(</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]分；差得[0,1]分；未提供的不得分；最高不超过5分。</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283" w:type="dxa"/>
            <w:vMerge w:val="continue"/>
            <w:noWrap w:val="0"/>
            <w:vAlign w:val="top"/>
          </w:tcPr>
          <w:p>
            <w:pPr>
              <w:rPr>
                <w:rFonts w:ascii="宋体" w:hAnsi="宋体" w:cs="宋体"/>
                <w:szCs w:val="21"/>
                <w:highlight w:val="none"/>
              </w:rPr>
            </w:pPr>
          </w:p>
        </w:tc>
        <w:tc>
          <w:tcPr>
            <w:tcW w:w="1632" w:type="dxa"/>
            <w:noWrap w:val="0"/>
            <w:vAlign w:val="center"/>
          </w:tcPr>
          <w:p>
            <w:pPr>
              <w:spacing w:line="240" w:lineRule="exact"/>
              <w:jc w:val="center"/>
              <w:rPr>
                <w:rFonts w:ascii="宋体" w:hAnsi="宋体" w:cs="宋体"/>
                <w:szCs w:val="21"/>
                <w:highlight w:val="none"/>
              </w:rPr>
            </w:pPr>
            <w:r>
              <w:rPr>
                <w:rFonts w:hint="eastAsia" w:ascii="宋体" w:hAnsi="宋体" w:cs="宋体"/>
                <w:szCs w:val="21"/>
                <w:highlight w:val="none"/>
              </w:rPr>
              <w:t>安全控制措施（</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5419" w:type="dxa"/>
            <w:noWrap w:val="0"/>
            <w:vAlign w:val="center"/>
          </w:tcPr>
          <w:p>
            <w:pPr>
              <w:spacing w:line="240" w:lineRule="exact"/>
              <w:jc w:val="left"/>
              <w:rPr>
                <w:rFonts w:ascii="宋体" w:hAnsi="宋体" w:cs="宋体"/>
                <w:szCs w:val="21"/>
                <w:highlight w:val="none"/>
              </w:rPr>
            </w:pPr>
            <w:r>
              <w:rPr>
                <w:rFonts w:hint="eastAsia" w:ascii="宋体" w:hAnsi="宋体" w:cs="宋体"/>
                <w:szCs w:val="21"/>
                <w:highlight w:val="none"/>
              </w:rPr>
              <w:t>安全控制措施目标明确、方法合理可行、措施具体、针对性强。</w:t>
            </w:r>
          </w:p>
          <w:p>
            <w:pPr>
              <w:spacing w:line="240" w:lineRule="exact"/>
              <w:jc w:val="left"/>
              <w:rPr>
                <w:rFonts w:ascii="宋体" w:hAnsi="宋体" w:cs="宋体"/>
                <w:szCs w:val="21"/>
                <w:highlight w:val="none"/>
              </w:rPr>
            </w:pPr>
            <w:r>
              <w:rPr>
                <w:rFonts w:hint="eastAsia" w:ascii="宋体" w:hAnsi="宋体" w:cs="宋体"/>
                <w:szCs w:val="21"/>
                <w:highlight w:val="none"/>
              </w:rPr>
              <w:t>优得(3,4]分；良得(</w:t>
            </w:r>
            <w:r>
              <w:rPr>
                <w:rFonts w:hint="eastAsia" w:ascii="宋体" w:hAnsi="宋体" w:cs="宋体"/>
                <w:szCs w:val="21"/>
                <w:highlight w:val="none"/>
                <w:lang w:val="en-US" w:eastAsia="zh-CN"/>
              </w:rPr>
              <w:t>1</w:t>
            </w:r>
            <w:r>
              <w:rPr>
                <w:rFonts w:hint="eastAsia" w:ascii="宋体" w:hAnsi="宋体" w:cs="宋体"/>
                <w:szCs w:val="21"/>
                <w:highlight w:val="none"/>
              </w:rPr>
              <w:t>,3]分；差得[0,1]分；未提供的不得分；最高不超过4分。</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283" w:type="dxa"/>
            <w:vMerge w:val="continue"/>
            <w:noWrap w:val="0"/>
            <w:vAlign w:val="top"/>
          </w:tcPr>
          <w:p>
            <w:pPr>
              <w:rPr>
                <w:rFonts w:ascii="宋体" w:hAnsi="宋体" w:cs="宋体"/>
                <w:szCs w:val="21"/>
                <w:highlight w:val="none"/>
              </w:rPr>
            </w:pPr>
          </w:p>
        </w:tc>
        <w:tc>
          <w:tcPr>
            <w:tcW w:w="1632" w:type="dxa"/>
            <w:noWrap w:val="0"/>
            <w:vAlign w:val="center"/>
          </w:tcPr>
          <w:p>
            <w:pPr>
              <w:spacing w:line="240" w:lineRule="exact"/>
              <w:jc w:val="center"/>
              <w:rPr>
                <w:rFonts w:ascii="宋体" w:hAnsi="宋体" w:cs="宋体"/>
                <w:szCs w:val="21"/>
                <w:highlight w:val="none"/>
              </w:rPr>
            </w:pPr>
            <w:r>
              <w:rPr>
                <w:rFonts w:hint="eastAsia" w:ascii="宋体" w:hAnsi="宋体" w:cs="宋体"/>
                <w:szCs w:val="21"/>
                <w:highlight w:val="none"/>
              </w:rPr>
              <w:t>合同、信息管理方案（4分）</w:t>
            </w:r>
          </w:p>
        </w:tc>
        <w:tc>
          <w:tcPr>
            <w:tcW w:w="5419" w:type="dxa"/>
            <w:noWrap w:val="0"/>
            <w:vAlign w:val="center"/>
          </w:tcPr>
          <w:p>
            <w:pPr>
              <w:spacing w:line="240" w:lineRule="exact"/>
              <w:jc w:val="left"/>
              <w:rPr>
                <w:rFonts w:ascii="宋体" w:hAnsi="宋体" w:cs="宋体"/>
                <w:szCs w:val="21"/>
                <w:highlight w:val="none"/>
              </w:rPr>
            </w:pPr>
            <w:r>
              <w:rPr>
                <w:rFonts w:hint="eastAsia" w:ascii="宋体" w:hAnsi="宋体" w:cs="宋体"/>
                <w:szCs w:val="21"/>
                <w:highlight w:val="none"/>
              </w:rPr>
              <w:t>合同管理、信息管理方法合理、针对性强。</w:t>
            </w:r>
          </w:p>
          <w:p>
            <w:pPr>
              <w:spacing w:line="240" w:lineRule="exact"/>
              <w:jc w:val="left"/>
              <w:rPr>
                <w:rFonts w:ascii="宋体" w:hAnsi="宋体" w:cs="宋体"/>
                <w:szCs w:val="21"/>
                <w:highlight w:val="none"/>
              </w:rPr>
            </w:pPr>
            <w:r>
              <w:rPr>
                <w:rFonts w:hint="eastAsia" w:ascii="宋体" w:hAnsi="宋体" w:cs="宋体"/>
                <w:szCs w:val="21"/>
                <w:highlight w:val="none"/>
              </w:rPr>
              <w:t>优得(3,4]分；良得(</w:t>
            </w:r>
            <w:r>
              <w:rPr>
                <w:rFonts w:hint="eastAsia" w:ascii="宋体" w:hAnsi="宋体" w:cs="宋体"/>
                <w:szCs w:val="21"/>
                <w:highlight w:val="none"/>
                <w:lang w:val="en-US" w:eastAsia="zh-CN"/>
              </w:rPr>
              <w:t>1</w:t>
            </w:r>
            <w:r>
              <w:rPr>
                <w:rFonts w:hint="eastAsia" w:ascii="宋体" w:hAnsi="宋体" w:cs="宋体"/>
                <w:szCs w:val="21"/>
                <w:highlight w:val="none"/>
              </w:rPr>
              <w:t>,3]分；差得[0,1]分；未提供的不得分；最高不超过4分。</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283" w:type="dxa"/>
            <w:vMerge w:val="continue"/>
            <w:noWrap w:val="0"/>
            <w:vAlign w:val="top"/>
          </w:tcPr>
          <w:p>
            <w:pPr>
              <w:rPr>
                <w:rFonts w:ascii="宋体" w:hAnsi="宋体" w:cs="宋体"/>
                <w:szCs w:val="21"/>
                <w:highlight w:val="none"/>
              </w:rPr>
            </w:pPr>
          </w:p>
        </w:tc>
        <w:tc>
          <w:tcPr>
            <w:tcW w:w="1632" w:type="dxa"/>
            <w:noWrap w:val="0"/>
            <w:vAlign w:val="center"/>
          </w:tcPr>
          <w:p>
            <w:pPr>
              <w:spacing w:line="240" w:lineRule="exact"/>
              <w:jc w:val="center"/>
              <w:rPr>
                <w:rFonts w:ascii="宋体" w:hAnsi="宋体" w:cs="宋体"/>
                <w:szCs w:val="21"/>
                <w:highlight w:val="none"/>
              </w:rPr>
            </w:pPr>
            <w:r>
              <w:rPr>
                <w:rFonts w:hint="eastAsia" w:ascii="宋体" w:hAnsi="宋体" w:cs="宋体"/>
                <w:spacing w:val="-2"/>
                <w:position w:val="-2"/>
                <w:szCs w:val="21"/>
                <w:highlight w:val="none"/>
              </w:rPr>
              <w:t>组</w:t>
            </w:r>
            <w:r>
              <w:rPr>
                <w:rFonts w:hint="eastAsia" w:ascii="宋体" w:hAnsi="宋体" w:cs="宋体"/>
                <w:position w:val="-2"/>
                <w:szCs w:val="21"/>
                <w:highlight w:val="none"/>
              </w:rPr>
              <w:t>织</w:t>
            </w:r>
            <w:r>
              <w:rPr>
                <w:rFonts w:hint="eastAsia" w:ascii="宋体" w:hAnsi="宋体" w:cs="宋体"/>
                <w:spacing w:val="-2"/>
                <w:position w:val="-2"/>
                <w:szCs w:val="21"/>
                <w:highlight w:val="none"/>
              </w:rPr>
              <w:t>协</w:t>
            </w:r>
            <w:r>
              <w:rPr>
                <w:rFonts w:hint="eastAsia" w:ascii="宋体" w:hAnsi="宋体" w:cs="宋体"/>
                <w:position w:val="-2"/>
                <w:szCs w:val="21"/>
                <w:highlight w:val="none"/>
              </w:rPr>
              <w:t>调</w:t>
            </w:r>
            <w:r>
              <w:rPr>
                <w:rFonts w:hint="eastAsia" w:ascii="宋体" w:hAnsi="宋体" w:cs="宋体"/>
                <w:spacing w:val="-2"/>
                <w:position w:val="-2"/>
                <w:szCs w:val="21"/>
                <w:highlight w:val="none"/>
              </w:rPr>
              <w:t>方法及</w:t>
            </w:r>
            <w:r>
              <w:rPr>
                <w:rFonts w:hint="eastAsia" w:ascii="宋体" w:hAnsi="宋体" w:cs="宋体"/>
                <w:position w:val="-2"/>
                <w:szCs w:val="21"/>
                <w:highlight w:val="none"/>
              </w:rPr>
              <w:t>措施</w:t>
            </w:r>
            <w:r>
              <w:rPr>
                <w:rFonts w:hint="eastAsia" w:ascii="宋体" w:hAnsi="宋体" w:cs="宋体"/>
                <w:szCs w:val="21"/>
                <w:highlight w:val="none"/>
              </w:rPr>
              <w:t>（4分）</w:t>
            </w:r>
          </w:p>
        </w:tc>
        <w:tc>
          <w:tcPr>
            <w:tcW w:w="5419" w:type="dxa"/>
            <w:noWrap w:val="0"/>
            <w:vAlign w:val="center"/>
          </w:tcPr>
          <w:p>
            <w:pPr>
              <w:spacing w:line="240" w:lineRule="exact"/>
              <w:jc w:val="left"/>
              <w:rPr>
                <w:rFonts w:ascii="宋体" w:hAnsi="宋体" w:cs="宋体"/>
                <w:szCs w:val="21"/>
                <w:highlight w:val="none"/>
              </w:rPr>
            </w:pPr>
            <w:r>
              <w:rPr>
                <w:rFonts w:hint="eastAsia" w:ascii="宋体" w:hAnsi="宋体" w:cs="宋体"/>
                <w:szCs w:val="21"/>
                <w:highlight w:val="none"/>
              </w:rPr>
              <w:t>方法合理有效，针对性强、措施具体。</w:t>
            </w:r>
          </w:p>
          <w:p>
            <w:pPr>
              <w:spacing w:line="240" w:lineRule="exact"/>
              <w:jc w:val="left"/>
              <w:rPr>
                <w:rFonts w:ascii="宋体" w:hAnsi="宋体" w:cs="宋体"/>
                <w:szCs w:val="21"/>
                <w:highlight w:val="none"/>
              </w:rPr>
            </w:pPr>
            <w:r>
              <w:rPr>
                <w:rFonts w:hint="eastAsia" w:ascii="宋体" w:hAnsi="宋体" w:cs="宋体"/>
                <w:szCs w:val="21"/>
                <w:highlight w:val="none"/>
              </w:rPr>
              <w:t>优得(3,4]分；良得(</w:t>
            </w:r>
            <w:r>
              <w:rPr>
                <w:rFonts w:hint="eastAsia" w:ascii="宋体" w:hAnsi="宋体" w:cs="宋体"/>
                <w:szCs w:val="21"/>
                <w:highlight w:val="none"/>
                <w:lang w:val="en-US" w:eastAsia="zh-CN"/>
              </w:rPr>
              <w:t>1</w:t>
            </w:r>
            <w:r>
              <w:rPr>
                <w:rFonts w:hint="eastAsia" w:ascii="宋体" w:hAnsi="宋体" w:cs="宋体"/>
                <w:szCs w:val="21"/>
                <w:highlight w:val="none"/>
              </w:rPr>
              <w:t>,3]分；差得[0,1]分；未提供的不得分；最高不超过4分。</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283" w:type="dxa"/>
            <w:vMerge w:val="continue"/>
            <w:noWrap w:val="0"/>
            <w:vAlign w:val="top"/>
          </w:tcPr>
          <w:p>
            <w:pPr>
              <w:rPr>
                <w:rFonts w:ascii="宋体" w:hAnsi="宋体" w:cs="宋体"/>
                <w:szCs w:val="21"/>
                <w:highlight w:val="none"/>
              </w:rPr>
            </w:pPr>
          </w:p>
        </w:tc>
        <w:tc>
          <w:tcPr>
            <w:tcW w:w="1632" w:type="dxa"/>
            <w:noWrap w:val="0"/>
            <w:vAlign w:val="center"/>
          </w:tcPr>
          <w:p>
            <w:pPr>
              <w:spacing w:line="240" w:lineRule="exact"/>
              <w:jc w:val="center"/>
              <w:rPr>
                <w:rFonts w:ascii="宋体" w:hAnsi="宋体" w:cs="宋体"/>
                <w:position w:val="-2"/>
                <w:szCs w:val="21"/>
                <w:highlight w:val="none"/>
              </w:rPr>
            </w:pPr>
            <w:r>
              <w:rPr>
                <w:rFonts w:hint="eastAsia" w:ascii="宋体" w:hAnsi="宋体" w:cs="宋体"/>
                <w:spacing w:val="-2"/>
                <w:position w:val="-2"/>
                <w:szCs w:val="21"/>
                <w:highlight w:val="none"/>
              </w:rPr>
              <w:t>工</w:t>
            </w:r>
            <w:r>
              <w:rPr>
                <w:rFonts w:hint="eastAsia" w:ascii="宋体" w:hAnsi="宋体" w:cs="宋体"/>
                <w:position w:val="-2"/>
                <w:szCs w:val="21"/>
                <w:highlight w:val="none"/>
              </w:rPr>
              <w:t>作</w:t>
            </w:r>
            <w:r>
              <w:rPr>
                <w:rFonts w:hint="eastAsia" w:ascii="宋体" w:hAnsi="宋体" w:cs="宋体"/>
                <w:spacing w:val="-2"/>
                <w:position w:val="-2"/>
                <w:szCs w:val="21"/>
                <w:highlight w:val="none"/>
              </w:rPr>
              <w:t>重</w:t>
            </w:r>
            <w:r>
              <w:rPr>
                <w:rFonts w:hint="eastAsia" w:ascii="宋体" w:hAnsi="宋体" w:cs="宋体"/>
                <w:position w:val="-2"/>
                <w:szCs w:val="21"/>
                <w:highlight w:val="none"/>
              </w:rPr>
              <w:t>点</w:t>
            </w:r>
            <w:r>
              <w:rPr>
                <w:rFonts w:hint="eastAsia" w:ascii="宋体" w:hAnsi="宋体" w:cs="宋体"/>
                <w:spacing w:val="-2"/>
                <w:position w:val="-2"/>
                <w:szCs w:val="21"/>
                <w:highlight w:val="none"/>
              </w:rPr>
              <w:t>、</w:t>
            </w:r>
            <w:r>
              <w:rPr>
                <w:rFonts w:hint="eastAsia" w:ascii="宋体" w:hAnsi="宋体" w:cs="宋体"/>
                <w:position w:val="-2"/>
                <w:szCs w:val="21"/>
                <w:highlight w:val="none"/>
              </w:rPr>
              <w:t>难</w:t>
            </w:r>
            <w:r>
              <w:rPr>
                <w:rFonts w:hint="eastAsia" w:ascii="宋体" w:hAnsi="宋体" w:cs="宋体"/>
                <w:spacing w:val="-2"/>
                <w:position w:val="-2"/>
                <w:szCs w:val="21"/>
                <w:highlight w:val="none"/>
              </w:rPr>
              <w:t>点</w:t>
            </w:r>
            <w:r>
              <w:rPr>
                <w:rFonts w:hint="eastAsia" w:ascii="宋体" w:hAnsi="宋体" w:cs="宋体"/>
                <w:position w:val="-2"/>
                <w:szCs w:val="21"/>
                <w:highlight w:val="none"/>
              </w:rPr>
              <w:t>分析</w:t>
            </w:r>
            <w:r>
              <w:rPr>
                <w:rFonts w:hint="eastAsia" w:ascii="宋体" w:hAnsi="宋体" w:cs="宋体"/>
                <w:szCs w:val="21"/>
                <w:highlight w:val="none"/>
              </w:rPr>
              <w:t>（4分）</w:t>
            </w:r>
          </w:p>
        </w:tc>
        <w:tc>
          <w:tcPr>
            <w:tcW w:w="5419" w:type="dxa"/>
            <w:noWrap w:val="0"/>
            <w:vAlign w:val="center"/>
          </w:tcPr>
          <w:p>
            <w:pPr>
              <w:spacing w:line="240" w:lineRule="exact"/>
              <w:jc w:val="left"/>
              <w:rPr>
                <w:rFonts w:ascii="宋体" w:hAnsi="宋体" w:cs="宋体"/>
                <w:szCs w:val="21"/>
                <w:highlight w:val="none"/>
              </w:rPr>
            </w:pPr>
            <w:r>
              <w:rPr>
                <w:rFonts w:hint="eastAsia" w:ascii="宋体" w:hAnsi="宋体" w:cs="宋体"/>
                <w:szCs w:val="21"/>
                <w:highlight w:val="none"/>
              </w:rPr>
              <w:t>工作重点、难点分析针对性强、措施具体、可操作。</w:t>
            </w:r>
          </w:p>
          <w:p>
            <w:pPr>
              <w:spacing w:line="240" w:lineRule="exact"/>
              <w:jc w:val="left"/>
              <w:rPr>
                <w:rFonts w:ascii="宋体" w:hAnsi="宋体" w:cs="宋体"/>
                <w:szCs w:val="21"/>
                <w:highlight w:val="none"/>
              </w:rPr>
            </w:pPr>
            <w:r>
              <w:rPr>
                <w:rFonts w:hint="eastAsia" w:ascii="宋体" w:hAnsi="宋体" w:cs="宋体"/>
                <w:szCs w:val="21"/>
                <w:highlight w:val="none"/>
              </w:rPr>
              <w:t>优得(3,4]分；良得(</w:t>
            </w:r>
            <w:r>
              <w:rPr>
                <w:rFonts w:hint="eastAsia" w:ascii="宋体" w:hAnsi="宋体" w:cs="宋体"/>
                <w:szCs w:val="21"/>
                <w:highlight w:val="none"/>
                <w:lang w:val="en-US" w:eastAsia="zh-CN"/>
              </w:rPr>
              <w:t>1</w:t>
            </w:r>
            <w:r>
              <w:rPr>
                <w:rFonts w:hint="eastAsia" w:ascii="宋体" w:hAnsi="宋体" w:cs="宋体"/>
                <w:szCs w:val="21"/>
                <w:highlight w:val="none"/>
              </w:rPr>
              <w:t>,3]分；差得[0,1]分；未提供的不得分；最高不超过4分。</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283" w:type="dxa"/>
            <w:vMerge w:val="continue"/>
            <w:noWrap w:val="0"/>
            <w:vAlign w:val="top"/>
          </w:tcPr>
          <w:p>
            <w:pPr>
              <w:rPr>
                <w:rFonts w:ascii="宋体" w:hAnsi="宋体" w:cs="宋体"/>
                <w:szCs w:val="21"/>
                <w:highlight w:val="none"/>
              </w:rPr>
            </w:pPr>
          </w:p>
        </w:tc>
        <w:tc>
          <w:tcPr>
            <w:tcW w:w="1632" w:type="dxa"/>
            <w:noWrap w:val="0"/>
            <w:vAlign w:val="center"/>
          </w:tcPr>
          <w:p>
            <w:pPr>
              <w:spacing w:line="240" w:lineRule="exact"/>
              <w:jc w:val="center"/>
              <w:rPr>
                <w:rFonts w:hint="eastAsia" w:ascii="宋体" w:hAnsi="宋体" w:cs="宋体"/>
                <w:szCs w:val="21"/>
                <w:highlight w:val="none"/>
              </w:rPr>
            </w:pPr>
            <w:r>
              <w:rPr>
                <w:rFonts w:hint="eastAsia" w:ascii="宋体" w:hAnsi="宋体" w:cs="宋体"/>
                <w:szCs w:val="21"/>
                <w:highlight w:val="none"/>
              </w:rPr>
              <w:t>合理化建议</w:t>
            </w:r>
          </w:p>
          <w:p>
            <w:pPr>
              <w:spacing w:line="240" w:lineRule="exact"/>
              <w:jc w:val="center"/>
              <w:rPr>
                <w:rFonts w:ascii="宋体" w:hAnsi="宋体" w:cs="宋体"/>
                <w:position w:val="-2"/>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5419" w:type="dxa"/>
            <w:noWrap w:val="0"/>
            <w:vAlign w:val="center"/>
          </w:tcPr>
          <w:p>
            <w:pPr>
              <w:spacing w:line="240" w:lineRule="exact"/>
              <w:jc w:val="left"/>
              <w:rPr>
                <w:rFonts w:ascii="宋体" w:hAnsi="宋体" w:cs="宋体"/>
                <w:szCs w:val="21"/>
                <w:highlight w:val="none"/>
              </w:rPr>
            </w:pPr>
            <w:r>
              <w:rPr>
                <w:rFonts w:hint="eastAsia" w:ascii="宋体" w:hAnsi="宋体" w:cs="宋体"/>
                <w:szCs w:val="21"/>
                <w:highlight w:val="none"/>
              </w:rPr>
              <w:t>合理化建议合理有效、措施具体、可操作。</w:t>
            </w:r>
          </w:p>
          <w:p>
            <w:pPr>
              <w:spacing w:line="240" w:lineRule="exact"/>
              <w:jc w:val="left"/>
              <w:rPr>
                <w:rFonts w:ascii="宋体" w:hAnsi="宋体" w:cs="宋体"/>
                <w:szCs w:val="21"/>
                <w:highlight w:val="none"/>
              </w:rPr>
            </w:pPr>
            <w:r>
              <w:rPr>
                <w:rFonts w:hint="eastAsia" w:ascii="宋体" w:hAnsi="宋体" w:cs="宋体"/>
                <w:szCs w:val="21"/>
                <w:highlight w:val="none"/>
              </w:rPr>
              <w:t>优得(3,4]分；良得(</w:t>
            </w:r>
            <w:r>
              <w:rPr>
                <w:rFonts w:hint="eastAsia" w:ascii="宋体" w:hAnsi="宋体" w:cs="宋体"/>
                <w:szCs w:val="21"/>
                <w:highlight w:val="none"/>
                <w:lang w:val="en-US" w:eastAsia="zh-CN"/>
              </w:rPr>
              <w:t>1</w:t>
            </w:r>
            <w:r>
              <w:rPr>
                <w:rFonts w:hint="eastAsia" w:ascii="宋体" w:hAnsi="宋体" w:cs="宋体"/>
                <w:szCs w:val="21"/>
                <w:highlight w:val="none"/>
              </w:rPr>
              <w:t>,3]分；差得[0,1]分；未提供的不得分；最高不超过4分。</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1283" w:type="dxa"/>
            <w:noWrap w:val="0"/>
            <w:vAlign w:val="center"/>
          </w:tcPr>
          <w:p>
            <w:pPr>
              <w:jc w:val="center"/>
              <w:rPr>
                <w:rFonts w:ascii="宋体" w:hAnsi="宋体" w:cs="宋体"/>
                <w:szCs w:val="21"/>
                <w:highlight w:val="none"/>
              </w:rPr>
            </w:pPr>
            <w:r>
              <w:rPr>
                <w:rFonts w:hint="eastAsia" w:ascii="宋体" w:hAnsi="宋体" w:cs="宋体"/>
                <w:szCs w:val="21"/>
                <w:highlight w:val="none"/>
              </w:rPr>
              <w:t>C、投标报价（10分）</w:t>
            </w:r>
          </w:p>
        </w:tc>
        <w:tc>
          <w:tcPr>
            <w:tcW w:w="7051" w:type="dxa"/>
            <w:gridSpan w:val="2"/>
            <w:noWrap w:val="0"/>
            <w:vAlign w:val="center"/>
          </w:tcPr>
          <w:p>
            <w:pPr>
              <w:tabs>
                <w:tab w:val="left" w:pos="720"/>
              </w:tabs>
              <w:rPr>
                <w:rFonts w:ascii="宋体" w:hAnsi="宋体" w:cs="宋体"/>
                <w:szCs w:val="21"/>
                <w:highlight w:val="none"/>
              </w:rPr>
            </w:pPr>
            <w:r>
              <w:rPr>
                <w:rFonts w:hint="eastAsia" w:ascii="宋体" w:hAnsi="宋体" w:cs="宋体"/>
                <w:szCs w:val="21"/>
                <w:highlight w:val="none"/>
              </w:rPr>
              <w:t>投标报价得分以评标参考价作为计算各有效投标报价得分的基础，当有效投标报价等于评标参考价时得10分；投标有效投价与评标参考价相比，每上偏扣1%扣1.5分、下偏1%扣1.0分，中间分值采用插值计算，保留小数点后两位，小数点后第三位采用四舍五入方式计算，最多扣10分。</w:t>
            </w:r>
          </w:p>
        </w:tc>
        <w:tc>
          <w:tcPr>
            <w:tcW w:w="947" w:type="dxa"/>
            <w:noWrap w:val="0"/>
            <w:vAlign w:val="center"/>
          </w:tcPr>
          <w:p>
            <w:pPr>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1283" w:type="dxa"/>
            <w:noWrap w:val="0"/>
            <w:vAlign w:val="center"/>
          </w:tcPr>
          <w:p>
            <w:pPr>
              <w:numPr>
                <w:ilvl w:val="0"/>
                <w:numId w:val="4"/>
              </w:numPr>
              <w:jc w:val="center"/>
              <w:rPr>
                <w:rFonts w:ascii="宋体" w:hAnsi="宋体" w:cs="宋体"/>
                <w:szCs w:val="21"/>
                <w:highlight w:val="none"/>
              </w:rPr>
            </w:pPr>
            <w:r>
              <w:rPr>
                <w:rFonts w:hint="eastAsia" w:ascii="宋体" w:hAnsi="宋体" w:cs="宋体"/>
                <w:szCs w:val="21"/>
                <w:highlight w:val="none"/>
              </w:rPr>
              <w:t>其他因素（诚信综合评价）</w:t>
            </w:r>
          </w:p>
          <w:p>
            <w:pPr>
              <w:rPr>
                <w:rFonts w:ascii="宋体" w:hAnsi="宋体" w:cs="宋体"/>
                <w:szCs w:val="21"/>
                <w:highlight w:val="none"/>
              </w:rPr>
            </w:pPr>
            <w:r>
              <w:rPr>
                <w:rFonts w:hint="eastAsia" w:ascii="宋体" w:hAnsi="宋体" w:cs="宋体"/>
                <w:szCs w:val="21"/>
                <w:highlight w:val="none"/>
              </w:rPr>
              <w:t>（20分）</w:t>
            </w:r>
          </w:p>
        </w:tc>
        <w:tc>
          <w:tcPr>
            <w:tcW w:w="7051" w:type="dxa"/>
            <w:gridSpan w:val="2"/>
            <w:noWrap w:val="0"/>
            <w:vAlign w:val="center"/>
          </w:tcPr>
          <w:p>
            <w:pPr>
              <w:tabs>
                <w:tab w:val="left" w:pos="720"/>
              </w:tabs>
              <w:rPr>
                <w:rFonts w:hint="eastAsia" w:ascii="宋体" w:hAnsi="宋体" w:cs="宋体"/>
                <w:color w:val="auto"/>
                <w:szCs w:val="21"/>
                <w:highlight w:val="none"/>
                <w:u w:val="none"/>
              </w:rPr>
            </w:pPr>
            <w:r>
              <w:rPr>
                <w:rFonts w:hint="eastAsia" w:ascii="宋体" w:hAnsi="宋体" w:cs="宋体"/>
                <w:color w:val="auto"/>
                <w:szCs w:val="21"/>
                <w:highlight w:val="none"/>
                <w:u w:val="none"/>
              </w:rPr>
              <w:t>（若为联合体投标，由联合体主办方提供）</w:t>
            </w:r>
          </w:p>
          <w:p>
            <w:pPr>
              <w:tabs>
                <w:tab w:val="left" w:pos="720"/>
              </w:tabs>
              <w:rPr>
                <w:rFonts w:ascii="宋体" w:hAnsi="宋体" w:cs="宋体"/>
                <w:szCs w:val="21"/>
                <w:highlight w:val="none"/>
              </w:rPr>
            </w:pPr>
            <w:r>
              <w:rPr>
                <w:rFonts w:hint="eastAsia" w:ascii="宋体" w:hAnsi="宋体" w:cs="宋体"/>
                <w:szCs w:val="21"/>
                <w:highlight w:val="none"/>
              </w:rPr>
              <w:t>投标人诚信得分=企业的诚信综合评价排名得分×20%。企业的诚信综合评价排名得分以投标截止当日广州市工程招标行业协会网站监理企业专栏上公布的企业60日诚信分得分为准。企业诚信综合诚信评价排名得分以监理-房建排名得分为准。</w:t>
            </w:r>
          </w:p>
        </w:tc>
        <w:tc>
          <w:tcPr>
            <w:tcW w:w="947" w:type="dxa"/>
            <w:noWrap w:val="0"/>
            <w:vAlign w:val="center"/>
          </w:tcPr>
          <w:p>
            <w:pPr>
              <w:jc w:val="left"/>
              <w:rPr>
                <w:rFonts w:ascii="宋体" w:hAnsi="宋体" w:cs="宋体"/>
                <w:szCs w:val="21"/>
                <w:highlight w:val="none"/>
              </w:rPr>
            </w:pPr>
          </w:p>
        </w:tc>
      </w:tr>
    </w:tbl>
    <w:p>
      <w:pPr>
        <w:rPr>
          <w:rFonts w:ascii="宋体" w:hAnsi="宋体" w:cs="宋体"/>
          <w:color w:val="auto"/>
          <w:sz w:val="18"/>
          <w:szCs w:val="18"/>
          <w:highlight w:val="none"/>
        </w:rPr>
      </w:pPr>
      <w:r>
        <w:rPr>
          <w:rFonts w:hint="eastAsia" w:ascii="宋体" w:hAnsi="宋体" w:cs="宋体"/>
          <w:color w:val="auto"/>
          <w:sz w:val="18"/>
          <w:szCs w:val="18"/>
          <w:highlight w:val="none"/>
        </w:rPr>
        <w:t>说明：</w:t>
      </w:r>
    </w:p>
    <w:p>
      <w:pPr>
        <w:numPr>
          <w:ilvl w:val="0"/>
          <w:numId w:val="5"/>
        </w:numPr>
        <w:spacing w:after="0" w:line="240"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投标人的综合得分为各评委的评分计取的算术平均分（分数出现小数点时，保留小数点后二位，第三位小数四舍五入）。</w:t>
      </w:r>
    </w:p>
    <w:bookmarkEnd w:id="281"/>
    <w:bookmarkEnd w:id="282"/>
    <w:bookmarkEnd w:id="283"/>
    <w:bookmarkEnd w:id="284"/>
    <w:bookmarkEnd w:id="285"/>
    <w:bookmarkEnd w:id="286"/>
    <w:bookmarkEnd w:id="287"/>
    <w:bookmarkEnd w:id="288"/>
    <w:bookmarkEnd w:id="289"/>
    <w:bookmarkEnd w:id="290"/>
    <w:p>
      <w:pPr>
        <w:pStyle w:val="3"/>
        <w:numPr>
          <w:ilvl w:val="0"/>
          <w:numId w:val="6"/>
        </w:numPr>
        <w:jc w:val="center"/>
        <w:rPr>
          <w:rFonts w:ascii="宋体" w:hAnsi="宋体" w:eastAsia="宋体" w:cs="宋体"/>
          <w:color w:val="auto"/>
          <w:highlight w:val="none"/>
        </w:rPr>
      </w:pPr>
      <w:r>
        <w:rPr>
          <w:rFonts w:hint="eastAsia" w:ascii="宋体" w:hAnsi="宋体" w:eastAsia="宋体" w:cs="宋体"/>
          <w:color w:val="auto"/>
          <w:sz w:val="24"/>
          <w:highlight w:val="none"/>
        </w:rPr>
        <w:br w:type="page"/>
      </w:r>
      <w:bookmarkEnd w:id="291"/>
      <w:bookmarkEnd w:id="292"/>
      <w:bookmarkEnd w:id="293"/>
      <w:bookmarkStart w:id="294" w:name="_Toc21368"/>
      <w:bookmarkStart w:id="295" w:name="_Toc8500"/>
      <w:bookmarkStart w:id="296" w:name="_Toc13524"/>
      <w:bookmarkStart w:id="297" w:name="_Toc32758"/>
      <w:bookmarkStart w:id="298" w:name="_Toc17456"/>
      <w:bookmarkStart w:id="299" w:name="_Toc27723"/>
      <w:bookmarkStart w:id="300" w:name="_Toc29539"/>
      <w:bookmarkStart w:id="301" w:name="_Toc13557"/>
      <w:bookmarkStart w:id="302" w:name="_Toc28296"/>
      <w:bookmarkStart w:id="303" w:name="_Toc29163"/>
      <w:bookmarkStart w:id="304" w:name="_Toc32148"/>
      <w:bookmarkStart w:id="305" w:name="_Toc16157"/>
      <w:bookmarkStart w:id="306" w:name="_Toc8402"/>
      <w:bookmarkStart w:id="307" w:name="_Toc13390"/>
      <w:bookmarkStart w:id="308" w:name="_Toc29653"/>
      <w:bookmarkStart w:id="309" w:name="_Toc14868"/>
      <w:r>
        <w:rPr>
          <w:rFonts w:hint="eastAsia" w:ascii="宋体" w:hAnsi="宋体" w:eastAsia="宋体" w:cs="宋体"/>
          <w:color w:val="auto"/>
          <w:highlight w:val="none"/>
        </w:rPr>
        <w:t>合同条款及格式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spacing w:line="360" w:lineRule="auto"/>
        <w:jc w:val="center"/>
        <w:rPr>
          <w:rFonts w:ascii="宋体" w:hAnsi="宋体" w:cs="宋体"/>
          <w:bCs/>
          <w:color w:val="auto"/>
          <w:sz w:val="30"/>
          <w:szCs w:val="30"/>
          <w:highlight w:val="none"/>
        </w:rPr>
      </w:pPr>
      <w:bookmarkStart w:id="310" w:name="_Toc3607"/>
      <w:r>
        <w:rPr>
          <w:rFonts w:hint="eastAsia" w:ascii="宋体" w:hAnsi="宋体" w:cs="宋体"/>
          <w:bCs/>
          <w:color w:val="auto"/>
          <w:sz w:val="30"/>
          <w:szCs w:val="30"/>
          <w:highlight w:val="none"/>
        </w:rPr>
        <w:t>（另册）</w:t>
      </w:r>
      <w:bookmarkStart w:id="311" w:name="_Toc1562"/>
      <w:bookmarkStart w:id="312" w:name="_Toc17144"/>
      <w:bookmarkStart w:id="313" w:name="_Toc27169"/>
      <w:bookmarkStart w:id="314" w:name="_Toc19059"/>
      <w:bookmarkStart w:id="315" w:name="_Toc29066"/>
      <w:bookmarkStart w:id="316" w:name="_Toc14846"/>
      <w:bookmarkStart w:id="317" w:name="_Toc8835"/>
      <w:bookmarkStart w:id="318" w:name="_Toc30384"/>
      <w:bookmarkStart w:id="319" w:name="_Toc26768"/>
      <w:bookmarkStart w:id="320" w:name="_Toc32287"/>
      <w:bookmarkStart w:id="321" w:name="_Toc8549"/>
      <w:bookmarkStart w:id="322" w:name="_Toc25127"/>
      <w:bookmarkStart w:id="323" w:name="_Toc31699"/>
      <w:r>
        <w:rPr>
          <w:rFonts w:hint="eastAsia" w:ascii="宋体" w:hAnsi="宋体" w:cs="宋体"/>
          <w:bCs/>
          <w:color w:val="auto"/>
          <w:sz w:val="30"/>
          <w:szCs w:val="30"/>
          <w:highlight w:val="none"/>
        </w:rPr>
        <w:br w:type="page"/>
      </w:r>
    </w:p>
    <w:p>
      <w:pPr>
        <w:pStyle w:val="3"/>
        <w:spacing w:before="0" w:after="0" w:line="360" w:lineRule="auto"/>
        <w:jc w:val="center"/>
        <w:rPr>
          <w:rFonts w:ascii="宋体" w:hAnsi="宋体" w:eastAsia="宋体" w:cs="宋体"/>
          <w:color w:val="auto"/>
          <w:highlight w:val="none"/>
        </w:rPr>
      </w:pPr>
      <w:bookmarkStart w:id="324" w:name="_Toc16669"/>
      <w:r>
        <w:rPr>
          <w:rFonts w:hint="eastAsia" w:ascii="宋体" w:hAnsi="宋体" w:eastAsia="宋体" w:cs="宋体"/>
          <w:color w:val="auto"/>
          <w:highlight w:val="none"/>
        </w:rPr>
        <w:t>第五章  委托人要求</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spacing w:line="324" w:lineRule="auto"/>
        <w:rPr>
          <w:rFonts w:ascii="宋体" w:hAnsi="宋体" w:cs="宋体"/>
          <w:color w:val="auto"/>
          <w:sz w:val="24"/>
          <w:highlight w:val="none"/>
        </w:rPr>
      </w:pPr>
      <w:r>
        <w:rPr>
          <w:rFonts w:hint="eastAsia" w:ascii="宋体" w:hAnsi="宋体" w:cs="宋体"/>
          <w:b/>
          <w:bCs/>
          <w:color w:val="auto"/>
          <w:sz w:val="24"/>
          <w:highlight w:val="none"/>
        </w:rPr>
        <w:t>一、监理要求</w:t>
      </w:r>
    </w:p>
    <w:p>
      <w:pPr>
        <w:spacing w:line="324" w:lineRule="auto"/>
        <w:rPr>
          <w:rFonts w:ascii="宋体" w:hAnsi="宋体" w:cs="宋体"/>
          <w:b/>
          <w:bCs/>
          <w:color w:val="auto"/>
          <w:sz w:val="24"/>
          <w:highlight w:val="none"/>
          <w:u w:val="none"/>
        </w:rPr>
      </w:pPr>
      <w:bookmarkStart w:id="325" w:name="_Toc12619"/>
      <w:bookmarkStart w:id="326" w:name="_Toc18043"/>
      <w:bookmarkStart w:id="327" w:name="_Toc393961883"/>
      <w:bookmarkStart w:id="328" w:name="_Toc9576"/>
      <w:bookmarkStart w:id="329" w:name="_Toc28731"/>
      <w:bookmarkStart w:id="330" w:name="_Toc32471"/>
      <w:bookmarkStart w:id="331" w:name="_Toc514170140"/>
      <w:bookmarkStart w:id="332" w:name="_Toc1444"/>
      <w:bookmarkStart w:id="333" w:name="_Toc32030"/>
      <w:bookmarkStart w:id="334" w:name="_Toc32612"/>
      <w:bookmarkStart w:id="335" w:name="_Toc2044"/>
      <w:bookmarkStart w:id="336" w:name="_Toc28976"/>
      <w:r>
        <w:rPr>
          <w:rFonts w:hint="eastAsia" w:ascii="宋体" w:hAnsi="宋体" w:cs="宋体"/>
          <w:b/>
          <w:bCs/>
          <w:color w:val="auto"/>
          <w:sz w:val="24"/>
          <w:highlight w:val="none"/>
        </w:rPr>
        <w:t xml:space="preserve">1. </w:t>
      </w:r>
      <w:r>
        <w:rPr>
          <w:rFonts w:hint="eastAsia" w:ascii="宋体" w:hAnsi="宋体" w:cs="宋体"/>
          <w:b/>
          <w:bCs/>
          <w:color w:val="auto"/>
          <w:sz w:val="24"/>
          <w:highlight w:val="none"/>
          <w:u w:val="none"/>
        </w:rPr>
        <w:t>项目概况：</w:t>
      </w:r>
    </w:p>
    <w:p>
      <w:pPr>
        <w:spacing w:line="324" w:lineRule="auto"/>
        <w:ind w:firstLine="480" w:firstLineChars="200"/>
        <w:rPr>
          <w:rFonts w:hint="eastAsia" w:ascii="宋体" w:hAnsi="宋体" w:eastAsia="宋体" w:cs="宋体"/>
          <w:bCs/>
          <w:color w:val="auto"/>
          <w:sz w:val="24"/>
          <w:highlight w:val="none"/>
          <w:u w:val="none"/>
          <w:lang w:eastAsia="zh-CN"/>
        </w:rPr>
      </w:pPr>
      <w:r>
        <w:rPr>
          <w:rFonts w:hint="eastAsia" w:ascii="宋体" w:hAnsi="宋体" w:cs="宋体"/>
          <w:color w:val="auto"/>
          <w:sz w:val="24"/>
          <w:highlight w:val="none"/>
          <w:u w:val="none"/>
        </w:rPr>
        <w:t>1.1项目名称：</w:t>
      </w:r>
      <w:r>
        <w:rPr>
          <w:rFonts w:hint="eastAsia" w:ascii="宋体" w:hAnsi="宋体" w:cs="宋体"/>
          <w:bCs/>
          <w:color w:val="auto"/>
          <w:sz w:val="24"/>
          <w:highlight w:val="none"/>
          <w:u w:val="none"/>
          <w:lang w:eastAsia="zh-CN"/>
        </w:rPr>
        <w:t>汽车零部件产业园项目监理</w:t>
      </w:r>
    </w:p>
    <w:p>
      <w:pPr>
        <w:spacing w:line="32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none"/>
        </w:rPr>
        <w:t>1.2建设规模</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single"/>
        </w:rPr>
        <w:t>项目占地面积约65,971.63平方米,总建筑面积约215278.04平方米,用地性质为一类工业用地（M1），建设内容包括2栋研发车间(1#楼20层、2#楼16层)、8栋生产车间(3#楼8层、4#楼14层，6-9#楼5层，10-11#楼2层)、1栋倒班楼(5#楼10层)，1层地下车库，将集汽车零部件生产、汽车设计、汽车前后市场个性化定制、汽车研发等环节于一体</w:t>
      </w:r>
      <w:r>
        <w:rPr>
          <w:rFonts w:hint="default" w:ascii="宋体" w:hAnsi="宋体" w:cs="宋体"/>
          <w:color w:val="auto"/>
          <w:sz w:val="24"/>
          <w:highlight w:val="none"/>
          <w:u w:val="single"/>
          <w:lang w:val="en-US" w:eastAsia="zh-CN"/>
        </w:rPr>
        <w:t>。</w:t>
      </w:r>
      <w:r>
        <w:rPr>
          <w:rFonts w:hint="default" w:ascii="宋体" w:hAnsi="宋体" w:eastAsia="宋体" w:cs="宋体"/>
          <w:b w:val="0"/>
          <w:color w:val="auto"/>
          <w:sz w:val="24"/>
          <w:highlight w:val="none"/>
          <w:u w:val="single"/>
        </w:rPr>
        <w:t>具体内容以发包人或政府部门审批为准</w:t>
      </w:r>
      <w:r>
        <w:rPr>
          <w:rFonts w:hint="eastAsia" w:ascii="宋体" w:hAnsi="宋体" w:cs="宋体"/>
          <w:color w:val="auto"/>
          <w:sz w:val="24"/>
          <w:highlight w:val="none"/>
          <w:u w:val="single"/>
        </w:rPr>
        <w:t>。</w:t>
      </w:r>
    </w:p>
    <w:p>
      <w:pPr>
        <w:spacing w:line="324" w:lineRule="auto"/>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1.3建设地点：</w:t>
      </w:r>
      <w:r>
        <w:rPr>
          <w:rFonts w:hint="eastAsia" w:ascii="宋体" w:hAnsi="宋体" w:cs="宋体"/>
          <w:color w:val="auto"/>
          <w:sz w:val="24"/>
          <w:highlight w:val="none"/>
          <w:u w:val="single"/>
          <w:lang w:eastAsia="zh-CN"/>
        </w:rPr>
        <w:t>广州市黄埔区九龙镇广河高速以南，开放大道以东（广州经济技术开发区）</w:t>
      </w:r>
      <w:r>
        <w:rPr>
          <w:rFonts w:hint="eastAsia" w:ascii="宋体" w:hAnsi="宋体" w:cs="宋体"/>
          <w:color w:val="auto"/>
          <w:sz w:val="24"/>
          <w:highlight w:val="none"/>
          <w:u w:val="none"/>
        </w:rPr>
        <w:t>。</w:t>
      </w:r>
    </w:p>
    <w:p>
      <w:pPr>
        <w:spacing w:line="324" w:lineRule="auto"/>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1.4工程投资：</w:t>
      </w:r>
      <w:r>
        <w:rPr>
          <w:rFonts w:hint="eastAsia" w:ascii="宋体" w:hAnsi="宋体"/>
          <w:color w:val="auto"/>
          <w:sz w:val="24"/>
          <w:highlight w:val="none"/>
          <w:u w:val="single"/>
        </w:rPr>
        <w:t>项目估算总投资</w:t>
      </w:r>
      <w:r>
        <w:rPr>
          <w:rFonts w:hint="eastAsia" w:ascii="宋体" w:hAnsi="宋体"/>
          <w:color w:val="auto"/>
          <w:sz w:val="24"/>
          <w:highlight w:val="none"/>
          <w:u w:val="single"/>
          <w:lang w:val="en-US" w:eastAsia="zh-CN"/>
        </w:rPr>
        <w:t>约</w:t>
      </w:r>
      <w:r>
        <w:rPr>
          <w:rFonts w:hint="eastAsia" w:ascii="宋体" w:hAnsi="宋体"/>
          <w:color w:val="auto"/>
          <w:sz w:val="24"/>
          <w:highlight w:val="none"/>
          <w:u w:val="single"/>
        </w:rPr>
        <w:t>为</w:t>
      </w:r>
      <w:r>
        <w:rPr>
          <w:rFonts w:hint="eastAsia" w:ascii="宋体" w:hAnsi="宋体"/>
          <w:color w:val="auto"/>
          <w:sz w:val="24"/>
          <w:highlight w:val="none"/>
          <w:u w:val="single"/>
          <w:lang w:val="en-US" w:eastAsia="zh-CN"/>
        </w:rPr>
        <w:t>108</w:t>
      </w:r>
      <w:r>
        <w:rPr>
          <w:rFonts w:hint="eastAsia" w:ascii="宋体" w:hAnsi="宋体" w:cs="宋体"/>
          <w:color w:val="auto"/>
          <w:sz w:val="24"/>
          <w:highlight w:val="none"/>
          <w:u w:val="single"/>
          <w:lang w:val="en-US" w:eastAsia="zh-CN"/>
        </w:rPr>
        <w:t>,</w:t>
      </w:r>
      <w:r>
        <w:rPr>
          <w:rFonts w:hint="eastAsia" w:ascii="宋体" w:hAnsi="宋体"/>
          <w:color w:val="auto"/>
          <w:sz w:val="24"/>
          <w:highlight w:val="none"/>
          <w:u w:val="single"/>
          <w:lang w:val="en-US" w:eastAsia="zh-CN"/>
        </w:rPr>
        <w:t>979.96万</w:t>
      </w:r>
      <w:r>
        <w:rPr>
          <w:rFonts w:hint="eastAsia" w:ascii="宋体" w:hAnsi="宋体"/>
          <w:color w:val="auto"/>
          <w:sz w:val="24"/>
          <w:highlight w:val="none"/>
          <w:u w:val="single"/>
        </w:rPr>
        <w:t>元，其中：</w:t>
      </w:r>
      <w:r>
        <w:rPr>
          <w:rFonts w:hint="eastAsia" w:ascii="宋体" w:hAnsi="宋体"/>
          <w:color w:val="auto"/>
          <w:sz w:val="24"/>
          <w:highlight w:val="none"/>
          <w:u w:val="single"/>
          <w:lang w:val="en-US" w:eastAsia="zh-CN"/>
        </w:rPr>
        <w:t>土建投资</w:t>
      </w:r>
      <w:r>
        <w:rPr>
          <w:rFonts w:hint="eastAsia" w:ascii="宋体" w:hAnsi="宋体"/>
          <w:color w:val="auto"/>
          <w:sz w:val="24"/>
          <w:highlight w:val="none"/>
          <w:u w:val="single"/>
        </w:rPr>
        <w:t>为</w:t>
      </w:r>
      <w:r>
        <w:rPr>
          <w:rFonts w:hint="eastAsia" w:ascii="宋体" w:hAnsi="宋体"/>
          <w:color w:val="auto"/>
          <w:sz w:val="24"/>
          <w:highlight w:val="none"/>
          <w:u w:val="single"/>
          <w:lang w:val="en-US" w:eastAsia="zh-CN"/>
        </w:rPr>
        <w:t>93</w:t>
      </w:r>
      <w:r>
        <w:rPr>
          <w:rFonts w:hint="eastAsia" w:ascii="宋体" w:hAnsi="宋体" w:cs="宋体"/>
          <w:color w:val="auto"/>
          <w:sz w:val="24"/>
          <w:highlight w:val="none"/>
          <w:u w:val="single"/>
          <w:lang w:val="en-US" w:eastAsia="zh-CN"/>
        </w:rPr>
        <w:t>,</w:t>
      </w:r>
      <w:r>
        <w:rPr>
          <w:rFonts w:hint="eastAsia" w:ascii="宋体" w:hAnsi="宋体"/>
          <w:color w:val="auto"/>
          <w:sz w:val="24"/>
          <w:highlight w:val="none"/>
          <w:u w:val="single"/>
          <w:lang w:val="en-US" w:eastAsia="zh-CN"/>
        </w:rPr>
        <w:t>019.46万</w:t>
      </w:r>
      <w:r>
        <w:rPr>
          <w:rFonts w:hint="eastAsia" w:ascii="宋体" w:hAnsi="宋体"/>
          <w:color w:val="auto"/>
          <w:sz w:val="24"/>
          <w:highlight w:val="none"/>
          <w:u w:val="single"/>
        </w:rPr>
        <w:t>元</w:t>
      </w:r>
      <w:r>
        <w:rPr>
          <w:rFonts w:hint="eastAsia" w:ascii="宋体" w:hAnsi="宋体"/>
          <w:color w:val="auto"/>
          <w:sz w:val="24"/>
          <w:highlight w:val="none"/>
          <w:u w:val="none"/>
        </w:rPr>
        <w:t>。</w:t>
      </w:r>
    </w:p>
    <w:p>
      <w:pPr>
        <w:spacing w:line="324" w:lineRule="auto"/>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1.5本次招标监理服务期：</w:t>
      </w:r>
    </w:p>
    <w:p>
      <w:pPr>
        <w:pStyle w:val="24"/>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none"/>
        </w:rPr>
        <w:t>前期工作阶段、施工阶段、缺陷责任期阶段、竣工</w:t>
      </w:r>
      <w:r>
        <w:rPr>
          <w:rFonts w:hint="eastAsia" w:ascii="宋体" w:hAnsi="宋体" w:cs="宋体"/>
          <w:color w:val="auto"/>
          <w:sz w:val="24"/>
          <w:szCs w:val="24"/>
          <w:highlight w:val="none"/>
        </w:rPr>
        <w:t>结算期的监理服务期：</w:t>
      </w:r>
    </w:p>
    <w:p>
      <w:pPr>
        <w:pStyle w:val="24"/>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1.5.1前期工作阶段：从签订合同之日到所有前期工作完成之日；</w:t>
      </w:r>
    </w:p>
    <w:p>
      <w:pPr>
        <w:pStyle w:val="24"/>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1.5.2施工阶段：从业主下达开工令或开工报告审批之日起至施工项目全部完工并办理竣工验收、竣工结算、备案管理为止；</w:t>
      </w:r>
    </w:p>
    <w:p>
      <w:pPr>
        <w:pStyle w:val="24"/>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1.5.3缺陷责任期阶段：从工程实际竣工验收合格之日起2年；</w:t>
      </w:r>
    </w:p>
    <w:p>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1.5.4竣工结算期：从结算送审到终审。</w:t>
      </w:r>
    </w:p>
    <w:p>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1.6工程质量标准：符合设计图纸要求和国家、省、市相关法律法规规定要求及行业颁发的工程质量合格标准。</w:t>
      </w:r>
    </w:p>
    <w:p>
      <w:pPr>
        <w:spacing w:line="324" w:lineRule="auto"/>
        <w:rPr>
          <w:rFonts w:ascii="宋体" w:hAnsi="宋体" w:cs="宋体"/>
          <w:b/>
          <w:bCs/>
          <w:color w:val="auto"/>
          <w:sz w:val="24"/>
          <w:highlight w:val="none"/>
        </w:rPr>
      </w:pPr>
      <w:r>
        <w:rPr>
          <w:rFonts w:hint="eastAsia" w:ascii="宋体" w:hAnsi="宋体" w:cs="宋体"/>
          <w:b/>
          <w:bCs/>
          <w:color w:val="auto"/>
          <w:sz w:val="24"/>
          <w:highlight w:val="none"/>
        </w:rPr>
        <w:t>2.监理范围及内容</w:t>
      </w:r>
    </w:p>
    <w:p>
      <w:pPr>
        <w:spacing w:line="324" w:lineRule="auto"/>
        <w:ind w:firstLine="484" w:firstLineChars="202"/>
        <w:rPr>
          <w:rFonts w:ascii="宋体" w:hAnsi="宋体" w:cs="宋体"/>
          <w:color w:val="auto"/>
          <w:sz w:val="24"/>
          <w:highlight w:val="none"/>
        </w:rPr>
      </w:pPr>
      <w:r>
        <w:rPr>
          <w:rFonts w:hint="eastAsia" w:ascii="宋体" w:hAnsi="宋体" w:cs="宋体"/>
          <w:color w:val="auto"/>
          <w:sz w:val="24"/>
          <w:highlight w:val="none"/>
        </w:rPr>
        <w:t>监理内容包括但不限于以下内容：前期工作阶段（包括设计各阶段、施工准备等）、施工阶段、缺陷责任期阶段、竣工结算期的监理及监理范围内的造价服务（设计概算审核、施工图预算审核、进度款审核、变更签证审核、结算审核</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含工程建设其他费结算审核</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）等相关工作。</w:t>
      </w:r>
    </w:p>
    <w:p>
      <w:pPr>
        <w:spacing w:line="324" w:lineRule="auto"/>
        <w:rPr>
          <w:rFonts w:ascii="宋体" w:hAnsi="宋体" w:cs="宋体"/>
          <w:b/>
          <w:bCs/>
          <w:color w:val="auto"/>
          <w:sz w:val="24"/>
          <w:highlight w:val="none"/>
        </w:rPr>
      </w:pPr>
      <w:r>
        <w:rPr>
          <w:rFonts w:hint="eastAsia" w:ascii="宋体" w:hAnsi="宋体" w:cs="宋体"/>
          <w:b/>
          <w:bCs/>
          <w:color w:val="auto"/>
          <w:sz w:val="24"/>
          <w:highlight w:val="none"/>
        </w:rPr>
        <w:t>3.监理依据</w:t>
      </w:r>
    </w:p>
    <w:p>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（1）国家有关法律、法规、规章及规范性文件；</w:t>
      </w:r>
    </w:p>
    <w:p>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（2）国家有关技术标准、规范及规程；</w:t>
      </w:r>
    </w:p>
    <w:p>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（3）监理合同及其他有关合同文件；</w:t>
      </w:r>
    </w:p>
    <w:p>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（4）工程勘察、设计文件；</w:t>
      </w:r>
    </w:p>
    <w:p>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（5）与工程项目有关的函件。</w:t>
      </w:r>
    </w:p>
    <w:p>
      <w:pPr>
        <w:spacing w:line="324" w:lineRule="auto"/>
        <w:rPr>
          <w:rFonts w:ascii="宋体" w:hAnsi="宋体" w:cs="宋体"/>
          <w:b/>
          <w:bCs/>
          <w:color w:val="auto"/>
          <w:sz w:val="24"/>
          <w:highlight w:val="none"/>
        </w:rPr>
      </w:pPr>
      <w:r>
        <w:rPr>
          <w:rFonts w:hint="eastAsia" w:ascii="宋体" w:hAnsi="宋体" w:cs="宋体"/>
          <w:b/>
          <w:bCs/>
          <w:color w:val="auto"/>
          <w:sz w:val="24"/>
          <w:highlight w:val="none"/>
        </w:rPr>
        <w:t>4.其他要求</w:t>
      </w:r>
    </w:p>
    <w:p>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详见本招标文件的第一章投标人须知和本工程委托监理合同的相关约定。</w:t>
      </w:r>
    </w:p>
    <w:p>
      <w:pPr>
        <w:spacing w:line="324" w:lineRule="auto"/>
        <w:rPr>
          <w:rFonts w:ascii="宋体" w:hAnsi="宋体" w:cs="宋体"/>
          <w:b/>
          <w:bCs/>
          <w:color w:val="auto"/>
          <w:sz w:val="24"/>
          <w:highlight w:val="none"/>
        </w:rPr>
      </w:pPr>
      <w:r>
        <w:rPr>
          <w:rFonts w:hint="eastAsia" w:ascii="宋体" w:hAnsi="宋体" w:cs="宋体"/>
          <w:b/>
          <w:bCs/>
          <w:color w:val="auto"/>
          <w:sz w:val="24"/>
          <w:highlight w:val="none"/>
        </w:rPr>
        <w:t>5、适用规范标准</w:t>
      </w:r>
    </w:p>
    <w:p>
      <w:pPr>
        <w:spacing w:line="32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《建设工程监理规范》及国家关于监理的法律、法规、规章及规范性文件。</w:t>
      </w:r>
    </w:p>
    <w:p>
      <w:pPr>
        <w:spacing w:line="324" w:lineRule="auto"/>
        <w:rPr>
          <w:rFonts w:ascii="宋体" w:hAnsi="宋体" w:cs="宋体"/>
          <w:b/>
          <w:bCs/>
          <w:color w:val="auto"/>
          <w:sz w:val="24"/>
          <w:highlight w:val="none"/>
        </w:rPr>
      </w:pPr>
      <w:r>
        <w:rPr>
          <w:rFonts w:hint="eastAsia" w:ascii="宋体" w:hAnsi="宋体" w:cs="宋体"/>
          <w:b/>
          <w:bCs/>
          <w:color w:val="auto"/>
          <w:sz w:val="24"/>
          <w:highlight w:val="none"/>
        </w:rPr>
        <w:t>6、监理人需要自备的工作条件</w:t>
      </w:r>
    </w:p>
    <w:p>
      <w:pPr>
        <w:spacing w:line="324" w:lineRule="auto"/>
        <w:ind w:firstLine="480" w:firstLineChars="200"/>
        <w:rPr>
          <w:rFonts w:ascii="宋体" w:hAnsi="宋体" w:cs="宋体"/>
          <w:color w:val="auto"/>
          <w:highlight w:val="none"/>
        </w:rPr>
      </w:pPr>
      <w:r>
        <w:rPr>
          <w:rFonts w:hint="eastAsia" w:ascii="宋体" w:hAnsi="宋体" w:cs="宋体"/>
          <w:color w:val="auto"/>
          <w:sz w:val="24"/>
          <w:highlight w:val="none"/>
        </w:rPr>
        <w:t>监理人员的生活用品、交通工具、通讯、办公用品、监理用具、保险等必备用品由监理人自行解决，在投标报价时应考虑此费用。</w:t>
      </w:r>
    </w:p>
    <w:p>
      <w:pPr>
        <w:rPr>
          <w:rFonts w:ascii="宋体" w:hAnsi="宋体" w:cs="宋体"/>
          <w:color w:val="auto"/>
          <w:highlight w:val="none"/>
        </w:rPr>
      </w:pPr>
    </w:p>
    <w:p>
      <w:pPr>
        <w:pStyle w:val="3"/>
        <w:jc w:val="center"/>
        <w:rPr>
          <w:rFonts w:ascii="宋体" w:hAnsi="宋体" w:eastAsia="宋体" w:cs="宋体"/>
          <w:color w:val="auto"/>
          <w:highlight w:val="none"/>
        </w:rPr>
      </w:pPr>
      <w:bookmarkStart w:id="337" w:name="_Toc19347"/>
      <w:bookmarkStart w:id="338" w:name="_Toc1835"/>
      <w:bookmarkStart w:id="339" w:name="_Toc10312"/>
      <w:r>
        <w:rPr>
          <w:rFonts w:hint="eastAsia" w:ascii="宋体" w:hAnsi="宋体" w:eastAsia="宋体" w:cs="宋体"/>
          <w:color w:val="auto"/>
          <w:highlight w:val="none"/>
        </w:rPr>
        <w:br w:type="page"/>
      </w:r>
      <w:bookmarkStart w:id="340" w:name="_Toc24585"/>
      <w:bookmarkStart w:id="341" w:name="_Toc12344"/>
      <w:bookmarkStart w:id="342" w:name="_Toc21681"/>
      <w:bookmarkStart w:id="343" w:name="_Toc1398"/>
      <w:bookmarkStart w:id="344" w:name="_Toc8472"/>
      <w:bookmarkStart w:id="345" w:name="_Toc26052"/>
      <w:bookmarkStart w:id="346" w:name="_Toc16716"/>
      <w:bookmarkStart w:id="347" w:name="_Toc29133"/>
      <w:bookmarkStart w:id="348" w:name="_Toc26858"/>
      <w:r>
        <w:rPr>
          <w:rFonts w:hint="eastAsia" w:ascii="宋体" w:hAnsi="宋体" w:eastAsia="宋体" w:cs="宋体"/>
          <w:color w:val="auto"/>
          <w:highlight w:val="none"/>
        </w:rPr>
        <w:t>第六章  投标文件格式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rPr>
          <w:rFonts w:ascii="宋体" w:hAnsi="宋体" w:cs="宋体"/>
          <w:color w:val="auto"/>
          <w:szCs w:val="21"/>
          <w:highlight w:val="none"/>
        </w:rPr>
      </w:pPr>
    </w:p>
    <w:p>
      <w:pPr>
        <w:spacing w:line="200" w:lineRule="exact"/>
        <w:jc w:val="left"/>
        <w:rPr>
          <w:rFonts w:ascii="宋体" w:hAnsi="宋体" w:cs="宋体"/>
          <w:color w:val="auto"/>
          <w:sz w:val="20"/>
          <w:highlight w:val="none"/>
        </w:rPr>
      </w:pPr>
      <w:r>
        <w:rPr>
          <w:rFonts w:hint="eastAsia" w:ascii="宋体" w:hAnsi="宋体" w:cs="宋体"/>
          <w:color w:val="auto"/>
          <w:szCs w:val="21"/>
          <w:highlight w:val="none"/>
        </w:rPr>
        <w:br w:type="page"/>
      </w:r>
    </w:p>
    <w:p>
      <w:pPr>
        <w:tabs>
          <w:tab w:val="left" w:pos="3280"/>
        </w:tabs>
        <w:spacing w:line="341" w:lineRule="exact"/>
        <w:ind w:left="2161" w:right="-20"/>
        <w:jc w:val="left"/>
        <w:rPr>
          <w:rFonts w:ascii="宋体" w:hAnsi="宋体" w:cs="宋体"/>
          <w:color w:val="auto"/>
          <w:sz w:val="28"/>
          <w:highlight w:val="none"/>
          <w:u w:val="single"/>
        </w:rPr>
      </w:pPr>
    </w:p>
    <w:p>
      <w:pPr>
        <w:pStyle w:val="6"/>
        <w:rPr>
          <w:rFonts w:ascii="宋体" w:hAnsi="宋体" w:cs="宋体"/>
          <w:color w:val="auto"/>
          <w:highlight w:val="none"/>
        </w:rPr>
      </w:pPr>
    </w:p>
    <w:p>
      <w:pPr>
        <w:pStyle w:val="6"/>
        <w:rPr>
          <w:rFonts w:ascii="宋体" w:hAnsi="宋体" w:cs="宋体"/>
          <w:color w:val="auto"/>
          <w:highlight w:val="none"/>
        </w:rPr>
      </w:pPr>
    </w:p>
    <w:p>
      <w:pPr>
        <w:pStyle w:val="6"/>
        <w:rPr>
          <w:rFonts w:ascii="宋体" w:hAnsi="宋体" w:cs="宋体"/>
          <w:color w:val="auto"/>
          <w:highlight w:val="none"/>
        </w:rPr>
      </w:pPr>
    </w:p>
    <w:p>
      <w:pPr>
        <w:tabs>
          <w:tab w:val="left" w:pos="3280"/>
        </w:tabs>
        <w:spacing w:line="240" w:lineRule="auto"/>
        <w:ind w:right="0"/>
        <w:jc w:val="center"/>
        <w:rPr>
          <w:rFonts w:hint="eastAsia" w:ascii="宋体" w:hAnsi="宋体" w:eastAsia="宋体" w:cs="宋体"/>
          <w:b/>
          <w:bCs/>
          <w:color w:val="auto"/>
          <w:sz w:val="28"/>
          <w:highlight w:val="none"/>
          <w:u w:val="single"/>
          <w:lang w:eastAsia="zh-CN"/>
        </w:rPr>
      </w:pPr>
      <w:r>
        <w:rPr>
          <w:rFonts w:hint="eastAsia" w:ascii="宋体" w:hAnsi="宋体" w:cs="宋体"/>
          <w:b/>
          <w:bCs/>
          <w:color w:val="auto"/>
          <w:sz w:val="56"/>
          <w:szCs w:val="52"/>
          <w:highlight w:val="none"/>
          <w:u w:val="single"/>
          <w:lang w:eastAsia="zh-CN"/>
        </w:rPr>
        <w:t>汽车零部件产业园项目监理</w:t>
      </w:r>
    </w:p>
    <w:p>
      <w:pPr>
        <w:spacing w:before="7" w:line="100" w:lineRule="exact"/>
        <w:jc w:val="left"/>
        <w:rPr>
          <w:rFonts w:ascii="宋体" w:hAnsi="宋体" w:cs="宋体"/>
          <w:color w:val="auto"/>
          <w:sz w:val="1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tabs>
          <w:tab w:val="left" w:pos="3780"/>
          <w:tab w:val="left" w:pos="4440"/>
          <w:tab w:val="left" w:pos="5100"/>
        </w:tabs>
        <w:spacing w:line="549" w:lineRule="exact"/>
        <w:ind w:left="3138" w:right="3116"/>
        <w:jc w:val="center"/>
        <w:rPr>
          <w:rFonts w:ascii="宋体" w:hAnsi="宋体" w:cs="宋体"/>
          <w:color w:val="auto"/>
          <w:sz w:val="44"/>
          <w:highlight w:val="none"/>
        </w:rPr>
      </w:pPr>
    </w:p>
    <w:p>
      <w:pPr>
        <w:tabs>
          <w:tab w:val="left" w:pos="3780"/>
          <w:tab w:val="left" w:pos="4440"/>
          <w:tab w:val="left" w:pos="5100"/>
        </w:tabs>
        <w:spacing w:line="549" w:lineRule="exact"/>
        <w:ind w:left="3138" w:right="3116"/>
        <w:jc w:val="center"/>
        <w:rPr>
          <w:rFonts w:ascii="宋体" w:hAnsi="宋体" w:cs="宋体"/>
          <w:color w:val="auto"/>
          <w:sz w:val="44"/>
          <w:highlight w:val="none"/>
        </w:rPr>
      </w:pPr>
    </w:p>
    <w:p>
      <w:pPr>
        <w:tabs>
          <w:tab w:val="left" w:pos="3780"/>
          <w:tab w:val="left" w:pos="4440"/>
          <w:tab w:val="left" w:pos="5100"/>
        </w:tabs>
        <w:spacing w:line="549" w:lineRule="exact"/>
        <w:ind w:left="3138" w:right="3116"/>
        <w:jc w:val="center"/>
        <w:rPr>
          <w:rFonts w:ascii="宋体" w:hAnsi="宋体" w:cs="宋体"/>
          <w:color w:val="auto"/>
          <w:sz w:val="44"/>
          <w:highlight w:val="none"/>
        </w:rPr>
      </w:pPr>
    </w:p>
    <w:p>
      <w:pPr>
        <w:tabs>
          <w:tab w:val="left" w:pos="3780"/>
          <w:tab w:val="left" w:pos="4440"/>
          <w:tab w:val="left" w:pos="5100"/>
        </w:tabs>
        <w:spacing w:line="549" w:lineRule="exact"/>
        <w:ind w:left="3138" w:right="3116"/>
        <w:jc w:val="center"/>
        <w:rPr>
          <w:rFonts w:ascii="宋体" w:hAnsi="宋体" w:cs="宋体"/>
          <w:color w:val="auto"/>
          <w:sz w:val="44"/>
          <w:highlight w:val="none"/>
        </w:rPr>
      </w:pPr>
    </w:p>
    <w:p>
      <w:pPr>
        <w:tabs>
          <w:tab w:val="left" w:pos="3780"/>
          <w:tab w:val="left" w:pos="4440"/>
          <w:tab w:val="left" w:pos="5100"/>
        </w:tabs>
        <w:spacing w:line="549" w:lineRule="exact"/>
        <w:ind w:left="3138" w:right="3116"/>
        <w:jc w:val="center"/>
        <w:rPr>
          <w:rFonts w:ascii="宋体" w:hAnsi="宋体" w:cs="宋体"/>
          <w:color w:val="auto"/>
          <w:sz w:val="44"/>
          <w:highlight w:val="none"/>
        </w:rPr>
      </w:pPr>
    </w:p>
    <w:p>
      <w:pPr>
        <w:tabs>
          <w:tab w:val="left" w:pos="3780"/>
          <w:tab w:val="left" w:pos="4440"/>
          <w:tab w:val="left" w:pos="5100"/>
        </w:tabs>
        <w:spacing w:line="549" w:lineRule="exact"/>
        <w:ind w:left="3138" w:right="3116"/>
        <w:jc w:val="center"/>
        <w:rPr>
          <w:rFonts w:ascii="宋体" w:hAnsi="宋体" w:cs="宋体"/>
          <w:color w:val="auto"/>
          <w:sz w:val="44"/>
          <w:highlight w:val="none"/>
        </w:rPr>
      </w:pPr>
    </w:p>
    <w:p>
      <w:pPr>
        <w:tabs>
          <w:tab w:val="left" w:pos="5560"/>
          <w:tab w:val="left" w:pos="6940"/>
        </w:tabs>
        <w:spacing w:line="540" w:lineRule="atLeast"/>
        <w:ind w:right="85"/>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投  标  文  件</w:t>
      </w: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spacing w:before="17" w:line="240" w:lineRule="exact"/>
        <w:jc w:val="left"/>
        <w:rPr>
          <w:rFonts w:ascii="宋体" w:hAnsi="宋体" w:cs="宋体"/>
          <w:color w:val="auto"/>
          <w:sz w:val="24"/>
          <w:highlight w:val="none"/>
        </w:rPr>
      </w:pPr>
    </w:p>
    <w:p>
      <w:pPr>
        <w:tabs>
          <w:tab w:val="left" w:pos="5560"/>
          <w:tab w:val="left" w:pos="6940"/>
        </w:tabs>
        <w:spacing w:line="540" w:lineRule="atLeast"/>
        <w:ind w:left="1201" w:right="85"/>
        <w:jc w:val="left"/>
        <w:rPr>
          <w:rFonts w:ascii="宋体" w:hAnsi="宋体" w:cs="宋体"/>
          <w:color w:val="auto"/>
          <w:sz w:val="28"/>
          <w:highlight w:val="none"/>
        </w:rPr>
      </w:pPr>
      <w:r>
        <w:rPr>
          <w:rFonts w:hint="eastAsia" w:ascii="宋体" w:hAnsi="宋体" w:cs="宋体"/>
          <w:color w:val="auto"/>
          <w:sz w:val="28"/>
          <w:highlight w:val="none"/>
        </w:rPr>
        <w:t>投标人：（盖单位章）</w:t>
      </w:r>
    </w:p>
    <w:p>
      <w:pPr>
        <w:tabs>
          <w:tab w:val="left" w:pos="5560"/>
          <w:tab w:val="left" w:pos="6940"/>
        </w:tabs>
        <w:spacing w:line="540" w:lineRule="atLeast"/>
        <w:ind w:left="1201" w:right="85"/>
        <w:jc w:val="left"/>
        <w:rPr>
          <w:rFonts w:ascii="宋体" w:hAnsi="宋体" w:cs="宋体"/>
          <w:color w:val="auto"/>
          <w:sz w:val="28"/>
          <w:highlight w:val="none"/>
        </w:rPr>
      </w:pPr>
      <w:r>
        <w:rPr>
          <w:rFonts w:hint="eastAsia" w:ascii="宋体" w:hAnsi="宋体" w:cs="宋体"/>
          <w:color w:val="auto"/>
          <w:sz w:val="28"/>
          <w:highlight w:val="none"/>
        </w:rPr>
        <w:t>法定代表人或其委托代理人：（签字或盖章）</w:t>
      </w:r>
    </w:p>
    <w:p>
      <w:pPr>
        <w:spacing w:before="5" w:line="130" w:lineRule="exact"/>
        <w:jc w:val="left"/>
        <w:rPr>
          <w:rFonts w:ascii="宋体" w:hAnsi="宋体" w:cs="宋体"/>
          <w:color w:val="auto"/>
          <w:sz w:val="13"/>
          <w:highlight w:val="none"/>
        </w:rPr>
      </w:pPr>
    </w:p>
    <w:p>
      <w:pPr>
        <w:spacing w:line="200" w:lineRule="exact"/>
        <w:jc w:val="left"/>
        <w:rPr>
          <w:rFonts w:ascii="宋体" w:hAnsi="宋体" w:cs="宋体"/>
          <w:color w:val="auto"/>
          <w:sz w:val="20"/>
          <w:highlight w:val="none"/>
        </w:rPr>
      </w:pPr>
    </w:p>
    <w:p>
      <w:pPr>
        <w:spacing w:line="200" w:lineRule="exact"/>
        <w:jc w:val="left"/>
        <w:rPr>
          <w:rFonts w:ascii="宋体" w:hAnsi="宋体" w:cs="宋体"/>
          <w:color w:val="auto"/>
          <w:sz w:val="20"/>
          <w:highlight w:val="none"/>
        </w:rPr>
      </w:pPr>
    </w:p>
    <w:p>
      <w:pPr>
        <w:tabs>
          <w:tab w:val="left" w:pos="3600"/>
          <w:tab w:val="left" w:pos="4620"/>
          <w:tab w:val="left" w:pos="5640"/>
        </w:tabs>
        <w:spacing w:line="373" w:lineRule="exact"/>
        <w:ind w:left="2877" w:right="-20"/>
        <w:jc w:val="left"/>
        <w:rPr>
          <w:rFonts w:ascii="宋体" w:hAnsi="宋体" w:cs="宋体"/>
          <w:color w:val="auto"/>
          <w:sz w:val="28"/>
          <w:highlight w:val="none"/>
        </w:rPr>
        <w:sectPr>
          <w:headerReference r:id="rId8" w:type="default"/>
          <w:footerReference r:id="rId9" w:type="default"/>
          <w:pgSz w:w="11906" w:h="16838"/>
          <w:pgMar w:top="1417" w:right="1417" w:bottom="1417" w:left="1417" w:header="850" w:footer="992" w:gutter="0"/>
          <w:cols w:space="720" w:num="1"/>
          <w:docGrid w:linePitch="286" w:charSpace="0"/>
        </w:sectPr>
      </w:pPr>
      <w:r>
        <w:rPr>
          <w:rFonts w:hint="eastAsia" w:ascii="宋体" w:hAnsi="宋体" w:cs="宋体"/>
          <w:color w:val="auto"/>
          <w:sz w:val="28"/>
          <w:highlight w:val="none"/>
        </w:rPr>
        <w:t>年  月  日</w:t>
      </w:r>
    </w:p>
    <w:p>
      <w:pPr>
        <w:tabs>
          <w:tab w:val="left" w:pos="5560"/>
          <w:tab w:val="left" w:pos="6940"/>
        </w:tabs>
        <w:spacing w:line="540" w:lineRule="atLeast"/>
        <w:ind w:right="85"/>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目录</w:t>
      </w:r>
    </w:p>
    <w:p>
      <w:pPr>
        <w:numPr>
          <w:ilvl w:val="0"/>
          <w:numId w:val="7"/>
        </w:numPr>
        <w:spacing w:before="120" w:line="360" w:lineRule="auto"/>
        <w:ind w:right="3389"/>
        <w:jc w:val="left"/>
        <w:rPr>
          <w:rFonts w:ascii="宋体" w:hAnsi="宋体" w:cs="宋体"/>
          <w:color w:val="auto"/>
          <w:highlight w:val="none"/>
        </w:rPr>
      </w:pPr>
      <w:r>
        <w:rPr>
          <w:rFonts w:hint="eastAsia" w:ascii="宋体" w:hAnsi="宋体" w:cs="宋体"/>
          <w:color w:val="auto"/>
          <w:highlight w:val="none"/>
        </w:rPr>
        <w:t>投标函及投标函附录</w:t>
      </w:r>
    </w:p>
    <w:p>
      <w:pPr>
        <w:numPr>
          <w:ilvl w:val="0"/>
          <w:numId w:val="7"/>
        </w:numPr>
        <w:spacing w:before="120" w:line="360" w:lineRule="auto"/>
        <w:ind w:right="3389"/>
        <w:jc w:val="left"/>
        <w:rPr>
          <w:rFonts w:ascii="宋体" w:hAnsi="宋体" w:cs="宋体"/>
          <w:color w:val="auto"/>
          <w:highlight w:val="none"/>
        </w:rPr>
      </w:pPr>
      <w:r>
        <w:rPr>
          <w:rFonts w:hint="eastAsia" w:ascii="宋体" w:hAnsi="宋体" w:cs="宋体"/>
          <w:color w:val="auto"/>
          <w:highlight w:val="none"/>
        </w:rPr>
        <w:t>法定代表人身份证明书、授权委托书</w:t>
      </w:r>
    </w:p>
    <w:p>
      <w:pPr>
        <w:numPr>
          <w:ilvl w:val="0"/>
          <w:numId w:val="7"/>
        </w:numPr>
        <w:spacing w:before="120" w:line="360" w:lineRule="auto"/>
        <w:ind w:right="3389"/>
        <w:jc w:val="left"/>
        <w:rPr>
          <w:rFonts w:ascii="宋体" w:hAnsi="宋体" w:cs="宋体"/>
          <w:color w:val="auto"/>
          <w:highlight w:val="none"/>
        </w:rPr>
      </w:pPr>
      <w:r>
        <w:rPr>
          <w:rFonts w:hint="eastAsia" w:ascii="宋体" w:hAnsi="宋体" w:cs="宋体"/>
          <w:color w:val="auto"/>
          <w:highlight w:val="none"/>
        </w:rPr>
        <w:t>投标保证金</w:t>
      </w:r>
    </w:p>
    <w:p>
      <w:pPr>
        <w:numPr>
          <w:ilvl w:val="0"/>
          <w:numId w:val="7"/>
        </w:numPr>
        <w:spacing w:before="120" w:line="360" w:lineRule="auto"/>
        <w:ind w:right="3389"/>
        <w:jc w:val="left"/>
        <w:rPr>
          <w:rFonts w:ascii="宋体" w:hAnsi="宋体" w:cs="宋体"/>
          <w:color w:val="auto"/>
          <w:highlight w:val="none"/>
        </w:rPr>
      </w:pPr>
      <w:r>
        <w:rPr>
          <w:rFonts w:hint="eastAsia" w:ascii="宋体" w:hAnsi="宋体" w:cs="宋体"/>
          <w:color w:val="auto"/>
          <w:highlight w:val="none"/>
        </w:rPr>
        <w:t>监理报酬清单</w:t>
      </w:r>
    </w:p>
    <w:p>
      <w:pPr>
        <w:numPr>
          <w:ilvl w:val="0"/>
          <w:numId w:val="7"/>
        </w:numPr>
        <w:spacing w:before="120" w:line="360" w:lineRule="auto"/>
        <w:ind w:right="3389"/>
        <w:jc w:val="left"/>
        <w:rPr>
          <w:rFonts w:ascii="宋体" w:hAnsi="宋体" w:cs="宋体"/>
          <w:color w:val="auto"/>
          <w:highlight w:val="none"/>
        </w:rPr>
      </w:pPr>
      <w:r>
        <w:rPr>
          <w:rFonts w:hint="eastAsia" w:ascii="宋体" w:hAnsi="宋体" w:cs="宋体"/>
          <w:color w:val="auto"/>
          <w:highlight w:val="none"/>
        </w:rPr>
        <w:t>资格审查资料</w:t>
      </w:r>
    </w:p>
    <w:p>
      <w:pPr>
        <w:numPr>
          <w:ilvl w:val="0"/>
          <w:numId w:val="7"/>
        </w:numPr>
        <w:spacing w:before="120" w:line="360" w:lineRule="auto"/>
        <w:ind w:right="3389"/>
        <w:jc w:val="left"/>
        <w:rPr>
          <w:rFonts w:ascii="宋体" w:hAnsi="宋体" w:cs="宋体"/>
          <w:color w:val="auto"/>
          <w:highlight w:val="none"/>
        </w:rPr>
      </w:pPr>
      <w:r>
        <w:rPr>
          <w:rFonts w:hint="eastAsia" w:ascii="宋体" w:hAnsi="宋体" w:cs="宋体"/>
          <w:color w:val="auto"/>
          <w:highlight w:val="none"/>
        </w:rPr>
        <w:t>监理大纲</w:t>
      </w:r>
    </w:p>
    <w:p>
      <w:pPr>
        <w:numPr>
          <w:ilvl w:val="0"/>
          <w:numId w:val="7"/>
        </w:numPr>
        <w:spacing w:before="120" w:line="360" w:lineRule="auto"/>
        <w:ind w:right="3389"/>
        <w:jc w:val="left"/>
        <w:rPr>
          <w:rFonts w:ascii="宋体" w:hAnsi="宋体" w:cs="宋体"/>
          <w:color w:val="auto"/>
          <w:highlight w:val="none"/>
        </w:rPr>
      </w:pPr>
      <w:r>
        <w:rPr>
          <w:rFonts w:hint="eastAsia" w:ascii="宋体" w:hAnsi="宋体" w:cs="宋体"/>
          <w:color w:val="auto"/>
          <w:highlight w:val="none"/>
        </w:rPr>
        <w:t>公司简介</w:t>
      </w:r>
    </w:p>
    <w:p>
      <w:pPr>
        <w:numPr>
          <w:ilvl w:val="0"/>
          <w:numId w:val="7"/>
        </w:numPr>
        <w:spacing w:before="120" w:line="360" w:lineRule="auto"/>
        <w:ind w:right="3389"/>
        <w:jc w:val="left"/>
        <w:rPr>
          <w:rFonts w:ascii="宋体" w:hAnsi="宋体" w:cs="宋体"/>
          <w:color w:val="auto"/>
          <w:highlight w:val="none"/>
        </w:rPr>
      </w:pPr>
      <w:r>
        <w:rPr>
          <w:rFonts w:hint="eastAsia" w:ascii="宋体" w:hAnsi="宋体" w:cs="宋体"/>
          <w:color w:val="auto"/>
          <w:highlight w:val="none"/>
        </w:rPr>
        <w:t>标函承诺书</w:t>
      </w:r>
    </w:p>
    <w:p>
      <w:pPr>
        <w:numPr>
          <w:ilvl w:val="0"/>
          <w:numId w:val="7"/>
        </w:numPr>
        <w:spacing w:before="120" w:line="360" w:lineRule="auto"/>
        <w:ind w:right="3389"/>
        <w:jc w:val="left"/>
        <w:rPr>
          <w:color w:val="auto"/>
          <w:highlight w:val="none"/>
        </w:rPr>
      </w:pPr>
      <w:r>
        <w:rPr>
          <w:rFonts w:hint="eastAsia" w:ascii="宋体" w:cs="宋体"/>
          <w:color w:val="auto"/>
          <w:highlight w:val="none"/>
          <w:lang w:eastAsia="zh-CN"/>
        </w:rPr>
        <w:t>项目总监履约承诺书</w:t>
      </w:r>
    </w:p>
    <w:p>
      <w:pPr>
        <w:numPr>
          <w:ilvl w:val="0"/>
          <w:numId w:val="7"/>
        </w:numPr>
        <w:spacing w:before="120" w:line="360" w:lineRule="auto"/>
        <w:ind w:right="3389"/>
        <w:jc w:val="left"/>
        <w:rPr>
          <w:rFonts w:ascii="宋体" w:hAnsi="宋体" w:cs="宋体"/>
          <w:color w:val="auto"/>
          <w:highlight w:val="none"/>
        </w:rPr>
      </w:pPr>
      <w:r>
        <w:rPr>
          <w:rFonts w:hint="eastAsia" w:ascii="宋体" w:hAnsi="宋体" w:cs="宋体"/>
          <w:color w:val="auto"/>
          <w:highlight w:val="none"/>
          <w:lang w:val="en-US" w:eastAsia="zh-CN"/>
        </w:rPr>
        <w:t>总监代表履约承诺书</w:t>
      </w:r>
    </w:p>
    <w:p>
      <w:pPr>
        <w:numPr>
          <w:ilvl w:val="0"/>
          <w:numId w:val="7"/>
        </w:numPr>
        <w:spacing w:before="120" w:line="360" w:lineRule="auto"/>
        <w:ind w:right="3389"/>
        <w:jc w:val="left"/>
        <w:rPr>
          <w:rFonts w:ascii="宋体" w:hAnsi="宋体" w:cs="宋体"/>
          <w:color w:val="auto"/>
          <w:highlight w:val="none"/>
        </w:rPr>
      </w:pPr>
      <w:r>
        <w:rPr>
          <w:rFonts w:hint="eastAsia" w:ascii="宋体" w:hAnsi="宋体" w:cs="宋体"/>
          <w:color w:val="auto"/>
          <w:highlight w:val="none"/>
        </w:rPr>
        <w:t>项目监理机构配备情况</w:t>
      </w:r>
    </w:p>
    <w:p>
      <w:pPr>
        <w:numPr>
          <w:ilvl w:val="0"/>
          <w:numId w:val="7"/>
        </w:numPr>
        <w:spacing w:before="120" w:line="360" w:lineRule="auto"/>
        <w:ind w:right="3389"/>
        <w:jc w:val="left"/>
        <w:rPr>
          <w:rFonts w:ascii="宋体" w:hAnsi="宋体" w:cs="宋体"/>
          <w:color w:val="auto"/>
          <w:highlight w:val="none"/>
        </w:rPr>
      </w:pPr>
      <w:r>
        <w:rPr>
          <w:rFonts w:hint="eastAsia" w:ascii="宋体" w:hAnsi="宋体" w:cs="宋体"/>
          <w:color w:val="auto"/>
          <w:highlight w:val="none"/>
        </w:rPr>
        <w:t>拟投入本项目的主要试验检测仪器设备</w:t>
      </w:r>
    </w:p>
    <w:p>
      <w:pPr>
        <w:numPr>
          <w:ilvl w:val="0"/>
          <w:numId w:val="7"/>
        </w:numPr>
        <w:spacing w:before="120" w:line="360" w:lineRule="auto"/>
        <w:ind w:right="3389"/>
        <w:jc w:val="left"/>
        <w:rPr>
          <w:rFonts w:ascii="宋体" w:hAnsi="宋体" w:cs="宋体"/>
          <w:color w:val="auto"/>
          <w:highlight w:val="none"/>
        </w:rPr>
        <w:sectPr>
          <w:headerReference r:id="rId10" w:type="default"/>
          <w:footerReference r:id="rId11" w:type="default"/>
          <w:pgSz w:w="12240" w:h="15840"/>
          <w:pgMar w:top="1417" w:right="1587" w:bottom="1417" w:left="1587" w:header="850" w:footer="964" w:gutter="0"/>
          <w:cols w:space="720" w:num="1"/>
          <w:docGrid w:linePitch="285" w:charSpace="0"/>
        </w:sectPr>
      </w:pPr>
      <w:r>
        <w:rPr>
          <w:rFonts w:hint="eastAsia" w:ascii="宋体" w:hAnsi="宋体" w:cs="宋体"/>
          <w:color w:val="auto"/>
          <w:highlight w:val="none"/>
        </w:rPr>
        <w:t>监理项目管理团队人员信息表</w:t>
      </w:r>
    </w:p>
    <w:p>
      <w:pPr>
        <w:tabs>
          <w:tab w:val="left" w:pos="5560"/>
          <w:tab w:val="left" w:pos="6940"/>
        </w:tabs>
        <w:jc w:val="center"/>
        <w:outlineLvl w:val="2"/>
        <w:rPr>
          <w:rFonts w:ascii="宋体" w:hAnsi="宋体" w:cs="宋体"/>
          <w:b/>
          <w:bCs/>
          <w:color w:val="auto"/>
          <w:sz w:val="30"/>
          <w:szCs w:val="30"/>
          <w:highlight w:val="none"/>
        </w:rPr>
      </w:pPr>
      <w:bookmarkStart w:id="349" w:name="_Toc14376"/>
      <w:bookmarkStart w:id="350" w:name="_Toc18147"/>
      <w:bookmarkStart w:id="351" w:name="_Toc23397"/>
      <w:bookmarkStart w:id="352" w:name="_Toc20842"/>
      <w:bookmarkStart w:id="353" w:name="_Toc27986"/>
      <w:bookmarkStart w:id="354" w:name="_Toc2784"/>
      <w:bookmarkStart w:id="355" w:name="_Toc7853"/>
      <w:bookmarkStart w:id="356" w:name="_Toc6336"/>
      <w:bookmarkStart w:id="357" w:name="_Toc7828"/>
      <w:bookmarkStart w:id="358" w:name="_Toc12653"/>
      <w:bookmarkStart w:id="359" w:name="_Toc4509"/>
      <w:bookmarkStart w:id="360" w:name="_Toc15809"/>
      <w:bookmarkStart w:id="361" w:name="_Toc118"/>
      <w:r>
        <w:rPr>
          <w:rFonts w:hint="eastAsia" w:ascii="宋体" w:hAnsi="宋体" w:cs="宋体"/>
          <w:b/>
          <w:bCs/>
          <w:color w:val="auto"/>
          <w:sz w:val="30"/>
          <w:szCs w:val="30"/>
          <w:highlight w:val="none"/>
        </w:rPr>
        <w:t>一、投标函及投标函附录</w:t>
      </w:r>
      <w:bookmarkEnd w:id="349"/>
      <w:bookmarkEnd w:id="350"/>
      <w:bookmarkEnd w:id="351"/>
      <w:bookmarkEnd w:id="352"/>
      <w:bookmarkEnd w:id="353"/>
      <w:bookmarkEnd w:id="354"/>
      <w:bookmarkEnd w:id="355"/>
      <w:bookmarkEnd w:id="356"/>
      <w:bookmarkEnd w:id="357"/>
      <w:bookmarkEnd w:id="358"/>
      <w:bookmarkEnd w:id="359"/>
      <w:bookmarkEnd w:id="360"/>
      <w:bookmarkEnd w:id="361"/>
    </w:p>
    <w:p>
      <w:pPr>
        <w:spacing w:line="373" w:lineRule="exact"/>
        <w:ind w:left="238" w:right="-23"/>
        <w:jc w:val="center"/>
        <w:outlineLvl w:val="3"/>
        <w:rPr>
          <w:rFonts w:ascii="宋体" w:hAnsi="宋体" w:cs="宋体"/>
          <w:b/>
          <w:bCs/>
          <w:color w:val="auto"/>
          <w:sz w:val="28"/>
          <w:highlight w:val="none"/>
        </w:rPr>
      </w:pPr>
      <w:r>
        <w:rPr>
          <w:rFonts w:hint="eastAsia" w:ascii="宋体" w:hAnsi="宋体" w:cs="宋体"/>
          <w:b/>
          <w:bCs/>
          <w:color w:val="auto"/>
          <w:sz w:val="28"/>
          <w:highlight w:val="none"/>
        </w:rPr>
        <w:t>（一）</w:t>
      </w:r>
      <w:r>
        <w:rPr>
          <w:rFonts w:hint="eastAsia" w:ascii="宋体" w:hAnsi="宋体" w:cs="宋体"/>
          <w:b/>
          <w:bCs/>
          <w:color w:val="auto"/>
          <w:spacing w:val="-3"/>
          <w:sz w:val="28"/>
          <w:highlight w:val="none"/>
        </w:rPr>
        <w:t>投</w:t>
      </w:r>
      <w:r>
        <w:rPr>
          <w:rFonts w:hint="eastAsia" w:ascii="宋体" w:hAnsi="宋体" w:cs="宋体"/>
          <w:b/>
          <w:bCs/>
          <w:color w:val="auto"/>
          <w:sz w:val="28"/>
          <w:highlight w:val="none"/>
        </w:rPr>
        <w:t>标函</w:t>
      </w:r>
    </w:p>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bCs/>
          <w:color w:val="auto"/>
          <w:kern w:val="0"/>
          <w:szCs w:val="21"/>
          <w:highlight w:val="none"/>
          <w:u w:val="single"/>
          <w:lang w:eastAsia="zh-CN"/>
        </w:rPr>
        <w:t>科学城（广州）发展集团有限公司</w:t>
      </w:r>
      <w:r>
        <w:rPr>
          <w:rFonts w:hint="eastAsia" w:ascii="宋体" w:hAnsi="宋体" w:cs="宋体"/>
          <w:color w:val="auto"/>
          <w:kern w:val="0"/>
          <w:szCs w:val="21"/>
          <w:highlight w:val="none"/>
        </w:rPr>
        <w:t>（招标人）：</w:t>
      </w:r>
    </w:p>
    <w:p>
      <w:pPr>
        <w:autoSpaceDE w:val="0"/>
        <w:autoSpaceDN w:val="0"/>
        <w:adjustRightIn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1．我方已仔细研究了</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招标项目招标文件的全部内容，愿意以《投标函附录》</w:t>
      </w:r>
      <w:r>
        <w:rPr>
          <w:rFonts w:hint="eastAsia" w:ascii="宋体" w:hAnsi="宋体" w:cs="宋体"/>
          <w:color w:val="auto"/>
          <w:szCs w:val="21"/>
          <w:highlight w:val="none"/>
        </w:rPr>
        <w:t>中</w:t>
      </w:r>
      <w:r>
        <w:rPr>
          <w:rFonts w:hint="eastAsia" w:ascii="宋体" w:hAnsi="宋体" w:cs="宋体"/>
          <w:color w:val="auto"/>
          <w:kern w:val="0"/>
          <w:szCs w:val="21"/>
          <w:highlight w:val="none"/>
        </w:rPr>
        <w:t>的投标总报价投标（此报价包括但不限于监理设备、劳务、管理、交通、维护、保险、利润、税金、政策性文件规定及合同包含的所有风险、责任等各项所有费用），监理服务期：</w:t>
      </w:r>
      <w:r>
        <w:rPr>
          <w:rFonts w:hint="eastAsia" w:ascii="宋体" w:hAnsi="宋体" w:cs="宋体"/>
          <w:color w:val="auto"/>
          <w:kern w:val="0"/>
          <w:szCs w:val="21"/>
          <w:highlight w:val="none"/>
          <w:u w:val="single"/>
        </w:rPr>
        <w:t>按招标文件要求</w:t>
      </w:r>
      <w:r>
        <w:rPr>
          <w:rFonts w:hint="eastAsia" w:ascii="宋体" w:hAnsi="宋体" w:cs="宋体"/>
          <w:color w:val="auto"/>
          <w:kern w:val="0"/>
          <w:szCs w:val="21"/>
          <w:highlight w:val="none"/>
        </w:rPr>
        <w:t>。按合同约定完成监理工作。</w:t>
      </w:r>
    </w:p>
    <w:p>
      <w:pPr>
        <w:autoSpaceDE w:val="0"/>
        <w:autoSpaceDN w:val="0"/>
        <w:adjustRightIn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2．我方的投标文件包括下列内容：</w:t>
      </w:r>
    </w:p>
    <w:p>
      <w:pPr>
        <w:spacing w:line="360" w:lineRule="auto"/>
        <w:ind w:left="99" w:leftChars="47" w:right="3389" w:firstLine="313" w:firstLineChars="152"/>
        <w:jc w:val="left"/>
        <w:rPr>
          <w:rFonts w:ascii="宋体" w:hAnsi="宋体" w:cs="宋体"/>
          <w:color w:val="auto"/>
          <w:spacing w:val="-2"/>
          <w:highlight w:val="none"/>
        </w:rPr>
      </w:pPr>
      <w:r>
        <w:rPr>
          <w:rFonts w:hint="eastAsia" w:ascii="宋体" w:hAnsi="宋体" w:cs="宋体"/>
          <w:color w:val="auto"/>
          <w:spacing w:val="-2"/>
          <w:highlight w:val="none"/>
        </w:rPr>
        <w:t>（1）投标函及投标函附录</w:t>
      </w:r>
    </w:p>
    <w:p>
      <w:pPr>
        <w:spacing w:line="360" w:lineRule="auto"/>
        <w:ind w:left="99" w:leftChars="47" w:right="3389" w:firstLine="313" w:firstLineChars="152"/>
        <w:jc w:val="left"/>
        <w:rPr>
          <w:rFonts w:ascii="宋体" w:hAnsi="宋体" w:cs="宋体"/>
          <w:color w:val="auto"/>
          <w:highlight w:val="none"/>
        </w:rPr>
      </w:pPr>
      <w:r>
        <w:rPr>
          <w:rFonts w:hint="eastAsia" w:ascii="宋体" w:hAnsi="宋体" w:cs="宋体"/>
          <w:color w:val="auto"/>
          <w:spacing w:val="-2"/>
          <w:highlight w:val="none"/>
        </w:rPr>
        <w:t>（2）法</w:t>
      </w:r>
      <w:r>
        <w:rPr>
          <w:rFonts w:hint="eastAsia" w:ascii="宋体" w:hAnsi="宋体" w:cs="宋体"/>
          <w:color w:val="auto"/>
          <w:highlight w:val="none"/>
        </w:rPr>
        <w:t>定</w:t>
      </w:r>
      <w:r>
        <w:rPr>
          <w:rFonts w:hint="eastAsia" w:ascii="宋体" w:hAnsi="宋体" w:cs="宋体"/>
          <w:color w:val="auto"/>
          <w:spacing w:val="-2"/>
          <w:highlight w:val="none"/>
        </w:rPr>
        <w:t>代</w:t>
      </w:r>
      <w:r>
        <w:rPr>
          <w:rFonts w:hint="eastAsia" w:ascii="宋体" w:hAnsi="宋体" w:cs="宋体"/>
          <w:color w:val="auto"/>
          <w:highlight w:val="none"/>
        </w:rPr>
        <w:t>表</w:t>
      </w:r>
      <w:r>
        <w:rPr>
          <w:rFonts w:hint="eastAsia" w:ascii="宋体" w:hAnsi="宋体" w:cs="宋体"/>
          <w:color w:val="auto"/>
          <w:spacing w:val="-2"/>
          <w:highlight w:val="none"/>
        </w:rPr>
        <w:t>人</w:t>
      </w:r>
      <w:r>
        <w:rPr>
          <w:rFonts w:hint="eastAsia" w:ascii="宋体" w:hAnsi="宋体" w:cs="宋体"/>
          <w:color w:val="auto"/>
          <w:highlight w:val="none"/>
        </w:rPr>
        <w:t>身</w:t>
      </w:r>
      <w:r>
        <w:rPr>
          <w:rFonts w:hint="eastAsia" w:ascii="宋体" w:hAnsi="宋体" w:cs="宋体"/>
          <w:color w:val="auto"/>
          <w:spacing w:val="-2"/>
          <w:highlight w:val="none"/>
        </w:rPr>
        <w:t>份</w:t>
      </w:r>
      <w:r>
        <w:rPr>
          <w:rFonts w:hint="eastAsia" w:ascii="宋体" w:hAnsi="宋体" w:cs="宋体"/>
          <w:color w:val="auto"/>
          <w:highlight w:val="none"/>
        </w:rPr>
        <w:t>证</w:t>
      </w:r>
      <w:r>
        <w:rPr>
          <w:rFonts w:hint="eastAsia" w:ascii="宋体" w:hAnsi="宋体" w:cs="宋体"/>
          <w:color w:val="auto"/>
          <w:spacing w:val="-2"/>
          <w:highlight w:val="none"/>
        </w:rPr>
        <w:t>明书</w:t>
      </w:r>
      <w:r>
        <w:rPr>
          <w:rFonts w:hint="eastAsia" w:ascii="宋体" w:hAnsi="宋体" w:cs="宋体"/>
          <w:color w:val="auto"/>
          <w:highlight w:val="none"/>
        </w:rPr>
        <w:t>、</w:t>
      </w:r>
      <w:r>
        <w:rPr>
          <w:rFonts w:hint="eastAsia" w:ascii="宋体" w:hAnsi="宋体" w:cs="宋体"/>
          <w:color w:val="auto"/>
          <w:spacing w:val="-2"/>
          <w:highlight w:val="none"/>
        </w:rPr>
        <w:t>授</w:t>
      </w:r>
      <w:r>
        <w:rPr>
          <w:rFonts w:hint="eastAsia" w:ascii="宋体" w:hAnsi="宋体" w:cs="宋体"/>
          <w:color w:val="auto"/>
          <w:highlight w:val="none"/>
        </w:rPr>
        <w:t>权</w:t>
      </w:r>
      <w:r>
        <w:rPr>
          <w:rFonts w:hint="eastAsia" w:ascii="宋体" w:hAnsi="宋体" w:cs="宋体"/>
          <w:color w:val="auto"/>
          <w:spacing w:val="-2"/>
          <w:highlight w:val="none"/>
        </w:rPr>
        <w:t>委</w:t>
      </w:r>
      <w:r>
        <w:rPr>
          <w:rFonts w:hint="eastAsia" w:ascii="宋体" w:hAnsi="宋体" w:cs="宋体"/>
          <w:color w:val="auto"/>
          <w:highlight w:val="none"/>
        </w:rPr>
        <w:t>托</w:t>
      </w:r>
      <w:r>
        <w:rPr>
          <w:rFonts w:hint="eastAsia" w:ascii="宋体" w:hAnsi="宋体" w:cs="宋体"/>
          <w:color w:val="auto"/>
          <w:spacing w:val="-2"/>
          <w:highlight w:val="none"/>
        </w:rPr>
        <w:t>书</w:t>
      </w:r>
    </w:p>
    <w:p>
      <w:pPr>
        <w:spacing w:line="360" w:lineRule="auto"/>
        <w:ind w:left="99" w:leftChars="47" w:right="3389" w:firstLine="313" w:firstLineChars="152"/>
        <w:jc w:val="left"/>
        <w:rPr>
          <w:rFonts w:ascii="宋体" w:hAnsi="宋体" w:cs="宋体"/>
          <w:color w:val="auto"/>
          <w:spacing w:val="-2"/>
          <w:highlight w:val="none"/>
        </w:rPr>
      </w:pPr>
      <w:r>
        <w:rPr>
          <w:rFonts w:hint="eastAsia" w:ascii="宋体" w:hAnsi="宋体" w:cs="宋体"/>
          <w:color w:val="auto"/>
          <w:spacing w:val="-2"/>
          <w:highlight w:val="none"/>
        </w:rPr>
        <w:t>（3）投标保证金</w:t>
      </w:r>
    </w:p>
    <w:p>
      <w:pPr>
        <w:spacing w:line="360" w:lineRule="auto"/>
        <w:ind w:left="99" w:leftChars="47" w:right="3389" w:firstLine="313" w:firstLineChars="152"/>
        <w:jc w:val="left"/>
        <w:rPr>
          <w:rFonts w:ascii="宋体" w:hAnsi="宋体" w:cs="宋体"/>
          <w:color w:val="auto"/>
          <w:spacing w:val="-2"/>
          <w:highlight w:val="none"/>
        </w:rPr>
      </w:pPr>
      <w:r>
        <w:rPr>
          <w:rFonts w:hint="eastAsia" w:ascii="宋体" w:hAnsi="宋体" w:cs="宋体"/>
          <w:color w:val="auto"/>
          <w:spacing w:val="-2"/>
          <w:highlight w:val="none"/>
        </w:rPr>
        <w:t>（4）监理报酬清单</w:t>
      </w:r>
    </w:p>
    <w:p>
      <w:pPr>
        <w:spacing w:line="360" w:lineRule="auto"/>
        <w:ind w:left="99" w:leftChars="47" w:right="3389" w:firstLine="313" w:firstLineChars="152"/>
        <w:jc w:val="left"/>
        <w:rPr>
          <w:rFonts w:ascii="宋体" w:hAnsi="宋体" w:cs="宋体"/>
          <w:color w:val="auto"/>
          <w:spacing w:val="-2"/>
          <w:highlight w:val="none"/>
        </w:rPr>
      </w:pPr>
      <w:r>
        <w:rPr>
          <w:rFonts w:hint="eastAsia" w:ascii="宋体" w:hAnsi="宋体" w:cs="宋体"/>
          <w:color w:val="auto"/>
          <w:spacing w:val="-2"/>
          <w:highlight w:val="none"/>
        </w:rPr>
        <w:t>（5）资格审查资料</w:t>
      </w:r>
    </w:p>
    <w:p>
      <w:pPr>
        <w:spacing w:line="360" w:lineRule="auto"/>
        <w:ind w:left="99" w:leftChars="47" w:right="3389" w:firstLine="313" w:firstLineChars="152"/>
        <w:jc w:val="left"/>
        <w:rPr>
          <w:rFonts w:ascii="宋体" w:hAnsi="宋体" w:cs="宋体"/>
          <w:color w:val="auto"/>
          <w:spacing w:val="-2"/>
          <w:highlight w:val="none"/>
        </w:rPr>
      </w:pPr>
      <w:r>
        <w:rPr>
          <w:rFonts w:hint="eastAsia" w:ascii="宋体" w:hAnsi="宋体" w:cs="宋体"/>
          <w:color w:val="auto"/>
          <w:spacing w:val="-2"/>
          <w:highlight w:val="none"/>
        </w:rPr>
        <w:t>（6）监理大纲</w:t>
      </w:r>
    </w:p>
    <w:p>
      <w:pPr>
        <w:spacing w:line="360" w:lineRule="auto"/>
        <w:ind w:left="99" w:leftChars="47" w:right="3389" w:firstLine="313" w:firstLineChars="152"/>
        <w:jc w:val="left"/>
        <w:rPr>
          <w:rFonts w:ascii="宋体" w:hAnsi="宋体" w:cs="宋体"/>
          <w:color w:val="auto"/>
          <w:spacing w:val="-2"/>
          <w:highlight w:val="none"/>
        </w:rPr>
      </w:pPr>
      <w:r>
        <w:rPr>
          <w:rFonts w:hint="eastAsia" w:ascii="宋体" w:hAnsi="宋体" w:cs="宋体"/>
          <w:color w:val="auto"/>
          <w:spacing w:val="-2"/>
          <w:highlight w:val="none"/>
        </w:rPr>
        <w:t>（7）公司简介</w:t>
      </w:r>
    </w:p>
    <w:p>
      <w:pPr>
        <w:spacing w:line="360" w:lineRule="auto"/>
        <w:ind w:left="99" w:leftChars="47" w:right="3389" w:firstLine="313" w:firstLineChars="152"/>
        <w:jc w:val="left"/>
        <w:rPr>
          <w:rFonts w:ascii="宋体" w:hAnsi="宋体" w:cs="宋体"/>
          <w:color w:val="auto"/>
          <w:spacing w:val="-2"/>
          <w:highlight w:val="none"/>
        </w:rPr>
      </w:pPr>
      <w:r>
        <w:rPr>
          <w:rFonts w:hint="eastAsia" w:ascii="宋体" w:hAnsi="宋体" w:cs="宋体"/>
          <w:color w:val="auto"/>
          <w:spacing w:val="-2"/>
          <w:highlight w:val="none"/>
        </w:rPr>
        <w:t>（8）标函承诺书</w:t>
      </w:r>
    </w:p>
    <w:p>
      <w:pPr>
        <w:spacing w:line="360" w:lineRule="auto"/>
        <w:ind w:left="99" w:leftChars="47" w:right="3389" w:firstLine="313" w:firstLineChars="152"/>
        <w:jc w:val="left"/>
        <w:rPr>
          <w:rFonts w:hint="eastAsia" w:eastAsia="宋体"/>
          <w:color w:val="auto"/>
          <w:highlight w:val="none"/>
          <w:lang w:eastAsia="zh-CN"/>
        </w:rPr>
      </w:pPr>
      <w:r>
        <w:rPr>
          <w:rFonts w:hint="eastAsia" w:ascii="宋体" w:hAnsi="宋体" w:cs="宋体"/>
          <w:color w:val="auto"/>
          <w:spacing w:val="-2"/>
          <w:highlight w:val="none"/>
        </w:rPr>
        <w:t>（9）</w:t>
      </w:r>
      <w:r>
        <w:rPr>
          <w:rFonts w:hint="eastAsia" w:ascii="宋体" w:cs="宋体"/>
          <w:color w:val="auto"/>
          <w:spacing w:val="-2"/>
          <w:highlight w:val="none"/>
          <w:lang w:eastAsia="zh-CN"/>
        </w:rPr>
        <w:t>项目总监履约承诺书</w:t>
      </w:r>
    </w:p>
    <w:p>
      <w:pPr>
        <w:spacing w:line="360" w:lineRule="auto"/>
        <w:ind w:left="99" w:leftChars="47" w:right="3389" w:firstLine="313" w:firstLineChars="152"/>
        <w:jc w:val="left"/>
        <w:rPr>
          <w:rFonts w:hint="eastAsia" w:ascii="宋体" w:hAnsi="宋体" w:cs="宋体"/>
          <w:color w:val="auto"/>
          <w:spacing w:val="-2"/>
          <w:highlight w:val="none"/>
        </w:rPr>
      </w:pPr>
      <w:r>
        <w:rPr>
          <w:rFonts w:hint="eastAsia" w:ascii="宋体" w:hAnsi="宋体" w:cs="宋体"/>
          <w:color w:val="auto"/>
          <w:spacing w:val="-2"/>
          <w:highlight w:val="none"/>
        </w:rPr>
        <w:t>（10）</w:t>
      </w:r>
      <w:r>
        <w:rPr>
          <w:rFonts w:hint="eastAsia" w:ascii="宋体" w:hAnsi="宋体" w:cs="宋体"/>
          <w:color w:val="auto"/>
          <w:spacing w:val="-2"/>
          <w:highlight w:val="none"/>
          <w:lang w:val="en-US" w:eastAsia="zh-CN"/>
        </w:rPr>
        <w:t>总监代表履约承诺书</w:t>
      </w:r>
    </w:p>
    <w:p>
      <w:pPr>
        <w:spacing w:line="360" w:lineRule="auto"/>
        <w:ind w:left="99" w:leftChars="47" w:right="3389" w:firstLine="313" w:firstLineChars="152"/>
        <w:jc w:val="left"/>
        <w:rPr>
          <w:rFonts w:ascii="宋体" w:hAnsi="宋体" w:cs="宋体"/>
          <w:color w:val="auto"/>
          <w:spacing w:val="-2"/>
          <w:highlight w:val="none"/>
        </w:rPr>
      </w:pPr>
      <w:r>
        <w:rPr>
          <w:rFonts w:hint="eastAsia" w:ascii="宋体" w:hAnsi="宋体" w:cs="宋体"/>
          <w:color w:val="auto"/>
          <w:spacing w:val="-2"/>
          <w:highlight w:val="none"/>
        </w:rPr>
        <w:t>（11）项目监理机构配备情况</w:t>
      </w:r>
    </w:p>
    <w:p>
      <w:pPr>
        <w:spacing w:line="360" w:lineRule="auto"/>
        <w:ind w:left="99" w:leftChars="47" w:right="3389" w:firstLine="313" w:firstLineChars="152"/>
        <w:jc w:val="left"/>
        <w:rPr>
          <w:rFonts w:ascii="宋体" w:hAnsi="宋体" w:cs="宋体"/>
          <w:color w:val="auto"/>
          <w:spacing w:val="-2"/>
          <w:highlight w:val="none"/>
        </w:rPr>
      </w:pPr>
      <w:r>
        <w:rPr>
          <w:rFonts w:hint="eastAsia" w:ascii="宋体" w:hAnsi="宋体" w:cs="宋体"/>
          <w:color w:val="auto"/>
          <w:spacing w:val="-2"/>
          <w:highlight w:val="none"/>
        </w:rPr>
        <w:t>（1</w:t>
      </w:r>
      <w:r>
        <w:rPr>
          <w:rFonts w:hint="eastAsia" w:ascii="宋体" w:hAnsi="宋体" w:cs="宋体"/>
          <w:color w:val="auto"/>
          <w:spacing w:val="-2"/>
          <w:highlight w:val="none"/>
          <w:lang w:val="en-US" w:eastAsia="zh-CN"/>
        </w:rPr>
        <w:t>2</w:t>
      </w:r>
      <w:r>
        <w:rPr>
          <w:rFonts w:hint="eastAsia" w:ascii="宋体" w:hAnsi="宋体" w:cs="宋体"/>
          <w:color w:val="auto"/>
          <w:spacing w:val="-2"/>
          <w:highlight w:val="none"/>
        </w:rPr>
        <w:t>）拟投入本项目的主要试验检测仪器设备</w:t>
      </w:r>
    </w:p>
    <w:p>
      <w:pPr>
        <w:spacing w:line="359" w:lineRule="auto"/>
        <w:ind w:left="99" w:leftChars="47" w:right="3389" w:firstLine="313" w:firstLineChars="152"/>
        <w:jc w:val="left"/>
        <w:rPr>
          <w:rFonts w:ascii="宋体" w:hAnsi="宋体" w:cs="宋体"/>
          <w:color w:val="auto"/>
          <w:spacing w:val="-2"/>
          <w:highlight w:val="none"/>
        </w:rPr>
      </w:pPr>
      <w:r>
        <w:rPr>
          <w:rFonts w:hint="eastAsia" w:ascii="宋体" w:hAnsi="宋体" w:cs="宋体"/>
          <w:color w:val="auto"/>
          <w:spacing w:val="-2"/>
          <w:highlight w:val="none"/>
        </w:rPr>
        <w:t>（1</w:t>
      </w:r>
      <w:r>
        <w:rPr>
          <w:rFonts w:hint="eastAsia" w:ascii="宋体" w:hAnsi="宋体" w:cs="宋体"/>
          <w:color w:val="auto"/>
          <w:spacing w:val="-2"/>
          <w:highlight w:val="none"/>
          <w:lang w:val="en-US" w:eastAsia="zh-CN"/>
        </w:rPr>
        <w:t>3</w:t>
      </w:r>
      <w:r>
        <w:rPr>
          <w:rFonts w:hint="eastAsia" w:ascii="宋体" w:hAnsi="宋体" w:cs="宋体"/>
          <w:color w:val="auto"/>
          <w:spacing w:val="-2"/>
          <w:highlight w:val="none"/>
        </w:rPr>
        <w:t>）监理项目管理团队人员信息表</w:t>
      </w:r>
    </w:p>
    <w:p>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投标文件的上述组成部分如存在内容不一致的，以投标函为准。</w:t>
      </w:r>
    </w:p>
    <w:p>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3．我方承诺在招标文件规定的投标有效期内不撤销投标文件。</w:t>
      </w:r>
    </w:p>
    <w:p>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4．如我方中标，我方承诺：</w:t>
      </w:r>
    </w:p>
    <w:p>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（1）在收到中标通知书后，在中标通知书规定的期限内与你方签订合同；</w:t>
      </w:r>
    </w:p>
    <w:p>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（2）在签订合同时不向你方提出附加条件；</w:t>
      </w:r>
    </w:p>
    <w:p>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strike w:val="0"/>
          <w:color w:val="auto"/>
          <w:kern w:val="0"/>
          <w:szCs w:val="21"/>
          <w:highlight w:val="none"/>
        </w:rPr>
        <w:t>按照招标文件要求提交履约保证金</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（4）在合同约定的期限内完成合同规定的全部义务。</w:t>
      </w:r>
    </w:p>
    <w:p>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5．我方在此声明，所递交的投标文件及有关资料内容完整、真实和准确，且不存在第二章“投标人须知”第 1.4.3 项规定的任何一种情形。</w:t>
      </w:r>
    </w:p>
    <w:p>
      <w:pPr>
        <w:tabs>
          <w:tab w:val="left" w:pos="6660"/>
        </w:tabs>
        <w:autoSpaceDE w:val="0"/>
        <w:autoSpaceDN w:val="0"/>
        <w:adjustRightInd w:val="0"/>
        <w:spacing w:line="360" w:lineRule="auto"/>
        <w:ind w:firstLine="4200" w:firstLineChars="2000"/>
        <w:jc w:val="left"/>
        <w:rPr>
          <w:rFonts w:ascii="宋体" w:hAnsi="宋体" w:cs="宋体"/>
          <w:color w:val="auto"/>
          <w:kern w:val="0"/>
          <w:szCs w:val="21"/>
          <w:highlight w:val="none"/>
        </w:rPr>
      </w:pPr>
    </w:p>
    <w:p>
      <w:pPr>
        <w:tabs>
          <w:tab w:val="left" w:pos="6660"/>
        </w:tabs>
        <w:autoSpaceDE w:val="0"/>
        <w:autoSpaceDN w:val="0"/>
        <w:adjustRightInd w:val="0"/>
        <w:spacing w:line="360" w:lineRule="auto"/>
        <w:ind w:firstLine="4200" w:firstLineChars="2000"/>
        <w:jc w:val="left"/>
        <w:rPr>
          <w:rFonts w:ascii="宋体" w:hAnsi="宋体" w:cs="宋体"/>
          <w:color w:val="auto"/>
          <w:kern w:val="0"/>
          <w:szCs w:val="21"/>
          <w:highlight w:val="none"/>
        </w:rPr>
      </w:pPr>
    </w:p>
    <w:p>
      <w:pPr>
        <w:tabs>
          <w:tab w:val="left" w:pos="6660"/>
        </w:tabs>
        <w:autoSpaceDE w:val="0"/>
        <w:autoSpaceDN w:val="0"/>
        <w:adjustRightInd w:val="0"/>
        <w:spacing w:line="360" w:lineRule="auto"/>
        <w:ind w:firstLine="4200" w:firstLineChars="2000"/>
        <w:jc w:val="left"/>
        <w:rPr>
          <w:rFonts w:ascii="宋体" w:hAnsi="宋体" w:cs="宋体"/>
          <w:color w:val="auto"/>
          <w:kern w:val="0"/>
          <w:szCs w:val="21"/>
          <w:highlight w:val="none"/>
        </w:rPr>
      </w:pPr>
    </w:p>
    <w:p>
      <w:pPr>
        <w:tabs>
          <w:tab w:val="left" w:pos="6660"/>
        </w:tabs>
        <w:autoSpaceDE w:val="0"/>
        <w:autoSpaceDN w:val="0"/>
        <w:adjustRightInd w:val="0"/>
        <w:spacing w:line="360" w:lineRule="auto"/>
        <w:ind w:firstLine="4200" w:firstLineChars="2000"/>
        <w:jc w:val="left"/>
        <w:rPr>
          <w:rFonts w:ascii="宋体" w:hAnsi="宋体" w:cs="宋体"/>
          <w:color w:val="auto"/>
          <w:kern w:val="0"/>
          <w:szCs w:val="21"/>
          <w:highlight w:val="none"/>
        </w:rPr>
      </w:pPr>
      <w:r>
        <w:rPr>
          <w:rFonts w:hint="eastAsia" w:ascii="宋体" w:hAnsi="宋体" w:cs="宋体"/>
          <w:color w:val="auto"/>
          <w:kern w:val="0"/>
          <w:szCs w:val="21"/>
          <w:highlight w:val="none"/>
        </w:rPr>
        <w:t>投标人名称： （盖单位公章）</w:t>
      </w:r>
    </w:p>
    <w:p>
      <w:pPr>
        <w:autoSpaceDE w:val="0"/>
        <w:autoSpaceDN w:val="0"/>
        <w:adjustRightInd w:val="0"/>
        <w:spacing w:line="360" w:lineRule="auto"/>
        <w:ind w:firstLine="4200" w:firstLineChars="20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单位地址：</w:t>
      </w:r>
    </w:p>
    <w:p>
      <w:pPr>
        <w:autoSpaceDE w:val="0"/>
        <w:autoSpaceDN w:val="0"/>
        <w:adjustRightInd w:val="0"/>
        <w:spacing w:line="360" w:lineRule="auto"/>
        <w:ind w:firstLine="4200" w:firstLineChars="20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法定代表人或其委托代理人：（签字或盖章）</w:t>
      </w:r>
    </w:p>
    <w:p>
      <w:pPr>
        <w:autoSpaceDE w:val="0"/>
        <w:autoSpaceDN w:val="0"/>
        <w:adjustRightInd w:val="0"/>
        <w:spacing w:line="360" w:lineRule="auto"/>
        <w:ind w:firstLine="4200" w:firstLineChars="2000"/>
        <w:jc w:val="left"/>
        <w:rPr>
          <w:rFonts w:ascii="宋体" w:hAnsi="宋体" w:cs="宋体"/>
          <w:color w:val="auto"/>
          <w:kern w:val="0"/>
          <w:szCs w:val="21"/>
          <w:highlight w:val="none"/>
        </w:rPr>
      </w:pPr>
      <w:r>
        <w:rPr>
          <w:rFonts w:hint="eastAsia" w:ascii="宋体" w:hAnsi="宋体" w:cs="宋体"/>
          <w:color w:val="auto"/>
          <w:kern w:val="0"/>
          <w:szCs w:val="21"/>
          <w:highlight w:val="none"/>
        </w:rPr>
        <w:t>邮政编码：</w:t>
      </w:r>
    </w:p>
    <w:p>
      <w:pPr>
        <w:autoSpaceDE w:val="0"/>
        <w:autoSpaceDN w:val="0"/>
        <w:adjustRightInd w:val="0"/>
        <w:spacing w:line="360" w:lineRule="auto"/>
        <w:ind w:firstLine="4200" w:firstLineChars="2000"/>
        <w:jc w:val="left"/>
        <w:rPr>
          <w:rFonts w:ascii="宋体" w:hAnsi="宋体" w:cs="宋体"/>
          <w:color w:val="auto"/>
          <w:kern w:val="0"/>
          <w:szCs w:val="21"/>
          <w:highlight w:val="none"/>
        </w:rPr>
      </w:pPr>
      <w:r>
        <w:rPr>
          <w:rFonts w:hint="eastAsia" w:ascii="宋体" w:hAnsi="宋体" w:cs="宋体"/>
          <w:color w:val="auto"/>
          <w:kern w:val="0"/>
          <w:szCs w:val="21"/>
          <w:highlight w:val="none"/>
        </w:rPr>
        <w:t>电话：</w:t>
      </w:r>
    </w:p>
    <w:p>
      <w:pPr>
        <w:autoSpaceDE w:val="0"/>
        <w:autoSpaceDN w:val="0"/>
        <w:adjustRightInd w:val="0"/>
        <w:spacing w:line="360" w:lineRule="auto"/>
        <w:ind w:firstLine="4200" w:firstLineChars="20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传真：</w:t>
      </w:r>
    </w:p>
    <w:p>
      <w:pPr>
        <w:autoSpaceDE w:val="0"/>
        <w:autoSpaceDN w:val="0"/>
        <w:adjustRightInd w:val="0"/>
        <w:spacing w:line="360" w:lineRule="auto"/>
        <w:ind w:firstLine="4200" w:firstLineChars="20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开户银行名称：</w:t>
      </w:r>
    </w:p>
    <w:p>
      <w:pPr>
        <w:autoSpaceDE w:val="0"/>
        <w:autoSpaceDN w:val="0"/>
        <w:adjustRightInd w:val="0"/>
        <w:spacing w:line="360" w:lineRule="auto"/>
        <w:ind w:firstLine="4200" w:firstLineChars="20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开户银行帐号：</w:t>
      </w:r>
    </w:p>
    <w:p>
      <w:pPr>
        <w:spacing w:line="360" w:lineRule="auto"/>
        <w:ind w:firstLine="4200" w:firstLineChars="2000"/>
        <w:jc w:val="left"/>
        <w:rPr>
          <w:rFonts w:ascii="宋体" w:hAnsi="宋体" w:cs="宋体"/>
          <w:color w:val="auto"/>
          <w:kern w:val="0"/>
          <w:sz w:val="24"/>
          <w:highlight w:val="none"/>
        </w:rPr>
      </w:pPr>
      <w:r>
        <w:rPr>
          <w:rFonts w:hint="eastAsia" w:ascii="宋体" w:hAnsi="宋体" w:cs="宋体"/>
          <w:color w:val="auto"/>
          <w:kern w:val="0"/>
          <w:szCs w:val="21"/>
          <w:highlight w:val="none"/>
        </w:rPr>
        <w:t>日        期：年 月日</w:t>
      </w:r>
    </w:p>
    <w:p>
      <w:pPr>
        <w:spacing w:line="360" w:lineRule="auto"/>
        <w:rPr>
          <w:rFonts w:ascii="宋体" w:hAnsi="宋体" w:cs="宋体"/>
          <w:b/>
          <w:color w:val="auto"/>
          <w:sz w:val="30"/>
          <w:szCs w:val="30"/>
          <w:highlight w:val="none"/>
        </w:rPr>
        <w:sectPr>
          <w:pgSz w:w="11906" w:h="16838"/>
          <w:pgMar w:top="1417" w:right="1417" w:bottom="1417" w:left="1417" w:header="850" w:footer="992" w:gutter="0"/>
          <w:cols w:space="720" w:num="1"/>
          <w:docGrid w:linePitch="312" w:charSpace="0"/>
        </w:sectPr>
      </w:pPr>
    </w:p>
    <w:p>
      <w:pPr>
        <w:pStyle w:val="5"/>
        <w:jc w:val="center"/>
        <w:rPr>
          <w:rFonts w:ascii="宋体" w:hAnsi="宋体" w:cs="宋体"/>
          <w:b w:val="0"/>
          <w:color w:val="auto"/>
          <w:sz w:val="30"/>
          <w:szCs w:val="30"/>
          <w:highlight w:val="none"/>
        </w:rPr>
      </w:pPr>
      <w:bookmarkStart w:id="362" w:name="_Toc10542"/>
      <w:bookmarkStart w:id="363" w:name="_Toc24851"/>
      <w:bookmarkStart w:id="364" w:name="_Toc29486"/>
      <w:bookmarkStart w:id="365" w:name="_Toc514170142"/>
      <w:bookmarkStart w:id="366" w:name="_Toc23223"/>
      <w:bookmarkStart w:id="367" w:name="_Toc26354"/>
      <w:bookmarkStart w:id="368" w:name="_Toc504"/>
      <w:r>
        <w:rPr>
          <w:rFonts w:hint="eastAsia" w:ascii="宋体" w:hAnsi="宋体" w:cs="宋体"/>
          <w:color w:val="auto"/>
          <w:sz w:val="30"/>
          <w:szCs w:val="30"/>
          <w:highlight w:val="none"/>
        </w:rPr>
        <w:t>（二）投标函附录</w:t>
      </w:r>
      <w:bookmarkEnd w:id="362"/>
      <w:bookmarkEnd w:id="363"/>
      <w:bookmarkEnd w:id="364"/>
      <w:bookmarkEnd w:id="365"/>
      <w:bookmarkEnd w:id="366"/>
      <w:bookmarkEnd w:id="367"/>
      <w:bookmarkEnd w:id="368"/>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308"/>
        <w:gridCol w:w="3548"/>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3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35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约定内容</w:t>
            </w:r>
          </w:p>
        </w:tc>
        <w:tc>
          <w:tcPr>
            <w:tcW w:w="164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3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总监理工程师</w:t>
            </w:r>
          </w:p>
        </w:tc>
        <w:tc>
          <w:tcPr>
            <w:tcW w:w="3548"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auto"/>
                <w:szCs w:val="21"/>
                <w:highlight w:val="none"/>
              </w:rPr>
            </w:pPr>
            <w:r>
              <w:rPr>
                <w:rFonts w:hint="eastAsia" w:ascii="宋体" w:hAnsi="宋体" w:cs="宋体"/>
                <w:color w:val="auto"/>
                <w:szCs w:val="21"/>
                <w:highlight w:val="none"/>
              </w:rPr>
              <w:t>姓名：</w:t>
            </w:r>
          </w:p>
          <w:p>
            <w:pPr>
              <w:jc w:val="left"/>
              <w:rPr>
                <w:rFonts w:ascii="宋体" w:hAnsi="宋体" w:cs="宋体"/>
                <w:color w:val="auto"/>
                <w:szCs w:val="21"/>
                <w:highlight w:val="none"/>
              </w:rPr>
            </w:pPr>
            <w:r>
              <w:rPr>
                <w:rFonts w:hint="eastAsia" w:ascii="宋体" w:hAnsi="宋体" w:cs="宋体"/>
                <w:color w:val="auto"/>
                <w:szCs w:val="21"/>
                <w:highlight w:val="none"/>
              </w:rPr>
              <w:t>技术职称：</w:t>
            </w:r>
          </w:p>
          <w:p>
            <w:pPr>
              <w:jc w:val="left"/>
              <w:rPr>
                <w:rFonts w:ascii="宋体" w:hAnsi="宋体" w:cs="宋体"/>
                <w:color w:val="auto"/>
                <w:szCs w:val="21"/>
                <w:highlight w:val="none"/>
              </w:rPr>
            </w:pPr>
            <w:r>
              <w:rPr>
                <w:rFonts w:hint="eastAsia" w:ascii="宋体" w:hAnsi="宋体" w:cs="宋体"/>
                <w:color w:val="auto"/>
                <w:szCs w:val="21"/>
                <w:highlight w:val="none"/>
              </w:rPr>
              <w:t>注册证号：</w:t>
            </w:r>
          </w:p>
        </w:tc>
        <w:tc>
          <w:tcPr>
            <w:tcW w:w="164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3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监理服务期限</w:t>
            </w:r>
          </w:p>
        </w:tc>
        <w:tc>
          <w:tcPr>
            <w:tcW w:w="35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按招标文件要求</w:t>
            </w:r>
          </w:p>
        </w:tc>
        <w:tc>
          <w:tcPr>
            <w:tcW w:w="164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3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合同价款确定方式</w:t>
            </w:r>
          </w:p>
        </w:tc>
        <w:tc>
          <w:tcPr>
            <w:tcW w:w="35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按招标文件要求</w:t>
            </w:r>
          </w:p>
        </w:tc>
        <w:tc>
          <w:tcPr>
            <w:tcW w:w="164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3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35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按招标文件要求</w:t>
            </w:r>
          </w:p>
        </w:tc>
        <w:tc>
          <w:tcPr>
            <w:tcW w:w="164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6" w:type="dxa"/>
            <w:vMerge w:val="restart"/>
            <w:tcBorders>
              <w:top w:val="single" w:color="auto" w:sz="4" w:space="0"/>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308" w:type="dxa"/>
            <w:vMerge w:val="restart"/>
            <w:tcBorders>
              <w:top w:val="single" w:color="auto" w:sz="4" w:space="0"/>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监理报价（含税）</w:t>
            </w:r>
          </w:p>
        </w:tc>
        <w:tc>
          <w:tcPr>
            <w:tcW w:w="3548" w:type="dxa"/>
            <w:tcBorders>
              <w:top w:val="single" w:color="auto" w:sz="4" w:space="0"/>
              <w:left w:val="single" w:color="auto" w:sz="4" w:space="0"/>
              <w:bottom w:val="single" w:color="auto" w:sz="4" w:space="0"/>
              <w:right w:val="single" w:color="auto" w:sz="4" w:space="0"/>
            </w:tcBorders>
            <w:noWrap/>
            <w:vAlign w:val="center"/>
          </w:tcPr>
          <w:p>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投标报价（元）：</w:t>
            </w:r>
            <w:r>
              <w:rPr>
                <w:rFonts w:hint="eastAsia" w:ascii="宋体" w:hAnsi="宋体" w:cs="宋体"/>
                <w:color w:val="auto"/>
                <w:szCs w:val="21"/>
                <w:highlight w:val="none"/>
                <w:u w:val="single"/>
                <w:lang w:val="en-US" w:eastAsia="zh-CN"/>
              </w:rPr>
              <w:t xml:space="preserve">   </w:t>
            </w:r>
          </w:p>
        </w:tc>
        <w:tc>
          <w:tcPr>
            <w:tcW w:w="1644" w:type="dxa"/>
            <w:vMerge w:val="restart"/>
            <w:tcBorders>
              <w:top w:val="single" w:color="auto" w:sz="4" w:space="0"/>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下浮率=|投标</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报价-</w:t>
            </w:r>
            <w:r>
              <w:rPr>
                <w:rFonts w:hint="default" w:ascii="宋体" w:hAnsi="宋体" w:cs="宋体"/>
                <w:color w:val="auto"/>
                <w:szCs w:val="21"/>
                <w:highlight w:val="none"/>
                <w:lang w:val="en-US"/>
              </w:rPr>
              <w:t>监理发包基准价</w:t>
            </w:r>
            <w:r>
              <w:rPr>
                <w:rFonts w:hint="eastAsia" w:ascii="宋体" w:hAnsi="宋体" w:cs="宋体"/>
                <w:color w:val="auto"/>
                <w:szCs w:val="21"/>
                <w:highlight w:val="none"/>
              </w:rPr>
              <w:t>|÷监理发包基准价×100%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6"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2308"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3548"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auto"/>
                <w:szCs w:val="21"/>
                <w:highlight w:val="none"/>
              </w:rPr>
            </w:pPr>
            <w:r>
              <w:rPr>
                <w:rFonts w:hint="eastAsia" w:ascii="宋体" w:hAnsi="宋体" w:cs="宋体"/>
                <w:color w:val="auto"/>
                <w:szCs w:val="21"/>
                <w:highlight w:val="none"/>
              </w:rPr>
              <w:t>下浮率：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tc>
        <w:tc>
          <w:tcPr>
            <w:tcW w:w="1644"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16" w:type="dxa"/>
            <w:tcBorders>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2308" w:type="dxa"/>
            <w:tcBorders>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35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为90日历天（从投标截止之日算起）</w:t>
            </w:r>
          </w:p>
        </w:tc>
        <w:tc>
          <w:tcPr>
            <w:tcW w:w="1644" w:type="dxa"/>
            <w:tcBorders>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r>
    </w:tbl>
    <w:p>
      <w:pPr>
        <w:spacing w:line="480" w:lineRule="exact"/>
        <w:ind w:firstLine="3675" w:firstLineChars="1750"/>
        <w:rPr>
          <w:rFonts w:ascii="宋体" w:hAnsi="宋体" w:cs="宋体"/>
          <w:color w:val="auto"/>
          <w:szCs w:val="21"/>
          <w:highlight w:val="none"/>
        </w:rPr>
      </w:pPr>
    </w:p>
    <w:p>
      <w:pPr>
        <w:spacing w:line="480" w:lineRule="exact"/>
        <w:ind w:firstLine="3675" w:firstLineChars="1750"/>
        <w:rPr>
          <w:rFonts w:ascii="宋体" w:hAnsi="宋体" w:cs="宋体"/>
          <w:color w:val="auto"/>
          <w:szCs w:val="21"/>
          <w:highlight w:val="none"/>
          <w:u w:val="single"/>
        </w:rPr>
      </w:pPr>
      <w:r>
        <w:rPr>
          <w:rFonts w:hint="eastAsia" w:ascii="宋体" w:hAnsi="宋体" w:cs="宋体"/>
          <w:color w:val="auto"/>
          <w:szCs w:val="21"/>
          <w:highlight w:val="none"/>
        </w:rPr>
        <w:t>投标人：（盖单位公章）</w:t>
      </w:r>
    </w:p>
    <w:p>
      <w:pPr>
        <w:tabs>
          <w:tab w:val="left" w:pos="9333"/>
        </w:tabs>
        <w:wordWrap w:val="0"/>
        <w:spacing w:line="480" w:lineRule="exact"/>
        <w:ind w:right="178" w:rightChars="85"/>
        <w:jc w:val="center"/>
        <w:rPr>
          <w:rFonts w:ascii="宋体" w:hAnsi="宋体" w:cs="宋体"/>
          <w:color w:val="auto"/>
          <w:szCs w:val="21"/>
          <w:highlight w:val="none"/>
          <w:u w:val="single"/>
        </w:rPr>
      </w:pPr>
      <w:r>
        <w:rPr>
          <w:rFonts w:hint="eastAsia" w:ascii="宋体" w:hAnsi="宋体" w:cs="宋体"/>
          <w:color w:val="auto"/>
          <w:szCs w:val="21"/>
          <w:highlight w:val="none"/>
        </w:rPr>
        <w:t>法定代表人或委托代理人： （签字或盖章）</w:t>
      </w:r>
    </w:p>
    <w:p>
      <w:pPr>
        <w:spacing w:line="480" w:lineRule="exact"/>
        <w:ind w:firstLine="3675" w:firstLineChars="1750"/>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kern w:val="0"/>
          <w:szCs w:val="21"/>
          <w:highlight w:val="none"/>
        </w:rPr>
        <w:t>年月日</w:t>
      </w:r>
    </w:p>
    <w:p>
      <w:pPr>
        <w:jc w:val="center"/>
        <w:outlineLvl w:val="2"/>
        <w:rPr>
          <w:rFonts w:ascii="宋体" w:hAnsi="宋体" w:cs="宋体"/>
          <w:b/>
          <w:bCs/>
          <w:color w:val="auto"/>
          <w:sz w:val="30"/>
          <w:szCs w:val="30"/>
          <w:highlight w:val="none"/>
        </w:rPr>
      </w:pPr>
      <w:r>
        <w:rPr>
          <w:rFonts w:hint="eastAsia" w:ascii="宋体" w:hAnsi="宋体" w:cs="宋体"/>
          <w:b/>
          <w:color w:val="auto"/>
          <w:sz w:val="30"/>
          <w:szCs w:val="30"/>
          <w:highlight w:val="none"/>
        </w:rPr>
        <w:br w:type="page"/>
      </w:r>
      <w:bookmarkStart w:id="369" w:name="_Toc32367"/>
      <w:bookmarkStart w:id="370" w:name="_Toc26977"/>
      <w:bookmarkStart w:id="371" w:name="_Toc20437"/>
      <w:bookmarkStart w:id="372" w:name="_Toc13009"/>
      <w:bookmarkStart w:id="373" w:name="_Toc9208"/>
      <w:bookmarkStart w:id="374" w:name="_Toc27297"/>
      <w:bookmarkStart w:id="375" w:name="_Toc31636"/>
      <w:bookmarkStart w:id="376" w:name="_Toc9946"/>
      <w:bookmarkStart w:id="377" w:name="_Toc27017"/>
      <w:bookmarkStart w:id="378" w:name="_Toc1201"/>
      <w:bookmarkStart w:id="379" w:name="_Toc12136"/>
      <w:bookmarkStart w:id="380" w:name="_Toc28648"/>
      <w:bookmarkStart w:id="381" w:name="_Toc23311"/>
      <w:bookmarkStart w:id="382" w:name="_Toc14297"/>
      <w:bookmarkStart w:id="383" w:name="_Toc32015"/>
      <w:bookmarkStart w:id="384" w:name="_Toc3506"/>
      <w:bookmarkStart w:id="385" w:name="_Toc2623"/>
      <w:bookmarkStart w:id="386" w:name="_Toc514170143"/>
      <w:bookmarkStart w:id="387" w:name="_Toc25010"/>
      <w:bookmarkStart w:id="388" w:name="_Toc16396"/>
      <w:r>
        <w:rPr>
          <w:rFonts w:hint="eastAsia" w:ascii="宋体" w:hAnsi="宋体" w:cs="宋体"/>
          <w:b/>
          <w:bCs/>
          <w:color w:val="auto"/>
          <w:sz w:val="30"/>
          <w:szCs w:val="30"/>
          <w:highlight w:val="none"/>
        </w:rPr>
        <w:t>二、法定代表人身份证明</w:t>
      </w:r>
      <w:bookmarkEnd w:id="369"/>
      <w:r>
        <w:rPr>
          <w:rFonts w:hint="eastAsia" w:ascii="宋体" w:hAnsi="宋体" w:cs="宋体"/>
          <w:b/>
          <w:bCs/>
          <w:color w:val="auto"/>
          <w:sz w:val="30"/>
          <w:szCs w:val="30"/>
          <w:highlight w:val="none"/>
        </w:rPr>
        <w:t>书</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autoSpaceDE w:val="0"/>
        <w:autoSpaceDN w:val="0"/>
        <w:adjustRightInd w:val="0"/>
        <w:spacing w:line="480" w:lineRule="exact"/>
        <w:rPr>
          <w:rFonts w:ascii="宋体" w:hAnsi="宋体" w:cs="宋体"/>
          <w:color w:val="auto"/>
          <w:kern w:val="0"/>
          <w:sz w:val="32"/>
          <w:highlight w:val="none"/>
        </w:rPr>
      </w:pPr>
    </w:p>
    <w:p>
      <w:pPr>
        <w:autoSpaceDE w:val="0"/>
        <w:autoSpaceDN w:val="0"/>
        <w:adjustRightInd w:val="0"/>
        <w:spacing w:line="400" w:lineRule="exact"/>
        <w:ind w:firstLine="1260" w:firstLineChars="6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投 标 人：</w:t>
      </w:r>
      <w:r>
        <w:rPr>
          <w:rFonts w:hint="eastAsia" w:ascii="宋体" w:hAnsi="宋体" w:cs="宋体"/>
          <w:bCs/>
          <w:color w:val="auto"/>
          <w:kern w:val="0"/>
          <w:szCs w:val="21"/>
          <w:highlight w:val="none"/>
          <w:u w:val="single"/>
        </w:rPr>
        <w:t xml:space="preserve">                                             </w:t>
      </w:r>
    </w:p>
    <w:p>
      <w:pPr>
        <w:autoSpaceDE w:val="0"/>
        <w:autoSpaceDN w:val="0"/>
        <w:adjustRightInd w:val="0"/>
        <w:spacing w:line="400" w:lineRule="exact"/>
        <w:ind w:firstLine="1260" w:firstLineChars="6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姓 名：</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 xml:space="preserve"> 性 别：</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 龄：</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职 务：</w:t>
      </w:r>
      <w:r>
        <w:rPr>
          <w:rFonts w:hint="eastAsia" w:ascii="宋体" w:hAnsi="宋体" w:cs="宋体"/>
          <w:bCs/>
          <w:color w:val="auto"/>
          <w:kern w:val="0"/>
          <w:szCs w:val="21"/>
          <w:highlight w:val="none"/>
          <w:u w:val="single"/>
        </w:rPr>
        <w:t xml:space="preserve">      </w:t>
      </w:r>
    </w:p>
    <w:p>
      <w:pPr>
        <w:autoSpaceDE w:val="0"/>
        <w:autoSpaceDN w:val="0"/>
        <w:adjustRightInd w:val="0"/>
        <w:spacing w:line="400" w:lineRule="exact"/>
        <w:ind w:firstLine="1260" w:firstLineChars="600"/>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系 </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（投标人名称）的法定代表人。</w:t>
      </w:r>
    </w:p>
    <w:p>
      <w:pPr>
        <w:autoSpaceDE w:val="0"/>
        <w:autoSpaceDN w:val="0"/>
        <w:adjustRightInd w:val="0"/>
        <w:spacing w:line="400" w:lineRule="exact"/>
        <w:ind w:firstLine="1260" w:firstLineChars="600"/>
        <w:rPr>
          <w:rFonts w:ascii="宋体" w:hAnsi="宋体" w:cs="宋体"/>
          <w:bCs/>
          <w:color w:val="auto"/>
          <w:kern w:val="0"/>
          <w:szCs w:val="21"/>
          <w:highlight w:val="none"/>
        </w:rPr>
      </w:pPr>
      <w:r>
        <w:rPr>
          <w:rFonts w:hint="eastAsia" w:ascii="宋体" w:hAnsi="宋体" w:cs="宋体"/>
          <w:bCs/>
          <w:color w:val="auto"/>
          <w:kern w:val="0"/>
          <w:szCs w:val="21"/>
          <w:highlight w:val="none"/>
        </w:rPr>
        <w:t>特此证明。</w:t>
      </w:r>
    </w:p>
    <w:p>
      <w:pPr>
        <w:autoSpaceDE w:val="0"/>
        <w:autoSpaceDN w:val="0"/>
        <w:adjustRightInd w:val="0"/>
        <w:spacing w:line="400" w:lineRule="exact"/>
        <w:ind w:firstLine="1274" w:firstLineChars="650"/>
        <w:rPr>
          <w:rFonts w:ascii="宋体" w:hAnsi="宋体" w:cs="宋体"/>
          <w:color w:val="auto"/>
          <w:spacing w:val="-7"/>
          <w:highlight w:val="none"/>
        </w:rPr>
      </w:pPr>
    </w:p>
    <w:p>
      <w:pPr>
        <w:autoSpaceDE w:val="0"/>
        <w:autoSpaceDN w:val="0"/>
        <w:adjustRightInd w:val="0"/>
        <w:spacing w:line="400" w:lineRule="exact"/>
        <w:ind w:firstLine="1274" w:firstLineChars="650"/>
        <w:rPr>
          <w:rFonts w:ascii="宋体" w:hAnsi="宋体" w:cs="宋体"/>
          <w:color w:val="auto"/>
          <w:spacing w:val="-7"/>
          <w:highlight w:val="none"/>
        </w:rPr>
      </w:pPr>
      <w:r>
        <w:rPr>
          <w:rFonts w:hint="eastAsia" w:ascii="宋体" w:hAnsi="宋体" w:cs="宋体"/>
          <w:color w:val="auto"/>
          <w:spacing w:val="-7"/>
          <w:highlight w:val="none"/>
        </w:rPr>
        <w:t>附：法定代表人身份证复印件。</w:t>
      </w:r>
    </w:p>
    <w:p>
      <w:pPr>
        <w:autoSpaceDE w:val="0"/>
        <w:autoSpaceDN w:val="0"/>
        <w:adjustRightInd w:val="0"/>
        <w:spacing w:line="400" w:lineRule="exact"/>
        <w:ind w:firstLine="1274" w:firstLineChars="650"/>
        <w:rPr>
          <w:rFonts w:ascii="宋体" w:hAnsi="宋体" w:cs="宋体"/>
          <w:color w:val="auto"/>
          <w:spacing w:val="-7"/>
          <w:highlight w:val="none"/>
        </w:rPr>
      </w:pPr>
    </w:p>
    <w:p>
      <w:pPr>
        <w:autoSpaceDE w:val="0"/>
        <w:autoSpaceDN w:val="0"/>
        <w:adjustRightInd w:val="0"/>
        <w:spacing w:line="400" w:lineRule="exact"/>
        <w:ind w:firstLine="1274" w:firstLineChars="650"/>
        <w:rPr>
          <w:rFonts w:ascii="宋体" w:hAnsi="宋体" w:cs="宋体"/>
          <w:bCs/>
          <w:color w:val="auto"/>
          <w:kern w:val="0"/>
          <w:szCs w:val="21"/>
          <w:highlight w:val="none"/>
        </w:rPr>
      </w:pPr>
      <w:r>
        <w:rPr>
          <w:rFonts w:hint="eastAsia" w:ascii="宋体" w:hAnsi="宋体" w:cs="宋体"/>
          <w:color w:val="auto"/>
          <w:spacing w:val="-7"/>
          <w:highlight w:val="none"/>
        </w:rPr>
        <w:t>注：本身份证明需由投标人加盖单位公章。</w:t>
      </w:r>
    </w:p>
    <w:p>
      <w:pPr>
        <w:autoSpaceDE w:val="0"/>
        <w:autoSpaceDN w:val="0"/>
        <w:adjustRightInd w:val="0"/>
        <w:spacing w:line="400" w:lineRule="exact"/>
        <w:ind w:firstLine="3360" w:firstLineChars="1600"/>
        <w:rPr>
          <w:rFonts w:ascii="宋体" w:hAnsi="宋体" w:cs="宋体"/>
          <w:bCs/>
          <w:color w:val="auto"/>
          <w:kern w:val="0"/>
          <w:szCs w:val="21"/>
          <w:highlight w:val="none"/>
        </w:rPr>
      </w:pPr>
    </w:p>
    <w:p>
      <w:pPr>
        <w:autoSpaceDE w:val="0"/>
        <w:autoSpaceDN w:val="0"/>
        <w:adjustRightInd w:val="0"/>
        <w:spacing w:line="400" w:lineRule="exact"/>
        <w:ind w:firstLine="3360" w:firstLineChars="1600"/>
        <w:rPr>
          <w:rFonts w:ascii="宋体" w:hAnsi="宋体" w:cs="宋体"/>
          <w:bCs/>
          <w:color w:val="auto"/>
          <w:kern w:val="0"/>
          <w:szCs w:val="21"/>
          <w:highlight w:val="none"/>
        </w:rPr>
      </w:pPr>
    </w:p>
    <w:p>
      <w:pPr>
        <w:autoSpaceDE w:val="0"/>
        <w:autoSpaceDN w:val="0"/>
        <w:adjustRightInd w:val="0"/>
        <w:spacing w:line="400" w:lineRule="exact"/>
        <w:ind w:firstLine="3360" w:firstLineChars="1600"/>
        <w:rPr>
          <w:rFonts w:ascii="宋体" w:hAnsi="宋体" w:cs="宋体"/>
          <w:bCs/>
          <w:color w:val="auto"/>
          <w:kern w:val="0"/>
          <w:szCs w:val="21"/>
          <w:highlight w:val="none"/>
        </w:rPr>
      </w:pPr>
    </w:p>
    <w:p>
      <w:pPr>
        <w:autoSpaceDE w:val="0"/>
        <w:autoSpaceDN w:val="0"/>
        <w:adjustRightInd w:val="0"/>
        <w:spacing w:line="400" w:lineRule="exact"/>
        <w:ind w:firstLine="1365" w:firstLineChars="650"/>
        <w:jc w:val="right"/>
        <w:rPr>
          <w:rFonts w:ascii="宋体" w:hAnsi="宋体" w:cs="宋体"/>
          <w:bCs/>
          <w:color w:val="auto"/>
          <w:kern w:val="0"/>
          <w:szCs w:val="21"/>
          <w:highlight w:val="none"/>
        </w:rPr>
      </w:pPr>
      <w:r>
        <w:rPr>
          <w:rFonts w:hint="eastAsia" w:ascii="宋体" w:hAnsi="宋体" w:cs="宋体"/>
          <w:bCs/>
          <w:color w:val="auto"/>
          <w:kern w:val="0"/>
          <w:szCs w:val="21"/>
          <w:highlight w:val="none"/>
        </w:rPr>
        <w:t>投标人：（盖单位公章）</w:t>
      </w:r>
    </w:p>
    <w:p>
      <w:pPr>
        <w:spacing w:line="480" w:lineRule="exact"/>
        <w:ind w:firstLine="4515" w:firstLineChars="2150"/>
        <w:jc w:val="right"/>
        <w:rPr>
          <w:rFonts w:ascii="宋体" w:hAnsi="宋体" w:cs="宋体"/>
          <w:color w:val="auto"/>
          <w:kern w:val="0"/>
          <w:szCs w:val="21"/>
          <w:highlight w:val="none"/>
        </w:rPr>
      </w:pPr>
      <w:r>
        <w:rPr>
          <w:rFonts w:hint="eastAsia" w:ascii="宋体" w:hAnsi="宋体" w:cs="宋体"/>
          <w:color w:val="auto"/>
          <w:kern w:val="0"/>
          <w:szCs w:val="21"/>
          <w:highlight w:val="none"/>
        </w:rPr>
        <w:t>日期：年月日</w:t>
      </w:r>
    </w:p>
    <w:p>
      <w:pPr>
        <w:rPr>
          <w:rFonts w:ascii="宋体" w:hAnsi="宋体" w:cs="宋体"/>
          <w:b/>
          <w:color w:val="auto"/>
          <w:sz w:val="30"/>
          <w:szCs w:val="30"/>
          <w:highlight w:val="none"/>
        </w:rPr>
      </w:pPr>
    </w:p>
    <w:p>
      <w:pPr>
        <w:jc w:val="center"/>
        <w:rPr>
          <w:rFonts w:ascii="宋体" w:hAnsi="宋体" w:cs="宋体"/>
          <w:b/>
          <w:bCs/>
          <w:color w:val="auto"/>
          <w:sz w:val="30"/>
          <w:szCs w:val="30"/>
          <w:highlight w:val="none"/>
        </w:rPr>
      </w:pPr>
    </w:p>
    <w:p>
      <w:pPr>
        <w:spacing w:after="240" w:line="360" w:lineRule="auto"/>
        <w:ind w:left="3249" w:right="3249"/>
        <w:jc w:val="center"/>
        <w:rPr>
          <w:rFonts w:ascii="宋体" w:hAnsi="宋体" w:cs="宋体"/>
          <w:b/>
          <w:color w:val="auto"/>
          <w:sz w:val="30"/>
          <w:szCs w:val="30"/>
          <w:highlight w:val="none"/>
        </w:rPr>
      </w:pPr>
      <w:r>
        <w:rPr>
          <w:rFonts w:hint="eastAsia" w:ascii="宋体" w:hAnsi="宋体" w:cs="宋体"/>
          <w:b/>
          <w:bCs/>
          <w:color w:val="auto"/>
          <w:sz w:val="30"/>
          <w:szCs w:val="30"/>
          <w:highlight w:val="none"/>
        </w:rPr>
        <w:br w:type="page"/>
      </w:r>
      <w:bookmarkStart w:id="389" w:name="_Toc7629"/>
      <w:bookmarkStart w:id="390" w:name="_Toc16423"/>
      <w:bookmarkStart w:id="391" w:name="_Toc23382"/>
      <w:bookmarkStart w:id="392" w:name="_Toc32660"/>
      <w:r>
        <w:rPr>
          <w:rFonts w:hint="eastAsia" w:ascii="宋体" w:hAnsi="宋体" w:cs="宋体"/>
          <w:b/>
          <w:color w:val="auto"/>
          <w:sz w:val="30"/>
          <w:szCs w:val="30"/>
          <w:highlight w:val="none"/>
        </w:rPr>
        <w:t>授权委托书</w:t>
      </w:r>
    </w:p>
    <w:p>
      <w:pPr>
        <w:tabs>
          <w:tab w:val="left" w:pos="2420"/>
          <w:tab w:val="left" w:pos="5580"/>
        </w:tabs>
        <w:spacing w:line="360" w:lineRule="auto"/>
        <w:ind w:right="-20" w:firstLine="420" w:firstLineChars="20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（姓名）</w:t>
      </w:r>
      <w:r>
        <w:rPr>
          <w:rFonts w:hint="eastAsia" w:ascii="宋体" w:hAnsi="宋体" w:cs="宋体"/>
          <w:color w:val="auto"/>
          <w:highlight w:val="none"/>
        </w:rPr>
        <w:t>系</w:t>
      </w:r>
      <w:r>
        <w:rPr>
          <w:rFonts w:hint="eastAsia" w:ascii="宋体" w:hAnsi="宋体" w:cs="宋体"/>
          <w:color w:val="auto"/>
          <w:highlight w:val="none"/>
          <w:u w:val="single"/>
        </w:rPr>
        <w:t>（投标人名称）</w:t>
      </w:r>
      <w:r>
        <w:rPr>
          <w:rFonts w:hint="eastAsia" w:ascii="宋体" w:hAnsi="宋体" w:cs="宋体"/>
          <w:color w:val="auto"/>
          <w:highlight w:val="none"/>
        </w:rPr>
        <w:t>的法定代表人，现委托</w:t>
      </w:r>
      <w:r>
        <w:rPr>
          <w:rFonts w:hint="eastAsia" w:ascii="宋体" w:hAnsi="宋体" w:cs="宋体"/>
          <w:color w:val="auto"/>
          <w:highlight w:val="none"/>
          <w:u w:val="single"/>
        </w:rPr>
        <w:t>（姓名）</w:t>
      </w:r>
      <w:r>
        <w:rPr>
          <w:rFonts w:hint="eastAsia" w:ascii="宋体" w:hAnsi="宋体" w:cs="宋体"/>
          <w:color w:val="auto"/>
          <w:highlight w:val="none"/>
        </w:rPr>
        <w:t>为我方代理人。代理人根据授权，以我方名义签署、澄清确认、递交、撤回、修改</w:t>
      </w:r>
      <w:r>
        <w:rPr>
          <w:rFonts w:hint="eastAsia" w:ascii="宋体" w:hAnsi="宋体" w:cs="宋体"/>
          <w:color w:val="auto"/>
          <w:kern w:val="0"/>
          <w:szCs w:val="21"/>
          <w:highlight w:val="none"/>
          <w:u w:val="single"/>
          <w:lang w:eastAsia="zh-CN"/>
        </w:rPr>
        <w:t>汽车零部件产业园项目监理</w:t>
      </w:r>
      <w:r>
        <w:rPr>
          <w:rFonts w:hint="eastAsia" w:ascii="宋体" w:hAnsi="宋体" w:cs="宋体"/>
          <w:color w:val="auto"/>
          <w:highlight w:val="none"/>
        </w:rPr>
        <w:t>招标项目投标文件、签订合同和处理有关事宜，其法律后果由我方承担。</w:t>
      </w:r>
    </w:p>
    <w:p>
      <w:pPr>
        <w:tabs>
          <w:tab w:val="left" w:pos="3560"/>
        </w:tabs>
        <w:spacing w:line="360" w:lineRule="auto"/>
        <w:ind w:right="-20" w:firstLine="420" w:firstLineChars="200"/>
        <w:jc w:val="left"/>
        <w:rPr>
          <w:rFonts w:ascii="宋体" w:hAnsi="宋体" w:cs="宋体"/>
          <w:color w:val="auto"/>
          <w:highlight w:val="none"/>
        </w:rPr>
      </w:pPr>
      <w:r>
        <w:rPr>
          <w:rFonts w:hint="eastAsia" w:ascii="宋体" w:hAnsi="宋体" w:cs="宋体"/>
          <w:color w:val="auto"/>
          <w:highlight w:val="none"/>
        </w:rPr>
        <w:t>委托期限：</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360" w:lineRule="auto"/>
        <w:ind w:right="-20" w:firstLine="420" w:firstLineChars="200"/>
        <w:jc w:val="left"/>
        <w:rPr>
          <w:rFonts w:ascii="宋体" w:hAnsi="宋体" w:cs="宋体"/>
          <w:color w:val="auto"/>
          <w:highlight w:val="none"/>
        </w:rPr>
      </w:pPr>
      <w:r>
        <w:rPr>
          <w:rFonts w:hint="eastAsia" w:ascii="宋体" w:hAnsi="宋体" w:cs="宋体"/>
          <w:color w:val="auto"/>
          <w:highlight w:val="none"/>
        </w:rPr>
        <w:t>代理人无转委托权。</w:t>
      </w:r>
    </w:p>
    <w:p>
      <w:pPr>
        <w:spacing w:line="360" w:lineRule="auto"/>
        <w:jc w:val="left"/>
        <w:rPr>
          <w:rFonts w:ascii="宋体" w:hAnsi="宋体" w:cs="宋体"/>
          <w:color w:val="auto"/>
          <w:sz w:val="11"/>
          <w:highlight w:val="none"/>
        </w:rPr>
      </w:pPr>
    </w:p>
    <w:p>
      <w:pPr>
        <w:spacing w:line="360" w:lineRule="auto"/>
        <w:ind w:left="100" w:right="1117"/>
        <w:jc w:val="left"/>
        <w:rPr>
          <w:rFonts w:ascii="宋体" w:hAnsi="宋体" w:cs="宋体"/>
          <w:color w:val="auto"/>
          <w:highlight w:val="none"/>
        </w:rPr>
      </w:pPr>
      <w:r>
        <w:rPr>
          <w:rFonts w:hint="eastAsia" w:ascii="宋体" w:hAnsi="宋体" w:cs="宋体"/>
          <w:color w:val="auto"/>
          <w:highlight w:val="none"/>
        </w:rPr>
        <w:t xml:space="preserve">附：法定代表人身份证复印件及委托代理人身份证复印件 </w:t>
      </w:r>
    </w:p>
    <w:p>
      <w:pPr>
        <w:spacing w:line="360" w:lineRule="auto"/>
        <w:jc w:val="left"/>
        <w:rPr>
          <w:rFonts w:ascii="宋体" w:hAnsi="宋体" w:cs="宋体"/>
          <w:color w:val="auto"/>
          <w:sz w:val="11"/>
          <w:highlight w:val="none"/>
        </w:rPr>
      </w:pPr>
    </w:p>
    <w:p>
      <w:pPr>
        <w:spacing w:line="360" w:lineRule="auto"/>
        <w:ind w:left="100" w:right="-16"/>
        <w:jc w:val="left"/>
        <w:rPr>
          <w:rFonts w:ascii="宋体" w:hAnsi="宋体" w:cs="宋体"/>
          <w:color w:val="auto"/>
          <w:highlight w:val="none"/>
        </w:rPr>
      </w:pPr>
      <w:r>
        <w:rPr>
          <w:rFonts w:hint="eastAsia" w:ascii="宋体" w:hAnsi="宋体" w:cs="宋体"/>
          <w:color w:val="auto"/>
          <w:highlight w:val="none"/>
        </w:rPr>
        <w:t>注：本授权委托书需由投标人加盖单位公章并由其法定代表人和委托代理人签字或盖章。</w:t>
      </w:r>
    </w:p>
    <w:p>
      <w:pPr>
        <w:tabs>
          <w:tab w:val="left" w:pos="3200"/>
          <w:tab w:val="left" w:pos="3620"/>
          <w:tab w:val="left" w:pos="7240"/>
        </w:tabs>
        <w:spacing w:line="337" w:lineRule="exact"/>
        <w:ind w:left="2794" w:right="-20"/>
        <w:jc w:val="left"/>
        <w:rPr>
          <w:rFonts w:ascii="宋体" w:hAnsi="宋体" w:cs="宋体"/>
          <w:color w:val="auto"/>
          <w:highlight w:val="none"/>
        </w:rPr>
      </w:pPr>
    </w:p>
    <w:p>
      <w:pPr>
        <w:tabs>
          <w:tab w:val="left" w:pos="3200"/>
          <w:tab w:val="left" w:pos="3620"/>
          <w:tab w:val="left" w:pos="7240"/>
        </w:tabs>
        <w:spacing w:line="337" w:lineRule="exact"/>
        <w:ind w:left="2794" w:right="-20"/>
        <w:jc w:val="left"/>
        <w:rPr>
          <w:rFonts w:ascii="宋体" w:hAnsi="宋体" w:cs="宋体"/>
          <w:color w:val="auto"/>
          <w:highlight w:val="none"/>
        </w:rPr>
      </w:pPr>
    </w:p>
    <w:p>
      <w:pPr>
        <w:tabs>
          <w:tab w:val="left" w:pos="3200"/>
          <w:tab w:val="left" w:pos="3620"/>
          <w:tab w:val="left" w:pos="7240"/>
        </w:tabs>
        <w:spacing w:line="337" w:lineRule="exact"/>
        <w:ind w:left="2794" w:right="-20"/>
        <w:jc w:val="left"/>
        <w:rPr>
          <w:rFonts w:ascii="宋体" w:hAnsi="宋体" w:cs="宋体"/>
          <w:color w:val="auto"/>
          <w:highlight w:val="none"/>
        </w:rPr>
      </w:pPr>
    </w:p>
    <w:p>
      <w:pPr>
        <w:tabs>
          <w:tab w:val="left" w:pos="3200"/>
          <w:tab w:val="left" w:pos="3620"/>
          <w:tab w:val="left" w:pos="7240"/>
        </w:tabs>
        <w:spacing w:before="72" w:line="360" w:lineRule="auto"/>
        <w:ind w:left="2794" w:right="-20"/>
        <w:jc w:val="left"/>
        <w:rPr>
          <w:rFonts w:ascii="宋体" w:hAnsi="宋体" w:cs="宋体"/>
          <w:color w:val="auto"/>
          <w:szCs w:val="21"/>
          <w:highlight w:val="none"/>
        </w:rPr>
      </w:pPr>
      <w:r>
        <w:rPr>
          <w:rFonts w:hint="eastAsia" w:ascii="宋体" w:hAnsi="宋体" w:cs="宋体"/>
          <w:color w:val="auto"/>
          <w:szCs w:val="21"/>
          <w:highlight w:val="none"/>
        </w:rPr>
        <w:t>投  标  人：（盖单位章）</w:t>
      </w:r>
    </w:p>
    <w:p>
      <w:pPr>
        <w:tabs>
          <w:tab w:val="left" w:pos="3200"/>
          <w:tab w:val="left" w:pos="3620"/>
          <w:tab w:val="left" w:pos="7240"/>
        </w:tabs>
        <w:spacing w:before="72" w:line="360" w:lineRule="auto"/>
        <w:ind w:left="2794" w:right="-20"/>
        <w:jc w:val="left"/>
        <w:rPr>
          <w:rFonts w:ascii="宋体" w:hAnsi="宋体" w:cs="宋体"/>
          <w:color w:val="auto"/>
          <w:szCs w:val="21"/>
          <w:highlight w:val="none"/>
        </w:rPr>
      </w:pPr>
      <w:r>
        <w:rPr>
          <w:rFonts w:hint="eastAsia" w:ascii="宋体" w:hAnsi="宋体" w:cs="宋体"/>
          <w:color w:val="auto"/>
          <w:szCs w:val="21"/>
          <w:highlight w:val="none"/>
        </w:rPr>
        <w:t>法定代表人：（签字或盖章）</w:t>
      </w:r>
    </w:p>
    <w:p>
      <w:pPr>
        <w:tabs>
          <w:tab w:val="left" w:pos="3200"/>
          <w:tab w:val="left" w:pos="3620"/>
          <w:tab w:val="left" w:pos="7240"/>
        </w:tabs>
        <w:spacing w:before="72" w:line="360" w:lineRule="auto"/>
        <w:ind w:left="2794" w:right="-20"/>
        <w:jc w:val="left"/>
        <w:rPr>
          <w:rFonts w:ascii="宋体" w:hAnsi="宋体" w:cs="宋体"/>
          <w:color w:val="auto"/>
          <w:szCs w:val="21"/>
          <w:highlight w:val="none"/>
        </w:rPr>
      </w:pPr>
      <w:r>
        <w:rPr>
          <w:rFonts w:hint="eastAsia" w:ascii="宋体" w:hAnsi="宋体" w:cs="宋体"/>
          <w:color w:val="auto"/>
          <w:szCs w:val="21"/>
          <w:highlight w:val="none"/>
        </w:rPr>
        <w:t>身份证号码：</w:t>
      </w:r>
    </w:p>
    <w:p>
      <w:pPr>
        <w:tabs>
          <w:tab w:val="left" w:pos="3200"/>
          <w:tab w:val="left" w:pos="3620"/>
          <w:tab w:val="left" w:pos="7240"/>
        </w:tabs>
        <w:spacing w:before="72" w:line="360" w:lineRule="auto"/>
        <w:ind w:left="2794" w:right="-20"/>
        <w:jc w:val="left"/>
        <w:rPr>
          <w:rFonts w:ascii="宋体" w:hAnsi="宋体" w:cs="宋体"/>
          <w:color w:val="auto"/>
          <w:szCs w:val="21"/>
          <w:highlight w:val="none"/>
        </w:rPr>
      </w:pPr>
      <w:r>
        <w:rPr>
          <w:rFonts w:hint="eastAsia" w:ascii="宋体" w:hAnsi="宋体" w:cs="宋体"/>
          <w:color w:val="auto"/>
          <w:szCs w:val="21"/>
          <w:highlight w:val="none"/>
        </w:rPr>
        <w:t>委托代理人：（签字或盖章）</w:t>
      </w:r>
    </w:p>
    <w:p>
      <w:pPr>
        <w:tabs>
          <w:tab w:val="left" w:pos="3200"/>
          <w:tab w:val="left" w:pos="3620"/>
          <w:tab w:val="left" w:pos="7240"/>
        </w:tabs>
        <w:spacing w:before="72" w:line="360" w:lineRule="auto"/>
        <w:ind w:left="2794" w:right="-20"/>
        <w:jc w:val="left"/>
        <w:rPr>
          <w:rFonts w:ascii="宋体" w:hAnsi="宋体" w:cs="宋体"/>
          <w:color w:val="auto"/>
          <w:szCs w:val="21"/>
          <w:highlight w:val="none"/>
        </w:rPr>
      </w:pPr>
      <w:r>
        <w:rPr>
          <w:rFonts w:hint="eastAsia" w:ascii="宋体" w:hAnsi="宋体" w:cs="宋体"/>
          <w:color w:val="auto"/>
          <w:szCs w:val="21"/>
          <w:highlight w:val="none"/>
        </w:rPr>
        <w:t>身份证号码：</w:t>
      </w:r>
    </w:p>
    <w:p>
      <w:pPr>
        <w:tabs>
          <w:tab w:val="left" w:pos="3200"/>
          <w:tab w:val="left" w:pos="3620"/>
          <w:tab w:val="left" w:pos="7240"/>
        </w:tabs>
        <w:spacing w:before="72" w:line="360" w:lineRule="auto"/>
        <w:ind w:left="2794" w:right="-20" w:firstLine="420" w:firstLineChars="200"/>
        <w:jc w:val="left"/>
        <w:rPr>
          <w:rFonts w:ascii="宋体" w:hAnsi="宋体" w:cs="宋体"/>
          <w:color w:val="auto"/>
          <w:szCs w:val="21"/>
          <w:highlight w:val="none"/>
        </w:rPr>
      </w:pPr>
      <w:r>
        <w:rPr>
          <w:rFonts w:hint="eastAsia" w:ascii="宋体" w:hAnsi="宋体" w:cs="宋体"/>
          <w:color w:val="auto"/>
          <w:szCs w:val="21"/>
          <w:highlight w:val="none"/>
        </w:rPr>
        <w:t>年月日</w:t>
      </w:r>
    </w:p>
    <w:p>
      <w:pPr>
        <w:tabs>
          <w:tab w:val="left" w:pos="720"/>
          <w:tab w:val="left" w:pos="1680"/>
          <w:tab w:val="left" w:pos="2620"/>
        </w:tabs>
        <w:spacing w:line="295" w:lineRule="exact"/>
        <w:ind w:right="96"/>
        <w:jc w:val="right"/>
        <w:rPr>
          <w:rFonts w:ascii="宋体" w:hAnsi="宋体" w:cs="宋体"/>
          <w:color w:val="auto"/>
          <w:highlight w:val="none"/>
        </w:rPr>
      </w:pPr>
    </w:p>
    <w:bookmarkEnd w:id="389"/>
    <w:bookmarkEnd w:id="390"/>
    <w:bookmarkEnd w:id="391"/>
    <w:bookmarkEnd w:id="392"/>
    <w:p>
      <w:pPr>
        <w:spacing w:line="360" w:lineRule="auto"/>
        <w:rPr>
          <w:rFonts w:ascii="宋体" w:hAnsi="宋体" w:cs="宋体"/>
          <w:color w:val="auto"/>
          <w:kern w:val="0"/>
          <w:szCs w:val="21"/>
          <w:highlight w:val="none"/>
        </w:rPr>
      </w:pPr>
    </w:p>
    <w:p>
      <w:pPr>
        <w:autoSpaceDE w:val="0"/>
        <w:autoSpaceDN w:val="0"/>
        <w:adjustRightInd w:val="0"/>
        <w:spacing w:line="480" w:lineRule="exact"/>
        <w:jc w:val="left"/>
        <w:rPr>
          <w:rFonts w:ascii="宋体" w:hAnsi="宋体" w:cs="宋体"/>
          <w:color w:val="auto"/>
          <w:kern w:val="0"/>
          <w:szCs w:val="21"/>
          <w:highlight w:val="none"/>
        </w:rPr>
      </w:pPr>
    </w:p>
    <w:p>
      <w:pPr>
        <w:spacing w:line="463" w:lineRule="exact"/>
        <w:ind w:left="3090" w:right="3294"/>
        <w:outlineLvl w:val="2"/>
        <w:rPr>
          <w:rFonts w:hint="eastAsia" w:ascii="宋体" w:hAnsi="宋体" w:cs="宋体"/>
          <w:b/>
          <w:bCs/>
          <w:color w:val="auto"/>
          <w:sz w:val="30"/>
          <w:szCs w:val="30"/>
          <w:highlight w:val="none"/>
        </w:rPr>
      </w:pPr>
      <w:r>
        <w:rPr>
          <w:rFonts w:hint="eastAsia" w:ascii="宋体" w:hAnsi="宋体" w:cs="宋体"/>
          <w:color w:val="auto"/>
          <w:sz w:val="30"/>
          <w:szCs w:val="30"/>
          <w:highlight w:val="none"/>
        </w:rPr>
        <w:br w:type="page"/>
      </w:r>
      <w:bookmarkStart w:id="393" w:name="_Toc10891"/>
      <w:bookmarkStart w:id="394" w:name="_Toc17419"/>
      <w:bookmarkStart w:id="395" w:name="_Toc13547"/>
      <w:bookmarkStart w:id="396" w:name="_Toc20557"/>
      <w:bookmarkStart w:id="397" w:name="_Toc23986"/>
      <w:bookmarkStart w:id="398" w:name="_Toc4517"/>
      <w:bookmarkStart w:id="399" w:name="_Toc31307"/>
      <w:bookmarkStart w:id="400" w:name="_Toc15755"/>
      <w:bookmarkStart w:id="401" w:name="_Toc22463"/>
      <w:bookmarkStart w:id="402" w:name="_Toc24821"/>
      <w:bookmarkStart w:id="403" w:name="_Toc21638"/>
      <w:bookmarkStart w:id="404" w:name="_Toc21600"/>
      <w:bookmarkStart w:id="405" w:name="_Toc18701"/>
      <w:r>
        <w:rPr>
          <w:rFonts w:hint="eastAsia" w:ascii="宋体" w:hAnsi="宋体" w:cs="宋体"/>
          <w:b/>
          <w:bCs/>
          <w:color w:val="auto"/>
          <w:sz w:val="30"/>
          <w:szCs w:val="30"/>
          <w:highlight w:val="none"/>
        </w:rPr>
        <w:t>三、投标保证金</w:t>
      </w:r>
      <w:bookmarkEnd w:id="393"/>
      <w:bookmarkEnd w:id="394"/>
      <w:bookmarkEnd w:id="395"/>
      <w:bookmarkEnd w:id="396"/>
      <w:bookmarkEnd w:id="397"/>
      <w:bookmarkEnd w:id="398"/>
      <w:bookmarkEnd w:id="399"/>
      <w:bookmarkEnd w:id="400"/>
      <w:bookmarkEnd w:id="401"/>
      <w:bookmarkEnd w:id="402"/>
      <w:bookmarkEnd w:id="403"/>
      <w:bookmarkEnd w:id="404"/>
      <w:bookmarkEnd w:id="405"/>
    </w:p>
    <w:p>
      <w:pPr>
        <w:rPr>
          <w:rFonts w:ascii="宋体" w:hAnsi="宋体" w:cs="宋体"/>
          <w:color w:val="auto"/>
          <w:highlight w:val="none"/>
        </w:rPr>
      </w:pPr>
    </w:p>
    <w:p>
      <w:pPr>
        <w:spacing w:line="360" w:lineRule="auto"/>
        <w:rPr>
          <w:rFonts w:ascii="宋体" w:hAnsi="宋体" w:cs="宋体"/>
          <w:b/>
          <w:color w:val="auto"/>
          <w:sz w:val="24"/>
          <w:highlight w:val="none"/>
        </w:rPr>
      </w:pPr>
      <w:r>
        <w:rPr>
          <w:rFonts w:hint="eastAsia"/>
          <w:color w:val="auto"/>
          <w:sz w:val="24"/>
          <w:highlight w:val="none"/>
        </w:rPr>
        <w:t>1、如采用现金、支票或汇票形式提交的，由</w:t>
      </w:r>
      <w:r>
        <w:rPr>
          <w:rFonts w:hint="eastAsia" w:ascii="宋体" w:hAnsi="宋体" w:cs="宋体"/>
          <w:color w:val="auto"/>
          <w:sz w:val="24"/>
          <w:highlight w:val="none"/>
        </w:rPr>
        <w:t>广州交易集团有限公司（广州公共资源交易中心）</w:t>
      </w:r>
      <w:r>
        <w:rPr>
          <w:rFonts w:hint="eastAsia"/>
          <w:color w:val="auto"/>
          <w:sz w:val="24"/>
          <w:highlight w:val="none"/>
        </w:rPr>
        <w:t>代收（保证金从投标人基本账户转账至广州公共资源交易中心。）具体操作要求详见</w:t>
      </w:r>
      <w:r>
        <w:rPr>
          <w:rFonts w:hint="eastAsia" w:ascii="宋体" w:hAnsi="宋体" w:cs="宋体"/>
          <w:color w:val="auto"/>
          <w:sz w:val="24"/>
          <w:highlight w:val="none"/>
        </w:rPr>
        <w:t>广州交易集团有限公司（广州公共资源交易中心）</w:t>
      </w:r>
      <w:r>
        <w:rPr>
          <w:rFonts w:hint="eastAsia"/>
          <w:color w:val="auto"/>
          <w:sz w:val="24"/>
          <w:highlight w:val="none"/>
        </w:rPr>
        <w:t>最新的投标保证金缴纳操作流程及有关指引，递交事宜请自行咨询交易中心；请各投标人在投标文件递交截止时间前按上述金额递交至</w:t>
      </w:r>
      <w:r>
        <w:rPr>
          <w:rFonts w:hint="eastAsia" w:ascii="宋体" w:hAnsi="宋体" w:cs="宋体"/>
          <w:color w:val="auto"/>
          <w:sz w:val="24"/>
          <w:highlight w:val="none"/>
        </w:rPr>
        <w:t>广州交易集团有限公司（广州公共资源交易中心）</w:t>
      </w:r>
      <w:r>
        <w:rPr>
          <w:rFonts w:hint="eastAsia"/>
          <w:color w:val="auto"/>
          <w:sz w:val="24"/>
          <w:highlight w:val="none"/>
        </w:rPr>
        <w:t>，到账情况以开标时</w:t>
      </w:r>
      <w:r>
        <w:rPr>
          <w:rFonts w:hint="eastAsia" w:ascii="宋体" w:hAnsi="宋体" w:cs="宋体"/>
          <w:color w:val="auto"/>
          <w:sz w:val="24"/>
          <w:highlight w:val="none"/>
        </w:rPr>
        <w:t>广州交易集团有限公司（广州公共资源交易中心）</w:t>
      </w:r>
      <w:r>
        <w:rPr>
          <w:rFonts w:hint="eastAsia"/>
          <w:color w:val="auto"/>
          <w:sz w:val="24"/>
          <w:highlight w:val="none"/>
        </w:rPr>
        <w:t>数据库查询的信息为准。</w:t>
      </w:r>
      <w:r>
        <w:rPr>
          <w:rFonts w:hint="eastAsia" w:ascii="宋体" w:hAnsi="宋体" w:cs="宋体"/>
          <w:b/>
          <w:color w:val="auto"/>
          <w:sz w:val="24"/>
          <w:highlight w:val="none"/>
        </w:rPr>
        <w:t>（</w:t>
      </w:r>
      <w:r>
        <w:rPr>
          <w:rFonts w:hint="eastAsia" w:ascii="宋体" w:hAnsi="宋体" w:cs="宋体"/>
          <w:b/>
          <w:color w:val="auto"/>
          <w:highlight w:val="none"/>
        </w:rPr>
        <w:t>在此提供经广州交易集团有限公司（广州公共资源交易中心）确认的保证金回执扫描件。</w:t>
      </w:r>
      <w:r>
        <w:rPr>
          <w:rFonts w:hint="eastAsia" w:ascii="宋体" w:hAnsi="宋体" w:cs="宋体"/>
          <w:b/>
          <w:color w:val="auto"/>
          <w:sz w:val="24"/>
          <w:highlight w:val="none"/>
        </w:rPr>
        <w:t>）</w:t>
      </w:r>
    </w:p>
    <w:p>
      <w:pPr>
        <w:widowControl/>
        <w:adjustRightInd w:val="0"/>
        <w:snapToGrid w:val="0"/>
        <w:spacing w:line="360" w:lineRule="auto"/>
        <w:rPr>
          <w:color w:val="auto"/>
          <w:sz w:val="24"/>
          <w:highlight w:val="none"/>
        </w:rPr>
      </w:pPr>
      <w:r>
        <w:rPr>
          <w:rFonts w:hint="eastAsia"/>
          <w:color w:val="auto"/>
          <w:sz w:val="24"/>
          <w:highlight w:val="none"/>
        </w:rPr>
        <w:t>2、如采用非电子形式的投标保函或投标保证保险【银行保函或保险需开具给招标人（受益人也必须是招标人）。】提交投标保证金的，在开标前不强制要求投标人提交纸质原件，由中标候选人在中标候选人公示前提交并在网上公示，投标人应在投标文件中提交投标保函或投标保证保险扫描件并加盖投标人</w:t>
      </w:r>
      <w:r>
        <w:rPr>
          <w:rFonts w:hint="eastAsia" w:ascii="宋体" w:hAnsi="宋体" w:cs="宋体"/>
          <w:bCs/>
          <w:color w:val="auto"/>
          <w:kern w:val="0"/>
          <w:sz w:val="24"/>
          <w:highlight w:val="none"/>
        </w:rPr>
        <w:t>电子印章</w:t>
      </w:r>
      <w:r>
        <w:rPr>
          <w:rFonts w:hint="eastAsia"/>
          <w:color w:val="auto"/>
          <w:sz w:val="24"/>
          <w:highlight w:val="none"/>
        </w:rPr>
        <w:t>。</w:t>
      </w:r>
    </w:p>
    <w:p>
      <w:pPr>
        <w:spacing w:line="360" w:lineRule="auto"/>
        <w:rPr>
          <w:rFonts w:ascii="宋体" w:hAnsi="宋体" w:cs="宋体"/>
          <w:b/>
          <w:color w:val="auto"/>
          <w:sz w:val="24"/>
          <w:highlight w:val="none"/>
        </w:rPr>
      </w:pPr>
      <w:r>
        <w:rPr>
          <w:rFonts w:hint="eastAsia"/>
          <w:color w:val="auto"/>
          <w:sz w:val="24"/>
          <w:highlight w:val="none"/>
        </w:rPr>
        <w:t>纸质保函或保险等凭证纸质原件也可在投标截止时间前将原件单独密封（封口处加盖投标人单位公章）递交至开标室。递交纸质保函或保险等凭证纸质原件时需提供法定代表人证明书；委托投标的还应提供法人授权委托证明书。</w:t>
      </w:r>
      <w:r>
        <w:rPr>
          <w:rFonts w:hint="eastAsia" w:ascii="宋体" w:hAnsi="宋体" w:cs="宋体"/>
          <w:b/>
          <w:color w:val="auto"/>
          <w:sz w:val="24"/>
          <w:highlight w:val="none"/>
        </w:rPr>
        <w:t>（</w:t>
      </w:r>
      <w:r>
        <w:rPr>
          <w:rFonts w:hint="eastAsia" w:ascii="宋体" w:hAnsi="宋体" w:cs="宋体"/>
          <w:b/>
          <w:color w:val="auto"/>
          <w:highlight w:val="none"/>
        </w:rPr>
        <w:t>在此提供保函或保险</w:t>
      </w:r>
      <w:r>
        <w:rPr>
          <w:rFonts w:hint="eastAsia" w:ascii="宋体" w:hAnsi="宋体" w:cs="宋体"/>
          <w:b/>
          <w:color w:val="auto"/>
          <w:szCs w:val="21"/>
          <w:highlight w:val="none"/>
        </w:rPr>
        <w:t>等能够实现保证目的的资料扫描件</w:t>
      </w:r>
      <w:r>
        <w:rPr>
          <w:rFonts w:hint="eastAsia" w:ascii="宋体" w:hAnsi="宋体" w:cs="宋体"/>
          <w:b/>
          <w:color w:val="auto"/>
          <w:sz w:val="24"/>
          <w:highlight w:val="none"/>
        </w:rPr>
        <w:t>）</w:t>
      </w:r>
    </w:p>
    <w:p>
      <w:pPr>
        <w:widowControl/>
        <w:adjustRightInd w:val="0"/>
        <w:snapToGrid w:val="0"/>
        <w:spacing w:line="360" w:lineRule="auto"/>
        <w:rPr>
          <w:color w:val="auto"/>
          <w:sz w:val="24"/>
          <w:highlight w:val="none"/>
        </w:rPr>
      </w:pPr>
      <w:r>
        <w:rPr>
          <w:rFonts w:hint="eastAsia"/>
          <w:color w:val="auto"/>
          <w:sz w:val="24"/>
          <w:highlight w:val="none"/>
        </w:rPr>
        <w:t>3、采用电子保函提交投标保证金的，具体操作要求详见</w:t>
      </w:r>
      <w:r>
        <w:rPr>
          <w:rFonts w:hint="eastAsia" w:ascii="宋体" w:hAnsi="宋体" w:cs="宋体"/>
          <w:color w:val="auto"/>
          <w:sz w:val="24"/>
          <w:highlight w:val="none"/>
        </w:rPr>
        <w:t>广州交易集团有限公司（广州公共资源交易中心）</w:t>
      </w:r>
      <w:r>
        <w:rPr>
          <w:rFonts w:hint="eastAsia"/>
          <w:color w:val="auto"/>
          <w:sz w:val="24"/>
          <w:highlight w:val="none"/>
        </w:rPr>
        <w:t>有关指引，递交事宜请自行咨询交易中心。</w:t>
      </w:r>
    </w:p>
    <w:p>
      <w:pPr>
        <w:spacing w:line="360" w:lineRule="auto"/>
        <w:rPr>
          <w:rFonts w:ascii="宋体" w:hAnsi="宋体" w:cs="宋体"/>
          <w:color w:val="auto"/>
          <w:sz w:val="30"/>
          <w:szCs w:val="30"/>
          <w:highlight w:val="none"/>
        </w:rPr>
      </w:pPr>
      <w:r>
        <w:rPr>
          <w:rFonts w:hint="eastAsia" w:ascii="宋体" w:hAnsi="宋体" w:cs="宋体"/>
          <w:color w:val="auto"/>
          <w:sz w:val="24"/>
          <w:highlight w:val="none"/>
        </w:rPr>
        <w:t>（详见本招标文件第二章投标人须知前附表3.4.1）</w:t>
      </w:r>
      <w:bookmarkStart w:id="406" w:name="_Toc14901"/>
      <w:bookmarkStart w:id="407" w:name="_Toc11833"/>
      <w:bookmarkStart w:id="408" w:name="_Toc499812033"/>
      <w:bookmarkStart w:id="409" w:name="_Toc1357"/>
      <w:bookmarkStart w:id="410" w:name="_Toc13348"/>
    </w:p>
    <w:p>
      <w:pPr>
        <w:jc w:val="center"/>
        <w:outlineLvl w:val="2"/>
        <w:rPr>
          <w:rFonts w:ascii="宋体" w:hAnsi="宋体" w:cs="宋体"/>
          <w:b/>
          <w:bCs/>
          <w:color w:val="auto"/>
          <w:sz w:val="30"/>
          <w:szCs w:val="30"/>
          <w:highlight w:val="none"/>
        </w:rPr>
      </w:pPr>
      <w:bookmarkStart w:id="411" w:name="_Toc8642"/>
      <w:bookmarkStart w:id="412" w:name="_Toc29899"/>
      <w:bookmarkStart w:id="413" w:name="_Toc32193"/>
      <w:bookmarkStart w:id="414" w:name="_Toc21554"/>
      <w:bookmarkStart w:id="415" w:name="_Toc6334"/>
      <w:bookmarkStart w:id="416" w:name="_Toc8427"/>
      <w:bookmarkStart w:id="417" w:name="_Toc3019"/>
      <w:bookmarkStart w:id="418" w:name="_Toc26331"/>
      <w:bookmarkStart w:id="419" w:name="_Toc27651"/>
      <w:bookmarkStart w:id="420" w:name="_Toc28503"/>
      <w:bookmarkStart w:id="421" w:name="_Toc7726"/>
      <w:r>
        <w:rPr>
          <w:rFonts w:hint="eastAsia" w:ascii="宋体" w:hAnsi="宋体" w:cs="宋体"/>
          <w:b/>
          <w:bCs/>
          <w:color w:val="auto"/>
          <w:sz w:val="30"/>
          <w:szCs w:val="30"/>
          <w:highlight w:val="none"/>
        </w:rPr>
        <w:br w:type="page"/>
      </w:r>
      <w:bookmarkStart w:id="422" w:name="_Toc27874"/>
      <w:bookmarkStart w:id="423" w:name="_Toc10302"/>
      <w:r>
        <w:rPr>
          <w:rFonts w:hint="eastAsia" w:ascii="宋体" w:hAnsi="宋体" w:cs="宋体"/>
          <w:b/>
          <w:bCs/>
          <w:color w:val="auto"/>
          <w:sz w:val="30"/>
          <w:szCs w:val="30"/>
          <w:highlight w:val="none"/>
        </w:rPr>
        <w:t>四、监理报酬清单</w:t>
      </w:r>
      <w:bookmarkEnd w:id="422"/>
      <w:bookmarkEnd w:id="423"/>
    </w:p>
    <w:p>
      <w:pPr>
        <w:rPr>
          <w:rFonts w:ascii="宋体" w:hAnsi="宋体" w:cs="宋体"/>
          <w:color w:val="auto"/>
          <w:szCs w:val="21"/>
          <w:highlight w:val="none"/>
        </w:rPr>
      </w:pPr>
      <w:r>
        <w:rPr>
          <w:rFonts w:hint="eastAsia" w:ascii="宋体" w:hAnsi="宋体" w:cs="宋体"/>
          <w:color w:val="auto"/>
          <w:szCs w:val="21"/>
          <w:highlight w:val="none"/>
        </w:rPr>
        <w:t>1.监理报酬清单说明</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2.监理报酬清单</w:t>
      </w:r>
    </w:p>
    <w:p>
      <w:pPr>
        <w:jc w:val="right"/>
        <w:rPr>
          <w:rFonts w:ascii="宋体" w:hAnsi="宋体" w:cs="宋体"/>
          <w:bCs/>
          <w:color w:val="auto"/>
          <w:sz w:val="24"/>
          <w:highlight w:val="none"/>
        </w:rPr>
      </w:pPr>
      <w:r>
        <w:rPr>
          <w:rFonts w:hint="eastAsia" w:ascii="宋体" w:hAnsi="宋体" w:cs="宋体"/>
          <w:bCs/>
          <w:color w:val="auto"/>
          <w:sz w:val="24"/>
          <w:highlight w:val="none"/>
        </w:rPr>
        <w:t>单位：人民币元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827"/>
        <w:gridCol w:w="184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5"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127"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监理报酬分项名称</w:t>
            </w:r>
          </w:p>
        </w:tc>
        <w:tc>
          <w:tcPr>
            <w:tcW w:w="3827"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计算依据、过程和公式</w:t>
            </w:r>
          </w:p>
        </w:tc>
        <w:tc>
          <w:tcPr>
            <w:tcW w:w="1843"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金额（元）</w:t>
            </w:r>
          </w:p>
        </w:tc>
        <w:tc>
          <w:tcPr>
            <w:tcW w:w="1383"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2127" w:type="dxa"/>
            <w:noWrap/>
            <w:vAlign w:val="top"/>
          </w:tcPr>
          <w:p>
            <w:pPr>
              <w:rPr>
                <w:rFonts w:ascii="宋体" w:hAnsi="宋体" w:cs="宋体"/>
                <w:b/>
                <w:color w:val="auto"/>
                <w:szCs w:val="21"/>
                <w:highlight w:val="none"/>
              </w:rPr>
            </w:pPr>
          </w:p>
        </w:tc>
        <w:tc>
          <w:tcPr>
            <w:tcW w:w="3827" w:type="dxa"/>
            <w:noWrap/>
            <w:vAlign w:val="top"/>
          </w:tcPr>
          <w:p>
            <w:pPr>
              <w:rPr>
                <w:rFonts w:ascii="宋体" w:hAnsi="宋体" w:cs="宋体"/>
                <w:b/>
                <w:color w:val="auto"/>
                <w:szCs w:val="21"/>
                <w:highlight w:val="none"/>
              </w:rPr>
            </w:pPr>
          </w:p>
        </w:tc>
        <w:tc>
          <w:tcPr>
            <w:tcW w:w="1843" w:type="dxa"/>
            <w:noWrap/>
            <w:vAlign w:val="center"/>
          </w:tcPr>
          <w:p>
            <w:pPr>
              <w:rPr>
                <w:rFonts w:ascii="宋体" w:hAnsi="宋体" w:cs="宋体"/>
                <w:b/>
                <w:color w:val="auto"/>
                <w:szCs w:val="21"/>
                <w:highlight w:val="none"/>
              </w:rPr>
            </w:pPr>
          </w:p>
        </w:tc>
        <w:tc>
          <w:tcPr>
            <w:tcW w:w="1383" w:type="dxa"/>
            <w:noWrap/>
            <w:vAlign w:val="center"/>
          </w:tcPr>
          <w:p>
            <w:pPr>
              <w:rPr>
                <w:rFonts w:ascii="宋体" w:hAnsi="宋体" w:cs="宋体"/>
                <w:b/>
                <w:color w:val="auto"/>
                <w:szCs w:val="21"/>
                <w:highlight w:val="none"/>
                <w:u w:val="single"/>
              </w:rPr>
            </w:pPr>
            <w:r>
              <w:rPr>
                <w:rFonts w:hint="eastAsia" w:ascii="宋体" w:hAnsi="宋体" w:cs="宋体"/>
                <w:b/>
                <w:color w:val="auto"/>
                <w:szCs w:val="21"/>
                <w:highlight w:val="none"/>
                <w:u w:val="singl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2127" w:type="dxa"/>
            <w:noWrap/>
            <w:vAlign w:val="top"/>
          </w:tcPr>
          <w:p>
            <w:pPr>
              <w:rPr>
                <w:rFonts w:ascii="宋体" w:hAnsi="宋体" w:cs="宋体"/>
                <w:b/>
                <w:color w:val="auto"/>
                <w:szCs w:val="21"/>
                <w:highlight w:val="none"/>
              </w:rPr>
            </w:pPr>
          </w:p>
        </w:tc>
        <w:tc>
          <w:tcPr>
            <w:tcW w:w="3827" w:type="dxa"/>
            <w:noWrap/>
            <w:vAlign w:val="top"/>
          </w:tcPr>
          <w:p>
            <w:pPr>
              <w:rPr>
                <w:rFonts w:ascii="宋体" w:hAnsi="宋体" w:cs="宋体"/>
                <w:b/>
                <w:color w:val="auto"/>
                <w:szCs w:val="21"/>
                <w:highlight w:val="none"/>
              </w:rPr>
            </w:pPr>
          </w:p>
        </w:tc>
        <w:tc>
          <w:tcPr>
            <w:tcW w:w="1843" w:type="dxa"/>
            <w:noWrap/>
            <w:vAlign w:val="center"/>
          </w:tcPr>
          <w:p>
            <w:pPr>
              <w:rPr>
                <w:rFonts w:ascii="宋体" w:hAnsi="宋体" w:cs="宋体"/>
                <w:b/>
                <w:color w:val="auto"/>
                <w:szCs w:val="21"/>
                <w:highlight w:val="none"/>
              </w:rPr>
            </w:pPr>
          </w:p>
        </w:tc>
        <w:tc>
          <w:tcPr>
            <w:tcW w:w="1383" w:type="dxa"/>
            <w:noWrap/>
            <w:vAlign w:val="center"/>
          </w:tcPr>
          <w:p>
            <w:pPr>
              <w:rPr>
                <w:rFonts w:ascii="宋体" w:hAnsi="宋体" w:cs="宋体"/>
                <w:b/>
                <w:color w:val="auto"/>
                <w:szCs w:val="21"/>
                <w:highlight w:val="none"/>
                <w:u w:val="single"/>
              </w:rPr>
            </w:pPr>
            <w:r>
              <w:rPr>
                <w:rFonts w:hint="eastAsia" w:ascii="宋体" w:hAnsi="宋体" w:cs="宋体"/>
                <w:b/>
                <w:color w:val="auto"/>
                <w:szCs w:val="21"/>
                <w:highlight w:val="none"/>
                <w:u w:val="singl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2127" w:type="dxa"/>
            <w:noWrap/>
            <w:vAlign w:val="top"/>
          </w:tcPr>
          <w:p>
            <w:pPr>
              <w:rPr>
                <w:rFonts w:ascii="宋体" w:hAnsi="宋体" w:cs="宋体"/>
                <w:b/>
                <w:color w:val="auto"/>
                <w:szCs w:val="21"/>
                <w:highlight w:val="none"/>
              </w:rPr>
            </w:pPr>
          </w:p>
        </w:tc>
        <w:tc>
          <w:tcPr>
            <w:tcW w:w="3827" w:type="dxa"/>
            <w:noWrap/>
            <w:vAlign w:val="top"/>
          </w:tcPr>
          <w:p>
            <w:pPr>
              <w:rPr>
                <w:rFonts w:ascii="宋体" w:hAnsi="宋体" w:cs="宋体"/>
                <w:b/>
                <w:color w:val="auto"/>
                <w:szCs w:val="21"/>
                <w:highlight w:val="none"/>
              </w:rPr>
            </w:pPr>
          </w:p>
        </w:tc>
        <w:tc>
          <w:tcPr>
            <w:tcW w:w="1843" w:type="dxa"/>
            <w:noWrap/>
            <w:vAlign w:val="center"/>
          </w:tcPr>
          <w:p>
            <w:pPr>
              <w:rPr>
                <w:rFonts w:ascii="宋体" w:hAnsi="宋体" w:cs="宋体"/>
                <w:b/>
                <w:color w:val="auto"/>
                <w:szCs w:val="21"/>
                <w:highlight w:val="none"/>
              </w:rPr>
            </w:pPr>
          </w:p>
        </w:tc>
        <w:tc>
          <w:tcPr>
            <w:tcW w:w="1383" w:type="dxa"/>
            <w:noWrap/>
            <w:vAlign w:val="center"/>
          </w:tcPr>
          <w:p>
            <w:pPr>
              <w:rPr>
                <w:rFonts w:ascii="宋体" w:hAnsi="宋体" w:cs="宋体"/>
                <w:b/>
                <w:color w:val="auto"/>
                <w:szCs w:val="21"/>
                <w:highlight w:val="none"/>
                <w:u w:val="single"/>
              </w:rPr>
            </w:pPr>
            <w:r>
              <w:rPr>
                <w:rFonts w:hint="eastAsia" w:ascii="宋体" w:hAnsi="宋体" w:cs="宋体"/>
                <w:b/>
                <w:color w:val="auto"/>
                <w:szCs w:val="21"/>
                <w:highlight w:val="none"/>
                <w:u w:val="singl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2127" w:type="dxa"/>
            <w:noWrap/>
            <w:vAlign w:val="top"/>
          </w:tcPr>
          <w:p>
            <w:pPr>
              <w:rPr>
                <w:rFonts w:ascii="宋体" w:hAnsi="宋体" w:cs="宋体"/>
                <w:b/>
                <w:color w:val="auto"/>
                <w:szCs w:val="21"/>
                <w:highlight w:val="none"/>
              </w:rPr>
            </w:pPr>
          </w:p>
        </w:tc>
        <w:tc>
          <w:tcPr>
            <w:tcW w:w="3827" w:type="dxa"/>
            <w:noWrap/>
            <w:vAlign w:val="top"/>
          </w:tcPr>
          <w:p>
            <w:pPr>
              <w:rPr>
                <w:rFonts w:ascii="宋体" w:hAnsi="宋体" w:cs="宋体"/>
                <w:b/>
                <w:color w:val="auto"/>
                <w:szCs w:val="21"/>
                <w:highlight w:val="none"/>
              </w:rPr>
            </w:pPr>
          </w:p>
        </w:tc>
        <w:tc>
          <w:tcPr>
            <w:tcW w:w="1843" w:type="dxa"/>
            <w:noWrap/>
            <w:vAlign w:val="center"/>
          </w:tcPr>
          <w:p>
            <w:pPr>
              <w:rPr>
                <w:rFonts w:ascii="宋体" w:hAnsi="宋体" w:cs="宋体"/>
                <w:b/>
                <w:color w:val="auto"/>
                <w:szCs w:val="21"/>
                <w:highlight w:val="none"/>
              </w:rPr>
            </w:pPr>
          </w:p>
        </w:tc>
        <w:tc>
          <w:tcPr>
            <w:tcW w:w="1383" w:type="dxa"/>
            <w:noWrap/>
            <w:vAlign w:val="center"/>
          </w:tcPr>
          <w:p>
            <w:pPr>
              <w:rPr>
                <w:rFonts w:ascii="宋体" w:hAnsi="宋体" w:cs="宋体"/>
                <w:b/>
                <w:color w:val="auto"/>
                <w:szCs w:val="21"/>
                <w:highlight w:val="none"/>
                <w:u w:val="single"/>
              </w:rPr>
            </w:pPr>
            <w:r>
              <w:rPr>
                <w:rFonts w:hint="eastAsia" w:ascii="宋体" w:hAnsi="宋体" w:cs="宋体"/>
                <w:b/>
                <w:color w:val="auto"/>
                <w:szCs w:val="21"/>
                <w:highlight w:val="none"/>
                <w:u w:val="singl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2127" w:type="dxa"/>
            <w:noWrap/>
            <w:vAlign w:val="top"/>
          </w:tcPr>
          <w:p>
            <w:pPr>
              <w:rPr>
                <w:rFonts w:ascii="宋体" w:hAnsi="宋体" w:cs="宋体"/>
                <w:b/>
                <w:color w:val="auto"/>
                <w:szCs w:val="21"/>
                <w:highlight w:val="none"/>
              </w:rPr>
            </w:pPr>
          </w:p>
        </w:tc>
        <w:tc>
          <w:tcPr>
            <w:tcW w:w="3827" w:type="dxa"/>
            <w:noWrap/>
            <w:vAlign w:val="top"/>
          </w:tcPr>
          <w:p>
            <w:pPr>
              <w:rPr>
                <w:rFonts w:ascii="宋体" w:hAnsi="宋体" w:cs="宋体"/>
                <w:b/>
                <w:color w:val="auto"/>
                <w:szCs w:val="21"/>
                <w:highlight w:val="none"/>
              </w:rPr>
            </w:pPr>
          </w:p>
        </w:tc>
        <w:tc>
          <w:tcPr>
            <w:tcW w:w="1843" w:type="dxa"/>
            <w:noWrap/>
            <w:vAlign w:val="center"/>
          </w:tcPr>
          <w:p>
            <w:pPr>
              <w:rPr>
                <w:rFonts w:ascii="宋体" w:hAnsi="宋体" w:cs="宋体"/>
                <w:b/>
                <w:color w:val="auto"/>
                <w:szCs w:val="21"/>
                <w:highlight w:val="none"/>
              </w:rPr>
            </w:pPr>
          </w:p>
        </w:tc>
        <w:tc>
          <w:tcPr>
            <w:tcW w:w="1383" w:type="dxa"/>
            <w:noWrap/>
            <w:vAlign w:val="center"/>
          </w:tcPr>
          <w:p>
            <w:pPr>
              <w:rPr>
                <w:rFonts w:ascii="宋体" w:hAnsi="宋体" w:cs="宋体"/>
                <w:b/>
                <w:color w:val="auto"/>
                <w:szCs w:val="21"/>
                <w:highlight w:val="none"/>
                <w:u w:val="single"/>
              </w:rPr>
            </w:pPr>
            <w:r>
              <w:rPr>
                <w:rFonts w:hint="eastAsia" w:ascii="宋体" w:hAnsi="宋体" w:cs="宋体"/>
                <w:b/>
                <w:color w:val="auto"/>
                <w:szCs w:val="21"/>
                <w:highlight w:val="none"/>
                <w:u w:val="singl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ign w:val="center"/>
          </w:tcPr>
          <w:p>
            <w:pPr>
              <w:rPr>
                <w:rFonts w:ascii="宋体" w:hAnsi="宋体" w:cs="宋体"/>
                <w:b/>
                <w:color w:val="auto"/>
                <w:szCs w:val="21"/>
                <w:highlight w:val="none"/>
              </w:rPr>
            </w:pPr>
            <w:r>
              <w:rPr>
                <w:rFonts w:hint="eastAsia" w:ascii="宋体" w:hAnsi="宋体" w:cs="宋体"/>
                <w:b/>
                <w:color w:val="auto"/>
                <w:szCs w:val="21"/>
                <w:highlight w:val="none"/>
              </w:rPr>
              <w:t>……</w:t>
            </w:r>
          </w:p>
        </w:tc>
        <w:tc>
          <w:tcPr>
            <w:tcW w:w="2127" w:type="dxa"/>
            <w:noWrap/>
            <w:vAlign w:val="top"/>
          </w:tcPr>
          <w:p>
            <w:pPr>
              <w:rPr>
                <w:rFonts w:ascii="宋体" w:hAnsi="宋体" w:cs="宋体"/>
                <w:b/>
                <w:color w:val="auto"/>
                <w:szCs w:val="21"/>
                <w:highlight w:val="none"/>
              </w:rPr>
            </w:pPr>
          </w:p>
        </w:tc>
        <w:tc>
          <w:tcPr>
            <w:tcW w:w="3827" w:type="dxa"/>
            <w:noWrap/>
            <w:vAlign w:val="top"/>
          </w:tcPr>
          <w:p>
            <w:pPr>
              <w:rPr>
                <w:rFonts w:ascii="宋体" w:hAnsi="宋体" w:cs="宋体"/>
                <w:b/>
                <w:color w:val="auto"/>
                <w:szCs w:val="21"/>
                <w:highlight w:val="none"/>
              </w:rPr>
            </w:pPr>
          </w:p>
        </w:tc>
        <w:tc>
          <w:tcPr>
            <w:tcW w:w="1843" w:type="dxa"/>
            <w:noWrap/>
            <w:vAlign w:val="center"/>
          </w:tcPr>
          <w:p>
            <w:pPr>
              <w:rPr>
                <w:rFonts w:ascii="宋体" w:hAnsi="宋体" w:cs="宋体"/>
                <w:b/>
                <w:color w:val="auto"/>
                <w:szCs w:val="21"/>
                <w:highlight w:val="none"/>
              </w:rPr>
            </w:pPr>
          </w:p>
        </w:tc>
        <w:tc>
          <w:tcPr>
            <w:tcW w:w="1383" w:type="dxa"/>
            <w:noWrap/>
            <w:vAlign w:val="center"/>
          </w:tcPr>
          <w:p>
            <w:pP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ign w:val="center"/>
          </w:tcPr>
          <w:p>
            <w:pPr>
              <w:rPr>
                <w:rFonts w:hint="eastAsia" w:ascii="宋体" w:hAnsi="宋体" w:cs="宋体"/>
                <w:b/>
                <w:color w:val="auto"/>
                <w:szCs w:val="21"/>
                <w:highlight w:val="none"/>
              </w:rPr>
            </w:pPr>
          </w:p>
        </w:tc>
        <w:tc>
          <w:tcPr>
            <w:tcW w:w="2127" w:type="dxa"/>
            <w:noWrap/>
            <w:vAlign w:val="top"/>
          </w:tcPr>
          <w:p>
            <w:pPr>
              <w:rPr>
                <w:rFonts w:ascii="宋体" w:hAnsi="宋体" w:cs="宋体"/>
                <w:b/>
                <w:color w:val="auto"/>
                <w:szCs w:val="21"/>
                <w:highlight w:val="none"/>
              </w:rPr>
            </w:pPr>
          </w:p>
        </w:tc>
        <w:tc>
          <w:tcPr>
            <w:tcW w:w="3827" w:type="dxa"/>
            <w:noWrap/>
            <w:vAlign w:val="top"/>
          </w:tcPr>
          <w:p>
            <w:pPr>
              <w:rPr>
                <w:rFonts w:ascii="宋体" w:hAnsi="宋体" w:cs="宋体"/>
                <w:b/>
                <w:color w:val="auto"/>
                <w:szCs w:val="21"/>
                <w:highlight w:val="none"/>
              </w:rPr>
            </w:pPr>
          </w:p>
        </w:tc>
        <w:tc>
          <w:tcPr>
            <w:tcW w:w="1843" w:type="dxa"/>
            <w:noWrap/>
            <w:vAlign w:val="center"/>
          </w:tcPr>
          <w:p>
            <w:pPr>
              <w:rPr>
                <w:rFonts w:ascii="宋体" w:hAnsi="宋体" w:cs="宋体"/>
                <w:b/>
                <w:color w:val="auto"/>
                <w:szCs w:val="21"/>
                <w:highlight w:val="none"/>
              </w:rPr>
            </w:pPr>
          </w:p>
        </w:tc>
        <w:tc>
          <w:tcPr>
            <w:tcW w:w="1383" w:type="dxa"/>
            <w:noWrap/>
            <w:vAlign w:val="center"/>
          </w:tcPr>
          <w:p>
            <w:pP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629" w:type="dxa"/>
            <w:gridSpan w:val="3"/>
            <w:noWrap/>
            <w:vAlign w:val="center"/>
          </w:tcPr>
          <w:p>
            <w:pPr>
              <w:rPr>
                <w:rFonts w:ascii="宋体" w:hAnsi="宋体" w:cs="宋体"/>
                <w:b/>
                <w:color w:val="auto"/>
                <w:szCs w:val="21"/>
                <w:highlight w:val="none"/>
              </w:rPr>
            </w:pPr>
            <w:r>
              <w:rPr>
                <w:rFonts w:hint="eastAsia" w:ascii="宋体" w:hAnsi="宋体" w:cs="宋体"/>
                <w:b/>
                <w:color w:val="auto"/>
                <w:szCs w:val="21"/>
                <w:highlight w:val="none"/>
              </w:rPr>
              <w:t>合计报价（元）（含税）</w:t>
            </w:r>
          </w:p>
        </w:tc>
        <w:tc>
          <w:tcPr>
            <w:tcW w:w="1843" w:type="dxa"/>
            <w:noWrap/>
            <w:vAlign w:val="center"/>
          </w:tcPr>
          <w:p>
            <w:pPr>
              <w:rPr>
                <w:rFonts w:ascii="宋体" w:hAnsi="宋体" w:cs="宋体"/>
                <w:b/>
                <w:color w:val="auto"/>
                <w:szCs w:val="21"/>
                <w:highlight w:val="none"/>
              </w:rPr>
            </w:pPr>
          </w:p>
        </w:tc>
        <w:tc>
          <w:tcPr>
            <w:tcW w:w="1383" w:type="dxa"/>
            <w:noWrap/>
            <w:vAlign w:val="center"/>
          </w:tcPr>
          <w:p>
            <w:pP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29" w:type="dxa"/>
            <w:gridSpan w:val="3"/>
            <w:noWrap/>
            <w:vAlign w:val="center"/>
          </w:tcPr>
          <w:p>
            <w:pPr>
              <w:rPr>
                <w:rFonts w:ascii="宋体" w:hAnsi="宋体" w:cs="宋体"/>
                <w:b/>
                <w:color w:val="auto"/>
                <w:szCs w:val="21"/>
                <w:highlight w:val="none"/>
              </w:rPr>
            </w:pPr>
            <w:r>
              <w:rPr>
                <w:rFonts w:hint="eastAsia" w:ascii="宋体" w:hAnsi="宋体" w:cs="宋体"/>
                <w:b/>
                <w:color w:val="auto"/>
                <w:szCs w:val="21"/>
                <w:highlight w:val="none"/>
              </w:rPr>
              <w:t>合计报价（元）（不含税）</w:t>
            </w:r>
          </w:p>
        </w:tc>
        <w:tc>
          <w:tcPr>
            <w:tcW w:w="1843" w:type="dxa"/>
            <w:noWrap/>
            <w:vAlign w:val="center"/>
          </w:tcPr>
          <w:p>
            <w:pPr>
              <w:rPr>
                <w:rFonts w:ascii="宋体" w:hAnsi="宋体" w:cs="宋体"/>
                <w:b/>
                <w:color w:val="auto"/>
                <w:szCs w:val="21"/>
                <w:highlight w:val="none"/>
              </w:rPr>
            </w:pPr>
          </w:p>
        </w:tc>
        <w:tc>
          <w:tcPr>
            <w:tcW w:w="1383" w:type="dxa"/>
            <w:noWrap/>
            <w:vAlign w:val="center"/>
          </w:tcPr>
          <w:p>
            <w:pP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29" w:type="dxa"/>
            <w:gridSpan w:val="3"/>
            <w:noWrap/>
            <w:vAlign w:val="center"/>
          </w:tcPr>
          <w:p>
            <w:pPr>
              <w:rPr>
                <w:rFonts w:ascii="宋体" w:hAnsi="宋体" w:cs="宋体"/>
                <w:b/>
                <w:color w:val="auto"/>
                <w:szCs w:val="21"/>
                <w:highlight w:val="none"/>
              </w:rPr>
            </w:pPr>
            <w:r>
              <w:rPr>
                <w:rFonts w:hint="eastAsia" w:ascii="宋体" w:hAnsi="宋体" w:cs="宋体"/>
                <w:b/>
                <w:color w:val="auto"/>
                <w:szCs w:val="21"/>
                <w:highlight w:val="none"/>
              </w:rPr>
              <w:t>税率（%）</w:t>
            </w:r>
          </w:p>
        </w:tc>
        <w:tc>
          <w:tcPr>
            <w:tcW w:w="1843" w:type="dxa"/>
            <w:noWrap/>
            <w:vAlign w:val="center"/>
          </w:tcPr>
          <w:p>
            <w:pPr>
              <w:rPr>
                <w:rFonts w:ascii="宋体" w:hAnsi="宋体" w:cs="宋体"/>
                <w:b/>
                <w:color w:val="auto"/>
                <w:szCs w:val="21"/>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tc>
        <w:tc>
          <w:tcPr>
            <w:tcW w:w="1383" w:type="dxa"/>
            <w:noWrap/>
            <w:vAlign w:val="center"/>
          </w:tcPr>
          <w:p>
            <w:pPr>
              <w:rPr>
                <w:rFonts w:ascii="宋体" w:hAnsi="宋体" w:cs="宋体"/>
                <w:b/>
                <w:color w:val="auto"/>
                <w:szCs w:val="21"/>
                <w:highlight w:val="none"/>
              </w:rPr>
            </w:pPr>
          </w:p>
        </w:tc>
      </w:tr>
    </w:tbl>
    <w:p>
      <w:pPr>
        <w:rPr>
          <w:rFonts w:ascii="宋体" w:hAnsi="宋体" w:cs="宋体"/>
          <w:b/>
          <w:color w:val="auto"/>
          <w:sz w:val="30"/>
          <w:szCs w:val="30"/>
          <w:highlight w:val="none"/>
        </w:rPr>
      </w:pPr>
    </w:p>
    <w:p>
      <w:pPr>
        <w:rPr>
          <w:rFonts w:ascii="宋体" w:hAnsi="宋体" w:cs="宋体"/>
          <w:b/>
          <w:color w:val="auto"/>
          <w:sz w:val="30"/>
          <w:szCs w:val="30"/>
          <w:highlight w:val="none"/>
        </w:rPr>
      </w:pPr>
    </w:p>
    <w:p>
      <w:pPr>
        <w:rPr>
          <w:rFonts w:ascii="宋体" w:hAnsi="宋体" w:cs="宋体"/>
          <w:b/>
          <w:color w:val="auto"/>
          <w:sz w:val="30"/>
          <w:szCs w:val="30"/>
          <w:highlight w:val="none"/>
        </w:rPr>
      </w:pPr>
    </w:p>
    <w:p>
      <w:pPr>
        <w:spacing w:line="360" w:lineRule="auto"/>
        <w:ind w:left="315" w:leftChars="150" w:firstLine="44" w:firstLineChars="21"/>
        <w:rPr>
          <w:rFonts w:ascii="宋体" w:hAnsi="宋体" w:cs="宋体"/>
          <w:color w:val="auto"/>
          <w:szCs w:val="21"/>
          <w:highlight w:val="none"/>
        </w:rPr>
      </w:pP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投标单位（盖章）：</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法定代表人或授权委托人：（签字或盖章）</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日期：年月日</w:t>
      </w:r>
    </w:p>
    <w:p>
      <w:pPr>
        <w:jc w:val="center"/>
        <w:rPr>
          <w:rFonts w:ascii="宋体" w:hAnsi="宋体" w:cs="宋体"/>
          <w:b/>
          <w:bCs/>
          <w:color w:val="auto"/>
          <w:sz w:val="30"/>
          <w:szCs w:val="30"/>
          <w:highlight w:val="none"/>
        </w:rPr>
      </w:pPr>
    </w:p>
    <w:p>
      <w:pPr>
        <w:pStyle w:val="4"/>
        <w:rPr>
          <w:rFonts w:ascii="宋体" w:hAnsi="宋体" w:cs="宋体"/>
          <w:color w:val="auto"/>
          <w:sz w:val="36"/>
          <w:szCs w:val="36"/>
          <w:highlight w:val="none"/>
        </w:rPr>
      </w:pPr>
      <w:r>
        <w:rPr>
          <w:rFonts w:hint="eastAsia" w:ascii="宋体" w:hAnsi="宋体" w:cs="宋体"/>
          <w:b w:val="0"/>
          <w:bCs w:val="0"/>
          <w:color w:val="auto"/>
          <w:sz w:val="30"/>
          <w:szCs w:val="30"/>
          <w:highlight w:val="none"/>
        </w:rPr>
        <w:br w:type="page"/>
      </w:r>
      <w:bookmarkEnd w:id="411"/>
      <w:bookmarkEnd w:id="412"/>
      <w:bookmarkEnd w:id="413"/>
      <w:bookmarkEnd w:id="414"/>
      <w:bookmarkEnd w:id="415"/>
      <w:bookmarkEnd w:id="416"/>
      <w:bookmarkEnd w:id="417"/>
      <w:bookmarkEnd w:id="418"/>
      <w:bookmarkEnd w:id="419"/>
      <w:bookmarkEnd w:id="420"/>
      <w:bookmarkEnd w:id="421"/>
      <w:bookmarkStart w:id="424" w:name="_Toc25568"/>
      <w:bookmarkStart w:id="425" w:name="_Toc13600"/>
      <w:r>
        <w:rPr>
          <w:rFonts w:hint="eastAsia" w:ascii="宋体" w:hAnsi="宋体" w:cs="宋体"/>
          <w:color w:val="auto"/>
          <w:sz w:val="36"/>
          <w:szCs w:val="36"/>
          <w:highlight w:val="none"/>
        </w:rPr>
        <w:t>五、资格审查资料</w:t>
      </w:r>
      <w:bookmarkEnd w:id="424"/>
      <w:bookmarkEnd w:id="425"/>
    </w:p>
    <w:p>
      <w:pPr>
        <w:rPr>
          <w:rFonts w:ascii="宋体" w:hAnsi="宋体" w:cs="宋体"/>
          <w:color w:val="auto"/>
          <w:sz w:val="30"/>
          <w:szCs w:val="30"/>
          <w:highlight w:val="none"/>
        </w:rPr>
      </w:pP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404"/>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34" w:type="dxa"/>
            <w:noWrap/>
            <w:vAlign w:val="center"/>
          </w:tcPr>
          <w:p>
            <w:pPr>
              <w:tabs>
                <w:tab w:val="left" w:pos="720"/>
              </w:tabs>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404" w:type="dxa"/>
            <w:noWrap/>
            <w:vAlign w:val="center"/>
          </w:tcPr>
          <w:p>
            <w:pPr>
              <w:tabs>
                <w:tab w:val="left" w:pos="720"/>
              </w:tabs>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2536" w:type="dxa"/>
            <w:noWrap/>
            <w:vAlign w:val="center"/>
          </w:tcPr>
          <w:p>
            <w:pPr>
              <w:tabs>
                <w:tab w:val="left" w:pos="720"/>
              </w:tabs>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4" w:type="dxa"/>
            <w:noWrap/>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5404" w:type="dxa"/>
            <w:noWrap/>
            <w:vAlign w:val="center"/>
          </w:tcPr>
          <w:p>
            <w:pPr>
              <w:tabs>
                <w:tab w:val="left" w:pos="720"/>
              </w:tabs>
              <w:snapToGrid w:val="0"/>
              <w:rPr>
                <w:rFonts w:ascii="宋体" w:hAnsi="宋体" w:cs="宋体"/>
                <w:color w:val="auto"/>
                <w:szCs w:val="21"/>
                <w:highlight w:val="none"/>
              </w:rPr>
            </w:pPr>
            <w:r>
              <w:rPr>
                <w:rFonts w:hint="eastAsia" w:ascii="宋体" w:hAnsi="宋体" w:cs="宋体"/>
                <w:color w:val="auto"/>
                <w:szCs w:val="21"/>
                <w:highlight w:val="none"/>
              </w:rPr>
              <w:t>营业执照</w:t>
            </w:r>
          </w:p>
        </w:tc>
        <w:tc>
          <w:tcPr>
            <w:tcW w:w="2536" w:type="dxa"/>
            <w:noWrap/>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4" w:type="dxa"/>
            <w:noWrap/>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5404" w:type="dxa"/>
            <w:noWrap/>
            <w:vAlign w:val="center"/>
          </w:tcPr>
          <w:p>
            <w:pPr>
              <w:tabs>
                <w:tab w:val="left" w:pos="720"/>
              </w:tabs>
              <w:snapToGrid w:val="0"/>
              <w:rPr>
                <w:rFonts w:ascii="宋体" w:hAnsi="宋体" w:cs="宋体"/>
                <w:color w:val="auto"/>
                <w:szCs w:val="21"/>
                <w:highlight w:val="none"/>
              </w:rPr>
            </w:pPr>
            <w:r>
              <w:rPr>
                <w:rFonts w:hint="eastAsia" w:ascii="宋体" w:hAnsi="宋体" w:cs="宋体"/>
                <w:color w:val="auto"/>
                <w:szCs w:val="21"/>
                <w:highlight w:val="none"/>
              </w:rPr>
              <w:t>监理资质证书</w:t>
            </w:r>
          </w:p>
        </w:tc>
        <w:tc>
          <w:tcPr>
            <w:tcW w:w="2536" w:type="dxa"/>
            <w:noWrap/>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4" w:type="dxa"/>
            <w:noWrap/>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5404" w:type="dxa"/>
            <w:noWrap/>
            <w:vAlign w:val="center"/>
          </w:tcPr>
          <w:p>
            <w:pPr>
              <w:tabs>
                <w:tab w:val="left" w:pos="720"/>
              </w:tabs>
              <w:snapToGrid w:val="0"/>
              <w:rPr>
                <w:rFonts w:ascii="宋体" w:hAnsi="宋体" w:cs="宋体"/>
                <w:color w:val="auto"/>
                <w:szCs w:val="21"/>
                <w:highlight w:val="none"/>
              </w:rPr>
            </w:pPr>
            <w:r>
              <w:rPr>
                <w:rFonts w:hint="eastAsia" w:ascii="宋体" w:hAnsi="宋体" w:cs="宋体"/>
                <w:color w:val="auto"/>
                <w:szCs w:val="21"/>
                <w:highlight w:val="none"/>
              </w:rPr>
              <w:t>拟派项目总监理工程师资料</w:t>
            </w:r>
          </w:p>
        </w:tc>
        <w:tc>
          <w:tcPr>
            <w:tcW w:w="2536" w:type="dxa"/>
            <w:noWrap/>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4" w:type="dxa"/>
            <w:noWrap/>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5404" w:type="dxa"/>
            <w:noWrap/>
            <w:vAlign w:val="center"/>
          </w:tcPr>
          <w:p>
            <w:pPr>
              <w:tabs>
                <w:tab w:val="left" w:pos="720"/>
              </w:tabs>
              <w:snapToGrid w:val="0"/>
              <w:rPr>
                <w:rFonts w:ascii="宋体" w:hAnsi="宋体" w:cs="宋体"/>
                <w:color w:val="auto"/>
                <w:szCs w:val="21"/>
                <w:highlight w:val="none"/>
              </w:rPr>
            </w:pPr>
            <w:r>
              <w:rPr>
                <w:rFonts w:hint="eastAsia" w:ascii="宋体" w:hAnsi="宋体" w:cs="宋体"/>
                <w:color w:val="auto"/>
                <w:szCs w:val="21"/>
                <w:highlight w:val="none"/>
              </w:rPr>
              <w:t>已完成过的类似工程监理业绩资料</w:t>
            </w:r>
          </w:p>
        </w:tc>
        <w:tc>
          <w:tcPr>
            <w:tcW w:w="2536" w:type="dxa"/>
            <w:noWrap/>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4" w:type="dxa"/>
            <w:noWrap/>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5404" w:type="dxa"/>
            <w:noWrap/>
            <w:vAlign w:val="center"/>
          </w:tcPr>
          <w:p>
            <w:pPr>
              <w:tabs>
                <w:tab w:val="left" w:pos="720"/>
              </w:tabs>
              <w:snapToGrid w:val="0"/>
              <w:rPr>
                <w:rFonts w:ascii="宋体" w:hAnsi="宋体" w:cs="宋体"/>
                <w:color w:val="auto"/>
                <w:szCs w:val="21"/>
                <w:highlight w:val="none"/>
              </w:rPr>
            </w:pPr>
            <w:r>
              <w:rPr>
                <w:rFonts w:hint="eastAsia" w:ascii="宋体" w:hAnsi="宋体" w:cs="宋体"/>
                <w:color w:val="auto"/>
                <w:szCs w:val="21"/>
                <w:highlight w:val="none"/>
              </w:rPr>
              <w:t>投标人声明（后附格式）</w:t>
            </w:r>
          </w:p>
        </w:tc>
        <w:tc>
          <w:tcPr>
            <w:tcW w:w="2536" w:type="dxa"/>
            <w:noWrap/>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4" w:type="dxa"/>
            <w:noWrap/>
            <w:vAlign w:val="center"/>
          </w:tcPr>
          <w:p>
            <w:pPr>
              <w:tabs>
                <w:tab w:val="left" w:pos="720"/>
              </w:tabs>
              <w:snapToGrid w:val="0"/>
              <w:jc w:val="center"/>
              <w:rPr>
                <w:rFonts w:ascii="宋体" w:hAnsi="宋体" w:cs="宋体"/>
                <w:color w:val="auto"/>
                <w:szCs w:val="21"/>
                <w:highlight w:val="none"/>
              </w:rPr>
            </w:pPr>
          </w:p>
        </w:tc>
        <w:tc>
          <w:tcPr>
            <w:tcW w:w="5404" w:type="dxa"/>
            <w:noWrap/>
            <w:vAlign w:val="center"/>
          </w:tcPr>
          <w:p>
            <w:pPr>
              <w:tabs>
                <w:tab w:val="left" w:pos="720"/>
              </w:tabs>
              <w:snapToGrid w:val="0"/>
              <w:rPr>
                <w:rFonts w:ascii="宋体" w:hAnsi="宋体" w:cs="宋体"/>
                <w:color w:val="auto"/>
                <w:szCs w:val="21"/>
                <w:highlight w:val="none"/>
              </w:rPr>
            </w:pPr>
            <w:r>
              <w:rPr>
                <w:rFonts w:hint="eastAsia" w:ascii="宋体" w:hAnsi="宋体" w:cs="宋体"/>
                <w:color w:val="auto"/>
                <w:szCs w:val="21"/>
                <w:highlight w:val="none"/>
              </w:rPr>
              <w:t>……</w:t>
            </w:r>
          </w:p>
        </w:tc>
        <w:tc>
          <w:tcPr>
            <w:tcW w:w="2536" w:type="dxa"/>
            <w:noWrap/>
            <w:vAlign w:val="center"/>
          </w:tcPr>
          <w:p>
            <w:pPr>
              <w:tabs>
                <w:tab w:val="left" w:pos="720"/>
              </w:tabs>
              <w:snapToGrid w:val="0"/>
              <w:jc w:val="center"/>
              <w:rPr>
                <w:rFonts w:ascii="宋体" w:hAnsi="宋体" w:cs="宋体"/>
                <w:color w:val="auto"/>
                <w:szCs w:val="21"/>
                <w:highlight w:val="none"/>
              </w:rPr>
            </w:pPr>
          </w:p>
        </w:tc>
      </w:tr>
    </w:tbl>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注：资格审查详细资料附于本表后，并标明页码。</w:t>
      </w:r>
    </w:p>
    <w:p>
      <w:pPr>
        <w:ind w:firstLine="420" w:firstLineChars="200"/>
        <w:rPr>
          <w:rFonts w:ascii="宋体" w:hAnsi="宋体" w:cs="宋体"/>
          <w:color w:val="auto"/>
          <w:highlight w:val="none"/>
        </w:rPr>
      </w:pPr>
      <w:r>
        <w:rPr>
          <w:rFonts w:hint="eastAsia" w:ascii="宋体" w:hAnsi="宋体" w:cs="宋体"/>
          <w:color w:val="auto"/>
          <w:szCs w:val="21"/>
          <w:highlight w:val="none"/>
        </w:rPr>
        <w:br w:type="page"/>
      </w:r>
      <w:bookmarkStart w:id="426" w:name="_Toc1373"/>
      <w:bookmarkStart w:id="427" w:name="_Toc13945"/>
      <w:bookmarkStart w:id="428" w:name="_Toc25104"/>
      <w:bookmarkStart w:id="429" w:name="_Toc10413"/>
      <w:bookmarkStart w:id="430" w:name="_Toc6319"/>
      <w:bookmarkStart w:id="431" w:name="_Toc26236"/>
      <w:bookmarkStart w:id="432" w:name="_Toc25608"/>
      <w:bookmarkStart w:id="433" w:name="_Toc13345"/>
      <w:bookmarkStart w:id="434" w:name="_Toc2862"/>
      <w:bookmarkStart w:id="435" w:name="_Toc18835"/>
      <w:bookmarkStart w:id="436" w:name="_Toc1268"/>
      <w:bookmarkStart w:id="437" w:name="_Toc24784"/>
      <w:bookmarkStart w:id="438" w:name="_Toc8313"/>
      <w:bookmarkStart w:id="439" w:name="_Toc29960"/>
      <w:bookmarkStart w:id="440" w:name="_Toc11380"/>
      <w:r>
        <w:rPr>
          <w:rFonts w:hint="eastAsia" w:ascii="宋体" w:hAnsi="宋体" w:cs="宋体"/>
          <w:color w:val="auto"/>
          <w:szCs w:val="21"/>
          <w:highlight w:val="none"/>
        </w:rPr>
        <w:t>（</w:t>
      </w:r>
      <w:r>
        <w:rPr>
          <w:rFonts w:hint="eastAsia" w:ascii="宋体" w:hAnsi="宋体" w:cs="宋体"/>
          <w:color w:val="auto"/>
          <w:highlight w:val="none"/>
        </w:rPr>
        <w:t>投标人声明格式</w:t>
      </w:r>
      <w:r>
        <w:rPr>
          <w:rFonts w:hint="eastAsia" w:ascii="宋体" w:hAnsi="宋体" w:cs="宋体"/>
          <w:color w:val="auto"/>
          <w:szCs w:val="21"/>
          <w:highlight w:val="none"/>
        </w:rPr>
        <w:t>）</w:t>
      </w:r>
    </w:p>
    <w:p>
      <w:pPr>
        <w:widowControl/>
        <w:snapToGrid w:val="0"/>
        <w:spacing w:before="260" w:after="260" w:line="360" w:lineRule="auto"/>
        <w:ind w:right="384"/>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投标人声明</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广州市住房和城乡建设局、本招标项目招标人及招标监管机构：</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cs="宋体"/>
          <w:bCs/>
          <w:color w:val="auto"/>
          <w:szCs w:val="21"/>
          <w:highlight w:val="none"/>
          <w:u w:val="single"/>
          <w:lang w:eastAsia="zh-CN"/>
        </w:rPr>
        <w:t>汽车零部件产业园项目监理</w:t>
      </w:r>
      <w:r>
        <w:rPr>
          <w:rFonts w:hint="eastAsia" w:ascii="宋体" w:hAnsi="宋体" w:cs="宋体"/>
          <w:color w:val="auto"/>
          <w:kern w:val="0"/>
          <w:szCs w:val="21"/>
          <w:highlight w:val="none"/>
        </w:rPr>
        <w:t>投标工作，作出郑重声明：</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w:t>
      </w:r>
      <w:r>
        <w:rPr>
          <w:rFonts w:hint="eastAsia" w:ascii="宋体" w:hAnsi="宋体" w:cs="宋体"/>
          <w:color w:val="auto"/>
          <w:kern w:val="0"/>
          <w:szCs w:val="21"/>
          <w:highlight w:val="none"/>
          <w:u w:val="single"/>
        </w:rPr>
        <w:t>登记</w:t>
      </w:r>
      <w:r>
        <w:rPr>
          <w:rFonts w:hint="eastAsia" w:ascii="宋体" w:hAnsi="宋体" w:cs="宋体"/>
          <w:color w:val="auto"/>
          <w:kern w:val="0"/>
          <w:szCs w:val="21"/>
          <w:highlight w:val="none"/>
        </w:rPr>
        <w:t>及其后提供的一切材料都是真实的。如我司成为本项目中标候选人，我司同意并授权招标人将我司投标文件商务部分的人员、业绩、奖项等资料进行公开。</w:t>
      </w:r>
    </w:p>
    <w:p>
      <w:pPr>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二、本公司承诺遵循公平、公正、公开、诚实信用原则，在本项目投标中诚信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不存在少放、不放业绩、奖项等客观评审资料，减少自身竞争力的情形，若存在以上情形的，将自愿接受被招标人列入拒绝投标名单，不能参与招标人后续招标项目的投标。</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w:t>
      </w:r>
    </w:p>
    <w:p>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五、本公司承诺，中标后严格执行安全生产相关管理规定。</w:t>
      </w:r>
    </w:p>
    <w:p>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六、与本公司单位负责人为同一人或者与本公司存在控股、管理关系的其他单位包括：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。（注：本条由投标人如实填写，如有，应列出全部满足招标公告资质要求的相关单位的名称；如无，则填写“无”。）</w:t>
      </w:r>
    </w:p>
    <w:p>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七、本公司承诺，中标后将按招标人要求，积极响应广州市关于投身“百千万工程”的号召，主动参与建筑业结对帮扶。</w:t>
      </w:r>
    </w:p>
    <w:p>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八、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napToGrid w:val="0"/>
        <w:spacing w:line="360" w:lineRule="auto"/>
        <w:ind w:firstLine="422" w:firstLineChars="200"/>
        <w:rPr>
          <w:rFonts w:ascii="宋体" w:hAnsi="宋体" w:cs="宋体"/>
          <w:color w:val="auto"/>
          <w:kern w:val="0"/>
          <w:szCs w:val="21"/>
          <w:highlight w:val="none"/>
        </w:rPr>
      </w:pPr>
      <w:r>
        <w:rPr>
          <w:rFonts w:hint="eastAsia" w:ascii="宋体" w:hAnsi="宋体" w:cs="宋体"/>
          <w:b/>
          <w:color w:val="auto"/>
          <w:kern w:val="0"/>
          <w:szCs w:val="21"/>
          <w:highlight w:val="none"/>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color w:val="auto"/>
          <w:kern w:val="0"/>
          <w:szCs w:val="21"/>
          <w:highlight w:val="none"/>
        </w:rPr>
        <w:t>承担由此带来的一切后果，并自愿停止参加广州市行政辖区内的招标投标活动三个月。</w:t>
      </w:r>
    </w:p>
    <w:p>
      <w:pPr>
        <w:widowControl/>
        <w:shd w:val="clear" w:color="auto" w:fill="FFFFFF"/>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特此声明。</w:t>
      </w:r>
    </w:p>
    <w:p>
      <w:pPr>
        <w:snapToGrid w:val="0"/>
        <w:spacing w:line="360" w:lineRule="auto"/>
        <w:ind w:firstLine="3780" w:firstLineChars="1800"/>
        <w:rPr>
          <w:rFonts w:ascii="宋体" w:hAnsi="宋体" w:cs="宋体"/>
          <w:color w:val="auto"/>
          <w:kern w:val="0"/>
          <w:szCs w:val="21"/>
          <w:highlight w:val="none"/>
        </w:rPr>
      </w:pPr>
      <w:r>
        <w:rPr>
          <w:rFonts w:hint="eastAsia" w:ascii="宋体" w:hAnsi="宋体" w:cs="宋体"/>
          <w:color w:val="auto"/>
          <w:kern w:val="0"/>
          <w:szCs w:val="21"/>
          <w:highlight w:val="none"/>
        </w:rPr>
        <w:t xml:space="preserve">声明企业：            </w:t>
      </w:r>
    </w:p>
    <w:p>
      <w:pPr>
        <w:snapToGrid w:val="0"/>
        <w:spacing w:line="360" w:lineRule="auto"/>
        <w:ind w:firstLine="3721" w:firstLineChars="1772"/>
        <w:rPr>
          <w:rFonts w:ascii="宋体" w:hAnsi="宋体" w:cs="宋体"/>
          <w:color w:val="auto"/>
          <w:kern w:val="0"/>
          <w:szCs w:val="21"/>
          <w:highlight w:val="none"/>
        </w:rPr>
      </w:pPr>
      <w:r>
        <w:rPr>
          <w:rFonts w:hint="eastAsia" w:ascii="宋体" w:hAnsi="宋体" w:cs="宋体"/>
          <w:color w:val="auto"/>
          <w:kern w:val="0"/>
          <w:szCs w:val="21"/>
          <w:highlight w:val="none"/>
        </w:rPr>
        <w:t>总监理工程师：（签字）</w:t>
      </w:r>
    </w:p>
    <w:p>
      <w:pPr>
        <w:spacing w:line="360" w:lineRule="auto"/>
        <w:ind w:firstLine="4305" w:firstLineChars="2050"/>
        <w:rPr>
          <w:rFonts w:ascii="宋体" w:hAnsi="宋体" w:cs="宋体"/>
          <w:color w:val="auto"/>
          <w:kern w:val="0"/>
          <w:szCs w:val="21"/>
          <w:highlight w:val="none"/>
        </w:rPr>
      </w:pPr>
      <w:r>
        <w:rPr>
          <w:rFonts w:hint="eastAsia" w:ascii="宋体" w:hAnsi="宋体" w:cs="宋体"/>
          <w:color w:val="auto"/>
          <w:kern w:val="0"/>
          <w:szCs w:val="21"/>
          <w:highlight w:val="none"/>
        </w:rPr>
        <w:t>年   月   日</w:t>
      </w:r>
    </w:p>
    <w:bookmarkEnd w:id="426"/>
    <w:bookmarkEnd w:id="427"/>
    <w:bookmarkEnd w:id="428"/>
    <w:bookmarkEnd w:id="429"/>
    <w:bookmarkEnd w:id="430"/>
    <w:bookmarkEnd w:id="431"/>
    <w:bookmarkEnd w:id="432"/>
    <w:bookmarkEnd w:id="433"/>
    <w:bookmarkEnd w:id="434"/>
    <w:bookmarkEnd w:id="435"/>
    <w:bookmarkEnd w:id="436"/>
    <w:p>
      <w:pPr>
        <w:jc w:val="center"/>
        <w:rPr>
          <w:rFonts w:ascii="宋体" w:hAnsi="宋体" w:cs="宋体"/>
          <w:color w:val="auto"/>
          <w:sz w:val="36"/>
          <w:szCs w:val="36"/>
          <w:highlight w:val="none"/>
        </w:rPr>
        <w:sectPr>
          <w:pgSz w:w="12240" w:h="15840"/>
          <w:pgMar w:top="1480" w:right="1718" w:bottom="919" w:left="1718" w:header="850" w:footer="992" w:gutter="0"/>
          <w:cols w:space="720" w:num="1"/>
          <w:docGrid w:linePitch="312" w:charSpace="0"/>
        </w:sectPr>
      </w:pPr>
    </w:p>
    <w:p>
      <w:pPr>
        <w:pStyle w:val="18"/>
        <w:ind w:firstLine="200"/>
        <w:rPr>
          <w:color w:val="auto"/>
          <w:highlight w:val="none"/>
        </w:rPr>
      </w:pPr>
    </w:p>
    <w:p>
      <w:pPr>
        <w:pStyle w:val="4"/>
        <w:jc w:val="center"/>
        <w:rPr>
          <w:rFonts w:ascii="宋体" w:hAnsi="宋体" w:cs="宋体"/>
          <w:color w:val="auto"/>
          <w:sz w:val="36"/>
          <w:szCs w:val="36"/>
          <w:highlight w:val="none"/>
        </w:rPr>
      </w:pPr>
      <w:bookmarkStart w:id="441" w:name="_Toc26423"/>
      <w:bookmarkStart w:id="442" w:name="_Toc27595"/>
      <w:r>
        <w:rPr>
          <w:rFonts w:hint="eastAsia" w:ascii="宋体" w:hAnsi="宋体" w:cs="宋体"/>
          <w:color w:val="auto"/>
          <w:sz w:val="36"/>
          <w:szCs w:val="36"/>
          <w:highlight w:val="none"/>
        </w:rPr>
        <w:t>六、监理大纲</w:t>
      </w:r>
      <w:bookmarkEnd w:id="441"/>
      <w:bookmarkEnd w:id="442"/>
    </w:p>
    <w:p>
      <w:pPr>
        <w:rPr>
          <w:rFonts w:ascii="宋体" w:hAnsi="宋体" w:cs="宋体"/>
          <w:color w:val="auto"/>
          <w:highlight w:val="none"/>
        </w:rPr>
      </w:pPr>
    </w:p>
    <w:p>
      <w:pPr>
        <w:jc w:val="center"/>
        <w:rPr>
          <w:rFonts w:ascii="宋体" w:hAnsi="宋体" w:cs="宋体"/>
          <w:color w:val="auto"/>
          <w:sz w:val="30"/>
          <w:szCs w:val="30"/>
          <w:highlight w:val="none"/>
        </w:rPr>
      </w:pPr>
      <w:r>
        <w:rPr>
          <w:rFonts w:hint="eastAsia" w:ascii="宋体" w:hAnsi="宋体" w:cs="宋体"/>
          <w:color w:val="auto"/>
          <w:sz w:val="30"/>
          <w:szCs w:val="30"/>
          <w:highlight w:val="none"/>
        </w:rPr>
        <w:t>（格式自定）</w:t>
      </w:r>
    </w:p>
    <w:p>
      <w:pPr>
        <w:rPr>
          <w:rFonts w:ascii="宋体" w:hAnsi="宋体" w:cs="宋体"/>
          <w:color w:val="auto"/>
          <w:sz w:val="30"/>
          <w:szCs w:val="30"/>
          <w:highlight w:val="none"/>
        </w:rPr>
      </w:pPr>
      <w:r>
        <w:rPr>
          <w:rFonts w:hint="eastAsia" w:ascii="宋体" w:hAnsi="宋体" w:cs="宋体"/>
          <w:color w:val="auto"/>
          <w:sz w:val="30"/>
          <w:szCs w:val="30"/>
          <w:highlight w:val="none"/>
        </w:rPr>
        <w:t>编制要求：</w:t>
      </w:r>
    </w:p>
    <w:p>
      <w:pPr>
        <w:pStyle w:val="6"/>
        <w:rPr>
          <w:rFonts w:ascii="宋体" w:hAnsi="宋体" w:cs="宋体"/>
          <w:color w:val="auto"/>
          <w:highlight w:val="none"/>
        </w:rPr>
      </w:pPr>
    </w:p>
    <w:p>
      <w:pPr>
        <w:spacing w:line="360" w:lineRule="auto"/>
        <w:ind w:firstLine="864" w:firstLineChars="400"/>
        <w:rPr>
          <w:rFonts w:ascii="宋体" w:hAnsi="宋体" w:cs="宋体"/>
          <w:color w:val="auto"/>
          <w:sz w:val="22"/>
          <w:szCs w:val="21"/>
          <w:highlight w:val="none"/>
        </w:rPr>
      </w:pPr>
      <w:r>
        <w:rPr>
          <w:rFonts w:hint="eastAsia" w:ascii="宋体" w:hAnsi="宋体" w:cs="宋体"/>
          <w:color w:val="auto"/>
          <w:spacing w:val="-2"/>
          <w:sz w:val="22"/>
          <w:highlight w:val="none"/>
        </w:rPr>
        <w:t>1）监理范围、监理内容、监理依据、监理工作目标；</w:t>
      </w:r>
    </w:p>
    <w:p>
      <w:pPr>
        <w:spacing w:line="360" w:lineRule="auto"/>
        <w:ind w:firstLine="864" w:firstLineChars="400"/>
        <w:rPr>
          <w:rFonts w:ascii="宋体" w:hAnsi="宋体" w:cs="宋体"/>
          <w:color w:val="auto"/>
          <w:spacing w:val="-2"/>
          <w:sz w:val="22"/>
          <w:highlight w:val="none"/>
        </w:rPr>
      </w:pPr>
      <w:r>
        <w:rPr>
          <w:rFonts w:hint="eastAsia" w:ascii="宋体" w:hAnsi="宋体" w:cs="宋体"/>
          <w:color w:val="auto"/>
          <w:spacing w:val="-2"/>
          <w:sz w:val="22"/>
          <w:highlight w:val="none"/>
        </w:rPr>
        <w:t>2）现场项目监理人员架构表及人员进场计划、岗位职责；</w:t>
      </w:r>
    </w:p>
    <w:p>
      <w:pPr>
        <w:spacing w:line="360" w:lineRule="auto"/>
        <w:ind w:firstLine="864" w:firstLineChars="400"/>
        <w:rPr>
          <w:rFonts w:hint="eastAsia" w:ascii="宋体" w:hAnsi="宋体" w:eastAsia="宋体" w:cs="宋体"/>
          <w:color w:val="auto"/>
          <w:szCs w:val="21"/>
          <w:highlight w:val="none"/>
          <w:lang w:eastAsia="zh-CN"/>
        </w:rPr>
      </w:pPr>
      <w:r>
        <w:rPr>
          <w:rFonts w:hint="eastAsia" w:ascii="宋体" w:hAnsi="宋体" w:cs="宋体"/>
          <w:color w:val="auto"/>
          <w:spacing w:val="-2"/>
          <w:sz w:val="22"/>
          <w:highlight w:val="none"/>
        </w:rPr>
        <w:t>3）项目</w:t>
      </w:r>
      <w:r>
        <w:rPr>
          <w:rFonts w:hint="eastAsia" w:ascii="宋体" w:hAnsi="宋体" w:cs="宋体"/>
          <w:color w:val="auto"/>
          <w:spacing w:val="-2"/>
          <w:sz w:val="22"/>
          <w:highlight w:val="none"/>
          <w:lang w:val="en-US" w:eastAsia="zh-CN"/>
        </w:rPr>
        <w:t>监理</w:t>
      </w:r>
      <w:r>
        <w:rPr>
          <w:rFonts w:hint="eastAsia" w:ascii="宋体" w:hAnsi="宋体" w:cs="宋体"/>
          <w:color w:val="auto"/>
          <w:szCs w:val="21"/>
          <w:highlight w:val="none"/>
        </w:rPr>
        <w:t>工作程序和制度</w:t>
      </w:r>
      <w:r>
        <w:rPr>
          <w:rFonts w:hint="eastAsia" w:ascii="宋体" w:hAnsi="宋体" w:cs="宋体"/>
          <w:color w:val="auto"/>
          <w:szCs w:val="21"/>
          <w:highlight w:val="none"/>
          <w:lang w:eastAsia="zh-CN"/>
        </w:rPr>
        <w:t>；</w:t>
      </w:r>
    </w:p>
    <w:p>
      <w:pPr>
        <w:spacing w:line="360" w:lineRule="auto"/>
        <w:ind w:firstLine="864" w:firstLineChars="400"/>
        <w:rPr>
          <w:rFonts w:ascii="宋体" w:hAnsi="宋体" w:cs="宋体"/>
          <w:color w:val="auto"/>
          <w:spacing w:val="-2"/>
          <w:sz w:val="22"/>
          <w:highlight w:val="none"/>
        </w:rPr>
      </w:pPr>
      <w:r>
        <w:rPr>
          <w:rFonts w:hint="eastAsia" w:ascii="宋体" w:hAnsi="宋体" w:cs="宋体"/>
          <w:color w:val="auto"/>
          <w:spacing w:val="-2"/>
          <w:sz w:val="22"/>
          <w:highlight w:val="none"/>
          <w:lang w:val="en-US" w:eastAsia="zh-CN"/>
        </w:rPr>
        <w:t>4</w:t>
      </w:r>
      <w:r>
        <w:rPr>
          <w:rFonts w:hint="eastAsia" w:ascii="宋体" w:hAnsi="宋体" w:cs="宋体"/>
          <w:color w:val="auto"/>
          <w:spacing w:val="-2"/>
          <w:sz w:val="22"/>
          <w:highlight w:val="none"/>
        </w:rPr>
        <w:t>）详细论述拟在本工程监理过程中进行控制（质量、进度、造价、安全等）、管理（合同、信息等）、协调所采用的方法和措施；</w:t>
      </w:r>
    </w:p>
    <w:p>
      <w:pPr>
        <w:spacing w:line="360" w:lineRule="auto"/>
        <w:ind w:firstLine="864" w:firstLineChars="400"/>
        <w:rPr>
          <w:rFonts w:ascii="宋体" w:hAnsi="宋体" w:cs="宋体"/>
          <w:color w:val="auto"/>
          <w:spacing w:val="-2"/>
          <w:sz w:val="22"/>
          <w:highlight w:val="none"/>
        </w:rPr>
      </w:pPr>
      <w:r>
        <w:rPr>
          <w:rFonts w:hint="eastAsia" w:ascii="宋体" w:hAnsi="宋体" w:cs="宋体"/>
          <w:color w:val="auto"/>
          <w:spacing w:val="-2"/>
          <w:sz w:val="22"/>
          <w:highlight w:val="none"/>
          <w:lang w:val="en-US" w:eastAsia="zh-CN"/>
        </w:rPr>
        <w:t>5</w:t>
      </w:r>
      <w:r>
        <w:rPr>
          <w:rFonts w:hint="eastAsia" w:ascii="宋体" w:hAnsi="宋体" w:cs="宋体"/>
          <w:color w:val="auto"/>
          <w:spacing w:val="-2"/>
          <w:sz w:val="22"/>
          <w:highlight w:val="none"/>
        </w:rPr>
        <w:t>）针对本工程的难点、重点分析及提出相应的监理手段和措施。以及有价值的建议、意见及其处理措施；</w:t>
      </w:r>
    </w:p>
    <w:p>
      <w:pPr>
        <w:rPr>
          <w:rFonts w:ascii="宋体" w:hAnsi="宋体" w:cs="宋体"/>
          <w:color w:val="auto"/>
          <w:highlight w:val="none"/>
        </w:rPr>
      </w:pPr>
    </w:p>
    <w:p>
      <w:pPr>
        <w:ind w:left="612" w:leftChars="200" w:right="672" w:rightChars="320" w:hanging="192" w:hangingChars="64"/>
        <w:jc w:val="center"/>
        <w:rPr>
          <w:rFonts w:ascii="宋体" w:hAnsi="宋体" w:cs="宋体"/>
          <w:color w:val="auto"/>
          <w:sz w:val="30"/>
          <w:szCs w:val="30"/>
          <w:highlight w:val="none"/>
        </w:rPr>
      </w:pPr>
    </w:p>
    <w:p>
      <w:pPr>
        <w:ind w:left="612" w:leftChars="200" w:right="672" w:rightChars="320" w:hanging="192" w:hangingChars="64"/>
        <w:jc w:val="center"/>
        <w:rPr>
          <w:rFonts w:ascii="宋体" w:hAnsi="宋体" w:cs="宋体"/>
          <w:color w:val="auto"/>
          <w:sz w:val="30"/>
          <w:szCs w:val="30"/>
          <w:highlight w:val="none"/>
        </w:rPr>
      </w:pPr>
    </w:p>
    <w:p>
      <w:pPr>
        <w:ind w:left="612" w:leftChars="200" w:hanging="192" w:hangingChars="64"/>
        <w:jc w:val="center"/>
        <w:rPr>
          <w:rFonts w:ascii="宋体" w:hAnsi="宋体" w:cs="宋体"/>
          <w:color w:val="auto"/>
          <w:sz w:val="30"/>
          <w:szCs w:val="30"/>
          <w:highlight w:val="none"/>
        </w:rPr>
      </w:pPr>
    </w:p>
    <w:p>
      <w:pPr>
        <w:pStyle w:val="4"/>
        <w:jc w:val="center"/>
        <w:rPr>
          <w:rFonts w:ascii="宋体" w:hAnsi="宋体" w:cs="宋体"/>
          <w:color w:val="auto"/>
          <w:highlight w:val="none"/>
        </w:rPr>
      </w:pPr>
      <w:r>
        <w:rPr>
          <w:rFonts w:hint="eastAsia" w:ascii="宋体" w:hAnsi="宋体" w:cs="宋体"/>
          <w:color w:val="auto"/>
          <w:sz w:val="30"/>
          <w:szCs w:val="30"/>
          <w:highlight w:val="none"/>
        </w:rPr>
        <w:br w:type="page"/>
      </w:r>
      <w:bookmarkStart w:id="443" w:name="_Toc5358"/>
      <w:bookmarkStart w:id="444" w:name="_Toc32300"/>
      <w:r>
        <w:rPr>
          <w:rFonts w:hint="eastAsia" w:ascii="宋体" w:hAnsi="宋体" w:cs="宋体"/>
          <w:color w:val="auto"/>
          <w:sz w:val="36"/>
          <w:szCs w:val="36"/>
          <w:highlight w:val="none"/>
        </w:rPr>
        <w:t>七、公司简介</w:t>
      </w:r>
      <w:bookmarkEnd w:id="443"/>
      <w:bookmarkEnd w:id="444"/>
    </w:p>
    <w:p>
      <w:pPr>
        <w:jc w:val="center"/>
        <w:rPr>
          <w:rFonts w:ascii="宋体" w:hAnsi="宋体" w:cs="宋体"/>
          <w:color w:val="auto"/>
          <w:sz w:val="30"/>
          <w:szCs w:val="30"/>
          <w:highlight w:val="none"/>
        </w:rPr>
      </w:pPr>
      <w:r>
        <w:rPr>
          <w:rFonts w:hint="eastAsia" w:ascii="宋体" w:hAnsi="宋体" w:cs="宋体"/>
          <w:color w:val="auto"/>
          <w:sz w:val="30"/>
          <w:szCs w:val="30"/>
          <w:highlight w:val="none"/>
        </w:rPr>
        <w:t>（格式自定）</w:t>
      </w:r>
    </w:p>
    <w:p>
      <w:pPr>
        <w:rPr>
          <w:rFonts w:ascii="宋体" w:hAnsi="宋体" w:cs="宋体"/>
          <w:color w:val="auto"/>
          <w:spacing w:val="-2"/>
          <w:sz w:val="28"/>
          <w:szCs w:val="28"/>
          <w:highlight w:val="none"/>
        </w:rPr>
      </w:pPr>
    </w:p>
    <w:p>
      <w:pPr>
        <w:rPr>
          <w:rFonts w:ascii="宋体" w:hAnsi="宋体" w:cs="宋体"/>
          <w:color w:val="auto"/>
          <w:spacing w:val="-2"/>
          <w:sz w:val="28"/>
          <w:szCs w:val="28"/>
          <w:highlight w:val="none"/>
        </w:rPr>
      </w:pPr>
      <w:r>
        <w:rPr>
          <w:rFonts w:hint="eastAsia" w:ascii="宋体" w:hAnsi="宋体" w:cs="宋体"/>
          <w:color w:val="auto"/>
          <w:spacing w:val="-2"/>
          <w:sz w:val="28"/>
          <w:szCs w:val="28"/>
          <w:highlight w:val="none"/>
        </w:rPr>
        <w:t>编制要求：</w:t>
      </w:r>
    </w:p>
    <w:p>
      <w:pPr>
        <w:pStyle w:val="6"/>
        <w:rPr>
          <w:rFonts w:ascii="宋体" w:hAnsi="宋体" w:cs="宋体"/>
          <w:color w:val="auto"/>
          <w:highlight w:val="none"/>
        </w:rPr>
      </w:pPr>
    </w:p>
    <w:p>
      <w:pPr>
        <w:spacing w:line="360" w:lineRule="auto"/>
        <w:ind w:firstLine="824" w:firstLineChars="400"/>
        <w:rPr>
          <w:rFonts w:ascii="宋体" w:hAnsi="宋体" w:cs="宋体"/>
          <w:color w:val="auto"/>
          <w:spacing w:val="-2"/>
          <w:szCs w:val="21"/>
          <w:highlight w:val="none"/>
        </w:rPr>
      </w:pPr>
      <w:r>
        <w:rPr>
          <w:rFonts w:hint="eastAsia" w:ascii="宋体" w:hAnsi="宋体" w:cs="宋体"/>
          <w:color w:val="auto"/>
          <w:spacing w:val="-2"/>
          <w:szCs w:val="21"/>
          <w:highlight w:val="none"/>
        </w:rPr>
        <w:t>1）公司组织构架；</w:t>
      </w:r>
    </w:p>
    <w:p>
      <w:pPr>
        <w:spacing w:line="360" w:lineRule="auto"/>
        <w:ind w:firstLine="824" w:firstLineChars="400"/>
        <w:rPr>
          <w:rFonts w:ascii="宋体" w:hAnsi="宋体" w:cs="宋体"/>
          <w:color w:val="auto"/>
          <w:spacing w:val="-2"/>
          <w:szCs w:val="21"/>
          <w:highlight w:val="none"/>
        </w:rPr>
      </w:pPr>
      <w:r>
        <w:rPr>
          <w:rFonts w:hint="eastAsia" w:ascii="宋体" w:hAnsi="宋体" w:cs="宋体"/>
          <w:color w:val="auto"/>
          <w:spacing w:val="-2"/>
          <w:szCs w:val="21"/>
          <w:highlight w:val="none"/>
        </w:rPr>
        <w:t>2）公司法人营业执照及监理资质证书扫描件；</w:t>
      </w:r>
    </w:p>
    <w:p>
      <w:pPr>
        <w:spacing w:line="360" w:lineRule="auto"/>
        <w:ind w:firstLine="824" w:firstLineChars="400"/>
        <w:rPr>
          <w:rFonts w:ascii="宋体" w:hAnsi="宋体" w:cs="宋体"/>
          <w:color w:val="auto"/>
          <w:spacing w:val="-2"/>
          <w:szCs w:val="21"/>
          <w:highlight w:val="none"/>
        </w:rPr>
      </w:pPr>
      <w:r>
        <w:rPr>
          <w:rFonts w:hint="eastAsia" w:ascii="宋体" w:hAnsi="宋体" w:cs="宋体"/>
          <w:color w:val="auto"/>
          <w:spacing w:val="-2"/>
          <w:szCs w:val="21"/>
          <w:highlight w:val="none"/>
        </w:rPr>
        <w:t>3）202</w:t>
      </w:r>
      <w:r>
        <w:rPr>
          <w:rFonts w:hint="eastAsia" w:ascii="宋体" w:hAnsi="宋体" w:cs="宋体"/>
          <w:color w:val="auto"/>
          <w:spacing w:val="-2"/>
          <w:szCs w:val="21"/>
          <w:highlight w:val="none"/>
          <w:lang w:val="en-US" w:eastAsia="zh-CN"/>
        </w:rPr>
        <w:t>2</w:t>
      </w:r>
      <w:r>
        <w:rPr>
          <w:rFonts w:hint="eastAsia" w:ascii="宋体" w:hAnsi="宋体" w:cs="宋体"/>
          <w:color w:val="auto"/>
          <w:spacing w:val="-2"/>
          <w:szCs w:val="21"/>
          <w:highlight w:val="none"/>
        </w:rPr>
        <w:t>年1月1日至今主要类似监理项目的业绩【需同时提供</w:t>
      </w:r>
      <w:r>
        <w:rPr>
          <w:rFonts w:hint="eastAsia" w:ascii="宋体" w:hAnsi="宋体" w:cs="宋体"/>
          <w:color w:val="auto"/>
          <w:spacing w:val="-2"/>
          <w:szCs w:val="21"/>
          <w:highlight w:val="none"/>
          <w:lang w:val="en-US" w:eastAsia="zh-CN"/>
        </w:rPr>
        <w:t>证明资料</w:t>
      </w:r>
      <w:r>
        <w:rPr>
          <w:rFonts w:hint="eastAsia" w:ascii="宋体" w:hAnsi="宋体" w:cs="宋体"/>
          <w:color w:val="auto"/>
          <w:spacing w:val="-2"/>
          <w:szCs w:val="21"/>
          <w:highlight w:val="none"/>
        </w:rPr>
        <w:t>】；</w:t>
      </w:r>
    </w:p>
    <w:p>
      <w:pPr>
        <w:spacing w:line="360" w:lineRule="auto"/>
        <w:ind w:firstLine="824" w:firstLineChars="400"/>
        <w:rPr>
          <w:rFonts w:ascii="宋体" w:hAnsi="宋体" w:cs="宋体"/>
          <w:color w:val="auto"/>
          <w:spacing w:val="-2"/>
          <w:szCs w:val="21"/>
          <w:highlight w:val="none"/>
        </w:rPr>
      </w:pPr>
      <w:r>
        <w:rPr>
          <w:rFonts w:hint="eastAsia" w:ascii="宋体" w:hAnsi="宋体" w:cs="宋体"/>
          <w:color w:val="auto"/>
          <w:spacing w:val="-2"/>
          <w:szCs w:val="21"/>
          <w:highlight w:val="none"/>
        </w:rPr>
        <w:t>4）其它证明公司现有实力的材料（如企业技术能力等）。</w:t>
      </w:r>
    </w:p>
    <w:p>
      <w:pPr>
        <w:pStyle w:val="4"/>
        <w:jc w:val="center"/>
        <w:rPr>
          <w:rFonts w:ascii="宋体" w:hAnsi="宋体" w:cs="宋体"/>
          <w:color w:val="auto"/>
          <w:sz w:val="36"/>
          <w:szCs w:val="36"/>
          <w:highlight w:val="none"/>
        </w:rPr>
      </w:pPr>
      <w:r>
        <w:rPr>
          <w:rFonts w:hint="eastAsia" w:ascii="宋体" w:hAnsi="宋体" w:cs="宋体"/>
          <w:color w:val="auto"/>
          <w:sz w:val="30"/>
          <w:szCs w:val="30"/>
          <w:highlight w:val="none"/>
        </w:rPr>
        <w:br w:type="page"/>
      </w:r>
      <w:bookmarkStart w:id="445" w:name="_Toc7857"/>
      <w:bookmarkStart w:id="446" w:name="_Toc19284"/>
      <w:bookmarkStart w:id="447" w:name="_Toc20832"/>
      <w:bookmarkStart w:id="448" w:name="_Toc25771"/>
      <w:bookmarkStart w:id="449" w:name="_Toc5901"/>
      <w:r>
        <w:rPr>
          <w:rFonts w:hint="eastAsia" w:ascii="宋体" w:hAnsi="宋体" w:cs="宋体"/>
          <w:color w:val="auto"/>
          <w:sz w:val="36"/>
          <w:szCs w:val="36"/>
          <w:highlight w:val="none"/>
        </w:rPr>
        <w:t>八、标函承诺书</w:t>
      </w:r>
      <w:bookmarkEnd w:id="445"/>
      <w:bookmarkEnd w:id="446"/>
    </w:p>
    <w:p>
      <w:pPr>
        <w:rPr>
          <w:rFonts w:ascii="宋体" w:hAnsi="宋体" w:cs="宋体"/>
          <w:bCs/>
          <w:color w:val="auto"/>
          <w:sz w:val="30"/>
          <w:szCs w:val="30"/>
          <w:highlight w:val="none"/>
        </w:rPr>
      </w:pPr>
    </w:p>
    <w:p>
      <w:pPr>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科学城（广州）发展集团有限公司</w:t>
      </w:r>
      <w:r>
        <w:rPr>
          <w:rFonts w:hint="eastAsia" w:ascii="宋体" w:hAnsi="宋体" w:cs="宋体"/>
          <w:color w:val="auto"/>
          <w:szCs w:val="21"/>
          <w:highlight w:val="none"/>
        </w:rPr>
        <w:t>：</w:t>
      </w:r>
    </w:p>
    <w:p>
      <w:pPr>
        <w:pStyle w:val="6"/>
        <w:rPr>
          <w:rFonts w:ascii="宋体" w:hAnsi="宋体" w:cs="宋体"/>
          <w:color w:val="auto"/>
          <w:szCs w:val="21"/>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top"/>
        <w:rPr>
          <w:rFonts w:hAnsi="宋体" w:cs="宋体"/>
          <w:color w:val="auto"/>
          <w:sz w:val="21"/>
          <w:szCs w:val="21"/>
          <w:highlight w:val="none"/>
        </w:rPr>
      </w:pPr>
      <w:r>
        <w:rPr>
          <w:rFonts w:hint="eastAsia" w:hAnsi="宋体" w:cs="宋体"/>
          <w:color w:val="auto"/>
          <w:sz w:val="21"/>
          <w:szCs w:val="21"/>
          <w:highlight w:val="none"/>
        </w:rPr>
        <w:t>如果在本招标工程中我司中标，我司将积极响应贵单位提出的合同条件及招标文件的要求，并做出如下承诺：</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top"/>
        <w:rPr>
          <w:rFonts w:hAnsi="宋体" w:cs="宋体"/>
          <w:color w:val="auto"/>
          <w:sz w:val="21"/>
          <w:szCs w:val="21"/>
          <w:highlight w:val="none"/>
        </w:rPr>
      </w:pPr>
      <w:r>
        <w:rPr>
          <w:rFonts w:hint="eastAsia" w:hAnsi="宋体" w:cs="宋体"/>
          <w:color w:val="auto"/>
          <w:sz w:val="21"/>
          <w:szCs w:val="21"/>
          <w:highlight w:val="none"/>
        </w:rPr>
        <w:t>1、若我公司中标，我公司承诺按贵单位的有关建设管理制度和要求执行。</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top"/>
        <w:rPr>
          <w:rFonts w:hAnsi="宋体" w:cs="宋体"/>
          <w:color w:val="auto"/>
          <w:sz w:val="21"/>
          <w:szCs w:val="21"/>
          <w:highlight w:val="none"/>
        </w:rPr>
      </w:pPr>
      <w:r>
        <w:rPr>
          <w:rFonts w:hint="eastAsia" w:hAnsi="宋体" w:cs="宋体"/>
          <w:color w:val="auto"/>
          <w:sz w:val="21"/>
          <w:szCs w:val="21"/>
          <w:highlight w:val="none"/>
        </w:rPr>
        <w:t>2、在工程施工期间，拟投入的工程质量检测设备不少于下表中数量：</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77"/>
        <w:gridCol w:w="194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noWrap/>
            <w:vAlign w:val="center"/>
          </w:tcPr>
          <w:p>
            <w:pPr>
              <w:pStyle w:val="10"/>
              <w:spacing w:line="380" w:lineRule="exact"/>
              <w:ind w:firstLine="0"/>
              <w:jc w:val="center"/>
              <w:rPr>
                <w:rFonts w:hAnsi="宋体" w:cs="宋体"/>
                <w:color w:val="auto"/>
                <w:sz w:val="21"/>
                <w:szCs w:val="21"/>
                <w:highlight w:val="none"/>
              </w:rPr>
            </w:pPr>
            <w:r>
              <w:rPr>
                <w:rFonts w:hint="eastAsia" w:hAnsi="宋体" w:cs="宋体"/>
                <w:color w:val="auto"/>
                <w:sz w:val="21"/>
                <w:szCs w:val="21"/>
                <w:highlight w:val="none"/>
              </w:rPr>
              <w:t>设备名称及型号</w:t>
            </w:r>
          </w:p>
        </w:tc>
        <w:tc>
          <w:tcPr>
            <w:tcW w:w="2277" w:type="dxa"/>
            <w:noWrap/>
            <w:vAlign w:val="center"/>
          </w:tcPr>
          <w:p>
            <w:pPr>
              <w:pStyle w:val="10"/>
              <w:spacing w:line="380" w:lineRule="exact"/>
              <w:ind w:firstLine="0"/>
              <w:jc w:val="center"/>
              <w:rPr>
                <w:rFonts w:hAnsi="宋体" w:cs="宋体"/>
                <w:color w:val="auto"/>
                <w:sz w:val="21"/>
                <w:szCs w:val="21"/>
                <w:highlight w:val="none"/>
              </w:rPr>
            </w:pPr>
            <w:r>
              <w:rPr>
                <w:rFonts w:hint="eastAsia" w:hAnsi="宋体" w:cs="宋体"/>
                <w:color w:val="auto"/>
                <w:sz w:val="21"/>
                <w:szCs w:val="21"/>
                <w:highlight w:val="none"/>
              </w:rPr>
              <w:t>正常施工情况下</w:t>
            </w:r>
          </w:p>
        </w:tc>
        <w:tc>
          <w:tcPr>
            <w:tcW w:w="1941" w:type="dxa"/>
            <w:noWrap/>
            <w:vAlign w:val="center"/>
          </w:tcPr>
          <w:p>
            <w:pPr>
              <w:pStyle w:val="10"/>
              <w:spacing w:line="380" w:lineRule="exact"/>
              <w:ind w:firstLine="0"/>
              <w:jc w:val="center"/>
              <w:rPr>
                <w:rFonts w:hAnsi="宋体" w:cs="宋体"/>
                <w:color w:val="auto"/>
                <w:sz w:val="21"/>
                <w:szCs w:val="21"/>
                <w:highlight w:val="none"/>
              </w:rPr>
            </w:pPr>
            <w:r>
              <w:rPr>
                <w:rFonts w:hint="eastAsia" w:hAnsi="宋体" w:cs="宋体"/>
                <w:color w:val="auto"/>
                <w:sz w:val="21"/>
                <w:szCs w:val="21"/>
                <w:highlight w:val="none"/>
              </w:rPr>
              <w:t>施工低峰期</w:t>
            </w:r>
          </w:p>
        </w:tc>
        <w:tc>
          <w:tcPr>
            <w:tcW w:w="1768" w:type="dxa"/>
            <w:noWrap/>
            <w:vAlign w:val="center"/>
          </w:tcPr>
          <w:p>
            <w:pPr>
              <w:pStyle w:val="10"/>
              <w:spacing w:line="380" w:lineRule="exact"/>
              <w:ind w:firstLine="0"/>
              <w:jc w:val="center"/>
              <w:rPr>
                <w:rFonts w:hAnsi="宋体" w:cs="宋体"/>
                <w:color w:val="auto"/>
                <w:sz w:val="21"/>
                <w:szCs w:val="21"/>
                <w:highlight w:val="none"/>
              </w:rPr>
            </w:pPr>
            <w:r>
              <w:rPr>
                <w:rFonts w:hint="eastAsia"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noWrap/>
            <w:vAlign w:val="top"/>
          </w:tcPr>
          <w:p>
            <w:pPr>
              <w:pStyle w:val="10"/>
              <w:spacing w:line="380" w:lineRule="exact"/>
              <w:ind w:firstLine="0"/>
              <w:jc w:val="left"/>
              <w:rPr>
                <w:rFonts w:hAnsi="宋体" w:cs="宋体"/>
                <w:color w:val="auto"/>
                <w:sz w:val="21"/>
                <w:szCs w:val="21"/>
                <w:highlight w:val="none"/>
              </w:rPr>
            </w:pPr>
          </w:p>
        </w:tc>
        <w:tc>
          <w:tcPr>
            <w:tcW w:w="2277" w:type="dxa"/>
            <w:noWrap/>
            <w:vAlign w:val="top"/>
          </w:tcPr>
          <w:p>
            <w:pPr>
              <w:pStyle w:val="10"/>
              <w:spacing w:line="380" w:lineRule="exact"/>
              <w:ind w:firstLine="0"/>
              <w:jc w:val="left"/>
              <w:rPr>
                <w:rFonts w:hAnsi="宋体" w:cs="宋体"/>
                <w:color w:val="auto"/>
                <w:sz w:val="21"/>
                <w:szCs w:val="21"/>
                <w:highlight w:val="none"/>
              </w:rPr>
            </w:pPr>
          </w:p>
        </w:tc>
        <w:tc>
          <w:tcPr>
            <w:tcW w:w="1941" w:type="dxa"/>
            <w:noWrap/>
            <w:vAlign w:val="top"/>
          </w:tcPr>
          <w:p>
            <w:pPr>
              <w:pStyle w:val="10"/>
              <w:spacing w:line="380" w:lineRule="exact"/>
              <w:ind w:firstLine="0"/>
              <w:jc w:val="left"/>
              <w:rPr>
                <w:rFonts w:hAnsi="宋体" w:cs="宋体"/>
                <w:color w:val="auto"/>
                <w:sz w:val="21"/>
                <w:szCs w:val="21"/>
                <w:highlight w:val="none"/>
              </w:rPr>
            </w:pPr>
          </w:p>
        </w:tc>
        <w:tc>
          <w:tcPr>
            <w:tcW w:w="1768" w:type="dxa"/>
            <w:noWrap/>
            <w:vAlign w:val="top"/>
          </w:tcPr>
          <w:p>
            <w:pPr>
              <w:pStyle w:val="10"/>
              <w:spacing w:line="380" w:lineRule="exact"/>
              <w:ind w:firstLine="0"/>
              <w:jc w:val="left"/>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noWrap/>
            <w:vAlign w:val="top"/>
          </w:tcPr>
          <w:p>
            <w:pPr>
              <w:pStyle w:val="10"/>
              <w:spacing w:line="380" w:lineRule="exact"/>
              <w:ind w:firstLine="0"/>
              <w:jc w:val="left"/>
              <w:rPr>
                <w:rFonts w:hAnsi="宋体" w:cs="宋体"/>
                <w:color w:val="auto"/>
                <w:sz w:val="21"/>
                <w:szCs w:val="21"/>
                <w:highlight w:val="none"/>
              </w:rPr>
            </w:pPr>
          </w:p>
        </w:tc>
        <w:tc>
          <w:tcPr>
            <w:tcW w:w="2277" w:type="dxa"/>
            <w:noWrap/>
            <w:vAlign w:val="top"/>
          </w:tcPr>
          <w:p>
            <w:pPr>
              <w:pStyle w:val="10"/>
              <w:spacing w:line="380" w:lineRule="exact"/>
              <w:ind w:firstLine="0"/>
              <w:jc w:val="left"/>
              <w:rPr>
                <w:rFonts w:hAnsi="宋体" w:cs="宋体"/>
                <w:color w:val="auto"/>
                <w:sz w:val="21"/>
                <w:szCs w:val="21"/>
                <w:highlight w:val="none"/>
              </w:rPr>
            </w:pPr>
          </w:p>
        </w:tc>
        <w:tc>
          <w:tcPr>
            <w:tcW w:w="1941" w:type="dxa"/>
            <w:noWrap/>
            <w:vAlign w:val="top"/>
          </w:tcPr>
          <w:p>
            <w:pPr>
              <w:pStyle w:val="10"/>
              <w:spacing w:line="380" w:lineRule="exact"/>
              <w:ind w:firstLine="0"/>
              <w:jc w:val="left"/>
              <w:rPr>
                <w:rFonts w:hAnsi="宋体" w:cs="宋体"/>
                <w:color w:val="auto"/>
                <w:sz w:val="21"/>
                <w:szCs w:val="21"/>
                <w:highlight w:val="none"/>
              </w:rPr>
            </w:pPr>
          </w:p>
        </w:tc>
        <w:tc>
          <w:tcPr>
            <w:tcW w:w="1768" w:type="dxa"/>
            <w:noWrap/>
            <w:vAlign w:val="top"/>
          </w:tcPr>
          <w:p>
            <w:pPr>
              <w:pStyle w:val="10"/>
              <w:spacing w:line="380" w:lineRule="exact"/>
              <w:ind w:firstLine="0"/>
              <w:jc w:val="left"/>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noWrap/>
            <w:vAlign w:val="top"/>
          </w:tcPr>
          <w:p>
            <w:pPr>
              <w:pStyle w:val="10"/>
              <w:spacing w:line="380" w:lineRule="exact"/>
              <w:ind w:firstLine="0"/>
              <w:jc w:val="left"/>
              <w:rPr>
                <w:rFonts w:hAnsi="宋体" w:cs="宋体"/>
                <w:color w:val="auto"/>
                <w:sz w:val="21"/>
                <w:szCs w:val="21"/>
                <w:highlight w:val="none"/>
              </w:rPr>
            </w:pPr>
          </w:p>
        </w:tc>
        <w:tc>
          <w:tcPr>
            <w:tcW w:w="2277" w:type="dxa"/>
            <w:noWrap/>
            <w:vAlign w:val="top"/>
          </w:tcPr>
          <w:p>
            <w:pPr>
              <w:pStyle w:val="10"/>
              <w:spacing w:line="380" w:lineRule="exact"/>
              <w:ind w:firstLine="0"/>
              <w:jc w:val="left"/>
              <w:rPr>
                <w:rFonts w:hAnsi="宋体" w:cs="宋体"/>
                <w:color w:val="auto"/>
                <w:sz w:val="21"/>
                <w:szCs w:val="21"/>
                <w:highlight w:val="none"/>
              </w:rPr>
            </w:pPr>
          </w:p>
        </w:tc>
        <w:tc>
          <w:tcPr>
            <w:tcW w:w="1941" w:type="dxa"/>
            <w:noWrap/>
            <w:vAlign w:val="top"/>
          </w:tcPr>
          <w:p>
            <w:pPr>
              <w:pStyle w:val="10"/>
              <w:spacing w:line="380" w:lineRule="exact"/>
              <w:ind w:firstLine="0"/>
              <w:jc w:val="left"/>
              <w:rPr>
                <w:rFonts w:hAnsi="宋体" w:cs="宋体"/>
                <w:color w:val="auto"/>
                <w:sz w:val="21"/>
                <w:szCs w:val="21"/>
                <w:highlight w:val="none"/>
              </w:rPr>
            </w:pPr>
          </w:p>
        </w:tc>
        <w:tc>
          <w:tcPr>
            <w:tcW w:w="1768" w:type="dxa"/>
            <w:noWrap/>
            <w:vAlign w:val="top"/>
          </w:tcPr>
          <w:p>
            <w:pPr>
              <w:pStyle w:val="10"/>
              <w:spacing w:line="380" w:lineRule="exact"/>
              <w:ind w:firstLine="0"/>
              <w:jc w:val="left"/>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noWrap/>
            <w:vAlign w:val="top"/>
          </w:tcPr>
          <w:p>
            <w:pPr>
              <w:pStyle w:val="10"/>
              <w:spacing w:line="380" w:lineRule="exact"/>
              <w:ind w:firstLine="0"/>
              <w:jc w:val="left"/>
              <w:rPr>
                <w:rFonts w:hAnsi="宋体" w:cs="宋体"/>
                <w:color w:val="auto"/>
                <w:sz w:val="21"/>
                <w:szCs w:val="21"/>
                <w:highlight w:val="none"/>
              </w:rPr>
            </w:pPr>
          </w:p>
        </w:tc>
        <w:tc>
          <w:tcPr>
            <w:tcW w:w="2277" w:type="dxa"/>
            <w:noWrap/>
            <w:vAlign w:val="top"/>
          </w:tcPr>
          <w:p>
            <w:pPr>
              <w:pStyle w:val="10"/>
              <w:spacing w:line="380" w:lineRule="exact"/>
              <w:ind w:firstLine="0"/>
              <w:jc w:val="left"/>
              <w:rPr>
                <w:rFonts w:hAnsi="宋体" w:cs="宋体"/>
                <w:color w:val="auto"/>
                <w:sz w:val="21"/>
                <w:szCs w:val="21"/>
                <w:highlight w:val="none"/>
              </w:rPr>
            </w:pPr>
          </w:p>
        </w:tc>
        <w:tc>
          <w:tcPr>
            <w:tcW w:w="1941" w:type="dxa"/>
            <w:noWrap/>
            <w:vAlign w:val="top"/>
          </w:tcPr>
          <w:p>
            <w:pPr>
              <w:pStyle w:val="10"/>
              <w:spacing w:line="380" w:lineRule="exact"/>
              <w:ind w:firstLine="0"/>
              <w:jc w:val="left"/>
              <w:rPr>
                <w:rFonts w:hAnsi="宋体" w:cs="宋体"/>
                <w:color w:val="auto"/>
                <w:sz w:val="21"/>
                <w:szCs w:val="21"/>
                <w:highlight w:val="none"/>
              </w:rPr>
            </w:pPr>
          </w:p>
        </w:tc>
        <w:tc>
          <w:tcPr>
            <w:tcW w:w="1768" w:type="dxa"/>
            <w:noWrap/>
            <w:vAlign w:val="top"/>
          </w:tcPr>
          <w:p>
            <w:pPr>
              <w:pStyle w:val="10"/>
              <w:spacing w:line="380" w:lineRule="exact"/>
              <w:ind w:firstLine="0"/>
              <w:jc w:val="left"/>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noWrap/>
            <w:vAlign w:val="top"/>
          </w:tcPr>
          <w:p>
            <w:pPr>
              <w:pStyle w:val="10"/>
              <w:spacing w:line="380" w:lineRule="exact"/>
              <w:ind w:firstLine="0"/>
              <w:jc w:val="left"/>
              <w:rPr>
                <w:rFonts w:hAnsi="宋体" w:cs="宋体"/>
                <w:color w:val="auto"/>
                <w:sz w:val="21"/>
                <w:szCs w:val="21"/>
                <w:highlight w:val="none"/>
              </w:rPr>
            </w:pPr>
          </w:p>
        </w:tc>
        <w:tc>
          <w:tcPr>
            <w:tcW w:w="2277" w:type="dxa"/>
            <w:noWrap/>
            <w:vAlign w:val="top"/>
          </w:tcPr>
          <w:p>
            <w:pPr>
              <w:pStyle w:val="10"/>
              <w:spacing w:line="380" w:lineRule="exact"/>
              <w:ind w:firstLine="0"/>
              <w:jc w:val="left"/>
              <w:rPr>
                <w:rFonts w:hAnsi="宋体" w:cs="宋体"/>
                <w:color w:val="auto"/>
                <w:sz w:val="21"/>
                <w:szCs w:val="21"/>
                <w:highlight w:val="none"/>
              </w:rPr>
            </w:pPr>
          </w:p>
        </w:tc>
        <w:tc>
          <w:tcPr>
            <w:tcW w:w="1941" w:type="dxa"/>
            <w:noWrap/>
            <w:vAlign w:val="top"/>
          </w:tcPr>
          <w:p>
            <w:pPr>
              <w:pStyle w:val="10"/>
              <w:spacing w:line="380" w:lineRule="exact"/>
              <w:ind w:firstLine="0"/>
              <w:jc w:val="left"/>
              <w:rPr>
                <w:rFonts w:hAnsi="宋体" w:cs="宋体"/>
                <w:color w:val="auto"/>
                <w:sz w:val="21"/>
                <w:szCs w:val="21"/>
                <w:highlight w:val="none"/>
              </w:rPr>
            </w:pPr>
          </w:p>
        </w:tc>
        <w:tc>
          <w:tcPr>
            <w:tcW w:w="1768" w:type="dxa"/>
            <w:noWrap/>
            <w:vAlign w:val="top"/>
          </w:tcPr>
          <w:p>
            <w:pPr>
              <w:pStyle w:val="10"/>
              <w:spacing w:line="380" w:lineRule="exact"/>
              <w:ind w:firstLine="0"/>
              <w:jc w:val="left"/>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noWrap/>
            <w:vAlign w:val="top"/>
          </w:tcPr>
          <w:p>
            <w:pPr>
              <w:pStyle w:val="10"/>
              <w:spacing w:line="380" w:lineRule="exact"/>
              <w:ind w:firstLine="0"/>
              <w:jc w:val="left"/>
              <w:rPr>
                <w:rFonts w:hAnsi="宋体" w:cs="宋体"/>
                <w:color w:val="auto"/>
                <w:sz w:val="21"/>
                <w:szCs w:val="21"/>
                <w:highlight w:val="none"/>
              </w:rPr>
            </w:pPr>
          </w:p>
        </w:tc>
        <w:tc>
          <w:tcPr>
            <w:tcW w:w="2277" w:type="dxa"/>
            <w:noWrap/>
            <w:vAlign w:val="top"/>
          </w:tcPr>
          <w:p>
            <w:pPr>
              <w:pStyle w:val="10"/>
              <w:spacing w:line="380" w:lineRule="exact"/>
              <w:ind w:firstLine="0"/>
              <w:jc w:val="left"/>
              <w:rPr>
                <w:rFonts w:hAnsi="宋体" w:cs="宋体"/>
                <w:color w:val="auto"/>
                <w:sz w:val="21"/>
                <w:szCs w:val="21"/>
                <w:highlight w:val="none"/>
              </w:rPr>
            </w:pPr>
          </w:p>
        </w:tc>
        <w:tc>
          <w:tcPr>
            <w:tcW w:w="1941" w:type="dxa"/>
            <w:noWrap/>
            <w:vAlign w:val="top"/>
          </w:tcPr>
          <w:p>
            <w:pPr>
              <w:pStyle w:val="10"/>
              <w:spacing w:line="380" w:lineRule="exact"/>
              <w:ind w:firstLine="0"/>
              <w:jc w:val="left"/>
              <w:rPr>
                <w:rFonts w:hAnsi="宋体" w:cs="宋体"/>
                <w:color w:val="auto"/>
                <w:sz w:val="21"/>
                <w:szCs w:val="21"/>
                <w:highlight w:val="none"/>
              </w:rPr>
            </w:pPr>
          </w:p>
        </w:tc>
        <w:tc>
          <w:tcPr>
            <w:tcW w:w="1768" w:type="dxa"/>
            <w:noWrap/>
            <w:vAlign w:val="top"/>
          </w:tcPr>
          <w:p>
            <w:pPr>
              <w:pStyle w:val="10"/>
              <w:spacing w:line="380" w:lineRule="exact"/>
              <w:ind w:firstLine="0"/>
              <w:jc w:val="left"/>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noWrap/>
            <w:vAlign w:val="top"/>
          </w:tcPr>
          <w:p>
            <w:pPr>
              <w:pStyle w:val="10"/>
              <w:spacing w:line="380" w:lineRule="exact"/>
              <w:ind w:firstLine="0"/>
              <w:jc w:val="left"/>
              <w:rPr>
                <w:rFonts w:hAnsi="宋体" w:cs="宋体"/>
                <w:color w:val="auto"/>
                <w:sz w:val="21"/>
                <w:szCs w:val="21"/>
                <w:highlight w:val="none"/>
              </w:rPr>
            </w:pPr>
          </w:p>
        </w:tc>
        <w:tc>
          <w:tcPr>
            <w:tcW w:w="2277" w:type="dxa"/>
            <w:noWrap/>
            <w:vAlign w:val="top"/>
          </w:tcPr>
          <w:p>
            <w:pPr>
              <w:pStyle w:val="10"/>
              <w:spacing w:line="380" w:lineRule="exact"/>
              <w:ind w:firstLine="0"/>
              <w:jc w:val="left"/>
              <w:rPr>
                <w:rFonts w:hAnsi="宋体" w:cs="宋体"/>
                <w:color w:val="auto"/>
                <w:sz w:val="21"/>
                <w:szCs w:val="21"/>
                <w:highlight w:val="none"/>
              </w:rPr>
            </w:pPr>
          </w:p>
        </w:tc>
        <w:tc>
          <w:tcPr>
            <w:tcW w:w="1941" w:type="dxa"/>
            <w:noWrap/>
            <w:vAlign w:val="top"/>
          </w:tcPr>
          <w:p>
            <w:pPr>
              <w:pStyle w:val="10"/>
              <w:spacing w:line="380" w:lineRule="exact"/>
              <w:ind w:firstLine="0"/>
              <w:jc w:val="left"/>
              <w:rPr>
                <w:rFonts w:hAnsi="宋体" w:cs="宋体"/>
                <w:color w:val="auto"/>
                <w:sz w:val="21"/>
                <w:szCs w:val="21"/>
                <w:highlight w:val="none"/>
              </w:rPr>
            </w:pPr>
          </w:p>
        </w:tc>
        <w:tc>
          <w:tcPr>
            <w:tcW w:w="1768" w:type="dxa"/>
            <w:noWrap/>
            <w:vAlign w:val="top"/>
          </w:tcPr>
          <w:p>
            <w:pPr>
              <w:pStyle w:val="10"/>
              <w:spacing w:line="380" w:lineRule="exact"/>
              <w:ind w:firstLine="0"/>
              <w:jc w:val="left"/>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noWrap/>
            <w:vAlign w:val="top"/>
          </w:tcPr>
          <w:p>
            <w:pPr>
              <w:pStyle w:val="10"/>
              <w:spacing w:line="380" w:lineRule="exact"/>
              <w:ind w:firstLine="0"/>
              <w:jc w:val="left"/>
              <w:rPr>
                <w:rFonts w:hAnsi="宋体" w:cs="宋体"/>
                <w:color w:val="auto"/>
                <w:sz w:val="21"/>
                <w:szCs w:val="21"/>
                <w:highlight w:val="none"/>
              </w:rPr>
            </w:pPr>
          </w:p>
        </w:tc>
        <w:tc>
          <w:tcPr>
            <w:tcW w:w="2277" w:type="dxa"/>
            <w:noWrap/>
            <w:vAlign w:val="top"/>
          </w:tcPr>
          <w:p>
            <w:pPr>
              <w:pStyle w:val="10"/>
              <w:spacing w:line="380" w:lineRule="exact"/>
              <w:ind w:firstLine="0"/>
              <w:jc w:val="left"/>
              <w:rPr>
                <w:rFonts w:hAnsi="宋体" w:cs="宋体"/>
                <w:color w:val="auto"/>
                <w:sz w:val="21"/>
                <w:szCs w:val="21"/>
                <w:highlight w:val="none"/>
              </w:rPr>
            </w:pPr>
          </w:p>
        </w:tc>
        <w:tc>
          <w:tcPr>
            <w:tcW w:w="1941" w:type="dxa"/>
            <w:noWrap/>
            <w:vAlign w:val="top"/>
          </w:tcPr>
          <w:p>
            <w:pPr>
              <w:pStyle w:val="10"/>
              <w:spacing w:line="380" w:lineRule="exact"/>
              <w:ind w:firstLine="0"/>
              <w:jc w:val="left"/>
              <w:rPr>
                <w:rFonts w:hAnsi="宋体" w:cs="宋体"/>
                <w:color w:val="auto"/>
                <w:sz w:val="21"/>
                <w:szCs w:val="21"/>
                <w:highlight w:val="none"/>
              </w:rPr>
            </w:pPr>
          </w:p>
        </w:tc>
        <w:tc>
          <w:tcPr>
            <w:tcW w:w="1768" w:type="dxa"/>
            <w:noWrap/>
            <w:vAlign w:val="top"/>
          </w:tcPr>
          <w:p>
            <w:pPr>
              <w:pStyle w:val="10"/>
              <w:spacing w:line="380" w:lineRule="exact"/>
              <w:ind w:firstLine="0"/>
              <w:jc w:val="left"/>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noWrap/>
            <w:vAlign w:val="top"/>
          </w:tcPr>
          <w:p>
            <w:pPr>
              <w:pStyle w:val="10"/>
              <w:spacing w:line="380" w:lineRule="exact"/>
              <w:ind w:firstLine="0"/>
              <w:jc w:val="left"/>
              <w:rPr>
                <w:rFonts w:hAnsi="宋体" w:cs="宋体"/>
                <w:color w:val="auto"/>
                <w:sz w:val="21"/>
                <w:szCs w:val="21"/>
                <w:highlight w:val="none"/>
              </w:rPr>
            </w:pPr>
          </w:p>
        </w:tc>
        <w:tc>
          <w:tcPr>
            <w:tcW w:w="2277" w:type="dxa"/>
            <w:noWrap/>
            <w:vAlign w:val="top"/>
          </w:tcPr>
          <w:p>
            <w:pPr>
              <w:pStyle w:val="10"/>
              <w:spacing w:line="380" w:lineRule="exact"/>
              <w:ind w:firstLine="0"/>
              <w:jc w:val="left"/>
              <w:rPr>
                <w:rFonts w:hAnsi="宋体" w:cs="宋体"/>
                <w:color w:val="auto"/>
                <w:sz w:val="21"/>
                <w:szCs w:val="21"/>
                <w:highlight w:val="none"/>
              </w:rPr>
            </w:pPr>
          </w:p>
        </w:tc>
        <w:tc>
          <w:tcPr>
            <w:tcW w:w="1941" w:type="dxa"/>
            <w:noWrap/>
            <w:vAlign w:val="top"/>
          </w:tcPr>
          <w:p>
            <w:pPr>
              <w:pStyle w:val="10"/>
              <w:spacing w:line="380" w:lineRule="exact"/>
              <w:ind w:firstLine="0"/>
              <w:jc w:val="left"/>
              <w:rPr>
                <w:rFonts w:hAnsi="宋体" w:cs="宋体"/>
                <w:color w:val="auto"/>
                <w:sz w:val="21"/>
                <w:szCs w:val="21"/>
                <w:highlight w:val="none"/>
              </w:rPr>
            </w:pPr>
          </w:p>
        </w:tc>
        <w:tc>
          <w:tcPr>
            <w:tcW w:w="1768" w:type="dxa"/>
            <w:noWrap/>
            <w:vAlign w:val="top"/>
          </w:tcPr>
          <w:p>
            <w:pPr>
              <w:pStyle w:val="10"/>
              <w:spacing w:line="380" w:lineRule="exact"/>
              <w:ind w:firstLine="0"/>
              <w:jc w:val="left"/>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noWrap/>
            <w:vAlign w:val="top"/>
          </w:tcPr>
          <w:p>
            <w:pPr>
              <w:pStyle w:val="10"/>
              <w:spacing w:line="380" w:lineRule="exact"/>
              <w:ind w:firstLine="0"/>
              <w:jc w:val="left"/>
              <w:rPr>
                <w:rFonts w:hAnsi="宋体" w:cs="宋体"/>
                <w:color w:val="auto"/>
                <w:sz w:val="21"/>
                <w:szCs w:val="21"/>
                <w:highlight w:val="none"/>
              </w:rPr>
            </w:pPr>
          </w:p>
        </w:tc>
        <w:tc>
          <w:tcPr>
            <w:tcW w:w="2277" w:type="dxa"/>
            <w:noWrap/>
            <w:vAlign w:val="top"/>
          </w:tcPr>
          <w:p>
            <w:pPr>
              <w:pStyle w:val="10"/>
              <w:spacing w:line="380" w:lineRule="exact"/>
              <w:ind w:firstLine="0"/>
              <w:jc w:val="left"/>
              <w:rPr>
                <w:rFonts w:hAnsi="宋体" w:cs="宋体"/>
                <w:color w:val="auto"/>
                <w:sz w:val="21"/>
                <w:szCs w:val="21"/>
                <w:highlight w:val="none"/>
              </w:rPr>
            </w:pPr>
          </w:p>
        </w:tc>
        <w:tc>
          <w:tcPr>
            <w:tcW w:w="1941" w:type="dxa"/>
            <w:noWrap/>
            <w:vAlign w:val="top"/>
          </w:tcPr>
          <w:p>
            <w:pPr>
              <w:pStyle w:val="10"/>
              <w:spacing w:line="380" w:lineRule="exact"/>
              <w:ind w:firstLine="0"/>
              <w:jc w:val="left"/>
              <w:rPr>
                <w:rFonts w:hAnsi="宋体" w:cs="宋体"/>
                <w:color w:val="auto"/>
                <w:sz w:val="21"/>
                <w:szCs w:val="21"/>
                <w:highlight w:val="none"/>
              </w:rPr>
            </w:pPr>
          </w:p>
        </w:tc>
        <w:tc>
          <w:tcPr>
            <w:tcW w:w="1768" w:type="dxa"/>
            <w:noWrap/>
            <w:vAlign w:val="top"/>
          </w:tcPr>
          <w:p>
            <w:pPr>
              <w:pStyle w:val="10"/>
              <w:spacing w:line="380" w:lineRule="exact"/>
              <w:ind w:firstLine="0"/>
              <w:jc w:val="left"/>
              <w:rPr>
                <w:rFonts w:hAnsi="宋体" w:cs="宋体"/>
                <w:color w:val="auto"/>
                <w:sz w:val="21"/>
                <w:szCs w:val="21"/>
                <w:highlight w:val="none"/>
              </w:rPr>
            </w:pPr>
          </w:p>
        </w:tc>
      </w:tr>
    </w:tbl>
    <w:p>
      <w:pPr>
        <w:pStyle w:val="10"/>
        <w:spacing w:line="380" w:lineRule="exact"/>
        <w:ind w:firstLine="0"/>
        <w:jc w:val="left"/>
        <w:rPr>
          <w:rFonts w:hAnsi="宋体" w:cs="宋体"/>
          <w:color w:val="auto"/>
          <w:sz w:val="21"/>
          <w:szCs w:val="21"/>
          <w:highlight w:val="none"/>
        </w:rPr>
      </w:pPr>
    </w:p>
    <w:tbl>
      <w:tblPr>
        <w:tblStyle w:val="20"/>
        <w:tblpPr w:leftFromText="180" w:rightFromText="180" w:vertAnchor="text" w:horzAnchor="page"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91"/>
        <w:gridCol w:w="768"/>
        <w:gridCol w:w="554"/>
        <w:gridCol w:w="500"/>
        <w:gridCol w:w="499"/>
        <w:gridCol w:w="499"/>
        <w:gridCol w:w="499"/>
        <w:gridCol w:w="499"/>
        <w:gridCol w:w="499"/>
        <w:gridCol w:w="499"/>
        <w:gridCol w:w="499"/>
        <w:gridCol w:w="499"/>
        <w:gridCol w:w="499"/>
        <w:gridCol w:w="499"/>
        <w:gridCol w:w="499"/>
        <w:gridCol w:w="49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5" w:hRule="atLeast"/>
          <w:jc w:val="center"/>
        </w:trPr>
        <w:tc>
          <w:tcPr>
            <w:tcW w:w="567" w:type="dxa"/>
            <w:vMerge w:val="restart"/>
            <w:tcBorders>
              <w:top w:val="nil"/>
              <w:left w:val="nil"/>
              <w:right w:val="single" w:color="auto" w:sz="18" w:space="0"/>
            </w:tcBorders>
            <w:noWrap/>
            <w:textDirection w:val="btLr"/>
            <w:vAlign w:val="center"/>
          </w:tcPr>
          <w:p>
            <w:pPr>
              <w:spacing w:line="240" w:lineRule="atLeast"/>
              <w:ind w:left="113" w:right="113"/>
              <w:jc w:val="center"/>
              <w:rPr>
                <w:rFonts w:ascii="宋体" w:hAnsi="宋体" w:cs="宋体"/>
                <w:color w:val="auto"/>
                <w:szCs w:val="21"/>
                <w:highlight w:val="none"/>
              </w:rPr>
            </w:pPr>
          </w:p>
          <w:p>
            <w:pPr>
              <w:spacing w:line="240" w:lineRule="atLeast"/>
              <w:ind w:left="113" w:right="113"/>
              <w:jc w:val="center"/>
              <w:rPr>
                <w:rFonts w:ascii="宋体" w:hAnsi="宋体" w:cs="宋体"/>
                <w:b/>
                <w:bCs/>
                <w:color w:val="auto"/>
                <w:szCs w:val="21"/>
                <w:highlight w:val="none"/>
              </w:rPr>
            </w:pPr>
            <w:r>
              <w:rPr>
                <w:rFonts w:hint="eastAsia" w:ascii="宋体" w:hAnsi="宋体" w:cs="宋体"/>
                <w:color w:val="auto"/>
                <w:szCs w:val="21"/>
                <w:highlight w:val="none"/>
              </w:rPr>
              <w:t>3、拟投入到本工程的主要监理人员如表：</w:t>
            </w:r>
          </w:p>
        </w:tc>
        <w:tc>
          <w:tcPr>
            <w:tcW w:w="691" w:type="dxa"/>
            <w:vMerge w:val="restart"/>
            <w:tcBorders>
              <w:top w:val="single" w:color="auto" w:sz="18" w:space="0"/>
              <w:left w:val="single" w:color="auto" w:sz="18" w:space="0"/>
              <w:right w:val="single" w:color="auto" w:sz="4" w:space="0"/>
            </w:tcBorders>
            <w:noWrap/>
            <w:textDirection w:val="btLr"/>
            <w:vAlign w:val="center"/>
          </w:tcPr>
          <w:p>
            <w:pPr>
              <w:spacing w:line="360" w:lineRule="exact"/>
              <w:ind w:left="113" w:right="113"/>
              <w:jc w:val="center"/>
              <w:rPr>
                <w:rFonts w:ascii="宋体" w:hAnsi="宋体" w:cs="宋体"/>
                <w:b/>
                <w:bCs/>
                <w:color w:val="auto"/>
                <w:szCs w:val="21"/>
                <w:highlight w:val="none"/>
              </w:rPr>
            </w:pPr>
            <w:r>
              <w:rPr>
                <w:rFonts w:hint="eastAsia" w:ascii="宋体" w:hAnsi="宋体" w:cs="宋体"/>
                <w:b/>
                <w:bCs/>
                <w:color w:val="auto"/>
                <w:szCs w:val="21"/>
                <w:highlight w:val="none"/>
              </w:rPr>
              <w:t>投标人拟投入本工程的主要监理人员一览表</w:t>
            </w:r>
          </w:p>
        </w:tc>
        <w:tc>
          <w:tcPr>
            <w:tcW w:w="768"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b/>
                <w:bCs/>
                <w:color w:val="auto"/>
                <w:szCs w:val="21"/>
                <w:highlight w:val="none"/>
              </w:rPr>
            </w:pPr>
            <w:r>
              <w:rPr>
                <w:rFonts w:hint="eastAsia" w:ascii="宋体" w:hAnsi="宋体" w:cs="宋体"/>
                <w:b/>
                <w:bCs/>
                <w:color w:val="auto"/>
                <w:szCs w:val="21"/>
                <w:highlight w:val="none"/>
              </w:rPr>
              <w:t>从事工程建设监理工作简历及年限</w:t>
            </w:r>
          </w:p>
        </w:tc>
        <w:tc>
          <w:tcPr>
            <w:tcW w:w="554"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500"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18" w:space="0"/>
              <w:left w:val="single" w:color="auto" w:sz="4" w:space="0"/>
              <w:bottom w:val="single" w:color="auto" w:sz="4" w:space="0"/>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567" w:type="dxa"/>
            <w:vMerge w:val="continue"/>
            <w:tcBorders>
              <w:left w:val="nil"/>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691" w:type="dxa"/>
            <w:vMerge w:val="continue"/>
            <w:tcBorders>
              <w:left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b/>
                <w:bCs/>
                <w:color w:val="auto"/>
                <w:szCs w:val="21"/>
                <w:highlight w:val="none"/>
              </w:rPr>
            </w:pPr>
            <w:r>
              <w:rPr>
                <w:rFonts w:hint="eastAsia" w:ascii="宋体" w:hAnsi="宋体" w:cs="宋体"/>
                <w:b/>
                <w:bCs/>
                <w:color w:val="auto"/>
                <w:szCs w:val="21"/>
                <w:highlight w:val="none"/>
              </w:rPr>
              <w:t>职称/资格证号</w:t>
            </w:r>
          </w:p>
        </w:tc>
        <w:tc>
          <w:tcPr>
            <w:tcW w:w="554"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500"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567" w:type="dxa"/>
            <w:vMerge w:val="continue"/>
            <w:tcBorders>
              <w:left w:val="nil"/>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691" w:type="dxa"/>
            <w:vMerge w:val="continue"/>
            <w:tcBorders>
              <w:left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textDirection w:val="btLr"/>
            <w:vAlign w:val="center"/>
          </w:tcPr>
          <w:p>
            <w:pPr>
              <w:spacing w:line="300" w:lineRule="exact"/>
              <w:ind w:left="113" w:right="113"/>
              <w:jc w:val="center"/>
              <w:rPr>
                <w:rFonts w:ascii="宋体" w:hAnsi="宋体" w:cs="宋体"/>
                <w:b/>
                <w:bCs/>
                <w:color w:val="auto"/>
                <w:szCs w:val="21"/>
                <w:highlight w:val="none"/>
              </w:rPr>
            </w:pPr>
            <w:r>
              <w:rPr>
                <w:rFonts w:hint="eastAsia" w:ascii="宋体" w:hAnsi="宋体" w:cs="宋体"/>
                <w:b/>
                <w:bCs/>
                <w:color w:val="auto"/>
                <w:szCs w:val="21"/>
                <w:highlight w:val="none"/>
              </w:rPr>
              <w:t>专业资格/职称</w:t>
            </w:r>
          </w:p>
        </w:tc>
        <w:tc>
          <w:tcPr>
            <w:tcW w:w="554"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500"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567" w:type="dxa"/>
            <w:vMerge w:val="continue"/>
            <w:tcBorders>
              <w:left w:val="nil"/>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691" w:type="dxa"/>
            <w:vMerge w:val="continue"/>
            <w:tcBorders>
              <w:left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b/>
                <w:bCs/>
                <w:color w:val="auto"/>
                <w:szCs w:val="21"/>
                <w:highlight w:val="none"/>
              </w:rPr>
            </w:pPr>
            <w:r>
              <w:rPr>
                <w:rFonts w:hint="eastAsia" w:ascii="宋体" w:hAnsi="宋体" w:cs="宋体"/>
                <w:b/>
                <w:bCs/>
                <w:color w:val="auto"/>
                <w:szCs w:val="21"/>
                <w:highlight w:val="none"/>
              </w:rPr>
              <w:t>职务</w:t>
            </w:r>
          </w:p>
        </w:tc>
        <w:tc>
          <w:tcPr>
            <w:tcW w:w="554"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500"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9" w:hRule="atLeast"/>
          <w:jc w:val="center"/>
        </w:trPr>
        <w:tc>
          <w:tcPr>
            <w:tcW w:w="567" w:type="dxa"/>
            <w:vMerge w:val="continue"/>
            <w:tcBorders>
              <w:left w:val="nil"/>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691" w:type="dxa"/>
            <w:vMerge w:val="continue"/>
            <w:tcBorders>
              <w:left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b/>
                <w:bCs/>
                <w:color w:val="auto"/>
                <w:szCs w:val="21"/>
                <w:highlight w:val="none"/>
              </w:rPr>
            </w:pPr>
            <w:r>
              <w:rPr>
                <w:rFonts w:hint="eastAsia" w:ascii="宋体" w:hAnsi="宋体" w:cs="宋体"/>
                <w:b/>
                <w:bCs/>
                <w:color w:val="auto"/>
                <w:szCs w:val="21"/>
                <w:highlight w:val="none"/>
              </w:rPr>
              <w:t>身份证号</w:t>
            </w:r>
          </w:p>
        </w:tc>
        <w:tc>
          <w:tcPr>
            <w:tcW w:w="554"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500"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567" w:type="dxa"/>
            <w:vMerge w:val="continue"/>
            <w:tcBorders>
              <w:left w:val="nil"/>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691" w:type="dxa"/>
            <w:vMerge w:val="continue"/>
            <w:tcBorders>
              <w:left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b/>
                <w:bCs/>
                <w:color w:val="auto"/>
                <w:szCs w:val="21"/>
                <w:highlight w:val="none"/>
              </w:rPr>
            </w:pPr>
            <w:r>
              <w:rPr>
                <w:rFonts w:hint="eastAsia" w:ascii="宋体" w:hAnsi="宋体" w:cs="宋体"/>
                <w:b/>
                <w:bCs/>
                <w:color w:val="auto"/>
                <w:szCs w:val="21"/>
                <w:highlight w:val="none"/>
              </w:rPr>
              <w:t>姓名</w:t>
            </w:r>
          </w:p>
        </w:tc>
        <w:tc>
          <w:tcPr>
            <w:tcW w:w="554"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500"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499" w:type="dxa"/>
            <w:tcBorders>
              <w:top w:val="single" w:color="auto" w:sz="4" w:space="0"/>
              <w:left w:val="single" w:color="auto" w:sz="4" w:space="0"/>
              <w:bottom w:val="single" w:color="auto" w:sz="4" w:space="0"/>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567" w:type="dxa"/>
            <w:vMerge w:val="continue"/>
            <w:tcBorders>
              <w:left w:val="nil"/>
              <w:bottom w:val="nil"/>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691" w:type="dxa"/>
            <w:vMerge w:val="continue"/>
            <w:tcBorders>
              <w:left w:val="single" w:color="auto" w:sz="18"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p>
        </w:tc>
        <w:tc>
          <w:tcPr>
            <w:tcW w:w="768"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54"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1</w:t>
            </w:r>
          </w:p>
        </w:tc>
        <w:tc>
          <w:tcPr>
            <w:tcW w:w="500"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2</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3</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4</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5</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6</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7</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8</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9</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10</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11</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12</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13</w:t>
            </w:r>
          </w:p>
        </w:tc>
        <w:tc>
          <w:tcPr>
            <w:tcW w:w="499" w:type="dxa"/>
            <w:tcBorders>
              <w:top w:val="single" w:color="auto" w:sz="4" w:space="0"/>
              <w:left w:val="single" w:color="auto" w:sz="4" w:space="0"/>
              <w:bottom w:val="single" w:color="auto" w:sz="18" w:space="0"/>
              <w:right w:val="single" w:color="auto" w:sz="4"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14</w:t>
            </w:r>
          </w:p>
        </w:tc>
        <w:tc>
          <w:tcPr>
            <w:tcW w:w="499" w:type="dxa"/>
            <w:tcBorders>
              <w:top w:val="single" w:color="auto" w:sz="4" w:space="0"/>
              <w:left w:val="single" w:color="auto" w:sz="4" w:space="0"/>
              <w:bottom w:val="single" w:color="auto" w:sz="18" w:space="0"/>
              <w:right w:val="single" w:color="auto" w:sz="18" w:space="0"/>
            </w:tcBorders>
            <w:noWrap/>
            <w:textDirection w:val="btLr"/>
            <w:vAlign w:val="center"/>
          </w:tcPr>
          <w:p>
            <w:pPr>
              <w:spacing w:line="360" w:lineRule="exact"/>
              <w:ind w:left="113" w:right="113"/>
              <w:jc w:val="center"/>
              <w:rPr>
                <w:rFonts w:ascii="宋体" w:hAnsi="宋体" w:cs="宋体"/>
                <w:color w:val="auto"/>
                <w:szCs w:val="21"/>
                <w:highlight w:val="none"/>
              </w:rPr>
            </w:pPr>
            <w:r>
              <w:rPr>
                <w:rFonts w:hint="eastAsia" w:ascii="宋体" w:hAnsi="宋体" w:cs="宋体"/>
                <w:color w:val="auto"/>
                <w:szCs w:val="21"/>
                <w:highlight w:val="none"/>
              </w:rPr>
              <w:t>15</w:t>
            </w:r>
          </w:p>
        </w:tc>
      </w:tr>
    </w:tbl>
    <w:p>
      <w:pPr>
        <w:pStyle w:val="10"/>
        <w:spacing w:line="360" w:lineRule="auto"/>
        <w:ind w:left="420" w:leftChars="200" w:firstLine="480"/>
        <w:jc w:val="left"/>
        <w:rPr>
          <w:rFonts w:hAnsi="宋体" w:cs="宋体"/>
          <w:color w:val="auto"/>
          <w:sz w:val="24"/>
          <w:highlight w:val="none"/>
        </w:rPr>
      </w:pPr>
    </w:p>
    <w:p>
      <w:pPr>
        <w:pStyle w:val="10"/>
        <w:spacing w:line="360" w:lineRule="auto"/>
        <w:ind w:left="420" w:leftChars="200" w:firstLine="480"/>
        <w:jc w:val="left"/>
        <w:rPr>
          <w:rFonts w:hAnsi="宋体" w:cs="宋体"/>
          <w:color w:val="auto"/>
          <w:sz w:val="24"/>
          <w:highlight w:val="none"/>
        </w:rPr>
        <w:sectPr>
          <w:pgSz w:w="12240" w:h="15840"/>
          <w:pgMar w:top="1480" w:right="1718" w:bottom="919" w:left="1718" w:header="850" w:footer="992" w:gutter="0"/>
          <w:cols w:space="720" w:num="1"/>
          <w:docGrid w:linePitch="312" w:charSpace="0"/>
        </w:sectPr>
      </w:pPr>
    </w:p>
    <w:p>
      <w:pPr>
        <w:pStyle w:val="10"/>
        <w:spacing w:line="360" w:lineRule="auto"/>
        <w:ind w:left="420" w:leftChars="200" w:firstLine="480"/>
        <w:jc w:val="left"/>
        <w:rPr>
          <w:rFonts w:hAnsi="宋体" w:cs="宋体"/>
          <w:color w:val="auto"/>
          <w:sz w:val="21"/>
          <w:szCs w:val="21"/>
          <w:highlight w:val="none"/>
        </w:rPr>
      </w:pPr>
    </w:p>
    <w:p>
      <w:pPr>
        <w:pStyle w:val="10"/>
        <w:spacing w:line="360" w:lineRule="auto"/>
        <w:ind w:left="420" w:leftChars="200" w:firstLine="480"/>
        <w:jc w:val="left"/>
        <w:rPr>
          <w:rFonts w:hAnsi="宋体" w:cs="宋体"/>
          <w:color w:val="auto"/>
          <w:sz w:val="21"/>
          <w:szCs w:val="21"/>
          <w:highlight w:val="none"/>
        </w:rPr>
      </w:pPr>
      <w:r>
        <w:rPr>
          <w:rFonts w:hint="eastAsia" w:hAnsi="宋体" w:cs="宋体"/>
          <w:color w:val="auto"/>
          <w:sz w:val="21"/>
          <w:szCs w:val="21"/>
          <w:highlight w:val="none"/>
        </w:rPr>
        <w:t>4、公司保证拟派的总监理工程师将严格按照招标文件要求，自签订合同之日起至工程竣工验收将常驻现场，严格按照有关监理规范的要求开展监理工作，如果不能够按照此要求实施，我方自愿接受贵单位的制裁措施。</w:t>
      </w:r>
    </w:p>
    <w:p>
      <w:pPr>
        <w:pStyle w:val="10"/>
        <w:spacing w:line="360" w:lineRule="auto"/>
        <w:ind w:left="420" w:leftChars="200" w:firstLine="480"/>
        <w:jc w:val="left"/>
        <w:rPr>
          <w:rFonts w:hAnsi="宋体" w:cs="宋体"/>
          <w:color w:val="auto"/>
          <w:sz w:val="21"/>
          <w:szCs w:val="21"/>
          <w:highlight w:val="none"/>
        </w:rPr>
      </w:pPr>
      <w:r>
        <w:rPr>
          <w:rFonts w:hint="eastAsia" w:hAnsi="宋体" w:cs="宋体"/>
          <w:color w:val="auto"/>
          <w:sz w:val="21"/>
          <w:szCs w:val="21"/>
          <w:highlight w:val="none"/>
        </w:rPr>
        <w:t>5、我司保证在中标后，根据工程特点，编制本工程详细的监理规划和监理细则，并上报至贵单位。</w:t>
      </w:r>
    </w:p>
    <w:p>
      <w:pPr>
        <w:pStyle w:val="10"/>
        <w:spacing w:line="360" w:lineRule="auto"/>
        <w:ind w:left="420" w:leftChars="200" w:firstLine="480"/>
        <w:jc w:val="left"/>
        <w:rPr>
          <w:rFonts w:hAnsi="宋体" w:cs="宋体"/>
          <w:color w:val="auto"/>
          <w:sz w:val="21"/>
          <w:szCs w:val="21"/>
          <w:highlight w:val="none"/>
        </w:rPr>
      </w:pPr>
    </w:p>
    <w:p>
      <w:pPr>
        <w:pStyle w:val="10"/>
        <w:spacing w:line="360" w:lineRule="auto"/>
        <w:ind w:left="420" w:leftChars="200" w:firstLine="480"/>
        <w:jc w:val="left"/>
        <w:rPr>
          <w:rFonts w:hAnsi="宋体" w:cs="宋体"/>
          <w:color w:val="auto"/>
          <w:sz w:val="21"/>
          <w:szCs w:val="21"/>
          <w:highlight w:val="none"/>
        </w:rPr>
      </w:pPr>
    </w:p>
    <w:p>
      <w:pPr>
        <w:pStyle w:val="10"/>
        <w:spacing w:line="360" w:lineRule="auto"/>
        <w:ind w:left="420" w:leftChars="200" w:firstLine="480"/>
        <w:jc w:val="left"/>
        <w:rPr>
          <w:rFonts w:hAnsi="宋体" w:cs="宋体"/>
          <w:color w:val="auto"/>
          <w:sz w:val="21"/>
          <w:szCs w:val="21"/>
          <w:highlight w:val="none"/>
        </w:rPr>
      </w:pPr>
      <w:r>
        <w:rPr>
          <w:rFonts w:hint="eastAsia" w:hAnsi="宋体" w:cs="宋体"/>
          <w:color w:val="auto"/>
          <w:sz w:val="21"/>
          <w:szCs w:val="21"/>
          <w:highlight w:val="none"/>
        </w:rPr>
        <w:t>单    位：（公章）</w:t>
      </w:r>
    </w:p>
    <w:p>
      <w:pPr>
        <w:pStyle w:val="10"/>
        <w:spacing w:line="360" w:lineRule="auto"/>
        <w:ind w:left="420" w:leftChars="200" w:firstLine="480"/>
        <w:jc w:val="left"/>
        <w:rPr>
          <w:rFonts w:hAnsi="宋体" w:cs="宋体"/>
          <w:color w:val="auto"/>
          <w:sz w:val="21"/>
          <w:szCs w:val="21"/>
          <w:highlight w:val="none"/>
        </w:rPr>
      </w:pPr>
      <w:r>
        <w:rPr>
          <w:rFonts w:hint="eastAsia" w:hAnsi="宋体" w:cs="宋体"/>
          <w:color w:val="auto"/>
          <w:sz w:val="21"/>
          <w:szCs w:val="21"/>
          <w:highlight w:val="none"/>
        </w:rPr>
        <w:t>法人代表：（签名或盖章）</w:t>
      </w:r>
    </w:p>
    <w:p>
      <w:pPr>
        <w:pStyle w:val="10"/>
        <w:spacing w:line="360" w:lineRule="auto"/>
        <w:ind w:left="420" w:leftChars="200" w:firstLine="480"/>
        <w:jc w:val="left"/>
        <w:rPr>
          <w:rFonts w:hAnsi="宋体" w:cs="宋体"/>
          <w:color w:val="auto"/>
          <w:sz w:val="21"/>
          <w:szCs w:val="21"/>
          <w:highlight w:val="none"/>
        </w:rPr>
      </w:pPr>
      <w:r>
        <w:rPr>
          <w:rFonts w:hint="eastAsia" w:hAnsi="宋体" w:cs="宋体"/>
          <w:color w:val="auto"/>
          <w:sz w:val="21"/>
          <w:szCs w:val="21"/>
          <w:highlight w:val="none"/>
        </w:rPr>
        <w:t xml:space="preserve">                                          年    月    日</w:t>
      </w:r>
    </w:p>
    <w:p>
      <w:pPr>
        <w:pStyle w:val="10"/>
        <w:spacing w:line="360" w:lineRule="auto"/>
        <w:ind w:left="420" w:leftChars="200" w:firstLine="480"/>
        <w:jc w:val="left"/>
        <w:rPr>
          <w:rFonts w:hAnsi="宋体" w:cs="宋体"/>
          <w:color w:val="auto"/>
          <w:sz w:val="21"/>
          <w:szCs w:val="21"/>
          <w:highlight w:val="none"/>
        </w:rPr>
      </w:pPr>
    </w:p>
    <w:p>
      <w:pPr>
        <w:pStyle w:val="10"/>
        <w:spacing w:line="360" w:lineRule="auto"/>
        <w:ind w:left="420" w:leftChars="200" w:firstLine="480"/>
        <w:jc w:val="left"/>
        <w:rPr>
          <w:rFonts w:hAnsi="宋体" w:cs="宋体"/>
          <w:color w:val="auto"/>
          <w:sz w:val="21"/>
          <w:szCs w:val="21"/>
          <w:highlight w:val="none"/>
        </w:rPr>
      </w:pPr>
    </w:p>
    <w:p>
      <w:pPr>
        <w:pStyle w:val="10"/>
        <w:spacing w:line="360" w:lineRule="auto"/>
        <w:ind w:left="420" w:leftChars="200" w:firstLine="480"/>
        <w:jc w:val="left"/>
        <w:rPr>
          <w:rFonts w:hAnsi="宋体" w:cs="宋体"/>
          <w:color w:val="auto"/>
          <w:sz w:val="24"/>
          <w:highlight w:val="none"/>
        </w:rPr>
      </w:pPr>
      <w:r>
        <w:rPr>
          <w:rFonts w:hint="eastAsia" w:hAnsi="宋体" w:cs="宋体"/>
          <w:color w:val="auto"/>
          <w:sz w:val="21"/>
          <w:szCs w:val="21"/>
          <w:highlight w:val="none"/>
        </w:rPr>
        <w:t xml:space="preserve">注：标函承诺书作为投标文件的“响应性评审”文件，投标人应如实填写，中标后必须按填报内容如期实施。工程的建设单位将经常核验投标人是否按填报内容实施，行政管理机构也将随时抽查。  </w:t>
      </w:r>
      <w:r>
        <w:rPr>
          <w:rFonts w:hint="eastAsia" w:hAnsi="宋体" w:cs="宋体"/>
          <w:color w:val="auto"/>
          <w:sz w:val="24"/>
          <w:highlight w:val="none"/>
        </w:rPr>
        <w:t xml:space="preserve"> </w:t>
      </w:r>
    </w:p>
    <w:p>
      <w:pPr>
        <w:pStyle w:val="4"/>
        <w:jc w:val="center"/>
        <w:rPr>
          <w:rFonts w:ascii="宋体" w:hAnsi="宋体" w:cs="宋体"/>
          <w:color w:val="auto"/>
          <w:highlight w:val="none"/>
        </w:rPr>
        <w:sectPr>
          <w:pgSz w:w="12240" w:h="15840"/>
          <w:pgMar w:top="1480" w:right="1718" w:bottom="919" w:left="1718" w:header="850" w:footer="992" w:gutter="0"/>
          <w:cols w:space="720" w:num="1"/>
          <w:docGrid w:linePitch="312" w:charSpace="0"/>
        </w:sectPr>
      </w:pPr>
    </w:p>
    <w:bookmarkEnd w:id="386"/>
    <w:bookmarkEnd w:id="387"/>
    <w:bookmarkEnd w:id="388"/>
    <w:bookmarkEnd w:id="406"/>
    <w:bookmarkEnd w:id="407"/>
    <w:bookmarkEnd w:id="408"/>
    <w:bookmarkEnd w:id="409"/>
    <w:bookmarkEnd w:id="410"/>
    <w:bookmarkEnd w:id="437"/>
    <w:bookmarkEnd w:id="438"/>
    <w:bookmarkEnd w:id="439"/>
    <w:bookmarkEnd w:id="440"/>
    <w:bookmarkEnd w:id="447"/>
    <w:bookmarkEnd w:id="448"/>
    <w:bookmarkEnd w:id="449"/>
    <w:p>
      <w:pPr>
        <w:pStyle w:val="4"/>
        <w:jc w:val="center"/>
        <w:rPr>
          <w:rFonts w:hint="eastAsia" w:ascii="宋体" w:eastAsia="宋体" w:cs="宋体"/>
          <w:color w:val="auto"/>
          <w:sz w:val="36"/>
          <w:szCs w:val="36"/>
          <w:highlight w:val="none"/>
          <w:lang w:eastAsia="zh-CN"/>
        </w:rPr>
      </w:pPr>
      <w:bookmarkStart w:id="450" w:name="_Toc3832"/>
      <w:bookmarkStart w:id="451" w:name="_Toc28340"/>
      <w:bookmarkStart w:id="452" w:name="_Toc18840"/>
      <w:bookmarkStart w:id="453" w:name="_Toc18179"/>
      <w:bookmarkStart w:id="454" w:name="_Toc29546"/>
      <w:bookmarkStart w:id="455" w:name="_Toc853"/>
      <w:bookmarkStart w:id="456" w:name="_Toc6584"/>
      <w:bookmarkStart w:id="457" w:name="_Toc31529"/>
      <w:bookmarkStart w:id="458" w:name="_Toc24994"/>
      <w:bookmarkStart w:id="459" w:name="_Toc28880"/>
      <w:bookmarkStart w:id="460" w:name="_Toc24704"/>
      <w:bookmarkStart w:id="461" w:name="_Toc27522"/>
      <w:bookmarkStart w:id="462" w:name="_Toc12716"/>
      <w:bookmarkStart w:id="463" w:name="_Toc16020"/>
      <w:bookmarkStart w:id="464" w:name="_Toc23944"/>
      <w:bookmarkStart w:id="465" w:name="_Toc17121"/>
      <w:bookmarkStart w:id="466" w:name="_Toc22693"/>
      <w:bookmarkStart w:id="467" w:name="_Toc6768"/>
      <w:r>
        <w:rPr>
          <w:rFonts w:hint="eastAsia" w:ascii="宋体" w:cs="宋体"/>
          <w:color w:val="auto"/>
          <w:sz w:val="36"/>
          <w:szCs w:val="36"/>
          <w:highlight w:val="none"/>
        </w:rPr>
        <w:t>九、</w:t>
      </w:r>
      <w:bookmarkEnd w:id="450"/>
      <w:bookmarkEnd w:id="451"/>
      <w:bookmarkEnd w:id="452"/>
      <w:bookmarkEnd w:id="453"/>
      <w:bookmarkEnd w:id="454"/>
      <w:bookmarkEnd w:id="455"/>
      <w:bookmarkEnd w:id="456"/>
      <w:bookmarkEnd w:id="457"/>
      <w:bookmarkEnd w:id="458"/>
      <w:bookmarkEnd w:id="459"/>
      <w:bookmarkEnd w:id="460"/>
      <w:bookmarkEnd w:id="461"/>
      <w:bookmarkEnd w:id="462"/>
      <w:r>
        <w:rPr>
          <w:rFonts w:hint="eastAsia" w:ascii="宋体" w:cs="宋体"/>
          <w:color w:val="auto"/>
          <w:sz w:val="36"/>
          <w:szCs w:val="36"/>
          <w:highlight w:val="none"/>
          <w:lang w:eastAsia="zh-CN"/>
        </w:rPr>
        <w:t>项目总监履约承诺书</w:t>
      </w:r>
      <w:bookmarkEnd w:id="463"/>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cs="宋体"/>
          <w:color w:val="auto"/>
          <w:szCs w:val="21"/>
          <w:highlight w:val="none"/>
        </w:rPr>
      </w:pPr>
      <w:r>
        <w:rPr>
          <w:rFonts w:hint="eastAsia" w:ascii="宋体" w:cs="宋体"/>
          <w:color w:val="auto"/>
          <w:szCs w:val="21"/>
          <w:highlight w:val="none"/>
        </w:rPr>
        <w:t>致</w:t>
      </w:r>
      <w:r>
        <w:rPr>
          <w:rFonts w:hint="eastAsia" w:ascii="宋体" w:cs="宋体"/>
          <w:color w:val="auto"/>
          <w:szCs w:val="21"/>
          <w:highlight w:val="none"/>
          <w:u w:val="single"/>
        </w:rPr>
        <w:t>（业主）</w:t>
      </w:r>
      <w:r>
        <w:rPr>
          <w:rFonts w:hint="eastAsia" w:asci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color w:val="auto"/>
          <w:szCs w:val="21"/>
          <w:highlight w:val="none"/>
          <w:u w:val="single"/>
        </w:rPr>
      </w:pPr>
      <w:r>
        <w:rPr>
          <w:rFonts w:hint="eastAsia" w:ascii="宋体" w:cs="宋体"/>
          <w:color w:val="auto"/>
          <w:szCs w:val="21"/>
          <w:highlight w:val="none"/>
          <w:lang w:val="en-US" w:eastAsia="zh-CN"/>
        </w:rPr>
        <w:t>我单位</w:t>
      </w:r>
      <w:r>
        <w:rPr>
          <w:rFonts w:hint="eastAsia" w:ascii="宋体" w:cs="宋体"/>
          <w:color w:val="auto"/>
          <w:szCs w:val="21"/>
          <w:highlight w:val="none"/>
          <w:u w:val="single"/>
        </w:rPr>
        <w:t>（姓名）</w:t>
      </w:r>
      <w:r>
        <w:rPr>
          <w:rFonts w:hint="eastAsia" w:ascii="宋体" w:cs="宋体"/>
          <w:color w:val="auto"/>
          <w:szCs w:val="21"/>
          <w:highlight w:val="none"/>
        </w:rPr>
        <w:t>，监理工程师证书注册编号：</w:t>
      </w:r>
      <w:r>
        <w:rPr>
          <w:rFonts w:hint="eastAsia" w:asci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hint="eastAsia" w:ascii="宋体" w:cs="宋体"/>
          <w:color w:val="auto"/>
          <w:szCs w:val="21"/>
          <w:highlight w:val="none"/>
          <w:u w:val="none"/>
        </w:rPr>
        <w:t>受</w:t>
      </w:r>
      <w:r>
        <w:rPr>
          <w:rFonts w:hint="eastAsia" w:ascii="宋体" w:cs="宋体"/>
          <w:color w:val="auto"/>
          <w:szCs w:val="21"/>
          <w:highlight w:val="none"/>
          <w:u w:val="none"/>
          <w:lang w:val="en-US" w:eastAsia="zh-CN"/>
        </w:rPr>
        <w:t>我单位</w:t>
      </w:r>
      <w:r>
        <w:rPr>
          <w:rFonts w:hint="eastAsia" w:ascii="宋体" w:cs="宋体"/>
          <w:color w:val="auto"/>
          <w:szCs w:val="21"/>
          <w:highlight w:val="none"/>
          <w:u w:val="none"/>
        </w:rPr>
        <w:t>委派</w:t>
      </w:r>
      <w:r>
        <w:rPr>
          <w:rFonts w:hint="eastAsia" w:ascii="宋体" w:cs="宋体"/>
          <w:color w:val="auto"/>
          <w:szCs w:val="21"/>
          <w:highlight w:val="none"/>
        </w:rPr>
        <w:t>，拟在</w:t>
      </w:r>
      <w:r>
        <w:rPr>
          <w:rFonts w:hint="eastAsia" w:ascii="宋体" w:cs="宋体"/>
          <w:color w:val="auto"/>
          <w:szCs w:val="21"/>
          <w:highlight w:val="none"/>
          <w:u w:val="single"/>
        </w:rPr>
        <w:t>（项目名称）</w:t>
      </w:r>
      <w:r>
        <w:rPr>
          <w:rFonts w:hint="eastAsia" w:ascii="宋体" w:cs="宋体"/>
          <w:color w:val="auto"/>
          <w:szCs w:val="21"/>
          <w:highlight w:val="none"/>
        </w:rPr>
        <w:t>担任总监理工程师一职。为加强本工程的监理工作，保证我公司在中标后严格履行与业主签定的工程建设承包合同，圆满的完成本项工程，我愿就此做出以下承诺：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我单位拟派总监理工程师，在本项目投标期间和合同履约期间，最多只在一项其他工程项目中担任总监理工程师职务，否则，我单位自愿接受业主的任何处罚，包括取消中标资格或终止合同。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s="宋体"/>
          <w:color w:val="auto"/>
          <w:szCs w:val="21"/>
          <w:highlight w:val="none"/>
        </w:rPr>
      </w:pPr>
    </w:p>
    <w:p>
      <w:pPr>
        <w:pStyle w:val="2"/>
        <w:rPr>
          <w:rFonts w:hint="eastAsia" w:ascii="宋体" w:cs="宋体"/>
          <w:color w:val="auto"/>
          <w:szCs w:val="21"/>
          <w:highlight w:val="none"/>
        </w:rPr>
      </w:pPr>
    </w:p>
    <w:p>
      <w:pPr>
        <w:pStyle w:val="2"/>
        <w:rPr>
          <w:rFonts w:hint="eastAsia" w:asci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00" w:firstLineChars="1000"/>
        <w:textAlignment w:val="auto"/>
        <w:rPr>
          <w:rFonts w:ascii="宋体" w:hAnsi="宋体" w:cs="宋体"/>
          <w:color w:val="auto"/>
          <w:szCs w:val="21"/>
          <w:highlight w:val="none"/>
          <w:u w:val="single"/>
        </w:rPr>
      </w:pPr>
      <w:r>
        <w:rPr>
          <w:rFonts w:hint="eastAsia" w:ascii="宋体" w:hAnsi="宋体" w:cs="宋体"/>
          <w:color w:val="auto"/>
          <w:szCs w:val="21"/>
          <w:highlight w:val="none"/>
        </w:rPr>
        <w:t>投标单位（盖章）：</w:t>
      </w:r>
    </w:p>
    <w:p>
      <w:pPr>
        <w:keepNext w:val="0"/>
        <w:keepLines w:val="0"/>
        <w:pageBreakBefore w:val="0"/>
        <w:widowControl w:val="0"/>
        <w:kinsoku/>
        <w:wordWrap/>
        <w:overflowPunct/>
        <w:topLinePunct w:val="0"/>
        <w:autoSpaceDE/>
        <w:autoSpaceDN/>
        <w:bidi w:val="0"/>
        <w:adjustRightInd/>
        <w:snapToGrid/>
        <w:spacing w:line="360" w:lineRule="auto"/>
        <w:ind w:firstLine="2100" w:firstLineChars="1000"/>
        <w:textAlignment w:val="auto"/>
        <w:rPr>
          <w:color w:val="auto"/>
          <w:szCs w:val="21"/>
          <w:highlight w:val="none"/>
        </w:rPr>
        <w:sectPr>
          <w:pgSz w:w="12240" w:h="15840"/>
          <w:pgMar w:top="1480" w:right="1718" w:bottom="919" w:left="1718" w:header="850" w:footer="992" w:gutter="0"/>
          <w:cols w:space="720" w:num="1"/>
          <w:docGrid w:linePitch="312" w:charSpace="0"/>
        </w:sectPr>
      </w:pPr>
      <w:r>
        <w:rPr>
          <w:rFonts w:hint="eastAsia" w:ascii="宋体" w:hAnsi="宋体" w:cs="宋体"/>
          <w:color w:val="auto"/>
          <w:szCs w:val="21"/>
          <w:highlight w:val="none"/>
        </w:rPr>
        <w:t>日期：年月日</w:t>
      </w:r>
    </w:p>
    <w:p>
      <w:pPr>
        <w:pStyle w:val="4"/>
        <w:jc w:val="center"/>
        <w:rPr>
          <w:rFonts w:ascii="宋体" w:cs="宋体"/>
          <w:color w:val="auto"/>
          <w:sz w:val="36"/>
          <w:szCs w:val="36"/>
          <w:highlight w:val="none"/>
        </w:rPr>
      </w:pPr>
      <w:bookmarkStart w:id="468" w:name="_Toc338"/>
      <w:r>
        <w:rPr>
          <w:rFonts w:hint="eastAsia" w:ascii="宋体" w:cs="宋体"/>
          <w:color w:val="auto"/>
          <w:sz w:val="36"/>
          <w:szCs w:val="36"/>
          <w:highlight w:val="none"/>
          <w:lang w:val="en-US" w:eastAsia="zh-CN"/>
        </w:rPr>
        <w:t>十</w:t>
      </w:r>
      <w:r>
        <w:rPr>
          <w:rFonts w:hint="eastAsia" w:ascii="宋体" w:cs="宋体"/>
          <w:color w:val="auto"/>
          <w:sz w:val="36"/>
          <w:szCs w:val="36"/>
          <w:highlight w:val="none"/>
        </w:rPr>
        <w:t>、</w:t>
      </w:r>
      <w:r>
        <w:rPr>
          <w:rFonts w:hint="eastAsia" w:ascii="宋体" w:cs="宋体"/>
          <w:color w:val="auto"/>
          <w:sz w:val="36"/>
          <w:szCs w:val="36"/>
          <w:highlight w:val="none"/>
          <w:lang w:val="en-US" w:eastAsia="zh-CN"/>
        </w:rPr>
        <w:t>总监代表履约承诺书</w:t>
      </w:r>
      <w:bookmarkEnd w:id="468"/>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cs="宋体"/>
          <w:color w:val="auto"/>
          <w:szCs w:val="21"/>
          <w:highlight w:val="none"/>
        </w:rPr>
      </w:pPr>
      <w:r>
        <w:rPr>
          <w:rFonts w:hint="eastAsia" w:ascii="宋体" w:cs="宋体"/>
          <w:color w:val="auto"/>
          <w:szCs w:val="21"/>
          <w:highlight w:val="none"/>
        </w:rPr>
        <w:t>致</w:t>
      </w:r>
      <w:r>
        <w:rPr>
          <w:rFonts w:hint="eastAsia" w:ascii="宋体" w:cs="宋体"/>
          <w:color w:val="auto"/>
          <w:szCs w:val="21"/>
          <w:highlight w:val="none"/>
          <w:u w:val="single"/>
        </w:rPr>
        <w:t>（业主）</w:t>
      </w:r>
      <w:r>
        <w:rPr>
          <w:rFonts w:hint="eastAsia" w:asci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color w:val="auto"/>
          <w:szCs w:val="21"/>
          <w:highlight w:val="none"/>
          <w:u w:val="single"/>
        </w:rPr>
      </w:pPr>
      <w:r>
        <w:rPr>
          <w:rFonts w:hint="eastAsia" w:ascii="宋体" w:cs="宋体"/>
          <w:color w:val="auto"/>
          <w:szCs w:val="21"/>
          <w:highlight w:val="none"/>
        </w:rPr>
        <w:t>我单位</w:t>
      </w:r>
      <w:r>
        <w:rPr>
          <w:rFonts w:hint="eastAsia" w:ascii="宋体" w:cs="宋体"/>
          <w:color w:val="auto"/>
          <w:szCs w:val="21"/>
          <w:highlight w:val="none"/>
          <w:u w:val="single"/>
        </w:rPr>
        <w:t>（姓名）</w:t>
      </w:r>
      <w:r>
        <w:rPr>
          <w:rFonts w:hint="eastAsia" w:ascii="宋体" w:cs="宋体"/>
          <w:color w:val="auto"/>
          <w:szCs w:val="21"/>
          <w:highlight w:val="none"/>
        </w:rPr>
        <w:t>，监理工程师证书注册编号：</w:t>
      </w:r>
      <w:r>
        <w:rPr>
          <w:rFonts w:hint="eastAsia" w:asci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cs="宋体"/>
          <w:color w:val="auto"/>
          <w:szCs w:val="21"/>
          <w:highlight w:val="none"/>
        </w:rPr>
      </w:pPr>
      <w:r>
        <w:rPr>
          <w:rFonts w:hint="eastAsia" w:ascii="宋体" w:cs="宋体"/>
          <w:color w:val="auto"/>
          <w:szCs w:val="21"/>
          <w:highlight w:val="none"/>
        </w:rPr>
        <w:t>受我单位委派，拟在</w:t>
      </w:r>
      <w:r>
        <w:rPr>
          <w:rFonts w:hint="eastAsia" w:ascii="宋体" w:cs="宋体"/>
          <w:color w:val="auto"/>
          <w:szCs w:val="21"/>
          <w:highlight w:val="none"/>
          <w:u w:val="single"/>
        </w:rPr>
        <w:t>（项目名称）</w:t>
      </w:r>
      <w:r>
        <w:rPr>
          <w:rFonts w:hint="eastAsia" w:ascii="宋体" w:cs="宋体"/>
          <w:color w:val="auto"/>
          <w:szCs w:val="21"/>
          <w:highlight w:val="none"/>
        </w:rPr>
        <w:t>担任总监理工程师代表一职。为加强本工程的监理工作，保证我公司在中标后严格履行与业主签订的工程建设承包合同，圆满的完成本项工程，我单位做出以下承诺：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color w:val="auto"/>
          <w:szCs w:val="21"/>
          <w:highlight w:val="none"/>
        </w:rPr>
      </w:pPr>
      <w:r>
        <w:rPr>
          <w:rFonts w:hint="eastAsia" w:ascii="宋体" w:cs="宋体"/>
          <w:color w:val="auto"/>
          <w:szCs w:val="21"/>
          <w:highlight w:val="none"/>
        </w:rPr>
        <w:t>我单位拟派总监理工程师代表，在本项目投标期间和合同履约期间，没有在其他工程项目中担任总监理工程师职务或总监代表，否则，我单位自愿接受业主的任何处罚，包括取消中标资格或终止合同。</w:t>
      </w:r>
    </w:p>
    <w:p>
      <w:pPr>
        <w:spacing w:line="360" w:lineRule="auto"/>
        <w:ind w:firstLine="3360" w:firstLineChars="1600"/>
        <w:rPr>
          <w:rFonts w:hint="eastAsia" w:ascii="宋体" w:cs="宋体"/>
          <w:color w:val="auto"/>
          <w:szCs w:val="21"/>
          <w:highlight w:val="none"/>
        </w:rPr>
      </w:pPr>
    </w:p>
    <w:p>
      <w:pPr>
        <w:pStyle w:val="2"/>
        <w:rPr>
          <w:rFonts w:hint="eastAsia" w:ascii="宋体" w:cs="宋体"/>
          <w:color w:val="auto"/>
          <w:szCs w:val="21"/>
          <w:highlight w:val="none"/>
        </w:rPr>
      </w:pPr>
    </w:p>
    <w:p>
      <w:pPr>
        <w:pStyle w:val="2"/>
        <w:rPr>
          <w:rFonts w:hint="eastAsia" w:asci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00" w:firstLineChars="1000"/>
        <w:textAlignment w:val="auto"/>
        <w:rPr>
          <w:rFonts w:ascii="宋体" w:hAnsi="宋体" w:cs="宋体"/>
          <w:color w:val="auto"/>
          <w:szCs w:val="21"/>
          <w:highlight w:val="none"/>
          <w:u w:val="single"/>
        </w:rPr>
      </w:pPr>
      <w:r>
        <w:rPr>
          <w:rFonts w:hint="eastAsia" w:ascii="宋体" w:hAnsi="宋体" w:cs="宋体"/>
          <w:color w:val="auto"/>
          <w:szCs w:val="21"/>
          <w:highlight w:val="none"/>
        </w:rPr>
        <w:t>投标单位（盖章）：</w:t>
      </w:r>
    </w:p>
    <w:p>
      <w:pPr>
        <w:keepNext w:val="0"/>
        <w:keepLines w:val="0"/>
        <w:pageBreakBefore w:val="0"/>
        <w:widowControl w:val="0"/>
        <w:kinsoku/>
        <w:wordWrap/>
        <w:overflowPunct/>
        <w:topLinePunct w:val="0"/>
        <w:autoSpaceDE/>
        <w:autoSpaceDN/>
        <w:bidi w:val="0"/>
        <w:adjustRightInd/>
        <w:snapToGrid/>
        <w:spacing w:line="360" w:lineRule="auto"/>
        <w:ind w:firstLine="2100" w:firstLineChars="1000"/>
        <w:textAlignment w:val="auto"/>
        <w:rPr>
          <w:color w:val="auto"/>
          <w:szCs w:val="21"/>
          <w:highlight w:val="none"/>
        </w:rPr>
        <w:sectPr>
          <w:pgSz w:w="12240" w:h="15840"/>
          <w:pgMar w:top="1480" w:right="1718" w:bottom="919" w:left="1718" w:header="850" w:footer="992" w:gutter="0"/>
          <w:cols w:space="720" w:num="1"/>
          <w:docGrid w:linePitch="312" w:charSpace="0"/>
        </w:sectPr>
      </w:pPr>
      <w:r>
        <w:rPr>
          <w:rFonts w:hint="eastAsia" w:ascii="宋体" w:hAnsi="宋体" w:cs="宋体"/>
          <w:color w:val="auto"/>
          <w:szCs w:val="21"/>
          <w:highlight w:val="none"/>
        </w:rPr>
        <w:t>日期：年月日</w:t>
      </w:r>
    </w:p>
    <w:p>
      <w:pPr>
        <w:pStyle w:val="4"/>
        <w:jc w:val="left"/>
        <w:rPr>
          <w:rFonts w:ascii="宋体" w:hAnsi="宋体" w:cs="宋体"/>
          <w:color w:val="auto"/>
          <w:sz w:val="36"/>
          <w:szCs w:val="36"/>
          <w:highlight w:val="none"/>
        </w:rPr>
      </w:pPr>
      <w:bookmarkStart w:id="469" w:name="_Toc24358"/>
      <w:bookmarkStart w:id="470" w:name="_Toc1044"/>
      <w:r>
        <w:rPr>
          <w:rFonts w:hint="eastAsia" w:ascii="宋体" w:hAnsi="宋体" w:cs="宋体"/>
          <w:color w:val="auto"/>
          <w:sz w:val="36"/>
          <w:szCs w:val="36"/>
          <w:highlight w:val="none"/>
        </w:rPr>
        <w:t>十</w:t>
      </w:r>
      <w:r>
        <w:rPr>
          <w:rFonts w:hint="eastAsia" w:ascii="宋体" w:hAnsi="宋体" w:cs="宋体"/>
          <w:color w:val="auto"/>
          <w:sz w:val="36"/>
          <w:szCs w:val="36"/>
          <w:highlight w:val="none"/>
          <w:lang w:val="en-US" w:eastAsia="zh-CN"/>
        </w:rPr>
        <w:t>一</w:t>
      </w:r>
      <w:r>
        <w:rPr>
          <w:rFonts w:hint="eastAsia" w:ascii="宋体" w:hAnsi="宋体" w:cs="宋体"/>
          <w:color w:val="auto"/>
          <w:sz w:val="36"/>
          <w:szCs w:val="36"/>
          <w:highlight w:val="none"/>
        </w:rPr>
        <w:t>、项目监理机构配备情况</w:t>
      </w:r>
      <w:bookmarkEnd w:id="464"/>
      <w:bookmarkEnd w:id="465"/>
      <w:bookmarkEnd w:id="466"/>
      <w:bookmarkEnd w:id="467"/>
      <w:bookmarkEnd w:id="469"/>
      <w:bookmarkEnd w:id="470"/>
    </w:p>
    <w:p>
      <w:pPr>
        <w:pStyle w:val="17"/>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现场组织机构设计合理。项目总监具有注册监理工程师证书，项目总监代表具有注册监理工程师证书，现场监理人员的数量和资质满足本招标工程的要求。</w:t>
      </w:r>
    </w:p>
    <w:p>
      <w:pPr>
        <w:tabs>
          <w:tab w:val="left" w:pos="0"/>
        </w:tabs>
        <w:spacing w:line="360" w:lineRule="auto"/>
        <w:ind w:right="-210"/>
        <w:jc w:val="left"/>
        <w:rPr>
          <w:rFonts w:ascii="宋体" w:hAnsi="宋体" w:cs="宋体"/>
          <w:color w:val="auto"/>
          <w:szCs w:val="21"/>
          <w:highlight w:val="none"/>
        </w:rPr>
      </w:pPr>
      <w:r>
        <w:rPr>
          <w:rFonts w:hint="eastAsia" w:ascii="宋体" w:hAnsi="宋体" w:cs="宋体"/>
          <w:color w:val="auto"/>
          <w:szCs w:val="21"/>
          <w:highlight w:val="none"/>
        </w:rPr>
        <w:t>1、项目监理机构配备情况表</w:t>
      </w:r>
    </w:p>
    <w:p>
      <w:pPr>
        <w:tabs>
          <w:tab w:val="left" w:pos="0"/>
        </w:tabs>
        <w:spacing w:line="360" w:lineRule="auto"/>
        <w:ind w:right="-212"/>
        <w:rPr>
          <w:rFonts w:ascii="宋体" w:hAnsi="宋体" w:cs="宋体"/>
          <w:color w:val="auto"/>
          <w:szCs w:val="21"/>
          <w:highlight w:val="none"/>
        </w:rPr>
      </w:pPr>
      <w:r>
        <w:rPr>
          <w:rFonts w:hint="eastAsia" w:ascii="宋体" w:hAnsi="宋体" w:cs="宋体"/>
          <w:color w:val="auto"/>
          <w:szCs w:val="21"/>
          <w:highlight w:val="none"/>
        </w:rPr>
        <w:t>2、项目总监简历表</w:t>
      </w:r>
    </w:p>
    <w:p>
      <w:pPr>
        <w:tabs>
          <w:tab w:val="left" w:pos="0"/>
        </w:tabs>
        <w:spacing w:line="360" w:lineRule="auto"/>
        <w:ind w:right="-212"/>
        <w:rPr>
          <w:rFonts w:ascii="宋体" w:hAnsi="宋体" w:cs="宋体"/>
          <w:color w:val="auto"/>
          <w:szCs w:val="21"/>
          <w:highlight w:val="none"/>
        </w:rPr>
      </w:pPr>
      <w:r>
        <w:rPr>
          <w:rFonts w:hint="eastAsia" w:ascii="宋体" w:hAnsi="宋体" w:cs="宋体"/>
          <w:color w:val="auto"/>
          <w:szCs w:val="21"/>
          <w:highlight w:val="none"/>
        </w:rPr>
        <w:t>3、项目总监代表简历表</w:t>
      </w:r>
    </w:p>
    <w:p>
      <w:pPr>
        <w:tabs>
          <w:tab w:val="left" w:pos="0"/>
        </w:tabs>
        <w:spacing w:line="360" w:lineRule="auto"/>
        <w:ind w:right="-212"/>
        <w:rPr>
          <w:rFonts w:ascii="宋体" w:hAnsi="宋体" w:cs="宋体"/>
          <w:color w:val="auto"/>
          <w:szCs w:val="21"/>
          <w:highlight w:val="none"/>
        </w:rPr>
      </w:pPr>
      <w:r>
        <w:rPr>
          <w:rFonts w:hint="eastAsia" w:ascii="宋体" w:hAnsi="宋体" w:cs="宋体"/>
          <w:color w:val="auto"/>
          <w:szCs w:val="21"/>
          <w:highlight w:val="none"/>
        </w:rPr>
        <w:t>4、项目管理机构配备情况辅助说明资料</w:t>
      </w:r>
    </w:p>
    <w:p>
      <w:pPr>
        <w:rPr>
          <w:rFonts w:ascii="宋体" w:hAnsi="宋体" w:cs="宋体"/>
          <w:color w:val="auto"/>
          <w:sz w:val="24"/>
          <w:highlight w:val="none"/>
        </w:rPr>
      </w:pPr>
    </w:p>
    <w:p>
      <w:pPr>
        <w:pStyle w:val="5"/>
        <w:ind w:firstLine="160" w:firstLineChars="50"/>
        <w:rPr>
          <w:rFonts w:ascii="宋体" w:hAnsi="宋体" w:cs="宋体"/>
          <w:b w:val="0"/>
          <w:bCs w:val="0"/>
          <w:color w:val="auto"/>
          <w:sz w:val="32"/>
          <w:highlight w:val="none"/>
        </w:rPr>
      </w:pPr>
      <w:r>
        <w:rPr>
          <w:rFonts w:hint="eastAsia" w:ascii="宋体" w:hAnsi="宋体" w:cs="宋体"/>
          <w:b w:val="0"/>
          <w:bCs w:val="0"/>
          <w:color w:val="auto"/>
          <w:sz w:val="32"/>
          <w:highlight w:val="none"/>
        </w:rPr>
        <w:br w:type="page"/>
      </w:r>
      <w:bookmarkStart w:id="471" w:name="_Toc18025"/>
      <w:r>
        <w:rPr>
          <w:rFonts w:hint="eastAsia" w:ascii="宋体" w:hAnsi="宋体" w:cs="宋体"/>
          <w:b w:val="0"/>
          <w:bCs w:val="0"/>
          <w:color w:val="auto"/>
          <w:sz w:val="32"/>
          <w:highlight w:val="none"/>
        </w:rPr>
        <w:t>1、</w:t>
      </w:r>
      <w:bookmarkEnd w:id="471"/>
      <w:r>
        <w:rPr>
          <w:rFonts w:hint="eastAsia" w:ascii="宋体" w:hAnsi="宋体" w:cs="宋体"/>
          <w:b w:val="0"/>
          <w:bCs w:val="0"/>
          <w:color w:val="auto"/>
          <w:sz w:val="32"/>
          <w:highlight w:val="none"/>
        </w:rPr>
        <w:t>项目监理机构配备情况表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90" w:type="dxa"/>
            <w:vMerge w:val="restart"/>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686" w:type="dxa"/>
            <w:vMerge w:val="restart"/>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686" w:type="dxa"/>
            <w:vMerge w:val="restart"/>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5081" w:type="dxa"/>
            <w:gridSpan w:val="5"/>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执业或职业资格证明</w:t>
            </w:r>
          </w:p>
        </w:tc>
        <w:tc>
          <w:tcPr>
            <w:tcW w:w="231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已承担完工</w:t>
            </w:r>
          </w:p>
          <w:p>
            <w:pPr>
              <w:jc w:val="center"/>
              <w:rPr>
                <w:rFonts w:ascii="宋体" w:hAnsi="宋体" w:cs="宋体"/>
                <w:color w:val="auto"/>
                <w:szCs w:val="21"/>
                <w:highlight w:val="none"/>
              </w:rPr>
            </w:pPr>
            <w:r>
              <w:rPr>
                <w:rFonts w:hint="eastAsia" w:ascii="宋体" w:hAnsi="宋体" w:cs="宋体"/>
                <w:color w:val="auto"/>
                <w:szCs w:val="21"/>
                <w:highlight w:val="none"/>
              </w:rPr>
              <w:t>工 程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noWrap/>
            <w:vAlign w:val="top"/>
          </w:tcPr>
          <w:p>
            <w:pPr>
              <w:rPr>
                <w:rFonts w:ascii="宋体" w:hAnsi="宋体" w:cs="宋体"/>
                <w:color w:val="auto"/>
                <w:szCs w:val="21"/>
                <w:highlight w:val="none"/>
              </w:rPr>
            </w:pPr>
          </w:p>
        </w:tc>
        <w:tc>
          <w:tcPr>
            <w:tcW w:w="686" w:type="dxa"/>
            <w:vMerge w:val="continue"/>
            <w:noWrap/>
            <w:vAlign w:val="top"/>
          </w:tcPr>
          <w:p>
            <w:pPr>
              <w:rPr>
                <w:rFonts w:ascii="宋体" w:hAnsi="宋体" w:cs="宋体"/>
                <w:color w:val="auto"/>
                <w:szCs w:val="21"/>
                <w:highlight w:val="none"/>
              </w:rPr>
            </w:pPr>
          </w:p>
        </w:tc>
        <w:tc>
          <w:tcPr>
            <w:tcW w:w="686" w:type="dxa"/>
            <w:vMerge w:val="continue"/>
            <w:noWrap/>
            <w:vAlign w:val="top"/>
          </w:tcPr>
          <w:p>
            <w:pPr>
              <w:rPr>
                <w:rFonts w:ascii="宋体" w:hAnsi="宋体" w:cs="宋体"/>
                <w:color w:val="auto"/>
                <w:szCs w:val="21"/>
                <w:highlight w:val="none"/>
              </w:rPr>
            </w:pPr>
          </w:p>
        </w:tc>
        <w:tc>
          <w:tcPr>
            <w:tcW w:w="1207"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686"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级别</w:t>
            </w:r>
          </w:p>
        </w:tc>
        <w:tc>
          <w:tcPr>
            <w:tcW w:w="860"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证号</w:t>
            </w:r>
          </w:p>
        </w:tc>
        <w:tc>
          <w:tcPr>
            <w:tcW w:w="773"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555"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原服务单位</w:t>
            </w:r>
          </w:p>
        </w:tc>
        <w:tc>
          <w:tcPr>
            <w:tcW w:w="1065"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项目数</w:t>
            </w:r>
          </w:p>
        </w:tc>
        <w:tc>
          <w:tcPr>
            <w:tcW w:w="1245"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1207" w:type="dxa"/>
            <w:noWrap/>
            <w:vAlign w:val="top"/>
          </w:tcPr>
          <w:p>
            <w:pPr>
              <w:rPr>
                <w:rFonts w:ascii="宋体" w:hAnsi="宋体" w:cs="宋体"/>
                <w:color w:val="auto"/>
                <w:szCs w:val="21"/>
                <w:highlight w:val="none"/>
              </w:rPr>
            </w:pPr>
          </w:p>
        </w:tc>
        <w:tc>
          <w:tcPr>
            <w:tcW w:w="686" w:type="dxa"/>
            <w:noWrap/>
            <w:vAlign w:val="top"/>
          </w:tcPr>
          <w:p>
            <w:pPr>
              <w:rPr>
                <w:rFonts w:ascii="宋体" w:hAnsi="宋体" w:cs="宋体"/>
                <w:color w:val="auto"/>
                <w:szCs w:val="21"/>
                <w:highlight w:val="none"/>
              </w:rPr>
            </w:pPr>
          </w:p>
        </w:tc>
        <w:tc>
          <w:tcPr>
            <w:tcW w:w="860" w:type="dxa"/>
            <w:noWrap/>
            <w:vAlign w:val="top"/>
          </w:tcPr>
          <w:p>
            <w:pPr>
              <w:rPr>
                <w:rFonts w:ascii="宋体" w:hAnsi="宋体" w:cs="宋体"/>
                <w:color w:val="auto"/>
                <w:szCs w:val="21"/>
                <w:highlight w:val="none"/>
              </w:rPr>
            </w:pPr>
          </w:p>
        </w:tc>
        <w:tc>
          <w:tcPr>
            <w:tcW w:w="773" w:type="dxa"/>
            <w:noWrap/>
            <w:vAlign w:val="top"/>
          </w:tcPr>
          <w:p>
            <w:pPr>
              <w:rPr>
                <w:rFonts w:ascii="宋体" w:hAnsi="宋体" w:cs="宋体"/>
                <w:color w:val="auto"/>
                <w:szCs w:val="21"/>
                <w:highlight w:val="none"/>
              </w:rPr>
            </w:pPr>
          </w:p>
        </w:tc>
        <w:tc>
          <w:tcPr>
            <w:tcW w:w="1555" w:type="dxa"/>
            <w:noWrap/>
            <w:vAlign w:val="top"/>
          </w:tcPr>
          <w:p>
            <w:pPr>
              <w:rPr>
                <w:rFonts w:ascii="宋体" w:hAnsi="宋体" w:cs="宋体"/>
                <w:color w:val="auto"/>
                <w:szCs w:val="21"/>
                <w:highlight w:val="none"/>
              </w:rPr>
            </w:pPr>
          </w:p>
        </w:tc>
        <w:tc>
          <w:tcPr>
            <w:tcW w:w="1065" w:type="dxa"/>
            <w:noWrap/>
            <w:vAlign w:val="top"/>
          </w:tcPr>
          <w:p>
            <w:pPr>
              <w:rPr>
                <w:rFonts w:ascii="宋体" w:hAnsi="宋体" w:cs="宋体"/>
                <w:color w:val="auto"/>
                <w:szCs w:val="21"/>
                <w:highlight w:val="none"/>
              </w:rPr>
            </w:pPr>
          </w:p>
        </w:tc>
        <w:tc>
          <w:tcPr>
            <w:tcW w:w="1245" w:type="dxa"/>
            <w:noWrap/>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noWrap/>
            <w:vAlign w:val="top"/>
          </w:tcPr>
          <w:p>
            <w:pPr>
              <w:ind w:firstLine="360"/>
              <w:rPr>
                <w:rFonts w:ascii="宋体" w:hAnsi="宋体" w:cs="宋体"/>
                <w:color w:val="auto"/>
                <w:szCs w:val="21"/>
                <w:highlight w:val="none"/>
              </w:rPr>
            </w:pPr>
            <w:r>
              <w:rPr>
                <w:rFonts w:hint="eastAsia" w:ascii="宋体" w:hAnsi="宋体" w:cs="宋体"/>
                <w:color w:val="auto"/>
                <w:szCs w:val="21"/>
                <w:highlight w:val="none"/>
              </w:rPr>
              <w:t xml:space="preserve">一旦我单位中标，将实行项目总监负责制，我方保证并配备上述项目监理机构。上述填报内容真实，若不真实，愿按有关规定接受处理。项目管理班子机构设置、职责分工等情况另附资料说明。             </w:t>
            </w:r>
          </w:p>
        </w:tc>
      </w:tr>
    </w:tbl>
    <w:p>
      <w:pPr>
        <w:rPr>
          <w:rFonts w:ascii="宋体" w:hAnsi="宋体" w:cs="宋体"/>
          <w:color w:val="auto"/>
          <w:highlight w:val="none"/>
        </w:rPr>
      </w:pPr>
    </w:p>
    <w:p>
      <w:pPr>
        <w:rPr>
          <w:rFonts w:ascii="宋体" w:hAnsi="宋体" w:cs="宋体"/>
          <w:color w:val="auto"/>
          <w:highlight w:val="none"/>
        </w:rPr>
      </w:pPr>
    </w:p>
    <w:p>
      <w:pPr>
        <w:pStyle w:val="5"/>
        <w:ind w:firstLine="480" w:firstLineChars="150"/>
        <w:rPr>
          <w:rFonts w:ascii="宋体" w:hAnsi="宋体" w:cs="宋体"/>
          <w:b w:val="0"/>
          <w:bCs w:val="0"/>
          <w:color w:val="auto"/>
          <w:sz w:val="32"/>
          <w:highlight w:val="none"/>
        </w:rPr>
      </w:pPr>
      <w:r>
        <w:rPr>
          <w:rFonts w:hint="eastAsia" w:ascii="宋体" w:hAnsi="宋体" w:cs="宋体"/>
          <w:b w:val="0"/>
          <w:bCs w:val="0"/>
          <w:color w:val="auto"/>
          <w:sz w:val="32"/>
          <w:highlight w:val="none"/>
        </w:rPr>
        <w:br w:type="page"/>
      </w:r>
      <w:bookmarkStart w:id="472" w:name="_Toc10581"/>
      <w:r>
        <w:rPr>
          <w:rFonts w:hint="eastAsia" w:ascii="宋体" w:hAnsi="宋体" w:cs="宋体"/>
          <w:b w:val="0"/>
          <w:bCs w:val="0"/>
          <w:color w:val="auto"/>
          <w:sz w:val="32"/>
          <w:highlight w:val="none"/>
        </w:rPr>
        <w:t>2、项目总监简历表</w:t>
      </w:r>
      <w:bookmarkEnd w:id="472"/>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2610" w:type="dxa"/>
            <w:gridSpan w:val="4"/>
            <w:noWrap/>
            <w:vAlign w:val="center"/>
          </w:tcPr>
          <w:p>
            <w:pPr>
              <w:jc w:val="center"/>
              <w:rPr>
                <w:rFonts w:ascii="宋体" w:hAnsi="宋体" w:cs="宋体"/>
                <w:color w:val="auto"/>
                <w:szCs w:val="21"/>
                <w:highlight w:val="none"/>
              </w:rPr>
            </w:pPr>
          </w:p>
        </w:tc>
        <w:tc>
          <w:tcPr>
            <w:tcW w:w="84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1680" w:type="dxa"/>
            <w:gridSpan w:val="2"/>
            <w:noWrap/>
            <w:vAlign w:val="center"/>
          </w:tcPr>
          <w:p>
            <w:pPr>
              <w:jc w:val="center"/>
              <w:rPr>
                <w:rFonts w:ascii="宋体" w:hAnsi="宋体" w:cs="宋体"/>
                <w:color w:val="auto"/>
                <w:szCs w:val="21"/>
                <w:highlight w:val="none"/>
              </w:rPr>
            </w:pPr>
          </w:p>
        </w:tc>
        <w:tc>
          <w:tcPr>
            <w:tcW w:w="108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800" w:type="dxa"/>
            <w:gridSpan w:val="2"/>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610" w:type="dxa"/>
            <w:gridSpan w:val="4"/>
            <w:noWrap/>
            <w:vAlign w:val="center"/>
          </w:tcPr>
          <w:p>
            <w:pPr>
              <w:jc w:val="center"/>
              <w:rPr>
                <w:rFonts w:ascii="宋体" w:hAnsi="宋体" w:cs="宋体"/>
                <w:color w:val="auto"/>
                <w:szCs w:val="21"/>
                <w:highlight w:val="none"/>
              </w:rPr>
            </w:pPr>
          </w:p>
        </w:tc>
        <w:tc>
          <w:tcPr>
            <w:tcW w:w="84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680" w:type="dxa"/>
            <w:gridSpan w:val="2"/>
            <w:noWrap/>
            <w:vAlign w:val="center"/>
          </w:tcPr>
          <w:p>
            <w:pPr>
              <w:jc w:val="center"/>
              <w:rPr>
                <w:rFonts w:ascii="宋体" w:hAnsi="宋体" w:cs="宋体"/>
                <w:color w:val="auto"/>
                <w:szCs w:val="21"/>
                <w:highlight w:val="none"/>
              </w:rPr>
            </w:pPr>
          </w:p>
        </w:tc>
        <w:tc>
          <w:tcPr>
            <w:tcW w:w="108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800" w:type="dxa"/>
            <w:gridSpan w:val="2"/>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参加工作时间</w:t>
            </w:r>
          </w:p>
        </w:tc>
        <w:tc>
          <w:tcPr>
            <w:tcW w:w="1800" w:type="dxa"/>
            <w:gridSpan w:val="3"/>
            <w:noWrap/>
            <w:vAlign w:val="center"/>
          </w:tcPr>
          <w:p>
            <w:pPr>
              <w:jc w:val="center"/>
              <w:rPr>
                <w:rFonts w:ascii="宋体" w:hAnsi="宋体" w:cs="宋体"/>
                <w:color w:val="auto"/>
                <w:szCs w:val="21"/>
                <w:highlight w:val="none"/>
              </w:rPr>
            </w:pPr>
          </w:p>
        </w:tc>
        <w:tc>
          <w:tcPr>
            <w:tcW w:w="3310" w:type="dxa"/>
            <w:gridSpan w:val="6"/>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监理工程师资格证书编号</w:t>
            </w: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68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580" w:type="dxa"/>
            <w:gridSpan w:val="4"/>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156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开、竣工</w:t>
            </w:r>
          </w:p>
          <w:p>
            <w:pPr>
              <w:jc w:val="center"/>
              <w:rPr>
                <w:rFonts w:ascii="宋体" w:hAnsi="宋体" w:cs="宋体"/>
                <w:color w:val="auto"/>
                <w:szCs w:val="21"/>
                <w:highlight w:val="none"/>
              </w:rPr>
            </w:pPr>
            <w:r>
              <w:rPr>
                <w:rFonts w:hint="eastAsia" w:ascii="宋体" w:hAnsi="宋体" w:cs="宋体"/>
                <w:color w:val="auto"/>
                <w:szCs w:val="21"/>
                <w:highlight w:val="none"/>
              </w:rPr>
              <w:t>日期</w:t>
            </w:r>
          </w:p>
        </w:tc>
        <w:tc>
          <w:tcPr>
            <w:tcW w:w="105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在建或已 完</w:t>
            </w:r>
          </w:p>
        </w:tc>
        <w:tc>
          <w:tcPr>
            <w:tcW w:w="1395"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bl>
    <w:p>
      <w:pPr>
        <w:rPr>
          <w:rFonts w:ascii="宋体" w:hAnsi="宋体" w:cs="宋体"/>
          <w:color w:val="auto"/>
          <w:highlight w:val="none"/>
        </w:rPr>
      </w:pPr>
    </w:p>
    <w:p>
      <w:pPr>
        <w:widowControl/>
        <w:jc w:val="left"/>
        <w:rPr>
          <w:rFonts w:ascii="宋体" w:hAnsi="宋体" w:cs="宋体"/>
          <w:color w:val="auto"/>
          <w:sz w:val="32"/>
          <w:szCs w:val="28"/>
          <w:highlight w:val="none"/>
        </w:rPr>
      </w:pPr>
      <w:r>
        <w:rPr>
          <w:rFonts w:hint="eastAsia" w:ascii="宋体" w:hAnsi="宋体" w:cs="宋体"/>
          <w:b/>
          <w:bCs/>
          <w:color w:val="auto"/>
          <w:sz w:val="32"/>
          <w:highlight w:val="none"/>
        </w:rPr>
        <w:br w:type="page"/>
      </w:r>
      <w:bookmarkStart w:id="473" w:name="_Toc30398"/>
    </w:p>
    <w:p>
      <w:pPr>
        <w:pStyle w:val="5"/>
        <w:ind w:firstLine="480" w:firstLineChars="150"/>
        <w:rPr>
          <w:rFonts w:ascii="宋体" w:hAnsi="宋体" w:cs="宋体"/>
          <w:b w:val="0"/>
          <w:bCs w:val="0"/>
          <w:color w:val="auto"/>
          <w:sz w:val="32"/>
          <w:highlight w:val="none"/>
        </w:rPr>
      </w:pPr>
      <w:r>
        <w:rPr>
          <w:rFonts w:hint="eastAsia" w:ascii="宋体" w:hAnsi="宋体" w:cs="宋体"/>
          <w:b w:val="0"/>
          <w:bCs w:val="0"/>
          <w:color w:val="auto"/>
          <w:sz w:val="32"/>
          <w:highlight w:val="none"/>
        </w:rPr>
        <w:t>3、项目总监代表简历表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2610" w:type="dxa"/>
            <w:gridSpan w:val="4"/>
            <w:noWrap/>
            <w:vAlign w:val="center"/>
          </w:tcPr>
          <w:p>
            <w:pPr>
              <w:jc w:val="center"/>
              <w:rPr>
                <w:rFonts w:ascii="宋体" w:hAnsi="宋体" w:cs="宋体"/>
                <w:color w:val="auto"/>
                <w:szCs w:val="21"/>
                <w:highlight w:val="none"/>
              </w:rPr>
            </w:pPr>
          </w:p>
        </w:tc>
        <w:tc>
          <w:tcPr>
            <w:tcW w:w="84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1680" w:type="dxa"/>
            <w:gridSpan w:val="2"/>
            <w:noWrap/>
            <w:vAlign w:val="center"/>
          </w:tcPr>
          <w:p>
            <w:pPr>
              <w:jc w:val="center"/>
              <w:rPr>
                <w:rFonts w:ascii="宋体" w:hAnsi="宋体" w:cs="宋体"/>
                <w:color w:val="auto"/>
                <w:szCs w:val="21"/>
                <w:highlight w:val="none"/>
              </w:rPr>
            </w:pPr>
          </w:p>
        </w:tc>
        <w:tc>
          <w:tcPr>
            <w:tcW w:w="108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800" w:type="dxa"/>
            <w:gridSpan w:val="2"/>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610" w:type="dxa"/>
            <w:gridSpan w:val="4"/>
            <w:noWrap/>
            <w:vAlign w:val="center"/>
          </w:tcPr>
          <w:p>
            <w:pPr>
              <w:jc w:val="center"/>
              <w:rPr>
                <w:rFonts w:ascii="宋体" w:hAnsi="宋体" w:cs="宋体"/>
                <w:color w:val="auto"/>
                <w:szCs w:val="21"/>
                <w:highlight w:val="none"/>
              </w:rPr>
            </w:pPr>
          </w:p>
        </w:tc>
        <w:tc>
          <w:tcPr>
            <w:tcW w:w="84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680" w:type="dxa"/>
            <w:gridSpan w:val="2"/>
            <w:noWrap/>
            <w:vAlign w:val="center"/>
          </w:tcPr>
          <w:p>
            <w:pPr>
              <w:jc w:val="center"/>
              <w:rPr>
                <w:rFonts w:ascii="宋体" w:hAnsi="宋体" w:cs="宋体"/>
                <w:color w:val="auto"/>
                <w:szCs w:val="21"/>
                <w:highlight w:val="none"/>
              </w:rPr>
            </w:pPr>
          </w:p>
        </w:tc>
        <w:tc>
          <w:tcPr>
            <w:tcW w:w="108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800" w:type="dxa"/>
            <w:gridSpan w:val="2"/>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参加工作时间</w:t>
            </w:r>
          </w:p>
        </w:tc>
        <w:tc>
          <w:tcPr>
            <w:tcW w:w="1800" w:type="dxa"/>
            <w:gridSpan w:val="3"/>
            <w:noWrap/>
            <w:vAlign w:val="center"/>
          </w:tcPr>
          <w:p>
            <w:pPr>
              <w:jc w:val="center"/>
              <w:rPr>
                <w:rFonts w:ascii="宋体" w:hAnsi="宋体" w:cs="宋体"/>
                <w:color w:val="auto"/>
                <w:szCs w:val="21"/>
                <w:highlight w:val="none"/>
              </w:rPr>
            </w:pPr>
          </w:p>
        </w:tc>
        <w:tc>
          <w:tcPr>
            <w:tcW w:w="3310" w:type="dxa"/>
            <w:gridSpan w:val="6"/>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监理工程师资格证编号</w:t>
            </w: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68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580" w:type="dxa"/>
            <w:gridSpan w:val="4"/>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156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开、竣工</w:t>
            </w:r>
          </w:p>
          <w:p>
            <w:pPr>
              <w:jc w:val="center"/>
              <w:rPr>
                <w:rFonts w:ascii="宋体" w:hAnsi="宋体" w:cs="宋体"/>
                <w:color w:val="auto"/>
                <w:szCs w:val="21"/>
                <w:highlight w:val="none"/>
              </w:rPr>
            </w:pPr>
            <w:r>
              <w:rPr>
                <w:rFonts w:hint="eastAsia" w:ascii="宋体" w:hAnsi="宋体" w:cs="宋体"/>
                <w:color w:val="auto"/>
                <w:szCs w:val="21"/>
                <w:highlight w:val="none"/>
              </w:rPr>
              <w:t>日期</w:t>
            </w:r>
          </w:p>
        </w:tc>
        <w:tc>
          <w:tcPr>
            <w:tcW w:w="1050" w:type="dxa"/>
            <w:gridSpan w:val="2"/>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在建或已完工</w:t>
            </w:r>
          </w:p>
        </w:tc>
        <w:tc>
          <w:tcPr>
            <w:tcW w:w="1395" w:type="dxa"/>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ign w:val="center"/>
          </w:tcPr>
          <w:p>
            <w:pPr>
              <w:jc w:val="center"/>
              <w:rPr>
                <w:rFonts w:ascii="宋体" w:hAnsi="宋体" w:cs="宋体"/>
                <w:color w:val="auto"/>
                <w:szCs w:val="21"/>
                <w:highlight w:val="none"/>
              </w:rPr>
            </w:pPr>
          </w:p>
        </w:tc>
        <w:tc>
          <w:tcPr>
            <w:tcW w:w="1680" w:type="dxa"/>
            <w:gridSpan w:val="2"/>
            <w:noWrap/>
            <w:vAlign w:val="center"/>
          </w:tcPr>
          <w:p>
            <w:pPr>
              <w:jc w:val="center"/>
              <w:rPr>
                <w:rFonts w:ascii="宋体" w:hAnsi="宋体" w:cs="宋体"/>
                <w:color w:val="auto"/>
                <w:szCs w:val="21"/>
                <w:highlight w:val="none"/>
              </w:rPr>
            </w:pPr>
          </w:p>
        </w:tc>
        <w:tc>
          <w:tcPr>
            <w:tcW w:w="1580" w:type="dxa"/>
            <w:gridSpan w:val="4"/>
            <w:noWrap/>
            <w:vAlign w:val="center"/>
          </w:tcPr>
          <w:p>
            <w:pPr>
              <w:jc w:val="center"/>
              <w:rPr>
                <w:rFonts w:ascii="宋体" w:hAnsi="宋体" w:cs="宋体"/>
                <w:color w:val="auto"/>
                <w:szCs w:val="21"/>
                <w:highlight w:val="none"/>
              </w:rPr>
            </w:pPr>
          </w:p>
        </w:tc>
        <w:tc>
          <w:tcPr>
            <w:tcW w:w="1560" w:type="dxa"/>
            <w:gridSpan w:val="2"/>
            <w:noWrap/>
            <w:vAlign w:val="center"/>
          </w:tcPr>
          <w:p>
            <w:pPr>
              <w:jc w:val="center"/>
              <w:rPr>
                <w:rFonts w:ascii="宋体" w:hAnsi="宋体" w:cs="宋体"/>
                <w:color w:val="auto"/>
                <w:szCs w:val="21"/>
                <w:highlight w:val="none"/>
              </w:rPr>
            </w:pPr>
          </w:p>
        </w:tc>
        <w:tc>
          <w:tcPr>
            <w:tcW w:w="1050" w:type="dxa"/>
            <w:gridSpan w:val="2"/>
            <w:noWrap/>
            <w:vAlign w:val="center"/>
          </w:tcPr>
          <w:p>
            <w:pPr>
              <w:jc w:val="center"/>
              <w:rPr>
                <w:rFonts w:ascii="宋体" w:hAnsi="宋体" w:cs="宋体"/>
                <w:color w:val="auto"/>
                <w:szCs w:val="21"/>
                <w:highlight w:val="none"/>
              </w:rPr>
            </w:pPr>
          </w:p>
        </w:tc>
        <w:tc>
          <w:tcPr>
            <w:tcW w:w="1395" w:type="dxa"/>
            <w:noWrap/>
            <w:vAlign w:val="center"/>
          </w:tcPr>
          <w:p>
            <w:pPr>
              <w:jc w:val="center"/>
              <w:rPr>
                <w:rFonts w:ascii="宋体" w:hAnsi="宋体" w:cs="宋体"/>
                <w:color w:val="auto"/>
                <w:szCs w:val="21"/>
                <w:highlight w:val="none"/>
              </w:rPr>
            </w:pPr>
          </w:p>
        </w:tc>
      </w:tr>
    </w:tbl>
    <w:p>
      <w:pPr>
        <w:pStyle w:val="5"/>
        <w:ind w:firstLine="320" w:firstLineChars="100"/>
        <w:rPr>
          <w:rFonts w:ascii="宋体" w:hAnsi="宋体" w:cs="宋体"/>
          <w:b w:val="0"/>
          <w:bCs w:val="0"/>
          <w:color w:val="auto"/>
          <w:sz w:val="32"/>
          <w:highlight w:val="none"/>
        </w:rPr>
      </w:pPr>
      <w:r>
        <w:rPr>
          <w:rFonts w:hint="eastAsia" w:ascii="宋体" w:hAnsi="宋体" w:cs="宋体"/>
          <w:b w:val="0"/>
          <w:bCs w:val="0"/>
          <w:color w:val="auto"/>
          <w:sz w:val="32"/>
          <w:highlight w:val="none"/>
        </w:rPr>
        <w:t>4、项目管理机构配备情况辅助说明资料</w:t>
      </w:r>
      <w:bookmarkEnd w:id="47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3" w:hRule="atLeast"/>
          <w:jc w:val="center"/>
        </w:trPr>
        <w:tc>
          <w:tcPr>
            <w:tcW w:w="9558" w:type="dxa"/>
            <w:noWrap/>
            <w:vAlign w:val="top"/>
          </w:tcPr>
          <w:p>
            <w:pPr>
              <w:tabs>
                <w:tab w:val="left" w:pos="0"/>
              </w:tabs>
              <w:ind w:right="-212"/>
              <w:jc w:val="center"/>
              <w:rPr>
                <w:rFonts w:ascii="宋体" w:hAnsi="宋体" w:cs="宋体"/>
                <w:b/>
                <w:color w:val="auto"/>
                <w:highlight w:val="none"/>
              </w:rPr>
            </w:pPr>
          </w:p>
          <w:p>
            <w:pPr>
              <w:tabs>
                <w:tab w:val="left" w:pos="0"/>
              </w:tabs>
              <w:ind w:right="-212"/>
              <w:jc w:val="center"/>
              <w:rPr>
                <w:rFonts w:ascii="宋体" w:hAnsi="宋体" w:cs="宋体"/>
                <w:b/>
                <w:color w:val="auto"/>
                <w:highlight w:val="none"/>
              </w:rPr>
            </w:pPr>
          </w:p>
          <w:p>
            <w:pPr>
              <w:tabs>
                <w:tab w:val="left" w:pos="0"/>
              </w:tabs>
              <w:ind w:right="-212"/>
              <w:jc w:val="center"/>
              <w:rPr>
                <w:rFonts w:ascii="宋体" w:hAnsi="宋体" w:cs="宋体"/>
                <w:b/>
                <w:color w:val="auto"/>
                <w:highlight w:val="none"/>
              </w:rPr>
            </w:pPr>
          </w:p>
          <w:p>
            <w:pPr>
              <w:tabs>
                <w:tab w:val="left" w:pos="0"/>
              </w:tabs>
              <w:ind w:right="-212"/>
              <w:jc w:val="center"/>
              <w:rPr>
                <w:rFonts w:ascii="宋体" w:hAnsi="宋体" w:cs="宋体"/>
                <w:b/>
                <w:color w:val="auto"/>
                <w:highlight w:val="none"/>
              </w:rPr>
            </w:pPr>
          </w:p>
          <w:p>
            <w:pPr>
              <w:tabs>
                <w:tab w:val="left" w:pos="0"/>
              </w:tabs>
              <w:ind w:right="-212"/>
              <w:jc w:val="center"/>
              <w:rPr>
                <w:rFonts w:ascii="宋体" w:hAnsi="宋体" w:cs="宋体"/>
                <w:b/>
                <w:color w:val="auto"/>
                <w:highlight w:val="none"/>
              </w:rPr>
            </w:pPr>
          </w:p>
          <w:p>
            <w:pPr>
              <w:tabs>
                <w:tab w:val="left" w:pos="0"/>
              </w:tabs>
              <w:ind w:right="-212"/>
              <w:jc w:val="center"/>
              <w:rPr>
                <w:rFonts w:ascii="宋体" w:hAnsi="宋体" w:cs="宋体"/>
                <w:b/>
                <w:color w:val="auto"/>
                <w:highlight w:val="none"/>
              </w:rPr>
            </w:pPr>
          </w:p>
          <w:p>
            <w:pPr>
              <w:tabs>
                <w:tab w:val="left" w:pos="0"/>
              </w:tabs>
              <w:ind w:right="-212"/>
              <w:jc w:val="center"/>
              <w:rPr>
                <w:rFonts w:ascii="宋体" w:hAnsi="宋体" w:cs="宋体"/>
                <w:b/>
                <w:color w:val="auto"/>
                <w:highlight w:val="none"/>
              </w:rPr>
            </w:pPr>
          </w:p>
          <w:p>
            <w:pPr>
              <w:tabs>
                <w:tab w:val="left" w:pos="0"/>
              </w:tabs>
              <w:ind w:right="-212"/>
              <w:jc w:val="center"/>
              <w:rPr>
                <w:rFonts w:ascii="宋体" w:hAnsi="宋体" w:cs="宋体"/>
                <w:b/>
                <w:color w:val="auto"/>
                <w:highlight w:val="none"/>
              </w:rPr>
            </w:pPr>
          </w:p>
          <w:p>
            <w:pPr>
              <w:tabs>
                <w:tab w:val="left" w:pos="0"/>
              </w:tabs>
              <w:ind w:right="-212"/>
              <w:rPr>
                <w:rFonts w:ascii="宋体" w:hAnsi="宋体" w:cs="宋体"/>
                <w:color w:val="auto"/>
                <w:highlight w:val="none"/>
              </w:rPr>
            </w:pPr>
          </w:p>
        </w:tc>
      </w:tr>
    </w:tbl>
    <w:p>
      <w:pPr>
        <w:pStyle w:val="12"/>
        <w:keepNext w:val="0"/>
        <w:keepLines w:val="0"/>
        <w:pageBreakBefore w:val="0"/>
        <w:widowControl w:val="0"/>
        <w:kinsoku/>
        <w:wordWrap/>
        <w:overflowPunct/>
        <w:topLinePunct w:val="0"/>
        <w:autoSpaceDE/>
        <w:autoSpaceDN/>
        <w:bidi w:val="0"/>
        <w:adjustRightInd w:val="0"/>
        <w:snapToGrid w:val="0"/>
        <w:ind w:left="695" w:leftChars="100" w:right="0" w:hanging="485" w:hangingChars="231"/>
        <w:textAlignment w:val="baseline"/>
        <w:rPr>
          <w:rFonts w:ascii="宋体" w:hAnsi="宋体" w:cs="宋体"/>
          <w:color w:val="auto"/>
          <w:sz w:val="21"/>
          <w:highlight w:val="none"/>
        </w:rPr>
      </w:pPr>
      <w:r>
        <w:rPr>
          <w:rFonts w:hint="eastAsia" w:ascii="宋体" w:hAnsi="宋体" w:cs="宋体"/>
          <w:color w:val="auto"/>
          <w:sz w:val="21"/>
          <w:highlight w:val="none"/>
        </w:rPr>
        <w:t>注：1.辅助说明资料主要包括监理机构的机构设置、职责分工、有关复印证明资料以及投标人认为有必要提供的资料。辅助说明资料格式不做统一规定，由投标人自行设计。</w:t>
      </w:r>
    </w:p>
    <w:p>
      <w:pPr>
        <w:pStyle w:val="12"/>
        <w:keepNext w:val="0"/>
        <w:keepLines w:val="0"/>
        <w:pageBreakBefore w:val="0"/>
        <w:widowControl w:val="0"/>
        <w:kinsoku/>
        <w:wordWrap/>
        <w:overflowPunct/>
        <w:topLinePunct w:val="0"/>
        <w:autoSpaceDE/>
        <w:autoSpaceDN/>
        <w:bidi w:val="0"/>
        <w:adjustRightInd w:val="0"/>
        <w:snapToGrid w:val="0"/>
        <w:ind w:left="894" w:leftChars="300" w:right="0" w:hanging="264" w:hangingChars="126"/>
        <w:textAlignment w:val="baseline"/>
        <w:rPr>
          <w:rFonts w:ascii="宋体" w:hAnsi="宋体" w:cs="宋体"/>
          <w:color w:val="auto"/>
          <w:sz w:val="21"/>
          <w:highlight w:val="none"/>
        </w:rPr>
      </w:pPr>
      <w:r>
        <w:rPr>
          <w:rFonts w:hint="eastAsia" w:ascii="宋体" w:hAnsi="宋体" w:cs="宋体"/>
          <w:color w:val="auto"/>
          <w:sz w:val="21"/>
          <w:highlight w:val="none"/>
        </w:rPr>
        <w:t>2.项目监理班子配备情况辅助说明资料另附（与本投标文件一起装订）。</w:t>
      </w:r>
    </w:p>
    <w:p>
      <w:pPr>
        <w:pStyle w:val="4"/>
        <w:rPr>
          <w:rFonts w:ascii="宋体" w:hAnsi="宋体" w:cs="宋体"/>
          <w:color w:val="auto"/>
          <w:highlight w:val="none"/>
        </w:rPr>
        <w:sectPr>
          <w:pgSz w:w="12240" w:h="15840"/>
          <w:pgMar w:top="1480" w:right="1718" w:bottom="919" w:left="1718" w:header="850" w:footer="992" w:gutter="0"/>
          <w:cols w:space="720" w:num="1"/>
          <w:docGrid w:linePitch="312" w:charSpace="0"/>
        </w:sectPr>
      </w:pPr>
    </w:p>
    <w:p>
      <w:pPr>
        <w:pStyle w:val="4"/>
        <w:jc w:val="center"/>
        <w:rPr>
          <w:rFonts w:ascii="宋体" w:hAnsi="宋体" w:cs="宋体"/>
          <w:color w:val="auto"/>
          <w:sz w:val="36"/>
          <w:szCs w:val="36"/>
          <w:highlight w:val="none"/>
        </w:rPr>
      </w:pPr>
      <w:bookmarkStart w:id="474" w:name="_Toc12634"/>
      <w:bookmarkStart w:id="475" w:name="_Toc22785"/>
      <w:bookmarkStart w:id="476" w:name="_Toc6204"/>
      <w:bookmarkStart w:id="477" w:name="_Toc517"/>
      <w:bookmarkStart w:id="478" w:name="_Toc17484"/>
      <w:bookmarkStart w:id="479" w:name="_Toc2043"/>
      <w:bookmarkStart w:id="480" w:name="_Toc539"/>
      <w:bookmarkStart w:id="481" w:name="_Toc27299"/>
      <w:bookmarkStart w:id="482" w:name="_Toc514170160"/>
      <w:bookmarkStart w:id="483" w:name="_Toc19434"/>
      <w:r>
        <w:rPr>
          <w:rFonts w:hint="eastAsia" w:ascii="宋体" w:hAnsi="宋体" w:cs="宋体"/>
          <w:color w:val="auto"/>
          <w:sz w:val="36"/>
          <w:szCs w:val="36"/>
          <w:highlight w:val="none"/>
        </w:rPr>
        <w:t>十</w:t>
      </w:r>
      <w:r>
        <w:rPr>
          <w:rFonts w:hint="eastAsia" w:ascii="宋体" w:hAnsi="宋体" w:cs="宋体"/>
          <w:color w:val="auto"/>
          <w:sz w:val="36"/>
          <w:szCs w:val="36"/>
          <w:highlight w:val="none"/>
          <w:lang w:val="en-US" w:eastAsia="zh-CN"/>
        </w:rPr>
        <w:t>二</w:t>
      </w:r>
      <w:r>
        <w:rPr>
          <w:rFonts w:hint="eastAsia" w:ascii="宋体" w:hAnsi="宋体" w:cs="宋体"/>
          <w:color w:val="auto"/>
          <w:sz w:val="36"/>
          <w:szCs w:val="36"/>
          <w:highlight w:val="none"/>
        </w:rPr>
        <w:t>、</w:t>
      </w:r>
      <w:bookmarkEnd w:id="474"/>
      <w:bookmarkEnd w:id="475"/>
      <w:bookmarkEnd w:id="476"/>
      <w:bookmarkEnd w:id="477"/>
      <w:r>
        <w:rPr>
          <w:rFonts w:hint="eastAsia" w:ascii="宋体" w:hAnsi="宋体" w:cs="宋体"/>
          <w:color w:val="auto"/>
          <w:sz w:val="36"/>
          <w:szCs w:val="36"/>
          <w:highlight w:val="none"/>
        </w:rPr>
        <w:t>拟投入本项目的主要试验检测仪器设备</w:t>
      </w:r>
      <w:bookmarkEnd w:id="478"/>
      <w:bookmarkEnd w:id="479"/>
    </w:p>
    <w:tbl>
      <w:tblPr>
        <w:tblStyle w:val="20"/>
        <w:tblW w:w="0" w:type="auto"/>
        <w:tblInd w:w="442" w:type="dxa"/>
        <w:tblLayout w:type="fixed"/>
        <w:tblCellMar>
          <w:top w:w="0" w:type="dxa"/>
          <w:left w:w="108" w:type="dxa"/>
          <w:bottom w:w="0" w:type="dxa"/>
          <w:right w:w="108" w:type="dxa"/>
        </w:tblCellMar>
      </w:tblPr>
      <w:tblGrid>
        <w:gridCol w:w="729"/>
        <w:gridCol w:w="1569"/>
        <w:gridCol w:w="811"/>
        <w:gridCol w:w="747"/>
        <w:gridCol w:w="849"/>
        <w:gridCol w:w="1128"/>
        <w:gridCol w:w="1636"/>
        <w:gridCol w:w="811"/>
      </w:tblGrid>
      <w:tr>
        <w:tblPrEx>
          <w:tblCellMar>
            <w:top w:w="0" w:type="dxa"/>
            <w:left w:w="108" w:type="dxa"/>
            <w:bottom w:w="0" w:type="dxa"/>
            <w:right w:w="108" w:type="dxa"/>
          </w:tblCellMar>
        </w:tblPrEx>
        <w:trPr>
          <w:trHeight w:val="941" w:hRule="exact"/>
        </w:trPr>
        <w:tc>
          <w:tcPr>
            <w:tcW w:w="7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cs="宋体"/>
                <w:color w:val="auto"/>
                <w:sz w:val="24"/>
                <w:highlight w:val="none"/>
              </w:rPr>
            </w:pPr>
            <w:r>
              <w:rPr>
                <w:rFonts w:hint="eastAsia" w:ascii="宋体" w:hAnsi="宋体" w:cs="宋体"/>
                <w:color w:val="auto"/>
                <w:highlight w:val="none"/>
              </w:rPr>
              <w:t>序号</w:t>
            </w:r>
          </w:p>
        </w:tc>
        <w:tc>
          <w:tcPr>
            <w:tcW w:w="15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ascii="宋体" w:hAnsi="宋体" w:cs="宋体"/>
                <w:color w:val="auto"/>
                <w:sz w:val="24"/>
                <w:highlight w:val="none"/>
              </w:rPr>
            </w:pPr>
            <w:r>
              <w:rPr>
                <w:rFonts w:hint="eastAsia" w:ascii="宋体" w:hAnsi="宋体" w:cs="宋体"/>
                <w:color w:val="auto"/>
                <w:highlight w:val="none"/>
              </w:rPr>
              <w:t>仪器</w:t>
            </w:r>
            <w:r>
              <w:rPr>
                <w:rFonts w:hint="eastAsia" w:ascii="宋体" w:hAnsi="宋体" w:cs="宋体"/>
                <w:color w:val="auto"/>
                <w:spacing w:val="-2"/>
                <w:highlight w:val="none"/>
              </w:rPr>
              <w:t>设</w:t>
            </w:r>
            <w:r>
              <w:rPr>
                <w:rFonts w:hint="eastAsia" w:ascii="宋体" w:hAnsi="宋体" w:cs="宋体"/>
                <w:color w:val="auto"/>
                <w:highlight w:val="none"/>
              </w:rPr>
              <w:t>备名称</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cs="宋体"/>
                <w:color w:val="auto"/>
                <w:sz w:val="24"/>
                <w:highlight w:val="none"/>
              </w:rPr>
            </w:pPr>
            <w:r>
              <w:rPr>
                <w:rFonts w:hint="eastAsia" w:ascii="宋体" w:hAnsi="宋体" w:cs="宋体"/>
                <w:color w:val="auto"/>
                <w:highlight w:val="none"/>
              </w:rPr>
              <w:t>型号 规格</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cs="宋体"/>
                <w:color w:val="auto"/>
                <w:sz w:val="24"/>
                <w:highlight w:val="none"/>
              </w:rPr>
            </w:pPr>
            <w:r>
              <w:rPr>
                <w:rFonts w:hint="eastAsia" w:ascii="宋体" w:hAnsi="宋体" w:cs="宋体"/>
                <w:color w:val="auto"/>
                <w:highlight w:val="none"/>
              </w:rPr>
              <w:t>数量</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cs="宋体"/>
                <w:color w:val="auto"/>
                <w:sz w:val="24"/>
                <w:highlight w:val="none"/>
              </w:rPr>
            </w:pPr>
            <w:r>
              <w:rPr>
                <w:rFonts w:hint="eastAsia" w:ascii="宋体" w:hAnsi="宋体" w:cs="宋体"/>
                <w:color w:val="auto"/>
                <w:highlight w:val="none"/>
              </w:rPr>
              <w:t>国别 产地</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cs="宋体"/>
                <w:color w:val="auto"/>
                <w:sz w:val="24"/>
                <w:highlight w:val="none"/>
              </w:rPr>
            </w:pPr>
            <w:r>
              <w:rPr>
                <w:rFonts w:hint="eastAsia" w:ascii="宋体" w:hAnsi="宋体" w:cs="宋体"/>
                <w:color w:val="auto"/>
                <w:highlight w:val="none"/>
              </w:rPr>
              <w:t>制造年份</w:t>
            </w:r>
          </w:p>
        </w:tc>
        <w:tc>
          <w:tcPr>
            <w:tcW w:w="1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cs="宋体"/>
                <w:color w:val="auto"/>
                <w:sz w:val="24"/>
                <w:highlight w:val="none"/>
              </w:rPr>
            </w:pPr>
            <w:r>
              <w:rPr>
                <w:rFonts w:hint="eastAsia" w:ascii="宋体" w:hAnsi="宋体" w:cs="宋体"/>
                <w:color w:val="auto"/>
                <w:highlight w:val="none"/>
              </w:rPr>
              <w:t>用途</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ascii="宋体" w:hAnsi="宋体" w:cs="宋体"/>
                <w:color w:val="auto"/>
                <w:sz w:val="24"/>
                <w:highlight w:val="none"/>
              </w:rPr>
            </w:pPr>
            <w:r>
              <w:rPr>
                <w:rFonts w:hint="eastAsia" w:ascii="宋体" w:hAnsi="宋体" w:cs="宋体"/>
                <w:color w:val="auto"/>
                <w:highlight w:val="none"/>
              </w:rPr>
              <w:t>备注</w:t>
            </w: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58"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6"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5"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3"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478" w:hRule="exact"/>
        </w:trPr>
        <w:tc>
          <w:tcPr>
            <w:tcW w:w="72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747"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128"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1636"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c>
          <w:tcPr>
            <w:tcW w:w="811" w:type="dxa"/>
            <w:tcBorders>
              <w:top w:val="single" w:color="000000" w:sz="4" w:space="0"/>
              <w:left w:val="single" w:color="000000" w:sz="4" w:space="0"/>
              <w:bottom w:val="single" w:color="000000" w:sz="4" w:space="0"/>
              <w:right w:val="single" w:color="000000" w:sz="4" w:space="0"/>
            </w:tcBorders>
            <w:noWrap/>
            <w:vAlign w:val="top"/>
          </w:tcPr>
          <w:p>
            <w:pPr>
              <w:jc w:val="left"/>
              <w:rPr>
                <w:rFonts w:ascii="宋体" w:hAnsi="宋体" w:cs="宋体"/>
                <w:color w:val="auto"/>
                <w:sz w:val="24"/>
                <w:highlight w:val="none"/>
              </w:rPr>
            </w:pPr>
          </w:p>
        </w:tc>
      </w:tr>
      <w:bookmarkEnd w:id="480"/>
      <w:bookmarkEnd w:id="481"/>
      <w:bookmarkEnd w:id="482"/>
      <w:bookmarkEnd w:id="483"/>
    </w:tbl>
    <w:p>
      <w:pPr>
        <w:tabs>
          <w:tab w:val="left" w:pos="0"/>
          <w:tab w:val="left" w:pos="567"/>
          <w:tab w:val="left" w:pos="993"/>
          <w:tab w:val="left" w:pos="1134"/>
        </w:tabs>
        <w:snapToGrid w:val="0"/>
        <w:spacing w:line="300" w:lineRule="auto"/>
        <w:ind w:firstLine="281" w:firstLineChars="100"/>
        <w:rPr>
          <w:rFonts w:ascii="宋体" w:hAnsi="宋体" w:cs="宋体"/>
          <w:b/>
          <w:color w:val="auto"/>
          <w:sz w:val="28"/>
          <w:szCs w:val="28"/>
          <w:highlight w:val="none"/>
        </w:rPr>
      </w:pPr>
    </w:p>
    <w:p>
      <w:pPr>
        <w:pStyle w:val="4"/>
        <w:rPr>
          <w:rFonts w:ascii="宋体" w:hAnsi="宋体" w:cs="宋体"/>
          <w:color w:val="auto"/>
          <w:sz w:val="36"/>
          <w:szCs w:val="36"/>
          <w:highlight w:val="none"/>
        </w:rPr>
      </w:pPr>
      <w:r>
        <w:rPr>
          <w:rFonts w:hint="eastAsia" w:ascii="宋体" w:hAnsi="宋体" w:cs="宋体"/>
          <w:color w:val="auto"/>
          <w:highlight w:val="none"/>
        </w:rPr>
        <w:br w:type="page"/>
      </w:r>
      <w:bookmarkStart w:id="484" w:name="_Toc28125"/>
      <w:bookmarkStart w:id="485" w:name="_Toc16718"/>
      <w:r>
        <w:rPr>
          <w:rFonts w:hint="eastAsia" w:ascii="宋体" w:hAnsi="宋体" w:cs="宋体"/>
          <w:color w:val="auto"/>
          <w:sz w:val="36"/>
          <w:szCs w:val="36"/>
          <w:highlight w:val="none"/>
        </w:rPr>
        <w:t>十</w:t>
      </w:r>
      <w:r>
        <w:rPr>
          <w:rFonts w:hint="eastAsia" w:ascii="宋体" w:hAnsi="宋体" w:cs="宋体"/>
          <w:color w:val="auto"/>
          <w:sz w:val="36"/>
          <w:szCs w:val="36"/>
          <w:highlight w:val="none"/>
          <w:lang w:val="en-US" w:eastAsia="zh-CN"/>
        </w:rPr>
        <w:t>三</w:t>
      </w:r>
      <w:r>
        <w:rPr>
          <w:rFonts w:hint="eastAsia" w:ascii="宋体" w:hAnsi="宋体" w:cs="宋体"/>
          <w:color w:val="auto"/>
          <w:sz w:val="36"/>
          <w:szCs w:val="36"/>
          <w:highlight w:val="none"/>
        </w:rPr>
        <w:t>、监理项目管理团队人员信息表</w:t>
      </w:r>
      <w:bookmarkEnd w:id="484"/>
      <w:bookmarkEnd w:id="485"/>
    </w:p>
    <w:tbl>
      <w:tblPr>
        <w:tblStyle w:val="20"/>
        <w:tblW w:w="0" w:type="auto"/>
        <w:tblInd w:w="0" w:type="dxa"/>
        <w:tblLayout w:type="fixed"/>
        <w:tblCellMar>
          <w:top w:w="0" w:type="dxa"/>
          <w:left w:w="0" w:type="dxa"/>
          <w:bottom w:w="0" w:type="dxa"/>
          <w:right w:w="0" w:type="dxa"/>
        </w:tblCellMar>
      </w:tblPr>
      <w:tblGrid>
        <w:gridCol w:w="657"/>
        <w:gridCol w:w="1578"/>
        <w:gridCol w:w="2261"/>
        <w:gridCol w:w="1579"/>
        <w:gridCol w:w="3027"/>
      </w:tblGrid>
      <w:tr>
        <w:tblPrEx>
          <w:tblCellMar>
            <w:top w:w="0" w:type="dxa"/>
            <w:left w:w="0" w:type="dxa"/>
            <w:bottom w:w="0" w:type="dxa"/>
            <w:right w:w="0" w:type="dxa"/>
          </w:tblCellMar>
        </w:tblPrEx>
        <w:trPr>
          <w:trHeight w:val="981" w:hRule="atLeast"/>
        </w:trPr>
        <w:tc>
          <w:tcPr>
            <w:tcW w:w="9102" w:type="dxa"/>
            <w:gridSpan w:val="5"/>
            <w:tcBorders>
              <w:top w:val="nil"/>
              <w:left w:val="nil"/>
              <w:bottom w:val="single" w:color="000000" w:sz="4" w:space="0"/>
              <w:right w:val="nil"/>
            </w:tcBorders>
            <w:noWrap/>
            <w:tcMar>
              <w:top w:w="15" w:type="dxa"/>
              <w:left w:w="15" w:type="dxa"/>
              <w:bottom w:w="0"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监理项目管理团队人员信息表</w:t>
            </w:r>
          </w:p>
        </w:tc>
      </w:tr>
      <w:tr>
        <w:tblPrEx>
          <w:tblCellMar>
            <w:top w:w="0" w:type="dxa"/>
            <w:left w:w="0" w:type="dxa"/>
            <w:bottom w:w="0" w:type="dxa"/>
            <w:right w:w="0" w:type="dxa"/>
          </w:tblCellMar>
        </w:tblPrEx>
        <w:trPr>
          <w:trHeight w:val="37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序号</w:t>
            </w: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姓名</w:t>
            </w: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岗位</w:t>
            </w: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职称</w:t>
            </w: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职称证书或资格证书编号</w:t>
            </w:r>
          </w:p>
        </w:tc>
      </w:tr>
      <w:tr>
        <w:tblPrEx>
          <w:tblCellMar>
            <w:top w:w="0" w:type="dxa"/>
            <w:left w:w="0" w:type="dxa"/>
            <w:bottom w:w="0" w:type="dxa"/>
            <w:right w:w="0" w:type="dxa"/>
          </w:tblCellMar>
        </w:tblPrEx>
        <w:trPr>
          <w:trHeight w:val="61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总监理工程师代表</w:t>
            </w: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61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专业监理工程师</w:t>
            </w: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61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监理员</w:t>
            </w: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61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61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w:t>
            </w: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61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61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61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61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61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615" w:hRule="atLeast"/>
        </w:trPr>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22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1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c>
          <w:tcPr>
            <w:tcW w:w="30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3236" w:hRule="atLeast"/>
        </w:trPr>
        <w:tc>
          <w:tcPr>
            <w:tcW w:w="9102" w:type="dxa"/>
            <w:gridSpan w:val="5"/>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left"/>
              <w:textAlignment w:val="center"/>
              <w:rPr>
                <w:rStyle w:val="27"/>
                <w:rFonts w:ascii="宋体" w:hAnsi="宋体" w:eastAsia="宋体" w:cs="宋体"/>
                <w:color w:val="auto"/>
                <w:sz w:val="21"/>
                <w:szCs w:val="21"/>
                <w:highlight w:val="none"/>
              </w:rPr>
            </w:pPr>
            <w:r>
              <w:rPr>
                <w:rStyle w:val="27"/>
                <w:rFonts w:hint="eastAsia" w:ascii="宋体" w:hAnsi="宋体" w:eastAsia="宋体" w:cs="宋体"/>
                <w:color w:val="auto"/>
                <w:sz w:val="21"/>
                <w:szCs w:val="21"/>
                <w:highlight w:val="none"/>
              </w:rPr>
              <w:t>备注：</w:t>
            </w:r>
          </w:p>
          <w:p>
            <w:pPr>
              <w:widowControl/>
              <w:jc w:val="left"/>
              <w:textAlignment w:val="center"/>
              <w:rPr>
                <w:rStyle w:val="27"/>
                <w:rFonts w:ascii="宋体" w:hAnsi="宋体" w:eastAsia="宋体" w:cs="宋体"/>
                <w:color w:val="auto"/>
                <w:sz w:val="21"/>
                <w:szCs w:val="21"/>
                <w:highlight w:val="none"/>
              </w:rPr>
            </w:pPr>
            <w:r>
              <w:rPr>
                <w:rStyle w:val="27"/>
                <w:rFonts w:hint="eastAsia" w:ascii="宋体" w:hAnsi="宋体" w:eastAsia="宋体" w:cs="宋体"/>
                <w:color w:val="auto"/>
                <w:sz w:val="21"/>
                <w:szCs w:val="21"/>
                <w:highlight w:val="none"/>
              </w:rPr>
              <w:t>1、“岗位”要求</w:t>
            </w:r>
            <w:r>
              <w:rPr>
                <w:rStyle w:val="28"/>
                <w:rFonts w:hint="eastAsia" w:ascii="宋体" w:hAnsi="宋体" w:eastAsia="宋体" w:cs="宋体"/>
                <w:color w:val="auto"/>
                <w:sz w:val="21"/>
                <w:szCs w:val="21"/>
                <w:highlight w:val="none"/>
              </w:rPr>
              <w:t>（总监理工程师除外）</w:t>
            </w:r>
            <w:r>
              <w:rPr>
                <w:rStyle w:val="27"/>
                <w:rFonts w:hint="eastAsia" w:ascii="宋体" w:hAnsi="宋体" w:eastAsia="宋体" w:cs="宋体"/>
                <w:color w:val="auto"/>
                <w:sz w:val="21"/>
                <w:szCs w:val="21"/>
                <w:highlight w:val="none"/>
              </w:rPr>
              <w:t>由招标人根据项目管理需要在本表备注中明确提出，如：拟派驻施工现场的总监理工程师代表、专业监理工程师、监理员等。以上项目管理团队人员信息将由交易系统提取后供各相关单位在履约时比对、查核。</w:t>
            </w:r>
          </w:p>
          <w:p>
            <w:pPr>
              <w:widowControl/>
              <w:jc w:val="left"/>
              <w:textAlignment w:val="center"/>
              <w:rPr>
                <w:rStyle w:val="27"/>
                <w:rFonts w:ascii="宋体" w:hAnsi="宋体" w:eastAsia="宋体" w:cs="宋体"/>
                <w:color w:val="auto"/>
                <w:sz w:val="21"/>
                <w:szCs w:val="21"/>
                <w:highlight w:val="none"/>
              </w:rPr>
            </w:pPr>
            <w:r>
              <w:rPr>
                <w:rStyle w:val="27"/>
                <w:rFonts w:hint="eastAsia" w:ascii="宋体" w:hAnsi="宋体" w:eastAsia="宋体" w:cs="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color w:val="auto"/>
                <w:szCs w:val="21"/>
                <w:highlight w:val="none"/>
              </w:rPr>
            </w:pPr>
            <w:r>
              <w:rPr>
                <w:rStyle w:val="27"/>
                <w:rFonts w:hint="eastAsia"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cs="宋体"/>
          <w:color w:val="auto"/>
          <w:highlight w:val="none"/>
        </w:rPr>
      </w:pPr>
    </w:p>
    <w:p>
      <w:pPr>
        <w:rPr>
          <w:rFonts w:ascii="宋体" w:hAnsi="宋体" w:cs="宋体"/>
          <w:color w:val="auto"/>
          <w:highlight w:val="none"/>
        </w:rPr>
      </w:pPr>
    </w:p>
    <w:p>
      <w:pPr>
        <w:rPr>
          <w:highlight w:val="none"/>
        </w:rPr>
      </w:pPr>
    </w:p>
    <w:sectPr>
      <w:pgSz w:w="11906" w:h="16838"/>
      <w:pgMar w:top="1417" w:right="1417" w:bottom="1417" w:left="1417" w:header="850" w:footer="992"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rPr>
        <w:rFonts w:asci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2BEAD"/>
    <w:multiLevelType w:val="singleLevel"/>
    <w:tmpl w:val="F1F2BEAD"/>
    <w:lvl w:ilvl="0" w:tentative="0">
      <w:start w:val="1"/>
      <w:numFmt w:val="decimal"/>
      <w:suff w:val="nothing"/>
      <w:lvlText w:val="（%1）"/>
      <w:lvlJc w:val="left"/>
      <w:pPr>
        <w:ind w:left="0" w:firstLine="0"/>
      </w:pPr>
    </w:lvl>
  </w:abstractNum>
  <w:abstractNum w:abstractNumId="1">
    <w:nsid w:val="F96A3A85"/>
    <w:multiLevelType w:val="singleLevel"/>
    <w:tmpl w:val="F96A3A85"/>
    <w:lvl w:ilvl="0" w:tentative="0">
      <w:start w:val="4"/>
      <w:numFmt w:val="upperLetter"/>
      <w:suff w:val="nothing"/>
      <w:lvlText w:val="%1、"/>
      <w:lvlJc w:val="left"/>
    </w:lvl>
  </w:abstractNum>
  <w:abstractNum w:abstractNumId="2">
    <w:nsid w:val="00000008"/>
    <w:multiLevelType w:val="singleLevel"/>
    <w:tmpl w:val="00000008"/>
    <w:lvl w:ilvl="0" w:tentative="0">
      <w:start w:val="1"/>
      <w:numFmt w:val="decimal"/>
      <w:suff w:val="nothing"/>
      <w:lvlText w:val="（%1）"/>
      <w:lvlJc w:val="left"/>
    </w:lvl>
  </w:abstractNum>
  <w:abstractNum w:abstractNumId="3">
    <w:nsid w:val="0000000A"/>
    <w:multiLevelType w:val="singleLevel"/>
    <w:tmpl w:val="0000000A"/>
    <w:lvl w:ilvl="0" w:tentative="0">
      <w:start w:val="2"/>
      <w:numFmt w:val="decimal"/>
      <w:suff w:val="nothing"/>
      <w:lvlText w:val="%1、"/>
      <w:lvlJc w:val="left"/>
      <w:pPr>
        <w:tabs>
          <w:tab w:val="left" w:pos="0"/>
        </w:tabs>
        <w:ind w:left="0" w:firstLine="0"/>
      </w:pPr>
    </w:lvl>
  </w:abstractNum>
  <w:abstractNum w:abstractNumId="4">
    <w:nsid w:val="11139C86"/>
    <w:multiLevelType w:val="singleLevel"/>
    <w:tmpl w:val="11139C86"/>
    <w:lvl w:ilvl="0" w:tentative="0">
      <w:start w:val="1"/>
      <w:numFmt w:val="decimal"/>
      <w:lvlText w:val="%1."/>
      <w:lvlJc w:val="left"/>
      <w:pPr>
        <w:tabs>
          <w:tab w:val="left" w:pos="312"/>
        </w:tabs>
      </w:pPr>
    </w:lvl>
  </w:abstractNum>
  <w:abstractNum w:abstractNumId="5">
    <w:nsid w:val="1F7A8165"/>
    <w:multiLevelType w:val="singleLevel"/>
    <w:tmpl w:val="1F7A8165"/>
    <w:lvl w:ilvl="0" w:tentative="0">
      <w:start w:val="4"/>
      <w:numFmt w:val="chineseCounting"/>
      <w:suff w:val="space"/>
      <w:lvlText w:val="第%1章"/>
      <w:lvlJc w:val="left"/>
      <w:pPr>
        <w:tabs>
          <w:tab w:val="left" w:pos="0"/>
        </w:tabs>
        <w:ind w:left="0" w:firstLine="0"/>
      </w:pPr>
      <w:rPr>
        <w:rFonts w:hint="eastAsia"/>
      </w:rPr>
    </w:lvl>
  </w:abstractNum>
  <w:abstractNum w:abstractNumId="6">
    <w:nsid w:val="60EBF23E"/>
    <w:multiLevelType w:val="singleLevel"/>
    <w:tmpl w:val="60EBF23E"/>
    <w:lvl w:ilvl="0" w:tentative="0">
      <w:start w:val="1"/>
      <w:numFmt w:val="chineseCounting"/>
      <w:suff w:val="nothing"/>
      <w:lvlText w:val="%1、"/>
      <w:lvlJc w:val="left"/>
      <w:pPr>
        <w:tabs>
          <w:tab w:val="left" w:pos="0"/>
        </w:tabs>
        <w:ind w:left="0" w:firstLine="0"/>
      </w:pPr>
      <w:rPr>
        <w:rFonts w:hint="eastAsia"/>
      </w:rPr>
    </w:lvl>
  </w:abstractNum>
  <w:num w:numId="1">
    <w:abstractNumId w:val="3"/>
  </w:num>
  <w:num w:numId="2">
    <w:abstractNumId w:val="2"/>
  </w:num>
  <w:num w:numId="3">
    <w:abstractNumId w:val="4"/>
  </w:num>
  <w:num w:numId="4">
    <w:abstractNumId w:val="1"/>
  </w:num>
  <w:num w:numId="5">
    <w:abstractNumId w:val="0"/>
    <w:lvlOverride w:ilvl="0">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MTI3OTRkYjRiOWZhYjMyOWY1N2FkNTBiOTIwYzMifQ=="/>
  </w:docVars>
  <w:rsids>
    <w:rsidRoot w:val="09A41449"/>
    <w:rsid w:val="014E529E"/>
    <w:rsid w:val="03AD6E17"/>
    <w:rsid w:val="094A1C7A"/>
    <w:rsid w:val="09A41449"/>
    <w:rsid w:val="0ED42A3E"/>
    <w:rsid w:val="0F8B47FE"/>
    <w:rsid w:val="109A302D"/>
    <w:rsid w:val="11E77389"/>
    <w:rsid w:val="193006AE"/>
    <w:rsid w:val="1B4D7242"/>
    <w:rsid w:val="1C022402"/>
    <w:rsid w:val="2B987A16"/>
    <w:rsid w:val="395246C9"/>
    <w:rsid w:val="39C944C8"/>
    <w:rsid w:val="4D94253B"/>
    <w:rsid w:val="4FD93E2D"/>
    <w:rsid w:val="58C1230E"/>
    <w:rsid w:val="5E44237F"/>
    <w:rsid w:val="602F1D33"/>
    <w:rsid w:val="643A2C65"/>
    <w:rsid w:val="74557280"/>
    <w:rsid w:val="74C42D74"/>
    <w:rsid w:val="7B871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0" w:lineRule="auto"/>
      <w:outlineLvl w:val="1"/>
    </w:pPr>
    <w:rPr>
      <w:rFonts w:ascii="Arial" w:hAnsi="Arial" w:eastAsia="黑体"/>
      <w:b/>
      <w:kern w:val="0"/>
      <w:sz w:val="32"/>
    </w:rPr>
  </w:style>
  <w:style w:type="paragraph" w:styleId="4">
    <w:name w:val="heading 3"/>
    <w:basedOn w:val="1"/>
    <w:next w:val="1"/>
    <w:qFormat/>
    <w:uiPriority w:val="0"/>
    <w:pPr>
      <w:keepNext/>
      <w:keepLines/>
      <w:spacing w:line="360" w:lineRule="auto"/>
      <w:outlineLvl w:val="2"/>
    </w:pPr>
    <w:rPr>
      <w:b/>
      <w:bCs/>
      <w:kern w:val="0"/>
      <w:sz w:val="24"/>
      <w:szCs w:val="32"/>
    </w:rPr>
  </w:style>
  <w:style w:type="paragraph" w:styleId="5">
    <w:name w:val="heading 4"/>
    <w:basedOn w:val="1"/>
    <w:next w:val="1"/>
    <w:qFormat/>
    <w:uiPriority w:val="0"/>
    <w:pPr>
      <w:keepNext/>
      <w:keepLines/>
      <w:spacing w:line="360" w:lineRule="auto"/>
      <w:outlineLvl w:val="3"/>
    </w:pPr>
    <w:rPr>
      <w:rFonts w:ascii="Arial" w:hAnsi="Arial"/>
      <w:b/>
      <w:bCs/>
      <w:kern w:val="0"/>
      <w:sz w:val="20"/>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sz w:val="24"/>
    </w:r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
    <w:qFormat/>
    <w:uiPriority w:val="0"/>
    <w:pPr>
      <w:spacing w:after="120"/>
    </w:pPr>
    <w:rPr>
      <w:kern w:val="0"/>
      <w:sz w:val="20"/>
    </w:rPr>
  </w:style>
  <w:style w:type="paragraph" w:styleId="10">
    <w:name w:val="Body Text Indent"/>
    <w:basedOn w:val="1"/>
    <w:next w:val="11"/>
    <w:qFormat/>
    <w:uiPriority w:val="0"/>
    <w:pPr>
      <w:autoSpaceDE w:val="0"/>
      <w:autoSpaceDN w:val="0"/>
      <w:adjustRightInd w:val="0"/>
      <w:spacing w:line="0" w:lineRule="atLeast"/>
      <w:ind w:firstLine="525"/>
      <w:textAlignment w:val="top"/>
    </w:pPr>
    <w:rPr>
      <w:rFonts w:ascii="宋体"/>
      <w:color w:val="000000"/>
      <w:kern w:val="0"/>
      <w:sz w:val="20"/>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sz w:val="24"/>
      <w:szCs w:val="20"/>
    </w:rPr>
  </w:style>
  <w:style w:type="paragraph" w:styleId="13">
    <w:name w:val="toc 3"/>
    <w:basedOn w:val="1"/>
    <w:next w:val="1"/>
    <w:qFormat/>
    <w:uiPriority w:val="39"/>
    <w:pPr>
      <w:ind w:left="400" w:leftChars="400"/>
    </w:p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2"/>
    <w:basedOn w:val="1"/>
    <w:next w:val="1"/>
    <w:qFormat/>
    <w:uiPriority w:val="39"/>
    <w:pPr>
      <w:ind w:left="200" w:leftChars="200"/>
    </w:pPr>
  </w:style>
  <w:style w:type="paragraph" w:styleId="17">
    <w:name w:val="Body Text 2"/>
    <w:basedOn w:val="1"/>
    <w:qFormat/>
    <w:uiPriority w:val="0"/>
    <w:rPr>
      <w:kern w:val="0"/>
      <w:sz w:val="44"/>
    </w:rPr>
  </w:style>
  <w:style w:type="paragraph" w:styleId="18">
    <w:name w:val="Body Text First Indent"/>
    <w:basedOn w:val="9"/>
    <w:next w:val="19"/>
    <w:qFormat/>
    <w:uiPriority w:val="0"/>
    <w:pPr>
      <w:ind w:firstLine="100" w:firstLineChars="100"/>
    </w:pPr>
  </w:style>
  <w:style w:type="paragraph" w:styleId="19">
    <w:name w:val="Body Text First Indent 2"/>
    <w:basedOn w:val="10"/>
    <w:qFormat/>
    <w:uiPriority w:val="0"/>
    <w:pPr>
      <w:spacing w:line="420" w:lineRule="exact"/>
      <w:ind w:firstLine="420" w:firstLineChars="200"/>
      <w:jc w:val="left"/>
    </w:pPr>
    <w:rPr>
      <w:rFonts w:hAnsi="宋体"/>
      <w:sz w:val="24"/>
      <w:szCs w:val="18"/>
    </w:rPr>
  </w:style>
  <w:style w:type="character" w:styleId="22">
    <w:name w:val="Emphasis"/>
    <w:qFormat/>
    <w:uiPriority w:val="0"/>
    <w:rPr>
      <w:i/>
    </w:rPr>
  </w:style>
  <w:style w:type="paragraph" w:customStyle="1" w:styleId="23">
    <w:name w:val="PlainText"/>
    <w:basedOn w:val="1"/>
    <w:qFormat/>
    <w:uiPriority w:val="0"/>
    <w:rPr>
      <w:rFonts w:ascii="宋体" w:hAnsi="Courier New"/>
      <w:kern w:val="0"/>
      <w:sz w:val="20"/>
      <w:szCs w:val="20"/>
    </w:rPr>
  </w:style>
  <w:style w:type="paragraph" w:customStyle="1" w:styleId="24">
    <w:name w:val="_Style 3"/>
    <w:basedOn w:val="1"/>
    <w:qFormat/>
    <w:uiPriority w:val="1"/>
    <w:pPr>
      <w:spacing w:line="360" w:lineRule="auto"/>
      <w:jc w:val="center"/>
    </w:pPr>
    <w:rPr>
      <w:rFonts w:ascii="Calibri" w:hAnsi="Calibri"/>
      <w:szCs w:val="20"/>
    </w:rPr>
  </w:style>
  <w:style w:type="paragraph" w:styleId="25">
    <w:name w:val="List Paragraph"/>
    <w:basedOn w:val="1"/>
    <w:qFormat/>
    <w:uiPriority w:val="34"/>
    <w:pPr>
      <w:ind w:firstLine="420" w:firstLineChars="200"/>
    </w:pPr>
  </w:style>
  <w:style w:type="paragraph" w:customStyle="1" w:styleId="26">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character" w:customStyle="1" w:styleId="27">
    <w:name w:val="font11"/>
    <w:qFormat/>
    <w:uiPriority w:val="99"/>
    <w:rPr>
      <w:rFonts w:ascii="仿宋" w:eastAsia="仿宋"/>
      <w:color w:val="000000"/>
      <w:sz w:val="28"/>
      <w:u w:val="none"/>
    </w:rPr>
  </w:style>
  <w:style w:type="character" w:customStyle="1" w:styleId="28">
    <w:name w:val="font21"/>
    <w:qFormat/>
    <w:uiPriority w:val="99"/>
    <w:rPr>
      <w:rFonts w:ascii="仿宋" w:eastAsia="仿宋"/>
      <w:b/>
      <w:color w:val="000000"/>
      <w:sz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18859</Words>
  <Characters>19944</Characters>
  <Lines>0</Lines>
  <Paragraphs>0</Paragraphs>
  <TotalTime>1</TotalTime>
  <ScaleCrop>false</ScaleCrop>
  <LinksUpToDate>false</LinksUpToDate>
  <CharactersWithSpaces>20298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2025-11-04T06:55:00Z</dcterms:created>
  <dc:creator>◕‿◕ 丁﹏]</dc:creator>
  <cp:lastModifiedBy>薛达优</cp:lastModifiedBy>
  <dcterms:modified xsi:type="dcterms:W3CDTF">2025-11-12T07:22:14Z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93CBF4325D074A91AAA58F8DD4778482_13</vt:lpwstr>
  </property>
  <property fmtid="{D5CDD505-2E9C-101B-9397-08002B2CF9AE}" pid="4" name="KSOTemplateDocerSaveRecord">
    <vt:lpwstr>eyJoZGlkIjoiMzEwNTM5NzYwMDRjMzkwZTVkZjY2ODkwMGIxNGU0OTUiLCJ1c2VySWQiOiIzNDY3NjExNTMifQ==</vt:lpwstr>
  </property>
</Properties>
</file>