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D7FEF">
      <w:pPr>
        <w:widowControl/>
        <w:snapToGrid w:val="0"/>
        <w:ind w:right="10" w:rightChars="5"/>
        <w:rPr>
          <w:rFonts w:hint="eastAsia"/>
          <w:color w:val="000000"/>
          <w:sz w:val="48"/>
          <w:szCs w:val="48"/>
          <w:highlight w:val="none"/>
        </w:rPr>
      </w:pPr>
      <w:bookmarkStart w:id="65" w:name="_GoBack"/>
      <w:bookmarkEnd w:id="65"/>
    </w:p>
    <w:p w14:paraId="003E3561">
      <w:pPr>
        <w:snapToGrid w:val="0"/>
        <w:ind w:firstLine="0" w:firstLineChars="0"/>
        <w:jc w:val="center"/>
        <w:rPr>
          <w:rFonts w:hint="eastAsia"/>
          <w:b/>
          <w:color w:val="000000"/>
          <w:sz w:val="72"/>
          <w:szCs w:val="72"/>
          <w:highlight w:val="none"/>
        </w:rPr>
      </w:pPr>
      <w:r>
        <w:rPr>
          <w:rFonts w:hint="eastAsia"/>
          <w:b/>
          <w:color w:val="000000"/>
          <w:sz w:val="72"/>
          <w:szCs w:val="72"/>
          <w:highlight w:val="none"/>
          <w:lang w:eastAsia="zh-CN"/>
        </w:rPr>
        <w:t>汽车零部件产业园项目监理</w:t>
      </w:r>
    </w:p>
    <w:p w14:paraId="7C6A7901">
      <w:pPr>
        <w:ind w:firstLine="1440"/>
        <w:jc w:val="center"/>
        <w:rPr>
          <w:rFonts w:hint="eastAsia"/>
          <w:color w:val="000000"/>
          <w:sz w:val="72"/>
          <w:szCs w:val="72"/>
          <w:highlight w:val="none"/>
        </w:rPr>
      </w:pPr>
    </w:p>
    <w:p w14:paraId="2A4B4EE8">
      <w:pPr>
        <w:ind w:firstLine="1440"/>
        <w:jc w:val="center"/>
        <w:rPr>
          <w:rFonts w:hint="eastAsia"/>
          <w:color w:val="000000"/>
          <w:sz w:val="72"/>
          <w:szCs w:val="72"/>
          <w:highlight w:val="none"/>
        </w:rPr>
      </w:pPr>
    </w:p>
    <w:p w14:paraId="3E4AD447">
      <w:pPr>
        <w:ind w:firstLine="1440"/>
        <w:jc w:val="center"/>
        <w:rPr>
          <w:rFonts w:hint="eastAsia"/>
          <w:color w:val="000000"/>
          <w:sz w:val="72"/>
          <w:szCs w:val="72"/>
          <w:highlight w:val="none"/>
        </w:rPr>
      </w:pPr>
    </w:p>
    <w:p w14:paraId="41F8416A">
      <w:pPr>
        <w:ind w:firstLine="1440"/>
        <w:jc w:val="center"/>
        <w:rPr>
          <w:rFonts w:hint="eastAsia"/>
          <w:color w:val="000000"/>
          <w:sz w:val="72"/>
          <w:szCs w:val="72"/>
          <w:highlight w:val="none"/>
        </w:rPr>
      </w:pPr>
    </w:p>
    <w:p w14:paraId="3634D086">
      <w:pPr>
        <w:ind w:firstLine="0" w:firstLineChars="0"/>
        <w:jc w:val="center"/>
        <w:rPr>
          <w:rFonts w:hint="eastAsia"/>
          <w:b/>
          <w:bCs/>
          <w:color w:val="000000"/>
          <w:sz w:val="72"/>
          <w:szCs w:val="72"/>
          <w:highlight w:val="none"/>
        </w:rPr>
      </w:pPr>
      <w:r>
        <w:rPr>
          <w:rFonts w:hint="eastAsia"/>
          <w:b/>
          <w:bCs/>
          <w:color w:val="000000"/>
          <w:sz w:val="72"/>
          <w:szCs w:val="72"/>
          <w:highlight w:val="none"/>
        </w:rPr>
        <w:t>招 标 公 告</w:t>
      </w:r>
    </w:p>
    <w:p w14:paraId="28B89F5E">
      <w:pPr>
        <w:jc w:val="center"/>
        <w:rPr>
          <w:rStyle w:val="12"/>
          <w:rFonts w:hint="eastAsia"/>
          <w:color w:val="000000"/>
          <w:sz w:val="48"/>
          <w:highlight w:val="none"/>
        </w:rPr>
      </w:pPr>
    </w:p>
    <w:p w14:paraId="50B1AA22">
      <w:pPr>
        <w:ind w:firstLine="480"/>
        <w:jc w:val="center"/>
        <w:rPr>
          <w:rFonts w:hint="eastAsia"/>
          <w:color w:val="000000"/>
          <w:highlight w:val="none"/>
        </w:rPr>
      </w:pPr>
    </w:p>
    <w:p w14:paraId="0B805E3F">
      <w:pPr>
        <w:ind w:firstLine="480"/>
        <w:jc w:val="center"/>
        <w:rPr>
          <w:rFonts w:hint="eastAsia"/>
          <w:color w:val="000000"/>
          <w:highlight w:val="none"/>
        </w:rPr>
      </w:pPr>
    </w:p>
    <w:p w14:paraId="1299DF35">
      <w:pPr>
        <w:pStyle w:val="13"/>
        <w:ind w:firstLine="482"/>
        <w:rPr>
          <w:rFonts w:hint="eastAsia"/>
          <w:color w:val="000000"/>
          <w:highlight w:val="none"/>
        </w:rPr>
      </w:pPr>
    </w:p>
    <w:p w14:paraId="33BEFA4B">
      <w:pPr>
        <w:pStyle w:val="13"/>
        <w:ind w:firstLine="482"/>
        <w:rPr>
          <w:rFonts w:hint="eastAsia"/>
          <w:color w:val="000000"/>
          <w:highlight w:val="none"/>
        </w:rPr>
      </w:pPr>
    </w:p>
    <w:p w14:paraId="4A6C9432">
      <w:pPr>
        <w:pStyle w:val="13"/>
        <w:ind w:firstLine="482"/>
        <w:rPr>
          <w:rFonts w:hint="eastAsia"/>
          <w:color w:val="000000"/>
          <w:highlight w:val="none"/>
        </w:rPr>
      </w:pPr>
    </w:p>
    <w:p w14:paraId="146A2894">
      <w:pPr>
        <w:pStyle w:val="13"/>
        <w:ind w:firstLine="482"/>
        <w:rPr>
          <w:rFonts w:hint="eastAsia"/>
          <w:color w:val="000000"/>
          <w:highlight w:val="none"/>
        </w:rPr>
      </w:pPr>
    </w:p>
    <w:p w14:paraId="2AF905FF">
      <w:pPr>
        <w:pStyle w:val="13"/>
        <w:ind w:firstLine="482"/>
        <w:rPr>
          <w:color w:val="000000"/>
          <w:highlight w:val="none"/>
        </w:rPr>
      </w:pPr>
    </w:p>
    <w:p w14:paraId="3769B533">
      <w:pPr>
        <w:pStyle w:val="13"/>
        <w:ind w:firstLine="482"/>
        <w:rPr>
          <w:color w:val="000000"/>
          <w:highlight w:val="none"/>
        </w:rPr>
      </w:pPr>
    </w:p>
    <w:p w14:paraId="225EC06C">
      <w:pPr>
        <w:ind w:firstLine="480"/>
        <w:rPr>
          <w:rFonts w:hint="eastAsia"/>
          <w:color w:val="000000"/>
          <w:highlight w:val="none"/>
        </w:rPr>
      </w:pPr>
    </w:p>
    <w:p w14:paraId="65F8C87F">
      <w:pPr>
        <w:ind w:firstLine="480"/>
        <w:jc w:val="center"/>
        <w:rPr>
          <w:rFonts w:hint="eastAsia"/>
          <w:color w:val="000000"/>
          <w:highlight w:val="none"/>
        </w:rPr>
      </w:pPr>
    </w:p>
    <w:p w14:paraId="3250561C">
      <w:pPr>
        <w:ind w:leftChars="700" w:firstLine="0" w:firstLineChars="0"/>
        <w:jc w:val="both"/>
        <w:rPr>
          <w:rFonts w:hint="eastAsia" w:eastAsia="宋体"/>
          <w:b/>
          <w:color w:val="000000"/>
          <w:kern w:val="0"/>
          <w:sz w:val="32"/>
          <w:szCs w:val="32"/>
          <w:highlight w:val="none"/>
          <w:lang w:eastAsia="zh-CN"/>
        </w:rPr>
      </w:pPr>
      <w:r>
        <w:rPr>
          <w:rFonts w:hint="eastAsia"/>
          <w:b/>
          <w:bCs/>
          <w:color w:val="000000"/>
          <w:sz w:val="32"/>
          <w:szCs w:val="32"/>
          <w:highlight w:val="none"/>
        </w:rPr>
        <w:t>招 标 人：</w:t>
      </w:r>
      <w:r>
        <w:rPr>
          <w:rFonts w:hint="eastAsia"/>
          <w:b/>
          <w:color w:val="000000"/>
          <w:kern w:val="0"/>
          <w:sz w:val="32"/>
          <w:szCs w:val="32"/>
          <w:highlight w:val="none"/>
          <w:lang w:eastAsia="zh-CN"/>
        </w:rPr>
        <w:t>科学城（广州）发展集团有限公司</w:t>
      </w:r>
    </w:p>
    <w:p w14:paraId="609D4936">
      <w:pPr>
        <w:ind w:leftChars="700" w:firstLine="0" w:firstLineChars="0"/>
        <w:jc w:val="both"/>
        <w:rPr>
          <w:rFonts w:hint="eastAsia" w:eastAsia="宋体"/>
          <w:b/>
          <w:color w:val="000000"/>
          <w:kern w:val="0"/>
          <w:sz w:val="32"/>
          <w:szCs w:val="32"/>
          <w:highlight w:val="none"/>
          <w:lang w:eastAsia="zh-CN"/>
        </w:rPr>
      </w:pPr>
      <w:r>
        <w:rPr>
          <w:rFonts w:hint="eastAsia"/>
          <w:b/>
          <w:bCs/>
          <w:color w:val="000000"/>
          <w:sz w:val="32"/>
          <w:szCs w:val="32"/>
          <w:highlight w:val="none"/>
        </w:rPr>
        <w:t>招标代理机构：</w:t>
      </w:r>
      <w:r>
        <w:rPr>
          <w:rFonts w:hint="eastAsia"/>
          <w:b/>
          <w:bCs/>
          <w:color w:val="000000"/>
          <w:sz w:val="32"/>
          <w:szCs w:val="32"/>
          <w:highlight w:val="none"/>
          <w:lang w:val="en-US" w:eastAsia="zh-CN"/>
        </w:rPr>
        <w:t>广东粤能工程管理有限公司</w:t>
      </w:r>
    </w:p>
    <w:p w14:paraId="093259F5">
      <w:pPr>
        <w:ind w:leftChars="700"/>
        <w:jc w:val="both"/>
        <w:rPr>
          <w:rFonts w:hint="eastAsia"/>
          <w:b/>
          <w:bCs/>
          <w:color w:val="000000"/>
          <w:sz w:val="32"/>
          <w:szCs w:val="32"/>
          <w:highlight w:val="none"/>
        </w:rPr>
      </w:pPr>
      <w:r>
        <w:rPr>
          <w:rFonts w:hint="eastAsia"/>
          <w:b/>
          <w:bCs/>
          <w:color w:val="000000"/>
          <w:sz w:val="32"/>
          <w:szCs w:val="32"/>
          <w:highlight w:val="none"/>
        </w:rPr>
        <w:t>日    期：</w:t>
      </w:r>
      <w:r>
        <w:rPr>
          <w:rFonts w:hint="eastAsia"/>
          <w:b/>
          <w:bCs/>
          <w:color w:val="000000"/>
          <w:sz w:val="32"/>
          <w:szCs w:val="32"/>
          <w:highlight w:val="none"/>
          <w:lang w:eastAsia="zh-CN"/>
        </w:rPr>
        <w:t>202</w:t>
      </w:r>
      <w:r>
        <w:rPr>
          <w:rFonts w:hint="eastAsia"/>
          <w:b/>
          <w:bCs/>
          <w:color w:val="000000"/>
          <w:sz w:val="32"/>
          <w:szCs w:val="32"/>
          <w:highlight w:val="none"/>
          <w:lang w:val="en-US" w:eastAsia="zh-CN"/>
        </w:rPr>
        <w:t>5</w:t>
      </w:r>
      <w:r>
        <w:rPr>
          <w:rFonts w:hint="eastAsia"/>
          <w:b/>
          <w:bCs/>
          <w:color w:val="000000"/>
          <w:sz w:val="32"/>
          <w:szCs w:val="32"/>
          <w:highlight w:val="none"/>
        </w:rPr>
        <w:t>年</w:t>
      </w:r>
      <w:r>
        <w:rPr>
          <w:rFonts w:hint="eastAsia"/>
          <w:b/>
          <w:bCs/>
          <w:color w:val="000000"/>
          <w:sz w:val="32"/>
          <w:szCs w:val="32"/>
          <w:highlight w:val="none"/>
          <w:lang w:val="en-US" w:eastAsia="zh-CN"/>
        </w:rPr>
        <w:t>11</w:t>
      </w:r>
      <w:r>
        <w:rPr>
          <w:rFonts w:hint="eastAsia"/>
          <w:b/>
          <w:bCs/>
          <w:color w:val="000000"/>
          <w:sz w:val="32"/>
          <w:szCs w:val="32"/>
          <w:highlight w:val="none"/>
        </w:rPr>
        <w:t>月</w:t>
      </w:r>
    </w:p>
    <w:p w14:paraId="64659A2B">
      <w:pPr>
        <w:spacing w:line="360" w:lineRule="auto"/>
        <w:jc w:val="center"/>
        <w:rPr>
          <w:rFonts w:hint="eastAsia" w:ascii="宋体" w:hAnsi="宋体" w:cs="宋体"/>
          <w:b/>
          <w:bCs/>
          <w:color w:val="auto"/>
          <w:sz w:val="30"/>
          <w:szCs w:val="30"/>
          <w:highlight w:val="none"/>
          <w:lang w:eastAsia="zh-CN"/>
        </w:rPr>
      </w:pPr>
    </w:p>
    <w:p w14:paraId="37941F33">
      <w:pPr>
        <w:spacing w:line="360" w:lineRule="auto"/>
        <w:jc w:val="center"/>
        <w:rPr>
          <w:rFonts w:hint="eastAsia" w:ascii="宋体" w:hAnsi="宋体" w:cs="宋体"/>
          <w:b/>
          <w:bCs/>
          <w:color w:val="auto"/>
          <w:sz w:val="30"/>
          <w:szCs w:val="30"/>
          <w:highlight w:val="none"/>
          <w:lang w:eastAsia="zh-CN"/>
        </w:rPr>
      </w:pPr>
    </w:p>
    <w:p w14:paraId="1811DF5F">
      <w:pPr>
        <w:spacing w:line="360" w:lineRule="auto"/>
        <w:jc w:val="center"/>
        <w:rPr>
          <w:rFonts w:hint="eastAsia" w:ascii="宋体" w:hAnsi="宋体" w:cs="宋体"/>
          <w:b/>
          <w:bCs/>
          <w:color w:val="auto"/>
          <w:sz w:val="30"/>
          <w:szCs w:val="30"/>
          <w:highlight w:val="none"/>
          <w:lang w:eastAsia="zh-CN"/>
        </w:rPr>
      </w:pPr>
    </w:p>
    <w:p w14:paraId="4B7A3FF8">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eastAsia="zh-CN"/>
        </w:rPr>
        <w:t>汽车零部件产业园项目监理</w:t>
      </w:r>
      <w:r>
        <w:rPr>
          <w:rFonts w:hint="eastAsia" w:ascii="宋体" w:hAnsi="宋体" w:cs="宋体"/>
          <w:b/>
          <w:bCs/>
          <w:color w:val="auto"/>
          <w:sz w:val="36"/>
          <w:szCs w:val="36"/>
          <w:highlight w:val="none"/>
        </w:rPr>
        <w:t>招标公告</w:t>
      </w:r>
    </w:p>
    <w:p w14:paraId="239E50E5">
      <w:pPr>
        <w:pStyle w:val="3"/>
        <w:keepNext w:val="0"/>
        <w:keepLines w:val="0"/>
        <w:spacing w:before="0" w:after="0" w:line="360" w:lineRule="auto"/>
        <w:rPr>
          <w:rFonts w:ascii="宋体" w:hAnsi="宋体" w:eastAsia="宋体" w:cs="宋体"/>
          <w:color w:val="auto"/>
          <w:highlight w:val="none"/>
        </w:rPr>
      </w:pPr>
      <w:bookmarkStart w:id="0" w:name="_Toc511557025"/>
      <w:bookmarkStart w:id="1" w:name="_Toc25668"/>
      <w:bookmarkStart w:id="2" w:name="_Toc515033010"/>
      <w:r>
        <w:rPr>
          <w:rFonts w:hint="eastAsia" w:ascii="宋体" w:hAnsi="宋体" w:eastAsia="宋体" w:cs="宋体"/>
          <w:color w:val="auto"/>
          <w:highlight w:val="none"/>
        </w:rPr>
        <w:t>1. 招标条件</w:t>
      </w:r>
      <w:bookmarkEnd w:id="0"/>
      <w:bookmarkEnd w:id="1"/>
      <w:bookmarkEnd w:id="2"/>
    </w:p>
    <w:p w14:paraId="729CF6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bCs/>
          <w:color w:val="auto"/>
          <w:sz w:val="24"/>
          <w:highlight w:val="none"/>
          <w:u w:val="single"/>
          <w:lang w:eastAsia="zh-CN"/>
        </w:rPr>
        <w:t>汽车零部件产业园项目</w:t>
      </w:r>
      <w:r>
        <w:rPr>
          <w:rFonts w:hint="eastAsia" w:ascii="宋体" w:hAnsi="宋体" w:cs="宋体"/>
          <w:color w:val="auto"/>
          <w:sz w:val="24"/>
          <w:highlight w:val="none"/>
        </w:rPr>
        <w:t>已由</w:t>
      </w:r>
      <w:r>
        <w:rPr>
          <w:rFonts w:hint="eastAsia" w:ascii="宋体" w:hAnsi="宋体" w:cs="宋体"/>
          <w:color w:val="auto"/>
          <w:sz w:val="24"/>
          <w:highlight w:val="none"/>
          <w:u w:val="single"/>
          <w:lang w:val="en-US" w:eastAsia="zh-CN"/>
        </w:rPr>
        <w:t>广州开发区行政审批局</w:t>
      </w:r>
      <w:r>
        <w:rPr>
          <w:rFonts w:hint="eastAsia" w:ascii="宋体" w:hAnsi="宋体" w:cs="宋体"/>
          <w:color w:val="auto"/>
          <w:sz w:val="24"/>
          <w:highlight w:val="none"/>
        </w:rPr>
        <w:t>以</w:t>
      </w:r>
      <w:r>
        <w:rPr>
          <w:rFonts w:hint="eastAsia" w:ascii="宋体" w:hAnsi="宋体" w:cs="宋体"/>
          <w:color w:val="auto"/>
          <w:sz w:val="24"/>
          <w:highlight w:val="none"/>
          <w:u w:val="single"/>
        </w:rPr>
        <w:t>广东省企业投资项目备案证</w:t>
      </w:r>
      <w:r>
        <w:rPr>
          <w:rFonts w:hint="eastAsia" w:ascii="宋体" w:hAnsi="宋体" w:cs="宋体"/>
          <w:color w:val="auto"/>
          <w:sz w:val="24"/>
          <w:highlight w:val="none"/>
          <w:u w:val="single"/>
          <w:lang w:val="en-US" w:eastAsia="zh-CN"/>
        </w:rPr>
        <w:t>2410-440112-04-01-128599</w:t>
      </w:r>
      <w:r>
        <w:rPr>
          <w:rFonts w:hint="eastAsia" w:ascii="宋体" w:hAnsi="宋体" w:cs="宋体"/>
          <w:color w:val="auto"/>
          <w:sz w:val="24"/>
          <w:highlight w:val="none"/>
          <w:u w:val="single"/>
        </w:rPr>
        <w:t>号</w:t>
      </w:r>
      <w:r>
        <w:rPr>
          <w:rFonts w:hint="eastAsia" w:ascii="宋体" w:hAnsi="宋体" w:cs="宋体"/>
          <w:color w:val="auto"/>
          <w:sz w:val="24"/>
          <w:highlight w:val="none"/>
        </w:rPr>
        <w:t>批准建设，项目业主为</w:t>
      </w:r>
      <w:r>
        <w:rPr>
          <w:rFonts w:hint="eastAsia" w:ascii="宋体" w:hAnsi="宋体" w:cs="宋体"/>
          <w:bCs/>
          <w:color w:val="auto"/>
          <w:sz w:val="24"/>
          <w:highlight w:val="none"/>
          <w:u w:val="single"/>
          <w:lang w:eastAsia="zh-CN"/>
        </w:rPr>
        <w:t>科学城（广州）发展集团有限公司（以实际项目公司为准）</w:t>
      </w:r>
      <w:r>
        <w:rPr>
          <w:rFonts w:hint="eastAsia" w:ascii="宋体" w:hAnsi="宋体" w:cs="宋体"/>
          <w:color w:val="auto"/>
          <w:sz w:val="24"/>
          <w:highlight w:val="none"/>
        </w:rPr>
        <w:t>，建设资金来自</w:t>
      </w:r>
      <w:r>
        <w:rPr>
          <w:rFonts w:hint="eastAsia" w:ascii="宋体" w:hAnsi="宋体" w:cs="宋体"/>
          <w:color w:val="auto"/>
          <w:sz w:val="24"/>
          <w:highlight w:val="none"/>
          <w:u w:val="single"/>
        </w:rPr>
        <w:t>自筹资金</w:t>
      </w:r>
      <w:r>
        <w:rPr>
          <w:rFonts w:hint="eastAsia" w:ascii="宋体" w:hAnsi="宋体" w:cs="宋体"/>
          <w:color w:val="auto"/>
          <w:sz w:val="24"/>
          <w:highlight w:val="none"/>
        </w:rPr>
        <w:t>，出资比例为</w:t>
      </w:r>
      <w:r>
        <w:rPr>
          <w:rFonts w:hint="eastAsia" w:ascii="宋体" w:hAnsi="宋体" w:cs="宋体"/>
          <w:color w:val="auto"/>
          <w:sz w:val="24"/>
          <w:highlight w:val="none"/>
          <w:u w:val="single"/>
        </w:rPr>
        <w:t>100%</w:t>
      </w:r>
      <w:r>
        <w:rPr>
          <w:rFonts w:hint="eastAsia" w:ascii="宋体" w:hAnsi="宋体" w:cs="宋体"/>
          <w:color w:val="auto"/>
          <w:sz w:val="24"/>
          <w:highlight w:val="none"/>
        </w:rPr>
        <w:t>，招标人为</w:t>
      </w:r>
      <w:r>
        <w:rPr>
          <w:rFonts w:hint="eastAsia" w:ascii="宋体" w:hAnsi="宋体" w:cs="宋体"/>
          <w:bCs/>
          <w:color w:val="auto"/>
          <w:sz w:val="24"/>
          <w:highlight w:val="none"/>
          <w:u w:val="single"/>
          <w:lang w:eastAsia="zh-CN"/>
        </w:rPr>
        <w:t>科学城（广州）发展集团有限公司</w:t>
      </w:r>
      <w:r>
        <w:rPr>
          <w:rFonts w:hint="eastAsia" w:ascii="宋体" w:hAnsi="宋体" w:cs="宋体"/>
          <w:color w:val="auto"/>
          <w:sz w:val="24"/>
          <w:highlight w:val="none"/>
        </w:rPr>
        <w:t>。项目已具备招标条件，现对该项目的</w:t>
      </w:r>
      <w:r>
        <w:rPr>
          <w:rFonts w:hint="eastAsia" w:ascii="宋体" w:hAnsi="宋体" w:cs="宋体"/>
          <w:color w:val="auto"/>
          <w:sz w:val="24"/>
          <w:highlight w:val="none"/>
          <w:u w:val="single"/>
        </w:rPr>
        <w:t>监理</w:t>
      </w:r>
      <w:r>
        <w:rPr>
          <w:rFonts w:hint="eastAsia" w:ascii="宋体" w:hAnsi="宋体" w:cs="宋体"/>
          <w:color w:val="auto"/>
          <w:sz w:val="24"/>
          <w:highlight w:val="none"/>
        </w:rPr>
        <w:t>进行公开招标。</w:t>
      </w:r>
    </w:p>
    <w:p w14:paraId="1686EBF6">
      <w:pPr>
        <w:pStyle w:val="3"/>
        <w:keepNext w:val="0"/>
        <w:keepLines w:val="0"/>
        <w:spacing w:before="0" w:after="0" w:line="360" w:lineRule="auto"/>
        <w:rPr>
          <w:rFonts w:ascii="宋体" w:hAnsi="宋体" w:eastAsia="宋体" w:cs="宋体"/>
          <w:color w:val="auto"/>
          <w:highlight w:val="none"/>
        </w:rPr>
      </w:pPr>
      <w:bookmarkStart w:id="3" w:name="_Toc19001"/>
      <w:bookmarkStart w:id="4" w:name="_Toc515033011"/>
      <w:bookmarkStart w:id="5" w:name="_Toc511557026"/>
      <w:r>
        <w:rPr>
          <w:rFonts w:hint="eastAsia" w:ascii="宋体" w:hAnsi="宋体" w:eastAsia="宋体" w:cs="宋体"/>
          <w:color w:val="auto"/>
          <w:highlight w:val="none"/>
        </w:rPr>
        <w:t>2. 项目概况与招标范围</w:t>
      </w:r>
      <w:bookmarkEnd w:id="3"/>
      <w:bookmarkEnd w:id="4"/>
      <w:bookmarkEnd w:id="5"/>
    </w:p>
    <w:p w14:paraId="49ABF107">
      <w:pPr>
        <w:tabs>
          <w:tab w:val="left" w:pos="7513"/>
        </w:tabs>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2.1招标项目概况</w:t>
      </w:r>
    </w:p>
    <w:p w14:paraId="6DFC49A0">
      <w:pPr>
        <w:tabs>
          <w:tab w:val="left" w:pos="7513"/>
        </w:tabs>
        <w:spacing w:line="360" w:lineRule="auto"/>
        <w:ind w:firstLine="424" w:firstLineChars="177"/>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2.1.1 招标项目名称：</w:t>
      </w:r>
      <w:r>
        <w:rPr>
          <w:rFonts w:hint="eastAsia" w:ascii="宋体" w:hAnsi="宋体" w:cs="宋体"/>
          <w:bCs/>
          <w:color w:val="auto"/>
          <w:sz w:val="24"/>
          <w:highlight w:val="none"/>
          <w:u w:val="single"/>
          <w:lang w:eastAsia="zh-CN"/>
        </w:rPr>
        <w:t>汽车零部件产业园项目监理。</w:t>
      </w:r>
    </w:p>
    <w:p w14:paraId="53BC16AA">
      <w:pPr>
        <w:tabs>
          <w:tab w:val="left" w:pos="7513"/>
        </w:tabs>
        <w:spacing w:line="360" w:lineRule="auto"/>
        <w:ind w:firstLine="424" w:firstLineChars="177"/>
        <w:rPr>
          <w:rFonts w:hint="default" w:ascii="宋体" w:hAnsi="宋体" w:eastAsia="宋体" w:cs="宋体"/>
          <w:b w:val="0"/>
          <w:color w:val="auto"/>
          <w:sz w:val="24"/>
          <w:highlight w:val="none"/>
          <w:u w:val="single"/>
          <w:lang w:val="en-US"/>
        </w:rPr>
      </w:pPr>
      <w:r>
        <w:rPr>
          <w:rFonts w:hint="eastAsia" w:ascii="宋体" w:hAnsi="宋体" w:cs="宋体"/>
          <w:color w:val="auto"/>
          <w:sz w:val="24"/>
          <w:highlight w:val="none"/>
        </w:rPr>
        <w:t>2.1.2 工程建设规模：</w:t>
      </w:r>
      <w:r>
        <w:rPr>
          <w:rFonts w:hint="eastAsia" w:ascii="宋体" w:hAnsi="宋体" w:cs="宋体"/>
          <w:color w:val="auto"/>
          <w:sz w:val="24"/>
          <w:highlight w:val="none"/>
          <w:u w:val="single"/>
          <w:lang w:val="en-US" w:eastAsia="zh-CN"/>
        </w:rPr>
        <w:t>项目占地面积约65,971.63平方米,总建筑面积约215,278.04平方米,用地性质为一类工业用地（M1），建设内容包括2栋研发车间(1#楼20层、2#楼16层)、8栋生产车间(3#楼8层、4#楼14层，6-9#楼5层，10-11#楼2层)、1栋倒班楼(5#楼10层)，1层地下车库，将集汽车零部件生产、汽车设计、汽车前后市场个性化定制、汽车研发等环节于一体</w:t>
      </w:r>
      <w:r>
        <w:rPr>
          <w:rFonts w:hint="default" w:ascii="宋体" w:hAnsi="宋体" w:cs="宋体"/>
          <w:color w:val="auto"/>
          <w:sz w:val="24"/>
          <w:highlight w:val="none"/>
          <w:u w:val="single"/>
          <w:lang w:val="en-US" w:eastAsia="zh-CN"/>
        </w:rPr>
        <w:t>。</w:t>
      </w:r>
      <w:r>
        <w:rPr>
          <w:rFonts w:hint="default" w:ascii="宋体" w:hAnsi="宋体" w:eastAsia="宋体" w:cs="宋体"/>
          <w:b w:val="0"/>
          <w:color w:val="auto"/>
          <w:sz w:val="24"/>
          <w:highlight w:val="none"/>
          <w:u w:val="single"/>
        </w:rPr>
        <w:t>具体内容以发包人或政府部门审批为准</w:t>
      </w:r>
      <w:r>
        <w:rPr>
          <w:rFonts w:hint="eastAsia" w:ascii="宋体" w:hAnsi="宋体" w:cs="宋体"/>
          <w:color w:val="auto"/>
          <w:sz w:val="24"/>
          <w:highlight w:val="none"/>
          <w:u w:val="single"/>
          <w:lang w:val="en-US" w:eastAsia="zh-CN"/>
        </w:rPr>
        <w:t>。</w:t>
      </w:r>
    </w:p>
    <w:p w14:paraId="1E3B8D26">
      <w:pPr>
        <w:tabs>
          <w:tab w:val="left" w:pos="7513"/>
        </w:tabs>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lang w:val="en-US" w:eastAsia="zh-CN"/>
        </w:rPr>
        <w:t>2.1.3 工程建</w:t>
      </w:r>
      <w:r>
        <w:rPr>
          <w:rFonts w:hint="eastAsia" w:ascii="宋体" w:hAnsi="宋体" w:cs="宋体"/>
          <w:color w:val="auto"/>
          <w:sz w:val="24"/>
          <w:highlight w:val="none"/>
        </w:rPr>
        <w:t>设地点：</w:t>
      </w:r>
      <w:r>
        <w:rPr>
          <w:rFonts w:hint="eastAsia" w:ascii="宋体" w:hAnsi="宋体" w:cs="宋体"/>
          <w:color w:val="auto"/>
          <w:sz w:val="24"/>
          <w:highlight w:val="none"/>
          <w:u w:val="single"/>
          <w:lang w:eastAsia="zh-CN"/>
        </w:rPr>
        <w:t>广州市黄埔区九龙镇广河高速以南，开放大道以东（广州经济技术开发区）</w:t>
      </w:r>
      <w:r>
        <w:rPr>
          <w:rFonts w:hint="eastAsia" w:ascii="宋体" w:hAnsi="宋体"/>
          <w:color w:val="auto"/>
          <w:sz w:val="24"/>
          <w:highlight w:val="none"/>
          <w:u w:val="single"/>
          <w:lang w:eastAsia="zh-CN"/>
        </w:rPr>
        <w:t>。</w:t>
      </w:r>
    </w:p>
    <w:p w14:paraId="4FB2F393">
      <w:pPr>
        <w:tabs>
          <w:tab w:val="left" w:pos="7513"/>
        </w:tabs>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none"/>
        </w:rPr>
        <w:t>2.1.4 工程投资额：</w:t>
      </w:r>
      <w:bookmarkStart w:id="6" w:name="OLE_LINK3"/>
      <w:r>
        <w:rPr>
          <w:rFonts w:hint="eastAsia" w:ascii="宋体" w:hAnsi="宋体"/>
          <w:color w:val="auto"/>
          <w:sz w:val="24"/>
          <w:highlight w:val="none"/>
          <w:u w:val="single"/>
        </w:rPr>
        <w:t>项目估算总投资</w:t>
      </w:r>
      <w:r>
        <w:rPr>
          <w:rFonts w:hint="eastAsia" w:ascii="宋体" w:hAnsi="宋体"/>
          <w:color w:val="auto"/>
          <w:sz w:val="24"/>
          <w:highlight w:val="none"/>
          <w:u w:val="single"/>
          <w:lang w:val="en-US" w:eastAsia="zh-CN"/>
        </w:rPr>
        <w:t>约</w:t>
      </w:r>
      <w:r>
        <w:rPr>
          <w:rFonts w:hint="eastAsia" w:ascii="宋体" w:hAnsi="宋体"/>
          <w:color w:val="auto"/>
          <w:sz w:val="24"/>
          <w:highlight w:val="none"/>
          <w:u w:val="single"/>
        </w:rPr>
        <w:t>为</w:t>
      </w:r>
      <w:bookmarkStart w:id="7" w:name="OLE_LINK4"/>
      <w:r>
        <w:rPr>
          <w:rFonts w:hint="eastAsia" w:ascii="宋体" w:hAnsi="宋体"/>
          <w:color w:val="auto"/>
          <w:sz w:val="24"/>
          <w:highlight w:val="none"/>
          <w:u w:val="single"/>
          <w:lang w:val="en-US" w:eastAsia="zh-CN"/>
        </w:rPr>
        <w:t>108</w:t>
      </w:r>
      <w:r>
        <w:rPr>
          <w:rFonts w:hint="eastAsia" w:ascii="宋体" w:hAnsi="宋体" w:cs="宋体"/>
          <w:color w:val="auto"/>
          <w:sz w:val="24"/>
          <w:highlight w:val="none"/>
          <w:u w:val="single"/>
          <w:lang w:val="en-US" w:eastAsia="zh-CN"/>
        </w:rPr>
        <w:t>,</w:t>
      </w:r>
      <w:r>
        <w:rPr>
          <w:rFonts w:hint="eastAsia" w:ascii="宋体" w:hAnsi="宋体"/>
          <w:color w:val="auto"/>
          <w:sz w:val="24"/>
          <w:highlight w:val="none"/>
          <w:u w:val="single"/>
          <w:lang w:val="en-US" w:eastAsia="zh-CN"/>
        </w:rPr>
        <w:t>979.96万</w:t>
      </w:r>
      <w:bookmarkEnd w:id="7"/>
      <w:r>
        <w:rPr>
          <w:rFonts w:hint="eastAsia" w:ascii="宋体" w:hAnsi="宋体"/>
          <w:color w:val="auto"/>
          <w:sz w:val="24"/>
          <w:highlight w:val="none"/>
          <w:u w:val="single"/>
        </w:rPr>
        <w:t>元，其中：</w:t>
      </w:r>
      <w:r>
        <w:rPr>
          <w:rFonts w:hint="eastAsia" w:ascii="宋体" w:hAnsi="宋体"/>
          <w:color w:val="auto"/>
          <w:sz w:val="24"/>
          <w:highlight w:val="none"/>
          <w:u w:val="single"/>
          <w:lang w:val="en-US" w:eastAsia="zh-CN"/>
        </w:rPr>
        <w:t>土建投资</w:t>
      </w:r>
      <w:r>
        <w:rPr>
          <w:rFonts w:hint="eastAsia" w:ascii="宋体" w:hAnsi="宋体"/>
          <w:color w:val="auto"/>
          <w:sz w:val="24"/>
          <w:highlight w:val="none"/>
          <w:u w:val="single"/>
        </w:rPr>
        <w:t>为</w:t>
      </w:r>
      <w:r>
        <w:rPr>
          <w:rFonts w:hint="eastAsia" w:ascii="宋体" w:hAnsi="宋体"/>
          <w:color w:val="auto"/>
          <w:sz w:val="24"/>
          <w:highlight w:val="none"/>
          <w:u w:val="single"/>
          <w:lang w:val="en-US" w:eastAsia="zh-CN"/>
        </w:rPr>
        <w:t>93</w:t>
      </w:r>
      <w:r>
        <w:rPr>
          <w:rFonts w:hint="eastAsia" w:ascii="宋体" w:hAnsi="宋体" w:cs="宋体"/>
          <w:color w:val="auto"/>
          <w:sz w:val="24"/>
          <w:highlight w:val="none"/>
          <w:u w:val="single"/>
          <w:lang w:val="en-US" w:eastAsia="zh-CN"/>
        </w:rPr>
        <w:t>,</w:t>
      </w:r>
      <w:r>
        <w:rPr>
          <w:rFonts w:hint="eastAsia" w:ascii="宋体" w:hAnsi="宋体"/>
          <w:color w:val="auto"/>
          <w:sz w:val="24"/>
          <w:highlight w:val="none"/>
          <w:u w:val="single"/>
          <w:lang w:val="en-US" w:eastAsia="zh-CN"/>
        </w:rPr>
        <w:t>019.46万</w:t>
      </w:r>
      <w:r>
        <w:rPr>
          <w:rFonts w:hint="eastAsia" w:ascii="宋体" w:hAnsi="宋体"/>
          <w:color w:val="auto"/>
          <w:sz w:val="24"/>
          <w:highlight w:val="none"/>
          <w:u w:val="single"/>
        </w:rPr>
        <w:t>元</w:t>
      </w:r>
      <w:bookmarkEnd w:id="6"/>
      <w:r>
        <w:rPr>
          <w:rFonts w:hint="eastAsia" w:ascii="宋体" w:hAnsi="宋体"/>
          <w:color w:val="auto"/>
          <w:sz w:val="24"/>
          <w:highlight w:val="none"/>
          <w:u w:val="single"/>
        </w:rPr>
        <w:t>。</w:t>
      </w:r>
    </w:p>
    <w:p w14:paraId="361EE022">
      <w:pPr>
        <w:tabs>
          <w:tab w:val="left" w:pos="7513"/>
        </w:tabs>
        <w:spacing w:line="360" w:lineRule="auto"/>
        <w:ind w:firstLine="480" w:firstLineChars="200"/>
        <w:rPr>
          <w:rFonts w:hint="eastAsia" w:ascii="宋体" w:hAnsi="宋体" w:cs="宋体"/>
          <w:color w:val="auto"/>
          <w:sz w:val="24"/>
          <w:highlight w:val="none"/>
          <w:u w:val="single"/>
          <w:lang w:eastAsia="zh-CN"/>
        </w:rPr>
      </w:pPr>
      <w:r>
        <w:rPr>
          <w:rFonts w:hint="eastAsia" w:ascii="宋体" w:hAnsi="宋体" w:cs="宋体"/>
          <w:color w:val="auto"/>
          <w:sz w:val="24"/>
          <w:highlight w:val="none"/>
          <w:u w:val="none"/>
        </w:rPr>
        <w:t>2.1.5 资金来源：</w:t>
      </w:r>
      <w:r>
        <w:rPr>
          <w:rFonts w:hint="eastAsia" w:ascii="宋体" w:hAnsi="宋体" w:cs="宋体"/>
          <w:color w:val="auto"/>
          <w:sz w:val="24"/>
          <w:highlight w:val="none"/>
          <w:u w:val="single"/>
        </w:rPr>
        <w:t>自筹资金</w:t>
      </w:r>
      <w:r>
        <w:rPr>
          <w:rFonts w:hint="eastAsia" w:ascii="宋体" w:hAnsi="宋体" w:cs="宋体"/>
          <w:color w:val="auto"/>
          <w:sz w:val="24"/>
          <w:highlight w:val="none"/>
          <w:u w:val="single"/>
          <w:lang w:eastAsia="zh-CN"/>
        </w:rPr>
        <w:t>。</w:t>
      </w:r>
    </w:p>
    <w:p w14:paraId="4E128A9F">
      <w:pPr>
        <w:tabs>
          <w:tab w:val="left" w:pos="7513"/>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none"/>
        </w:rPr>
        <w:t>2.1.6 工程质量标准：</w:t>
      </w:r>
      <w:r>
        <w:rPr>
          <w:rFonts w:hint="eastAsia" w:ascii="宋体" w:hAnsi="宋体" w:cs="宋体"/>
          <w:color w:val="auto"/>
          <w:sz w:val="24"/>
          <w:highlight w:val="none"/>
          <w:u w:val="single"/>
          <w:lang w:val="en-US" w:eastAsia="zh-CN"/>
        </w:rPr>
        <w:t>符合设计图纸要求和国家、省、市相关法律法规规定要求及行业颁发的工程质量合格标准。</w:t>
      </w:r>
    </w:p>
    <w:p w14:paraId="1D98B933">
      <w:pPr>
        <w:tabs>
          <w:tab w:val="left" w:pos="7513"/>
        </w:tabs>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2.2招标范围</w:t>
      </w:r>
    </w:p>
    <w:p w14:paraId="5874AFC5">
      <w:pPr>
        <w:tabs>
          <w:tab w:val="left" w:pos="7513"/>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none"/>
        </w:rPr>
        <w:t>2.2.1 监理标段划分：</w:t>
      </w:r>
      <w:r>
        <w:rPr>
          <w:rFonts w:hint="eastAsia" w:ascii="宋体" w:hAnsi="宋体" w:cs="宋体"/>
          <w:color w:val="auto"/>
          <w:sz w:val="24"/>
          <w:highlight w:val="none"/>
          <w:u w:val="single"/>
        </w:rPr>
        <w:t>本项目设</w:t>
      </w:r>
      <w:r>
        <w:rPr>
          <w:rFonts w:hint="eastAsia" w:ascii="宋体" w:hAnsi="宋体" w:cs="宋体"/>
          <w:color w:val="auto"/>
          <w:sz w:val="24"/>
          <w:highlight w:val="none"/>
          <w:u w:val="single"/>
          <w:lang w:val="en-US" w:eastAsia="zh-CN"/>
        </w:rPr>
        <w:t>一</w:t>
      </w:r>
      <w:r>
        <w:rPr>
          <w:rFonts w:hint="eastAsia" w:ascii="宋体" w:hAnsi="宋体" w:cs="宋体"/>
          <w:color w:val="auto"/>
          <w:sz w:val="24"/>
          <w:highlight w:val="none"/>
          <w:u w:val="single"/>
        </w:rPr>
        <w:t>个标段。</w:t>
      </w:r>
    </w:p>
    <w:p w14:paraId="0CBE2385">
      <w:pPr>
        <w:tabs>
          <w:tab w:val="left" w:pos="7513"/>
        </w:tabs>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none"/>
        </w:rPr>
        <w:t>2.2.2 监理范围：</w:t>
      </w:r>
      <w:r>
        <w:rPr>
          <w:rFonts w:hint="eastAsia" w:ascii="宋体" w:hAnsi="宋体" w:cs="宋体"/>
          <w:color w:val="auto"/>
          <w:sz w:val="24"/>
          <w:highlight w:val="none"/>
          <w:u w:val="single"/>
        </w:rPr>
        <w:t>监理内容包括但不限于以下内容：前期工作阶段（包括设计各阶段、施工准备等）、施工</w:t>
      </w:r>
      <w:r>
        <w:rPr>
          <w:rFonts w:hint="eastAsia" w:ascii="宋体" w:hAnsi="宋体" w:cs="宋体"/>
          <w:color w:val="auto"/>
          <w:sz w:val="24"/>
          <w:highlight w:val="none"/>
          <w:u w:val="single"/>
          <w:lang w:val="en-US" w:eastAsia="zh-CN"/>
        </w:rPr>
        <w:t>阶段</w:t>
      </w:r>
      <w:r>
        <w:rPr>
          <w:rFonts w:hint="eastAsia" w:ascii="宋体" w:hAnsi="宋体" w:cs="宋体"/>
          <w:color w:val="auto"/>
          <w:sz w:val="24"/>
          <w:highlight w:val="none"/>
          <w:u w:val="single"/>
        </w:rPr>
        <w:t>、缺陷责任期</w:t>
      </w:r>
      <w:r>
        <w:rPr>
          <w:rFonts w:hint="eastAsia" w:ascii="宋体" w:hAnsi="宋体" w:cs="宋体"/>
          <w:color w:val="auto"/>
          <w:sz w:val="24"/>
          <w:highlight w:val="none"/>
          <w:u w:val="single"/>
          <w:lang w:val="en-US" w:eastAsia="zh-CN"/>
        </w:rPr>
        <w:t>阶段</w:t>
      </w:r>
      <w:r>
        <w:rPr>
          <w:rFonts w:hint="eastAsia" w:ascii="宋体" w:hAnsi="宋体" w:cs="宋体"/>
          <w:color w:val="auto"/>
          <w:sz w:val="24"/>
          <w:highlight w:val="none"/>
          <w:u w:val="single"/>
        </w:rPr>
        <w:t>、竣工结算期的监理及监理范围内的造价服务（设计概算审核、施工图预算审核、进度款审核、变更签证审核、结算审核</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含工程建设其他费结算审核</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）等相关工作。</w:t>
      </w:r>
    </w:p>
    <w:p w14:paraId="49ADB752">
      <w:pPr>
        <w:tabs>
          <w:tab w:val="left" w:pos="7513"/>
        </w:tabs>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2.2.3 监理服务期限</w:t>
      </w:r>
    </w:p>
    <w:p w14:paraId="198D99F2">
      <w:pPr>
        <w:tabs>
          <w:tab w:val="left" w:pos="751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前期工作阶段、施工阶段、缺陷责任期阶段、竣工结算期的监理服务期：</w:t>
      </w:r>
    </w:p>
    <w:p w14:paraId="745C7E5E">
      <w:pPr>
        <w:tabs>
          <w:tab w:val="left" w:pos="7513"/>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前期工作阶段：从签订合同之日到所有前期工作完成之日；</w:t>
      </w:r>
    </w:p>
    <w:p w14:paraId="48EE0510">
      <w:pPr>
        <w:tabs>
          <w:tab w:val="left" w:pos="7513"/>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施工阶段：从业主下达开工令或开工报告审批之日起至施工项目全部完工并办理竣工验收、竣工结算、备案管理为止；</w:t>
      </w:r>
    </w:p>
    <w:p w14:paraId="3AF674A6">
      <w:pPr>
        <w:tabs>
          <w:tab w:val="left" w:pos="7513"/>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缺陷责任期阶段：从工程实际竣工验收合格之日起2年；</w:t>
      </w:r>
    </w:p>
    <w:p w14:paraId="1C938D75">
      <w:pPr>
        <w:tabs>
          <w:tab w:val="left" w:pos="7513"/>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竣工结算期：从结算送审到终审。</w:t>
      </w:r>
    </w:p>
    <w:p w14:paraId="617C940F">
      <w:pPr>
        <w:tabs>
          <w:tab w:val="left" w:pos="751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 监理服务最高投标限价：</w:t>
      </w:r>
      <w:r>
        <w:rPr>
          <w:rFonts w:hint="eastAsia" w:ascii="宋体" w:hAnsi="宋体" w:cs="宋体"/>
          <w:color w:val="auto"/>
          <w:sz w:val="24"/>
          <w:highlight w:val="none"/>
          <w:u w:val="single"/>
          <w:lang w:val="en-US" w:eastAsia="zh-CN"/>
        </w:rPr>
        <w:t>781.49</w:t>
      </w:r>
      <w:r>
        <w:rPr>
          <w:rFonts w:hint="eastAsia" w:ascii="宋体" w:hAnsi="宋体" w:cs="宋体"/>
          <w:color w:val="auto"/>
          <w:sz w:val="24"/>
          <w:highlight w:val="none"/>
        </w:rPr>
        <w:t>万元。</w:t>
      </w:r>
    </w:p>
    <w:p w14:paraId="00A4D175">
      <w:pPr>
        <w:tabs>
          <w:tab w:val="left" w:pos="7513"/>
        </w:tabs>
        <w:spacing w:line="360" w:lineRule="auto"/>
        <w:ind w:firstLine="480" w:firstLineChars="200"/>
        <w:rPr>
          <w:color w:val="auto"/>
          <w:highlight w:val="none"/>
        </w:rPr>
      </w:pPr>
      <w:r>
        <w:rPr>
          <w:rFonts w:hint="eastAsia" w:ascii="宋体" w:hAnsi="宋体" w:cs="宋体"/>
          <w:color w:val="auto"/>
          <w:sz w:val="24"/>
          <w:highlight w:val="none"/>
        </w:rPr>
        <w:t>2.2.5若本项目因国土、规划、</w:t>
      </w:r>
      <w:bookmarkStart w:id="8" w:name="OLE_LINK8"/>
      <w:r>
        <w:rPr>
          <w:rFonts w:hint="eastAsia" w:ascii="宋体" w:hAnsi="宋体" w:cs="宋体"/>
          <w:color w:val="auto"/>
          <w:sz w:val="24"/>
          <w:highlight w:val="none"/>
        </w:rPr>
        <w:t>建筑主管部门等原因，调整建设规模或终止实施</w:t>
      </w:r>
      <w:bookmarkEnd w:id="8"/>
      <w:r>
        <w:rPr>
          <w:rFonts w:hint="eastAsia" w:ascii="宋体" w:hAnsi="宋体" w:cs="宋体"/>
          <w:color w:val="auto"/>
          <w:sz w:val="24"/>
          <w:highlight w:val="none"/>
        </w:rPr>
        <w:t>，中标人只能就完成且通过招</w:t>
      </w:r>
      <w:r>
        <w:rPr>
          <w:rFonts w:ascii="宋体" w:hAnsi="宋体" w:cs="宋体"/>
          <w:color w:val="auto"/>
          <w:sz w:val="24"/>
          <w:highlight w:val="none"/>
        </w:rPr>
        <w:t>标人确认的工作量</w:t>
      </w:r>
      <w:r>
        <w:rPr>
          <w:rFonts w:hint="eastAsia" w:ascii="宋体" w:hAnsi="宋体" w:cs="宋体"/>
          <w:color w:val="auto"/>
          <w:sz w:val="24"/>
          <w:highlight w:val="none"/>
          <w:lang w:val="en-US" w:eastAsia="zh-CN"/>
        </w:rPr>
        <w:t>按合同</w:t>
      </w:r>
      <w:r>
        <w:rPr>
          <w:rFonts w:ascii="宋体" w:hAnsi="宋体" w:cs="宋体"/>
          <w:color w:val="auto"/>
          <w:sz w:val="24"/>
          <w:highlight w:val="none"/>
        </w:rPr>
        <w:t>申请</w:t>
      </w:r>
      <w:r>
        <w:rPr>
          <w:rFonts w:hint="eastAsia" w:ascii="宋体" w:hAnsi="宋体" w:cs="宋体"/>
          <w:color w:val="auto"/>
          <w:sz w:val="24"/>
          <w:highlight w:val="none"/>
          <w:lang w:val="en-US" w:eastAsia="zh-CN"/>
        </w:rPr>
        <w:t>结算</w:t>
      </w:r>
      <w:r>
        <w:rPr>
          <w:rFonts w:ascii="宋体" w:hAnsi="宋体" w:cs="宋体"/>
          <w:color w:val="auto"/>
          <w:sz w:val="24"/>
          <w:highlight w:val="none"/>
        </w:rPr>
        <w:t>，其他内容均不得索赔。中标人不得有异议。</w:t>
      </w:r>
    </w:p>
    <w:p w14:paraId="5E9C28A1">
      <w:pPr>
        <w:pStyle w:val="3"/>
        <w:keepNext w:val="0"/>
        <w:keepLines w:val="0"/>
        <w:spacing w:before="0" w:after="0" w:line="360" w:lineRule="auto"/>
        <w:rPr>
          <w:rFonts w:ascii="宋体" w:hAnsi="宋体" w:eastAsia="宋体" w:cs="宋体"/>
          <w:color w:val="auto"/>
          <w:highlight w:val="none"/>
        </w:rPr>
      </w:pPr>
      <w:bookmarkStart w:id="9" w:name="_Toc19360"/>
      <w:bookmarkStart w:id="10" w:name="_Toc515033012"/>
      <w:bookmarkStart w:id="11" w:name="_Toc511557027"/>
      <w:r>
        <w:rPr>
          <w:rFonts w:hint="eastAsia" w:ascii="宋体" w:hAnsi="宋体" w:eastAsia="宋体" w:cs="宋体"/>
          <w:color w:val="auto"/>
          <w:highlight w:val="none"/>
        </w:rPr>
        <w:t>3. 投标人资格要求</w:t>
      </w:r>
      <w:bookmarkEnd w:id="9"/>
      <w:bookmarkEnd w:id="10"/>
      <w:bookmarkEnd w:id="11"/>
    </w:p>
    <w:p w14:paraId="011819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本次招标要求投标人须具备相应资质，具备相应业绩。</w:t>
      </w:r>
    </w:p>
    <w:p w14:paraId="10D9416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3.1.1投标人（若为联合体投标，指联合体各方）须具备建设行政主管部门颁发的</w:t>
      </w:r>
      <w:r>
        <w:rPr>
          <w:rFonts w:hint="eastAsia" w:ascii="宋体" w:hAnsi="宋体" w:cs="宋体"/>
          <w:color w:val="auto"/>
          <w:sz w:val="24"/>
          <w:highlight w:val="none"/>
          <w:u w:val="single"/>
          <w:shd w:val="clear" w:color="auto" w:fill="FFFFFF"/>
        </w:rPr>
        <w:t>工程监理综合资质或</w:t>
      </w:r>
      <w:r>
        <w:rPr>
          <w:rFonts w:hint="eastAsia" w:ascii="宋体" w:hAnsi="宋体" w:cs="宋体"/>
          <w:color w:val="auto"/>
          <w:sz w:val="24"/>
          <w:highlight w:val="none"/>
          <w:u w:val="single"/>
        </w:rPr>
        <w:t>房屋建筑工程监理</w:t>
      </w:r>
      <w:r>
        <w:rPr>
          <w:rFonts w:hint="eastAsia" w:ascii="宋体" w:hAnsi="宋体" w:cs="宋体"/>
          <w:color w:val="auto"/>
          <w:sz w:val="24"/>
          <w:highlight w:val="none"/>
          <w:u w:val="single"/>
          <w:lang w:val="en-US" w:eastAsia="zh-CN"/>
        </w:rPr>
        <w:t>甲级</w:t>
      </w:r>
      <w:r>
        <w:rPr>
          <w:rFonts w:hint="eastAsia" w:ascii="宋体" w:hAnsi="宋体" w:cs="宋体"/>
          <w:color w:val="auto"/>
          <w:sz w:val="24"/>
          <w:highlight w:val="none"/>
        </w:rPr>
        <w:t>资质。香港企业参加投标的，须在广东省住房和城乡建设主管部门备案且备案的业务范围满足本项目招标文件要求。</w:t>
      </w:r>
    </w:p>
    <w:p w14:paraId="6EE5DD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1.香港企业备案的业务范围</w:t>
      </w:r>
      <w:r>
        <w:rPr>
          <w:rFonts w:hint="eastAsia" w:ascii="宋体" w:hAnsi="宋体" w:cs="宋体"/>
          <w:color w:val="auto"/>
          <w:sz w:val="24"/>
          <w:highlight w:val="none"/>
        </w:rPr>
        <w:t>依据《广东省住房和城乡建设厅关于印发香港工程建设咨询企业和专业人士在粤港澳大湾区内地城市开业执业试点管理暂行办法的通知》（粤建规范[2020]1号）确定。</w:t>
      </w:r>
    </w:p>
    <w:p w14:paraId="32E231D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根据上述文件的要求，投标人需办理企业资质有效期延续的，应当按照相关规定及时办理</w:t>
      </w:r>
      <w:r>
        <w:rPr>
          <w:rFonts w:hint="eastAsia" w:ascii="宋体" w:hAnsi="宋体" w:cs="宋体"/>
          <w:color w:val="auto"/>
          <w:sz w:val="24"/>
          <w:highlight w:val="none"/>
        </w:rPr>
        <w:t>。</w:t>
      </w:r>
    </w:p>
    <w:p w14:paraId="0B58CA8C">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3.1.2投标人（若为联合体投标，指联合体任一方）自</w:t>
      </w:r>
      <w:r>
        <w:rPr>
          <w:rFonts w:hint="eastAsia" w:ascii="宋体" w:hAnsi="宋体" w:cs="宋体"/>
          <w:color w:val="auto"/>
          <w:sz w:val="24"/>
          <w:highlight w:val="none"/>
          <w:u w:val="single"/>
        </w:rPr>
        <w:t>20</w:t>
      </w:r>
      <w:r>
        <w:rPr>
          <w:rFonts w:hint="eastAsia" w:ascii="宋体" w:hAnsi="宋体" w:cs="宋体"/>
          <w:color w:val="auto"/>
          <w:sz w:val="24"/>
          <w:highlight w:val="none"/>
          <w:u w:val="single"/>
          <w:lang w:val="en-US" w:eastAsia="zh-CN"/>
        </w:rPr>
        <w:t>22</w:t>
      </w:r>
      <w:r>
        <w:rPr>
          <w:rFonts w:hint="eastAsia" w:ascii="宋体" w:hAnsi="宋体" w:cs="宋体"/>
          <w:color w:val="auto"/>
          <w:sz w:val="24"/>
          <w:highlight w:val="none"/>
        </w:rPr>
        <w:t>年</w:t>
      </w:r>
      <w:r>
        <w:rPr>
          <w:rFonts w:hint="eastAsia" w:ascii="宋体" w:hAnsi="宋体" w:cs="宋体"/>
          <w:color w:val="auto"/>
          <w:sz w:val="24"/>
          <w:highlight w:val="none"/>
          <w:u w:val="single"/>
        </w:rPr>
        <w:t>1</w:t>
      </w:r>
      <w:r>
        <w:rPr>
          <w:rFonts w:hint="eastAsia" w:ascii="宋体" w:hAnsi="宋体" w:cs="宋体"/>
          <w:color w:val="auto"/>
          <w:sz w:val="24"/>
          <w:highlight w:val="none"/>
        </w:rPr>
        <w:t>月</w:t>
      </w:r>
      <w:r>
        <w:rPr>
          <w:rFonts w:hint="eastAsia" w:ascii="宋体" w:hAnsi="宋体" w:cs="宋体"/>
          <w:color w:val="auto"/>
          <w:sz w:val="24"/>
          <w:highlight w:val="none"/>
          <w:u w:val="single"/>
        </w:rPr>
        <w:t>1</w:t>
      </w:r>
      <w:r>
        <w:rPr>
          <w:rFonts w:hint="eastAsia" w:ascii="宋体" w:hAnsi="宋体" w:cs="宋体"/>
          <w:color w:val="auto"/>
          <w:sz w:val="24"/>
          <w:highlight w:val="none"/>
        </w:rPr>
        <w:t>日至今完成过质量合格</w:t>
      </w:r>
      <w:r>
        <w:rPr>
          <w:rFonts w:hint="default" w:ascii="宋体" w:hAnsi="宋体" w:cs="楷体"/>
          <w:color w:val="auto"/>
          <w:sz w:val="24"/>
          <w:szCs w:val="24"/>
          <w:highlight w:val="none"/>
          <w:u w:val="single"/>
        </w:rPr>
        <w:t>的类似工程监理业绩（类似工程是指第3.1.1点所述资质</w:t>
      </w:r>
      <w:r>
        <w:rPr>
          <w:rFonts w:hint="eastAsia" w:ascii="宋体" w:hAnsi="宋体" w:cs="楷体"/>
          <w:color w:val="auto"/>
          <w:sz w:val="24"/>
          <w:szCs w:val="24"/>
          <w:highlight w:val="none"/>
          <w:u w:val="single"/>
          <w:lang w:val="en-US" w:eastAsia="zh-CN"/>
        </w:rPr>
        <w:t>才</w:t>
      </w:r>
      <w:r>
        <w:rPr>
          <w:rFonts w:hint="default" w:ascii="宋体" w:hAnsi="宋体" w:cs="楷体"/>
          <w:color w:val="auto"/>
          <w:sz w:val="24"/>
          <w:szCs w:val="24"/>
          <w:highlight w:val="none"/>
          <w:u w:val="single"/>
        </w:rPr>
        <w:t>能承接的房屋建筑工程）</w:t>
      </w:r>
      <w:r>
        <w:rPr>
          <w:rFonts w:hint="eastAsia" w:ascii="宋体" w:hAnsi="宋体" w:cs="宋体"/>
          <w:color w:val="auto"/>
          <w:sz w:val="24"/>
          <w:highlight w:val="none"/>
        </w:rPr>
        <w:t>。需同时提供中标通知书</w:t>
      </w:r>
      <w:r>
        <w:rPr>
          <w:rFonts w:hint="eastAsia" w:ascii="宋体" w:hAnsi="宋体" w:cs="宋体"/>
          <w:color w:val="auto"/>
          <w:sz w:val="24"/>
          <w:highlight w:val="none"/>
          <w:lang w:eastAsia="zh-CN"/>
        </w:rPr>
        <w:t>（</w:t>
      </w:r>
      <w:r>
        <w:rPr>
          <w:rFonts w:hint="eastAsia" w:ascii="宋体" w:hAnsi="宋体" w:cs="宋体"/>
          <w:color w:val="auto"/>
          <w:sz w:val="24"/>
          <w:highlight w:val="none"/>
        </w:rPr>
        <w:t>或免招标的相关证明</w:t>
      </w:r>
      <w:r>
        <w:rPr>
          <w:rFonts w:hint="eastAsia" w:ascii="宋体" w:hAnsi="宋体" w:cs="宋体"/>
          <w:color w:val="auto"/>
          <w:sz w:val="24"/>
          <w:highlight w:val="none"/>
          <w:lang w:eastAsia="zh-CN"/>
        </w:rPr>
        <w:t>）</w:t>
      </w:r>
      <w:r>
        <w:rPr>
          <w:rFonts w:hint="eastAsia" w:ascii="宋体" w:hAnsi="宋体" w:cs="宋体"/>
          <w:color w:val="auto"/>
          <w:sz w:val="24"/>
          <w:highlight w:val="none"/>
        </w:rPr>
        <w:t>、施工监理合同、竣工验收报告</w:t>
      </w:r>
      <w:r>
        <w:rPr>
          <w:rFonts w:hint="eastAsia" w:ascii="宋体" w:hAnsi="宋体" w:cs="宋体"/>
          <w:color w:val="auto"/>
          <w:sz w:val="24"/>
          <w:highlight w:val="none"/>
          <w:lang w:eastAsia="zh-CN"/>
        </w:rPr>
        <w:t>（</w:t>
      </w:r>
      <w:r>
        <w:rPr>
          <w:rFonts w:hint="eastAsia" w:ascii="宋体" w:hAnsi="宋体" w:cs="宋体"/>
          <w:color w:val="auto"/>
          <w:sz w:val="24"/>
          <w:highlight w:val="none"/>
        </w:rPr>
        <w:t>或竣工验收证明</w:t>
      </w:r>
      <w:r>
        <w:rPr>
          <w:rFonts w:hint="eastAsia" w:ascii="宋体" w:hAnsi="宋体" w:cs="宋体"/>
          <w:color w:val="auto"/>
          <w:sz w:val="24"/>
          <w:highlight w:val="none"/>
          <w:lang w:eastAsia="zh-CN"/>
        </w:rPr>
        <w:t>），业绩时间以竣工验收报告（</w:t>
      </w:r>
      <w:r>
        <w:rPr>
          <w:rFonts w:hint="eastAsia" w:ascii="宋体" w:hAnsi="宋体" w:cs="宋体"/>
          <w:color w:val="auto"/>
          <w:sz w:val="24"/>
          <w:highlight w:val="none"/>
        </w:rPr>
        <w:t>或竣工验收证明</w:t>
      </w:r>
      <w:r>
        <w:rPr>
          <w:rFonts w:hint="eastAsia" w:ascii="宋体" w:hAnsi="宋体" w:cs="宋体"/>
          <w:color w:val="auto"/>
          <w:sz w:val="24"/>
          <w:highlight w:val="none"/>
          <w:lang w:eastAsia="zh-CN"/>
        </w:rPr>
        <w:t>）出具时间为准</w:t>
      </w:r>
      <w:r>
        <w:rPr>
          <w:rFonts w:hint="eastAsia" w:ascii="宋体" w:hAnsi="宋体" w:cs="楷体"/>
          <w:color w:val="auto"/>
          <w:sz w:val="24"/>
          <w:szCs w:val="24"/>
          <w:highlight w:val="none"/>
          <w:u w:val="single"/>
          <w:lang w:eastAsia="zh-CN"/>
        </w:rPr>
        <w:t>（</w:t>
      </w:r>
      <w:r>
        <w:rPr>
          <w:rFonts w:hint="default" w:ascii="宋体" w:hAnsi="宋体" w:cs="楷体"/>
          <w:color w:val="auto"/>
          <w:sz w:val="24"/>
          <w:szCs w:val="24"/>
          <w:highlight w:val="none"/>
          <w:u w:val="single"/>
        </w:rPr>
        <w:t>竣工验收报告或竣工验收证明材料至少包含建设单位、设计单位、施工单位、监理单位四方主体盖章，否则不予以认可</w:t>
      </w:r>
      <w:r>
        <w:rPr>
          <w:rFonts w:hint="eastAsia" w:ascii="宋体" w:hAnsi="宋体" w:cs="楷体"/>
          <w:color w:val="auto"/>
          <w:sz w:val="24"/>
          <w:szCs w:val="24"/>
          <w:highlight w:val="none"/>
          <w:u w:val="single"/>
          <w:lang w:eastAsia="zh-CN"/>
        </w:rPr>
        <w:t>）</w:t>
      </w:r>
      <w:r>
        <w:rPr>
          <w:rFonts w:hint="default" w:ascii="宋体" w:hAnsi="宋体" w:cs="楷体"/>
          <w:color w:val="auto"/>
          <w:sz w:val="24"/>
          <w:szCs w:val="24"/>
          <w:highlight w:val="none"/>
          <w:u w:val="single"/>
        </w:rPr>
        <w:t>。</w:t>
      </w:r>
    </w:p>
    <w:p w14:paraId="41F4D8A5">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3.2 总监理工程师（若为联合体投标，由联合体主办方提供）：拟任本项目总监理工程师应具有建设部2006年4月1日后颁发的中华人民共和国</w:t>
      </w:r>
      <w:r>
        <w:rPr>
          <w:rFonts w:hint="eastAsia" w:ascii="宋体" w:hAnsi="宋体" w:cs="宋体"/>
          <w:color w:val="auto"/>
          <w:sz w:val="24"/>
          <w:highlight w:val="none"/>
          <w:u w:val="single"/>
        </w:rPr>
        <w:t>注册监理工程师注册执业证书</w:t>
      </w:r>
      <w:r>
        <w:rPr>
          <w:rFonts w:hint="eastAsia" w:ascii="宋体" w:hAnsi="宋体" w:cs="宋体"/>
          <w:color w:val="auto"/>
          <w:sz w:val="24"/>
          <w:highlight w:val="none"/>
        </w:rPr>
        <w:t>，且其注册专业为</w:t>
      </w:r>
      <w:r>
        <w:rPr>
          <w:rFonts w:hint="eastAsia" w:ascii="宋体" w:hAnsi="宋体" w:cs="宋体"/>
          <w:color w:val="auto"/>
          <w:sz w:val="24"/>
          <w:highlight w:val="none"/>
          <w:u w:val="single"/>
        </w:rPr>
        <w:t>房屋建筑工程</w:t>
      </w:r>
      <w:r>
        <w:rPr>
          <w:rFonts w:hint="eastAsia" w:ascii="宋体" w:hAnsi="宋体" w:cs="宋体"/>
          <w:color w:val="auto"/>
          <w:sz w:val="24"/>
          <w:highlight w:val="none"/>
        </w:rPr>
        <w:t>，注册执业单位为本公司，并具有本科或以上的学历。</w:t>
      </w:r>
      <w:r>
        <w:rPr>
          <w:rFonts w:hint="eastAsia" w:ascii="宋体" w:hAnsi="宋体" w:cs="宋体"/>
          <w:color w:val="auto"/>
          <w:sz w:val="24"/>
          <w:highlight w:val="none"/>
          <w:u w:val="single"/>
        </w:rPr>
        <w:t>或已在广东省住房和城乡建设主管部门备案且备案</w:t>
      </w:r>
      <w:r>
        <w:rPr>
          <w:rFonts w:hint="eastAsia" w:ascii="宋体" w:hAnsi="宋体" w:cs="楷体"/>
          <w:color w:val="auto"/>
          <w:sz w:val="24"/>
          <w:szCs w:val="24"/>
          <w:highlight w:val="none"/>
          <w:u w:val="single"/>
        </w:rPr>
        <w:t>的资格满足本项目总监理工程师的资格要求的</w:t>
      </w:r>
      <w:r>
        <w:rPr>
          <w:rFonts w:hint="eastAsia" w:ascii="宋体" w:hAnsi="宋体" w:cs="宋体"/>
          <w:color w:val="auto"/>
          <w:sz w:val="24"/>
          <w:highlight w:val="none"/>
          <w:u w:val="single"/>
        </w:rPr>
        <w:t>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3C1EA68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3.3 本次招标</w:t>
      </w:r>
      <w:r>
        <w:rPr>
          <w:rFonts w:hint="eastAsia" w:ascii="宋体" w:hAnsi="宋体" w:cs="宋体"/>
          <w:b/>
          <w:bCs/>
          <w:color w:val="auto"/>
          <w:sz w:val="24"/>
          <w:highlight w:val="none"/>
          <w:u w:val="single"/>
        </w:rPr>
        <w:t>接受</w:t>
      </w:r>
      <w:r>
        <w:rPr>
          <w:rFonts w:hint="eastAsia" w:ascii="宋体" w:hAnsi="宋体" w:cs="宋体"/>
          <w:color w:val="auto"/>
          <w:sz w:val="24"/>
          <w:highlight w:val="none"/>
        </w:rPr>
        <w:t>联合体投标。</w:t>
      </w:r>
      <w:r>
        <w:rPr>
          <w:rFonts w:hint="eastAsia" w:ascii="宋体" w:hAnsi="宋体" w:cs="宋体"/>
          <w:color w:val="auto"/>
          <w:sz w:val="24"/>
          <w:szCs w:val="24"/>
          <w:highlight w:val="none"/>
        </w:rPr>
        <w:t>联合体投标的，应满足下列要求：</w:t>
      </w:r>
    </w:p>
    <w:p w14:paraId="31A23A6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3.3.1投标人若为联合体，须提供</w:t>
      </w:r>
      <w:r>
        <w:rPr>
          <w:rFonts w:hint="eastAsia" w:ascii="宋体" w:hAnsi="宋体" w:cs="宋体"/>
          <w:color w:val="auto"/>
          <w:sz w:val="24"/>
          <w:highlight w:val="none"/>
          <w:lang w:eastAsia="zh-CN"/>
        </w:rPr>
        <w:t>联合体协议书</w:t>
      </w:r>
      <w:r>
        <w:rPr>
          <w:rFonts w:hint="eastAsia" w:ascii="宋体" w:hAnsi="宋体" w:cs="宋体"/>
          <w:color w:val="auto"/>
          <w:sz w:val="24"/>
          <w:highlight w:val="none"/>
        </w:rPr>
        <w:t>；</w:t>
      </w:r>
      <w:r>
        <w:rPr>
          <w:rFonts w:hint="eastAsia" w:ascii="宋体" w:hAnsi="宋体" w:cs="宋体"/>
          <w:color w:val="auto"/>
          <w:sz w:val="24"/>
          <w:highlight w:val="none"/>
          <w:lang w:eastAsia="zh-CN"/>
        </w:rPr>
        <w:t>联合体协议书</w:t>
      </w:r>
      <w:r>
        <w:rPr>
          <w:rFonts w:hint="eastAsia" w:ascii="宋体" w:hAnsi="宋体" w:cs="宋体"/>
          <w:color w:val="auto"/>
          <w:sz w:val="24"/>
          <w:highlight w:val="none"/>
        </w:rPr>
        <w:t>应明确约定各方拟承担的工作和责任（格式见招标公告附件</w:t>
      </w:r>
      <w:r>
        <w:rPr>
          <w:rFonts w:hint="eastAsia" w:ascii="宋体" w:hAnsi="宋体" w:eastAsia="宋体" w:cs="宋体"/>
          <w:color w:val="auto"/>
          <w:sz w:val="24"/>
          <w:highlight w:val="none"/>
          <w:lang w:eastAsia="zh-CN"/>
        </w:rPr>
        <w:t>一</w:t>
      </w:r>
      <w:r>
        <w:rPr>
          <w:rFonts w:hint="eastAsia" w:ascii="宋体" w:hAnsi="宋体" w:cs="宋体"/>
          <w:color w:val="auto"/>
          <w:sz w:val="24"/>
          <w:highlight w:val="none"/>
        </w:rPr>
        <w:t>）。</w:t>
      </w:r>
    </w:p>
    <w:p w14:paraId="5DB4DE51">
      <w:pPr>
        <w:adjustRightInd w:val="0"/>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cs="宋体"/>
          <w:color w:val="auto"/>
          <w:sz w:val="24"/>
          <w:highlight w:val="none"/>
        </w:rPr>
        <w:t>3.3.2</w:t>
      </w:r>
      <w:r>
        <w:rPr>
          <w:rFonts w:hint="eastAsia" w:ascii="宋体" w:hAnsi="宋体" w:eastAsia="宋体" w:cs="Times New Roman"/>
          <w:color w:val="auto"/>
          <w:sz w:val="24"/>
          <w:highlight w:val="none"/>
          <w:lang w:val="en-US" w:eastAsia="zh-CN"/>
        </w:rPr>
        <w:t>由同一专业的单位组成的联合体，按照资质等级较低的单位确定资质等级；</w:t>
      </w:r>
    </w:p>
    <w:p w14:paraId="192745C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eastAsia="宋体" w:cs="Times New Roman"/>
          <w:color w:val="auto"/>
          <w:sz w:val="24"/>
          <w:highlight w:val="none"/>
          <w:lang w:val="en-US" w:eastAsia="zh-CN"/>
        </w:rPr>
        <w:t>3.3.3</w:t>
      </w:r>
      <w:r>
        <w:rPr>
          <w:rFonts w:hint="eastAsia" w:ascii="宋体" w:hAnsi="宋体" w:cs="宋体"/>
          <w:color w:val="auto"/>
          <w:sz w:val="24"/>
          <w:highlight w:val="none"/>
        </w:rPr>
        <w:t>联合体各方签订</w:t>
      </w:r>
      <w:r>
        <w:rPr>
          <w:rFonts w:hint="eastAsia" w:ascii="宋体" w:hAnsi="宋体" w:cs="宋体"/>
          <w:color w:val="auto"/>
          <w:sz w:val="24"/>
          <w:highlight w:val="none"/>
          <w:lang w:eastAsia="zh-CN"/>
        </w:rPr>
        <w:t>联合体协议书</w:t>
      </w:r>
      <w:r>
        <w:rPr>
          <w:rFonts w:hint="eastAsia" w:ascii="宋体" w:hAnsi="宋体" w:cs="宋体"/>
          <w:color w:val="auto"/>
          <w:sz w:val="24"/>
          <w:highlight w:val="none"/>
        </w:rPr>
        <w:t>后，不得再以自己名义单独投标或加入其他联合体在同一标段中进行投标，如有违反，其投标和与此有关的联合体的投标将被拒绝。</w:t>
      </w:r>
    </w:p>
    <w:p w14:paraId="752084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联合体中标后，联合体各方应当共同与招标人签订合同，为履行合同向招标人承担连带责任。联合体主办方应被授权作为联合体各方的代表，向招标人承担责任和接受指令，并负责整个合同的全面履行和接受本项目全过程工程咨询费用的支付</w:t>
      </w:r>
      <w:r>
        <w:rPr>
          <w:rFonts w:hint="eastAsia"/>
          <w:color w:val="auto"/>
          <w:highlight w:val="none"/>
        </w:rPr>
        <w:t>。</w:t>
      </w:r>
    </w:p>
    <w:p w14:paraId="14691DA2">
      <w:pPr>
        <w:adjustRightInd w:val="0"/>
        <w:snapToGrid w:val="0"/>
        <w:spacing w:line="360" w:lineRule="auto"/>
        <w:ind w:firstLine="480" w:firstLineChars="200"/>
        <w:rPr>
          <w:rFonts w:hint="eastAsia" w:ascii="宋体" w:hAnsi="宋体" w:cs="宋体"/>
          <w:color w:val="auto"/>
          <w:sz w:val="24"/>
          <w:highlight w:val="none"/>
          <w:lang w:val="en-US" w:eastAsia="zh-CN"/>
        </w:rPr>
      </w:pPr>
      <w:bookmarkStart w:id="12" w:name="_Toc5770"/>
      <w:bookmarkStart w:id="13" w:name="_Toc511557028"/>
      <w:bookmarkStart w:id="14" w:name="_Toc515033013"/>
      <w:r>
        <w:rPr>
          <w:rFonts w:hint="eastAsia" w:ascii="宋体" w:hAnsi="宋体" w:cs="宋体"/>
          <w:color w:val="auto"/>
          <w:sz w:val="24"/>
          <w:highlight w:val="none"/>
        </w:rPr>
        <w:t xml:space="preserve">3.4 </w:t>
      </w:r>
      <w:r>
        <w:rPr>
          <w:rFonts w:hint="eastAsia" w:ascii="宋体" w:hAnsi="宋体" w:cs="宋体"/>
          <w:color w:val="auto"/>
          <w:sz w:val="24"/>
          <w:highlight w:val="none"/>
          <w:lang w:val="en-US" w:eastAsia="zh-CN"/>
        </w:rPr>
        <w:t>其他要求：</w:t>
      </w:r>
    </w:p>
    <w:p w14:paraId="5760E32F">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①投标人参加投标的意思表达清楚，投标人代表被授权有效。</w:t>
      </w:r>
    </w:p>
    <w:p w14:paraId="2CCD6013">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②投标人（若为联合体投标，指联合体各方）具有独立法人资格，持有工商行政管理部门核发的法人营业执照，按国家法律经营。香港企业提供在香港进行商业登记的证明文书。</w:t>
      </w:r>
    </w:p>
    <w:p w14:paraId="75FFBC8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lang w:eastAsia="zh-CN"/>
        </w:rPr>
      </w:pPr>
      <w:r>
        <w:rPr>
          <w:rFonts w:hint="eastAsia" w:ascii="宋体" w:hAnsi="宋体" w:cs="宋体"/>
          <w:color w:val="auto"/>
          <w:sz w:val="24"/>
          <w:highlight w:val="none"/>
          <w:u w:val="single"/>
        </w:rPr>
        <w:t>③资格审查前，投标人（若为联合体投标，指联合体各方）须在广州市住建行业信用管理平台建立企业信用档案及拟担任本工程总监理工程师须是本企业信用档案中的在册人员。（以广州市住建行业信用管理平台网站查询信息为准）。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rPr>
          <w:rFonts w:hint="eastAsia" w:ascii="宋体" w:hAnsi="宋体" w:cs="宋体"/>
          <w:color w:val="auto"/>
          <w:sz w:val="24"/>
          <w:highlight w:val="none"/>
          <w:u w:val="single"/>
        </w:rPr>
        <w:fldChar w:fldCharType="begin"/>
      </w:r>
      <w:r>
        <w:rPr>
          <w:rFonts w:hint="eastAsia" w:ascii="宋体" w:hAnsi="宋体" w:cs="宋体"/>
          <w:color w:val="auto"/>
          <w:sz w:val="24"/>
          <w:highlight w:val="none"/>
          <w:u w:val="single"/>
        </w:rPr>
        <w:instrText xml:space="preserve"> HYPERLINK "http://zfcj.gz.gov.cn/zwgk/zsdwxxgkzl/gzsjzyglfwzx/bszy/content/post_8073953.html" </w:instrText>
      </w:r>
      <w:r>
        <w:rPr>
          <w:rFonts w:hint="eastAsia" w:ascii="宋体" w:hAnsi="宋体" w:cs="宋体"/>
          <w:color w:val="auto"/>
          <w:sz w:val="24"/>
          <w:highlight w:val="none"/>
          <w:u w:val="single"/>
        </w:rPr>
        <w:fldChar w:fldCharType="separate"/>
      </w:r>
      <w:r>
        <w:rPr>
          <w:rFonts w:hint="eastAsia" w:ascii="宋体" w:hAnsi="宋体" w:cs="宋体"/>
          <w:color w:val="auto"/>
          <w:sz w:val="24"/>
          <w:highlight w:val="none"/>
          <w:u w:val="single"/>
        </w:rPr>
        <w:t>http://zfcj.gz.gov.cn/zwgk/zsdwxxgkzl/gzsjzyglfwzx/bszy/content/post_8073953.html</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w:t>
      </w:r>
    </w:p>
    <w:p w14:paraId="40D17E2D">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④投标人出具按照招标文件要求的格式签署盖章的《投标人声明》（格式见招标文件第六章）。</w:t>
      </w:r>
    </w:p>
    <w:p w14:paraId="3A83807C">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14:paraId="39ED9A52">
      <w:pPr>
        <w:adjustRightInd w:val="0"/>
        <w:snapToGrid w:val="0"/>
        <w:spacing w:line="360" w:lineRule="auto"/>
        <w:ind w:firstLine="480" w:firstLineChars="200"/>
        <w:rPr>
          <w:highlight w:val="none"/>
        </w:rPr>
      </w:pPr>
      <w:r>
        <w:rPr>
          <w:rFonts w:hint="eastAsia" w:ascii="宋体" w:hAnsi="宋体" w:cs="宋体"/>
          <w:color w:val="auto"/>
          <w:sz w:val="24"/>
          <w:highlight w:val="none"/>
          <w:u w:val="single"/>
        </w:rPr>
        <w:t>⑥投标人未被列入拖欠农民工工资失信联合惩戒对象名单。（投标人无需提供资料，资格审查时，根据广州交易集团有限公司（广州公共资源交易中心）交易系统比对结果为准）。</w:t>
      </w:r>
    </w:p>
    <w:p w14:paraId="639D813B">
      <w:pPr>
        <w:pStyle w:val="2"/>
        <w:ind w:firstLine="420" w:firstLineChars="200"/>
        <w:rPr>
          <w:rFonts w:hint="eastAsia" w:eastAsia="宋体"/>
          <w:highlight w:val="none"/>
          <w:lang w:val="en-US" w:eastAsia="zh-CN"/>
        </w:rPr>
      </w:pPr>
      <w:r>
        <w:rPr>
          <w:rFonts w:hint="eastAsia"/>
          <w:highlight w:val="none"/>
          <w:lang w:val="en-US" w:eastAsia="zh-CN"/>
        </w:rPr>
        <w:t>⑦</w:t>
      </w:r>
      <w:r>
        <w:rPr>
          <w:rFonts w:hint="eastAsia" w:ascii="宋体" w:hAnsi="宋体" w:cs="宋体"/>
          <w:color w:val="auto"/>
          <w:sz w:val="24"/>
          <w:highlight w:val="none"/>
          <w:u w:val="single"/>
        </w:rPr>
        <w:t>未在以往工程中因不充分履约行为被本项目招标人书面拒绝投标的</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名单详见招标公告附件二</w:t>
      </w:r>
      <w:r>
        <w:rPr>
          <w:rFonts w:hint="eastAsia" w:ascii="宋体" w:hAnsi="宋体" w:cs="宋体"/>
          <w:color w:val="auto"/>
          <w:sz w:val="24"/>
          <w:highlight w:val="none"/>
          <w:u w:val="single"/>
          <w:lang w:eastAsia="zh-CN"/>
        </w:rPr>
        <w:t>）</w:t>
      </w:r>
    </w:p>
    <w:p w14:paraId="0314A56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注：1、未在招标公告第三条单列的投标人资格要求条件，不作为资审不合格的依据。</w:t>
      </w:r>
    </w:p>
    <w:p w14:paraId="5752125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14:paraId="73B89398">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4. 招标文件的获取</w:t>
      </w:r>
      <w:bookmarkEnd w:id="12"/>
      <w:bookmarkEnd w:id="13"/>
      <w:bookmarkEnd w:id="14"/>
    </w:p>
    <w:p w14:paraId="05833443">
      <w:pPr>
        <w:topLinePunct/>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 凡有意参加投标者，请于</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分(北京时间，下同)，登录广州交易集团有限公司（广州公共资源交易中心）</w:t>
      </w:r>
      <w:r>
        <w:rPr>
          <w:rFonts w:hint="eastAsia" w:ascii="宋体" w:hAnsi="宋体" w:cs="宋体"/>
          <w:color w:val="auto"/>
          <w:sz w:val="24"/>
          <w:highlight w:val="none"/>
          <w:lang w:val="en-US" w:eastAsia="zh-CN"/>
        </w:rPr>
        <w:t>官网</w:t>
      </w:r>
      <w:r>
        <w:rPr>
          <w:rFonts w:hint="eastAsia" w:ascii="宋体" w:hAnsi="宋体" w:cs="宋体"/>
          <w:color w:val="auto"/>
          <w:sz w:val="24"/>
          <w:highlight w:val="none"/>
        </w:rPr>
        <w:t>（网址：http://www.gzggzy.cn）下载电子招标文件。</w:t>
      </w:r>
    </w:p>
    <w:p w14:paraId="03EEB6BE">
      <w:pPr>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4.2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本项目采用资格后审方式。</w:t>
      </w:r>
    </w:p>
    <w:p w14:paraId="00D93096">
      <w:pPr>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注：（1）电子招投标操作流程详见广州交易集团有限公司（广州公共资源交易中心）</w:t>
      </w:r>
      <w:r>
        <w:rPr>
          <w:rFonts w:hint="eastAsia" w:ascii="宋体" w:hAnsi="宋体" w:cs="宋体"/>
          <w:color w:val="auto"/>
          <w:sz w:val="24"/>
          <w:highlight w:val="none"/>
          <w:lang w:val="en-US" w:eastAsia="zh-CN"/>
        </w:rPr>
        <w:t>官网</w:t>
      </w:r>
      <w:r>
        <w:rPr>
          <w:rFonts w:hint="eastAsia" w:ascii="宋体" w:hAnsi="宋体" w:cs="宋体"/>
          <w:color w:val="auto"/>
          <w:sz w:val="24"/>
          <w:highlight w:val="none"/>
        </w:rPr>
        <w:t>发布的最新版操作指引。</w:t>
      </w:r>
    </w:p>
    <w:p w14:paraId="2DB0B225">
      <w:pPr>
        <w:keepNext w:val="0"/>
        <w:keepLines w:val="0"/>
        <w:pageBreakBefore w:val="0"/>
        <w:widowControl w:val="0"/>
        <w:numPr>
          <w:ilvl w:val="0"/>
          <w:numId w:val="1"/>
        </w:numPr>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从招标公告发布之日起开始计算备标时间。</w:t>
      </w:r>
    </w:p>
    <w:p w14:paraId="62637396">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cs="宋体"/>
          <w:color w:val="auto"/>
          <w:sz w:val="24"/>
          <w:szCs w:val="24"/>
          <w:highlight w:val="none"/>
        </w:rPr>
      </w:pPr>
      <w:r>
        <w:rPr>
          <w:rFonts w:hint="eastAsia" w:ascii="宋体" w:cs="宋体"/>
          <w:color w:val="auto"/>
          <w:sz w:val="24"/>
          <w:szCs w:val="24"/>
          <w:highlight w:val="none"/>
        </w:rPr>
        <w:t>4.</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 xml:space="preserve"> 潜在投标人或利害关系人对本招标公告及招标内容异议的，可向招标人书面提出。</w:t>
      </w:r>
    </w:p>
    <w:p w14:paraId="24CF7691">
      <w:pPr>
        <w:pStyle w:val="3"/>
        <w:keepNext w:val="0"/>
        <w:keepLines w:val="0"/>
        <w:spacing w:before="0" w:after="0" w:line="360" w:lineRule="auto"/>
        <w:rPr>
          <w:rFonts w:ascii="宋体" w:hAnsi="宋体" w:eastAsia="宋体" w:cs="宋体"/>
          <w:color w:val="auto"/>
          <w:highlight w:val="none"/>
        </w:rPr>
      </w:pPr>
      <w:bookmarkStart w:id="15" w:name="_Toc26420"/>
      <w:bookmarkStart w:id="16" w:name="_Toc23283"/>
      <w:bookmarkStart w:id="17" w:name="_Toc288"/>
      <w:bookmarkStart w:id="18" w:name="_Toc2258"/>
      <w:bookmarkStart w:id="19" w:name="_Toc11887"/>
      <w:bookmarkStart w:id="20" w:name="_Toc11995"/>
      <w:bookmarkStart w:id="21" w:name="_Toc4149"/>
      <w:bookmarkStart w:id="22" w:name="_Toc18027"/>
      <w:bookmarkStart w:id="23" w:name="_Toc19232"/>
      <w:bookmarkStart w:id="24" w:name="_Toc515033016"/>
      <w:bookmarkStart w:id="25" w:name="_Toc14812"/>
      <w:bookmarkStart w:id="26" w:name="_Toc511557031"/>
      <w:r>
        <w:rPr>
          <w:rFonts w:hint="eastAsia" w:ascii="宋体" w:hAnsi="宋体" w:eastAsia="宋体" w:cs="宋体"/>
          <w:color w:val="auto"/>
          <w:highlight w:val="none"/>
        </w:rPr>
        <w:t>5. 投标文件的递交</w:t>
      </w:r>
      <w:bookmarkEnd w:id="15"/>
      <w:bookmarkEnd w:id="16"/>
      <w:bookmarkEnd w:id="17"/>
      <w:bookmarkEnd w:id="18"/>
      <w:bookmarkEnd w:id="19"/>
      <w:bookmarkEnd w:id="20"/>
      <w:bookmarkEnd w:id="21"/>
      <w:bookmarkEnd w:id="22"/>
      <w:bookmarkEnd w:id="23"/>
    </w:p>
    <w:p w14:paraId="6648B8F0">
      <w:pPr>
        <w:adjustRightInd w:val="0"/>
        <w:snapToGrid w:val="0"/>
        <w:spacing w:line="360" w:lineRule="auto"/>
        <w:ind w:left="239" w:leftChars="114" w:firstLine="240" w:firstLineChars="100"/>
        <w:rPr>
          <w:rFonts w:ascii="宋体" w:hAnsi="宋体" w:cs="宋体"/>
          <w:color w:val="auto"/>
          <w:sz w:val="24"/>
          <w:highlight w:val="none"/>
        </w:rPr>
      </w:pPr>
      <w:r>
        <w:rPr>
          <w:rFonts w:hint="eastAsia" w:ascii="宋体" w:hAnsi="宋体" w:cs="宋体"/>
          <w:color w:val="auto"/>
          <w:sz w:val="24"/>
          <w:highlight w:val="none"/>
        </w:rPr>
        <w:t>5.1 发布招标公告时间（含本日）：</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14:paraId="2D9F1AD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14:paraId="745BCB04">
      <w:pPr>
        <w:adjustRightInd w:val="0"/>
        <w:snapToGrid w:val="0"/>
        <w:spacing w:line="360" w:lineRule="auto"/>
        <w:ind w:left="239" w:leftChars="114"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5.2 递交投标文件时间：</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14:paraId="7DD826D7">
      <w:pPr>
        <w:wordWrap w:val="0"/>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lang w:val="en-US" w:eastAsia="zh-CN"/>
        </w:rPr>
        <w:t>官网</w:t>
      </w:r>
      <w:r>
        <w:rPr>
          <w:rFonts w:hint="eastAsia" w:ascii="宋体" w:hAnsi="宋体" w:eastAsia="宋体" w:cs="宋体"/>
          <w:color w:val="auto"/>
          <w:sz w:val="24"/>
          <w:szCs w:val="24"/>
          <w:highlight w:val="none"/>
        </w:rPr>
        <w:t>。</w:t>
      </w:r>
    </w:p>
    <w:p w14:paraId="18A174AC">
      <w:pPr>
        <w:adjustRightInd w:val="0"/>
        <w:snapToGrid w:val="0"/>
        <w:spacing w:line="360" w:lineRule="auto"/>
        <w:ind w:firstLine="480" w:firstLineChars="200"/>
        <w:jc w:val="left"/>
        <w:rPr>
          <w:color w:val="auto"/>
          <w:highlight w:val="none"/>
        </w:rPr>
      </w:pPr>
      <w:r>
        <w:rPr>
          <w:rFonts w:hint="eastAsia" w:ascii="宋体" w:hAnsi="宋体" w:cs="宋体"/>
          <w:color w:val="auto"/>
          <w:sz w:val="24"/>
          <w:highlight w:val="none"/>
        </w:rPr>
        <w:t>投标登记时，投标人应按要求在交易系统中填写《监理项目管理团队人员信息表》（详见招标文件第六章投标文件格式），表中的项目管理团队人员信息作为投标文件的一部分，将由交易系统提取后供各相关单位在中标人履约时进行比对、查核。</w:t>
      </w:r>
    </w:p>
    <w:p w14:paraId="324A7F43">
      <w:pPr>
        <w:tabs>
          <w:tab w:val="left" w:pos="360"/>
        </w:tabs>
        <w:adjustRightInd w:val="0"/>
        <w:snapToGrid w:val="0"/>
        <w:spacing w:line="360" w:lineRule="auto"/>
        <w:ind w:left="239" w:leftChars="114" w:firstLine="240" w:firstLineChars="100"/>
        <w:rPr>
          <w:rFonts w:ascii="宋体" w:hAnsi="宋体" w:cs="宋体"/>
          <w:color w:val="auto"/>
          <w:sz w:val="24"/>
          <w:highlight w:val="none"/>
        </w:rPr>
      </w:pPr>
      <w:r>
        <w:rPr>
          <w:rFonts w:hint="eastAsia" w:ascii="宋体" w:hAnsi="宋体" w:cs="宋体"/>
          <w:color w:val="auto"/>
          <w:sz w:val="24"/>
          <w:highlight w:val="none"/>
        </w:rPr>
        <w:t>5.3递交备用投标文件电子光盘时间为：</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分；地点：广州交易集团有限公司（广州公共资源交易中心）黄埔交易部指定开标室。</w:t>
      </w:r>
      <w:r>
        <w:rPr>
          <w:rFonts w:hint="eastAsia" w:ascii="宋体" w:hAnsi="宋体" w:eastAsia="宋体" w:cs="宋体"/>
          <w:color w:val="auto"/>
          <w:sz w:val="24"/>
          <w:szCs w:val="24"/>
          <w:highlight w:val="none"/>
        </w:rPr>
        <w:t>（电子光盘需按规定封装。投标人在将数据刻录到光盘之后，投标前自行检查文件是否可以读取）。</w:t>
      </w:r>
    </w:p>
    <w:p w14:paraId="3C07A77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5.4 逾期送达的投标文件，电子招标投标交易平台将予以拒收。逾期未上传成功的电子投标文件，招标人拒绝接收。逾期或未在指定地点递交投标文件光盘的,招标人拒绝接收其投标文件光盘。</w:t>
      </w:r>
    </w:p>
    <w:p w14:paraId="31083C1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5.5 开标时间：</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分。地点：广州交易集团有限公司（广州公共资源交易中心）黄埔交易部指定开标室。</w:t>
      </w:r>
      <w:r>
        <w:rPr>
          <w:rFonts w:hint="eastAsia" w:ascii="宋体" w:hAnsi="宋体" w:eastAsia="宋体" w:cs="宋体"/>
          <w:color w:val="auto"/>
          <w:sz w:val="24"/>
          <w:szCs w:val="24"/>
          <w:highlight w:val="none"/>
        </w:rPr>
        <w:t>投标人也可选择参加在线开标，具体按照交易平台相关指南进行操作。详见：广州交易集团有限公司（广州公共资源交易中心）</w:t>
      </w:r>
      <w:r>
        <w:rPr>
          <w:rFonts w:hint="eastAsia" w:ascii="宋体" w:hAnsi="宋体" w:cs="宋体"/>
          <w:color w:val="auto"/>
          <w:sz w:val="24"/>
          <w:szCs w:val="24"/>
          <w:highlight w:val="none"/>
          <w:lang w:val="en-US" w:eastAsia="zh-CN"/>
        </w:rPr>
        <w:t>官网</w:t>
      </w:r>
      <w:r>
        <w:rPr>
          <w:rFonts w:hint="eastAsia" w:ascii="宋体" w:hAnsi="宋体" w:eastAsia="宋体" w:cs="宋体"/>
          <w:color w:val="auto"/>
          <w:sz w:val="24"/>
          <w:szCs w:val="24"/>
          <w:highlight w:val="none"/>
        </w:rPr>
        <w:t>最新指引。</w:t>
      </w:r>
    </w:p>
    <w:p w14:paraId="661F75CF">
      <w:pPr>
        <w:pStyle w:val="3"/>
        <w:keepNext w:val="0"/>
        <w:keepLines w:val="0"/>
        <w:spacing w:before="0" w:after="0" w:line="360" w:lineRule="auto"/>
        <w:rPr>
          <w:rFonts w:ascii="宋体" w:hAnsi="宋体" w:eastAsia="宋体" w:cs="宋体"/>
          <w:color w:val="auto"/>
          <w:highlight w:val="none"/>
        </w:rPr>
      </w:pPr>
      <w:bookmarkStart w:id="27" w:name="_Toc1826"/>
      <w:bookmarkStart w:id="28" w:name="_Toc18413"/>
      <w:bookmarkStart w:id="29" w:name="_Toc8256"/>
      <w:bookmarkStart w:id="30" w:name="_Toc11768"/>
      <w:bookmarkStart w:id="31" w:name="_Toc2775"/>
      <w:bookmarkStart w:id="32" w:name="_Toc20810"/>
      <w:bookmarkStart w:id="33" w:name="_Toc15608"/>
      <w:bookmarkStart w:id="34" w:name="_Toc31102"/>
      <w:bookmarkStart w:id="35" w:name="_Toc3130"/>
      <w:r>
        <w:rPr>
          <w:rFonts w:hint="eastAsia" w:ascii="宋体" w:hAnsi="宋体" w:eastAsia="宋体" w:cs="宋体"/>
          <w:color w:val="auto"/>
          <w:highlight w:val="none"/>
        </w:rPr>
        <w:t>6. 发布公告的媒介</w:t>
      </w:r>
      <w:bookmarkEnd w:id="27"/>
      <w:bookmarkEnd w:id="28"/>
      <w:bookmarkEnd w:id="29"/>
      <w:bookmarkEnd w:id="30"/>
      <w:bookmarkEnd w:id="31"/>
      <w:bookmarkEnd w:id="32"/>
      <w:bookmarkEnd w:id="33"/>
      <w:bookmarkEnd w:id="34"/>
      <w:bookmarkEnd w:id="35"/>
    </w:p>
    <w:p w14:paraId="246D5DCE">
      <w:pPr>
        <w:keepNext w:val="0"/>
        <w:keepLines w:val="0"/>
        <w:wordWrap w:val="0"/>
        <w:adjustRightInd w:val="0"/>
        <w:snapToGrid w:val="0"/>
        <w:spacing w:line="360" w:lineRule="auto"/>
        <w:ind w:firstLine="480"/>
        <w:rPr>
          <w:highlight w:val="none"/>
        </w:rPr>
      </w:pPr>
      <w:r>
        <w:rPr>
          <w:rFonts w:hint="eastAsia" w:ascii="宋体" w:hAnsi="宋体" w:cs="宋体"/>
          <w:color w:val="auto"/>
          <w:sz w:val="24"/>
          <w:highlight w:val="none"/>
          <w:lang w:val="en-US" w:eastAsia="zh-CN"/>
        </w:rPr>
        <w:t xml:space="preserve">6.1 </w:t>
      </w:r>
      <w:r>
        <w:rPr>
          <w:rFonts w:hint="eastAsia" w:ascii="宋体" w:hAnsi="宋体" w:cs="宋体"/>
          <w:color w:val="auto"/>
          <w:sz w:val="24"/>
          <w:highlight w:val="none"/>
        </w:rPr>
        <w:t>本次招标公告同时在</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u w:val="single"/>
          <w:lang w:val="en-US" w:eastAsia="zh-CN"/>
        </w:rPr>
        <w:t>官网</w:t>
      </w:r>
      <w:r>
        <w:rPr>
          <w:rFonts w:hint="eastAsia" w:ascii="宋体" w:hAnsi="宋体" w:cs="宋体"/>
          <w:color w:val="auto"/>
          <w:sz w:val="24"/>
          <w:highlight w:val="none"/>
          <w:u w:val="single"/>
        </w:rPr>
        <w:t>（网址：http://www.gzggzy.cn）、广东省招标投标监管网（网址：http://zbtb.gd.gov.cn/）、</w:t>
      </w:r>
      <w:bookmarkStart w:id="36" w:name="OLE_LINK7"/>
      <w:r>
        <w:rPr>
          <w:rFonts w:hint="eastAsia" w:ascii="宋体" w:hAnsi="宋体" w:cs="宋体"/>
          <w:color w:val="auto"/>
          <w:sz w:val="24"/>
          <w:highlight w:val="none"/>
          <w:u w:val="single"/>
        </w:rPr>
        <w:t>广州国企阳光采购信息发布平台</w:t>
      </w:r>
      <w:bookmarkEnd w:id="36"/>
      <w:r>
        <w:rPr>
          <w:rFonts w:hint="eastAsia" w:ascii="宋体" w:hAnsi="宋体" w:cs="宋体"/>
          <w:color w:val="auto"/>
          <w:sz w:val="24"/>
          <w:highlight w:val="none"/>
          <w:u w:val="single"/>
        </w:rPr>
        <w:t>（网址：http://ygcg.gzggzy.cn/p92/index.html）和中国招标投标公共服务平台（网址：http://www.cebpubservice.com/）发布，本公告的修改、补充，在广州交易集团有限公司（广州公共资源交易中心）</w:t>
      </w:r>
      <w:r>
        <w:rPr>
          <w:rFonts w:hint="eastAsia" w:ascii="宋体" w:hAnsi="宋体" w:cs="宋体"/>
          <w:color w:val="auto"/>
          <w:sz w:val="24"/>
          <w:highlight w:val="none"/>
          <w:u w:val="single"/>
          <w:lang w:val="en-US" w:eastAsia="zh-CN"/>
        </w:rPr>
        <w:t>官网</w:t>
      </w:r>
      <w:r>
        <w:rPr>
          <w:rFonts w:hint="eastAsia" w:ascii="宋体" w:hAnsi="宋体" w:cs="宋体"/>
          <w:color w:val="auto"/>
          <w:sz w:val="24"/>
          <w:highlight w:val="none"/>
          <w:u w:val="single"/>
        </w:rPr>
        <w:t>上发布。</w:t>
      </w:r>
    </w:p>
    <w:p w14:paraId="716F4D3F">
      <w:pPr>
        <w:pStyle w:val="3"/>
        <w:keepNext w:val="0"/>
        <w:keepLines w:val="0"/>
        <w:spacing w:before="0" w:after="0" w:line="360" w:lineRule="auto"/>
        <w:rPr>
          <w:rFonts w:ascii="宋体" w:hAnsi="宋体" w:eastAsia="宋体" w:cs="宋体"/>
          <w:highlight w:val="none"/>
        </w:rPr>
      </w:pPr>
      <w:r>
        <w:rPr>
          <w:rFonts w:hint="eastAsia" w:ascii="宋体" w:hAnsi="宋体" w:eastAsia="宋体" w:cs="宋体"/>
          <w:color w:val="auto"/>
          <w:highlight w:val="none"/>
        </w:rPr>
        <w:t xml:space="preserve">7. </w:t>
      </w:r>
      <w:r>
        <w:rPr>
          <w:rFonts w:hint="eastAsia" w:ascii="宋体" w:hAnsi="宋体" w:eastAsia="宋体" w:cs="宋体"/>
          <w:highlight w:val="none"/>
        </w:rPr>
        <w:t>异议受理</w:t>
      </w:r>
    </w:p>
    <w:p w14:paraId="3C5E5D9B">
      <w:pPr>
        <w:shd w:val="clear" w:color="auto" w:fill="FFFFFF"/>
        <w:spacing w:line="360" w:lineRule="auto"/>
        <w:ind w:firstLine="482" w:firstLineChars="200"/>
        <w:rPr>
          <w:rFonts w:hint="eastAsia" w:ascii="宋体" w:hAnsi="宋体"/>
          <w:sz w:val="24"/>
          <w:highlight w:val="none"/>
        </w:rPr>
      </w:pPr>
      <w:r>
        <w:rPr>
          <w:rFonts w:hint="eastAsia" w:ascii="宋体" w:hAnsi="宋体" w:eastAsia="宋体" w:cs="宋体"/>
          <w:b/>
          <w:bCs/>
          <w:color w:val="auto"/>
          <w:sz w:val="24"/>
          <w:szCs w:val="24"/>
          <w:highlight w:val="none"/>
          <w:u w:val="single"/>
          <w:lang w:val="en-US" w:eastAsia="zh-CN"/>
        </w:rPr>
        <w:t>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E9A6B1B">
      <w:pPr>
        <w:spacing w:line="360" w:lineRule="auto"/>
        <w:ind w:right="482"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异议受理部门：</w:t>
      </w:r>
      <w:r>
        <w:rPr>
          <w:rFonts w:hint="eastAsia" w:ascii="宋体" w:hAnsi="宋体" w:cs="宋体"/>
          <w:bCs/>
          <w:color w:val="auto"/>
          <w:sz w:val="24"/>
          <w:highlight w:val="none"/>
          <w:lang w:eastAsia="zh-CN"/>
        </w:rPr>
        <w:t>科学城（广州）发展集团有限公司</w:t>
      </w:r>
    </w:p>
    <w:p w14:paraId="0570C8CB">
      <w:pPr>
        <w:spacing w:line="360" w:lineRule="auto"/>
        <w:ind w:right="482"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异议受理电话：</w:t>
      </w:r>
      <w:r>
        <w:rPr>
          <w:rFonts w:hint="eastAsia" w:ascii="宋体" w:hAnsi="宋体" w:cs="宋体"/>
          <w:color w:val="auto"/>
          <w:sz w:val="24"/>
          <w:highlight w:val="none"/>
          <w:lang w:eastAsia="zh-CN"/>
        </w:rPr>
        <w:t>020-82111450</w:t>
      </w:r>
    </w:p>
    <w:p w14:paraId="594A2DCB">
      <w:pPr>
        <w:spacing w:line="360" w:lineRule="auto"/>
        <w:ind w:right="482"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w:t>
      </w:r>
      <w:r>
        <w:rPr>
          <w:rFonts w:hint="eastAsia" w:ascii="宋体" w:hAnsi="宋体" w:cs="宋体"/>
          <w:color w:val="auto"/>
          <w:sz w:val="24"/>
          <w:highlight w:val="none"/>
          <w:lang w:eastAsia="zh-CN"/>
        </w:rPr>
        <w:t>广州市黄埔区开达路101号自编2号楼401</w:t>
      </w:r>
    </w:p>
    <w:p w14:paraId="21E4029D">
      <w:pPr>
        <w:shd w:val="clear" w:color="auto" w:fill="FFFFFF"/>
        <w:spacing w:line="360" w:lineRule="auto"/>
        <w:ind w:firstLine="480" w:firstLineChars="200"/>
        <w:rPr>
          <w:rFonts w:hint="eastAsia" w:ascii="宋体" w:hAnsi="宋体"/>
          <w:sz w:val="24"/>
          <w:highlight w:val="none"/>
        </w:rPr>
      </w:pPr>
    </w:p>
    <w:p w14:paraId="401D7891">
      <w:pPr>
        <w:pStyle w:val="3"/>
        <w:keepNext w:val="0"/>
        <w:keepLines w:val="0"/>
        <w:numPr>
          <w:ilvl w:val="0"/>
          <w:numId w:val="2"/>
        </w:numPr>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联系方式</w:t>
      </w:r>
      <w:bookmarkEnd w:id="24"/>
      <w:bookmarkEnd w:id="25"/>
      <w:bookmarkEnd w:id="26"/>
      <w:bookmarkStart w:id="37" w:name="_Toc384308187"/>
      <w:bookmarkEnd w:id="37"/>
      <w:bookmarkStart w:id="38" w:name="_Toc10785"/>
      <w:bookmarkEnd w:id="38"/>
      <w:bookmarkStart w:id="39" w:name="_Toc152045513"/>
      <w:bookmarkEnd w:id="39"/>
      <w:bookmarkStart w:id="40" w:name="_Toc384308185"/>
      <w:bookmarkEnd w:id="40"/>
      <w:bookmarkStart w:id="41" w:name="_Toc144974481"/>
      <w:bookmarkEnd w:id="41"/>
      <w:bookmarkStart w:id="42" w:name="_Toc247527536"/>
      <w:bookmarkEnd w:id="42"/>
      <w:bookmarkStart w:id="43" w:name="_Toc152045512"/>
      <w:bookmarkEnd w:id="43"/>
      <w:bookmarkStart w:id="44" w:name="_Toc361508560"/>
      <w:bookmarkEnd w:id="44"/>
      <w:bookmarkStart w:id="45" w:name="_Toc300834930"/>
      <w:bookmarkEnd w:id="45"/>
      <w:bookmarkStart w:id="46" w:name="_Toc352691453"/>
      <w:bookmarkEnd w:id="46"/>
      <w:bookmarkStart w:id="47" w:name="_Toc369531498"/>
      <w:bookmarkEnd w:id="47"/>
      <w:bookmarkStart w:id="48" w:name="_Toc361508562"/>
      <w:bookmarkEnd w:id="48"/>
      <w:bookmarkStart w:id="49" w:name="_Toc17972"/>
      <w:bookmarkEnd w:id="49"/>
      <w:bookmarkStart w:id="50" w:name="_Toc300834929"/>
      <w:bookmarkEnd w:id="50"/>
      <w:bookmarkStart w:id="51" w:name="_Toc152042288"/>
      <w:bookmarkEnd w:id="51"/>
      <w:bookmarkStart w:id="52" w:name="_Toc144974480"/>
      <w:bookmarkEnd w:id="52"/>
      <w:bookmarkStart w:id="53" w:name="_Toc247513935"/>
      <w:bookmarkEnd w:id="53"/>
      <w:bookmarkStart w:id="54" w:name="_Toc300834927"/>
      <w:bookmarkEnd w:id="54"/>
      <w:bookmarkStart w:id="55" w:name="_Toc361508563"/>
      <w:bookmarkEnd w:id="55"/>
      <w:bookmarkStart w:id="56" w:name="_Toc369531497"/>
      <w:bookmarkEnd w:id="56"/>
      <w:bookmarkStart w:id="57" w:name="_Toc369531495"/>
      <w:bookmarkEnd w:id="57"/>
      <w:bookmarkStart w:id="58" w:name="_Toc152042289"/>
      <w:bookmarkEnd w:id="58"/>
      <w:bookmarkStart w:id="59" w:name="_Toc352691455"/>
      <w:bookmarkEnd w:id="59"/>
      <w:bookmarkStart w:id="60" w:name="_Toc384308188"/>
      <w:bookmarkEnd w:id="60"/>
      <w:bookmarkStart w:id="61" w:name="_Toc247527535"/>
      <w:bookmarkEnd w:id="61"/>
      <w:bookmarkStart w:id="62" w:name="_Toc30817"/>
      <w:bookmarkEnd w:id="62"/>
      <w:bookmarkStart w:id="63" w:name="_Toc352691456"/>
      <w:bookmarkEnd w:id="63"/>
      <w:bookmarkStart w:id="64" w:name="_Toc247513934"/>
      <w:bookmarkEnd w:id="64"/>
    </w:p>
    <w:p w14:paraId="2D5C7F50">
      <w:pPr>
        <w:spacing w:line="400" w:lineRule="exact"/>
        <w:ind w:right="482"/>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 标 人：</w:t>
      </w:r>
      <w:r>
        <w:rPr>
          <w:rFonts w:hint="eastAsia" w:ascii="宋体" w:hAnsi="宋体" w:cs="宋体"/>
          <w:color w:val="auto"/>
          <w:sz w:val="24"/>
          <w:highlight w:val="none"/>
          <w:lang w:eastAsia="zh-CN"/>
        </w:rPr>
        <w:t>科学城（广州）发展集团有限公司</w:t>
      </w:r>
    </w:p>
    <w:p w14:paraId="28FB9071">
      <w:pPr>
        <w:spacing w:line="400" w:lineRule="exact"/>
        <w:ind w:right="482"/>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广州市黄埔区开达路101号自编2号楼401</w:t>
      </w:r>
    </w:p>
    <w:p w14:paraId="0BEFB4A6">
      <w:pPr>
        <w:spacing w:line="400" w:lineRule="exact"/>
        <w:ind w:right="482"/>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 系 人：薛工       电话：</w:t>
      </w:r>
      <w:r>
        <w:rPr>
          <w:rFonts w:hint="eastAsia" w:ascii="宋体" w:hAnsi="宋体"/>
          <w:color w:val="auto"/>
          <w:kern w:val="0"/>
          <w:sz w:val="24"/>
          <w:highlight w:val="none"/>
          <w:lang w:eastAsia="zh-CN"/>
        </w:rPr>
        <w:t>020-82111450</w:t>
      </w:r>
    </w:p>
    <w:p w14:paraId="7BFA61D8">
      <w:pPr>
        <w:spacing w:line="400" w:lineRule="exact"/>
        <w:ind w:right="482"/>
        <w:rPr>
          <w:rFonts w:ascii="宋体" w:hAnsi="宋体" w:cs="宋体"/>
          <w:color w:val="auto"/>
          <w:sz w:val="24"/>
          <w:highlight w:val="none"/>
        </w:rPr>
      </w:pPr>
    </w:p>
    <w:p w14:paraId="319A26CB">
      <w:pPr>
        <w:spacing w:line="400" w:lineRule="exact"/>
        <w:ind w:right="482"/>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lang w:val="en-US" w:eastAsia="zh-CN"/>
        </w:rPr>
        <w:t>广东粤能工程管理有限公司</w:t>
      </w:r>
    </w:p>
    <w:p w14:paraId="399907FC">
      <w:pPr>
        <w:spacing w:line="400" w:lineRule="exact"/>
        <w:ind w:right="482"/>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广州市天河区华观路明旭街万科智慧商业广场B1-2栋402</w:t>
      </w:r>
    </w:p>
    <w:p w14:paraId="03FA2699">
      <w:pPr>
        <w:spacing w:line="400" w:lineRule="exact"/>
        <w:ind w:right="482"/>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任工</w:t>
      </w:r>
      <w:r>
        <w:rPr>
          <w:rFonts w:hint="eastAsia" w:ascii="宋体" w:hAnsi="宋体" w:cs="宋体"/>
          <w:color w:val="auto"/>
          <w:sz w:val="24"/>
          <w:highlight w:val="none"/>
        </w:rPr>
        <w:t xml:space="preserve">       电话：</w:t>
      </w:r>
      <w:r>
        <w:rPr>
          <w:rFonts w:hint="eastAsia" w:ascii="宋体" w:hAnsi="宋体" w:cs="宋体"/>
          <w:color w:val="auto"/>
          <w:sz w:val="24"/>
          <w:highlight w:val="none"/>
          <w:u w:val="none"/>
          <w:lang w:val="en-US" w:eastAsia="zh-CN"/>
        </w:rPr>
        <w:t>020-38730932-8008</w:t>
      </w:r>
    </w:p>
    <w:p w14:paraId="25B31B73">
      <w:pPr>
        <w:spacing w:line="400" w:lineRule="exact"/>
        <w:ind w:right="482"/>
        <w:rPr>
          <w:rFonts w:ascii="宋体" w:hAnsi="宋体" w:cs="宋体"/>
          <w:color w:val="auto"/>
          <w:sz w:val="24"/>
          <w:highlight w:val="none"/>
        </w:rPr>
      </w:pPr>
    </w:p>
    <w:p w14:paraId="622093EA">
      <w:pPr>
        <w:spacing w:line="400" w:lineRule="exact"/>
        <w:jc w:val="left"/>
        <w:rPr>
          <w:rFonts w:ascii="宋体" w:hAnsi="宋体" w:cs="宋体"/>
          <w:color w:val="auto"/>
          <w:sz w:val="24"/>
          <w:highlight w:val="none"/>
        </w:rPr>
      </w:pPr>
      <w:r>
        <w:rPr>
          <w:rFonts w:hint="eastAsia" w:ascii="宋体" w:hAnsi="宋体" w:cs="宋体"/>
          <w:color w:val="auto"/>
          <w:sz w:val="24"/>
          <w:highlight w:val="none"/>
        </w:rPr>
        <w:t>招标监督机构：(主)广州开发区建设工程招投标管理办公室（广州市黄埔区建设工程招投标管理办公室）,(成)广州开发区行政审批局</w:t>
      </w:r>
    </w:p>
    <w:p w14:paraId="673DF162">
      <w:pPr>
        <w:spacing w:line="400" w:lineRule="exact"/>
        <w:ind w:left="7198" w:right="480" w:hanging="7197" w:hangingChars="2999"/>
        <w:jc w:val="left"/>
        <w:rPr>
          <w:rFonts w:ascii="宋体" w:hAnsi="宋体" w:cs="宋体"/>
          <w:color w:val="auto"/>
          <w:sz w:val="24"/>
          <w:highlight w:val="none"/>
        </w:rPr>
      </w:pPr>
      <w:r>
        <w:rPr>
          <w:rFonts w:hint="eastAsia" w:ascii="宋体" w:hAnsi="宋体" w:cs="宋体"/>
          <w:color w:val="auto"/>
          <w:sz w:val="24"/>
          <w:highlight w:val="none"/>
        </w:rPr>
        <w:t>地址：广州开发区科学城水西路30号汇丽写字楼4楼</w:t>
      </w:r>
    </w:p>
    <w:p w14:paraId="1BCD345A">
      <w:pPr>
        <w:spacing w:line="400" w:lineRule="exact"/>
        <w:ind w:left="7198" w:right="480" w:hanging="7197" w:hangingChars="2999"/>
        <w:jc w:val="left"/>
        <w:rPr>
          <w:rFonts w:ascii="宋体" w:hAnsi="宋体" w:cs="宋体"/>
          <w:color w:val="auto"/>
          <w:sz w:val="24"/>
          <w:highlight w:val="none"/>
        </w:rPr>
      </w:pPr>
      <w:r>
        <w:rPr>
          <w:rFonts w:hint="eastAsia" w:ascii="宋体" w:hAnsi="宋体" w:cs="宋体"/>
          <w:color w:val="auto"/>
          <w:sz w:val="24"/>
          <w:highlight w:val="none"/>
        </w:rPr>
        <w:t>监管电话：020-82181336</w:t>
      </w:r>
    </w:p>
    <w:p w14:paraId="78CCD193">
      <w:pPr>
        <w:rPr>
          <w:rFonts w:hint="eastAsia" w:ascii="宋体" w:hAnsi="宋体" w:cs="宋体"/>
          <w:b/>
          <w:color w:val="auto"/>
          <w:sz w:val="28"/>
          <w:szCs w:val="28"/>
          <w:highlight w:val="none"/>
        </w:rPr>
      </w:pPr>
      <w:r>
        <w:rPr>
          <w:rFonts w:hint="eastAsia" w:ascii="宋体" w:hAnsi="宋体" w:cs="宋体"/>
          <w:b/>
          <w:color w:val="auto"/>
          <w:sz w:val="28"/>
          <w:szCs w:val="28"/>
          <w:highlight w:val="none"/>
        </w:rPr>
        <w:t>附件</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rPr>
        <w:t>：联合体协议书（格式）</w:t>
      </w:r>
    </w:p>
    <w:p w14:paraId="0843F793">
      <w:pPr>
        <w:keepNext w:val="0"/>
        <w:keepLines w:val="0"/>
        <w:pageBreakBefore w:val="0"/>
        <w:widowControl w:val="0"/>
        <w:kinsoku/>
        <w:wordWrap/>
        <w:overflowPunct/>
        <w:topLinePunct w:val="0"/>
        <w:autoSpaceDE/>
        <w:autoSpaceDN/>
        <w:bidi w:val="0"/>
        <w:adjustRightInd/>
        <w:snapToGrid/>
        <w:spacing w:line="360" w:lineRule="auto"/>
        <w:ind w:left="-4" w:firstLine="4"/>
        <w:jc w:val="center"/>
        <w:textAlignment w:val="auto"/>
        <w:rPr>
          <w:rFonts w:hint="eastAsia" w:ascii="宋体" w:hAnsi="宋体" w:cs="宋体"/>
          <w:b/>
          <w:color w:val="000000"/>
          <w:sz w:val="32"/>
          <w:highlight w:val="none"/>
          <w:lang w:bidi="ar"/>
        </w:rPr>
      </w:pPr>
    </w:p>
    <w:p w14:paraId="0823B30A">
      <w:pPr>
        <w:keepNext w:val="0"/>
        <w:keepLines w:val="0"/>
        <w:pageBreakBefore w:val="0"/>
        <w:widowControl w:val="0"/>
        <w:kinsoku/>
        <w:wordWrap/>
        <w:overflowPunct/>
        <w:topLinePunct w:val="0"/>
        <w:autoSpaceDE/>
        <w:autoSpaceDN/>
        <w:bidi w:val="0"/>
        <w:adjustRightInd/>
        <w:snapToGrid/>
        <w:spacing w:line="360" w:lineRule="auto"/>
        <w:ind w:left="-4" w:firstLine="4"/>
        <w:jc w:val="center"/>
        <w:textAlignment w:val="auto"/>
        <w:rPr>
          <w:rFonts w:hint="eastAsia" w:ascii="宋体" w:hAnsi="宋体" w:cs="宋体"/>
          <w:b/>
          <w:color w:val="000000"/>
          <w:sz w:val="32"/>
          <w:highlight w:val="none"/>
        </w:rPr>
      </w:pPr>
      <w:r>
        <w:rPr>
          <w:rFonts w:hint="eastAsia" w:ascii="宋体" w:hAnsi="宋体" w:cs="宋体"/>
          <w:b/>
          <w:color w:val="000000"/>
          <w:sz w:val="32"/>
          <w:highlight w:val="none"/>
          <w:lang w:bidi="ar"/>
        </w:rPr>
        <w:t>联合体协议书</w:t>
      </w:r>
    </w:p>
    <w:p w14:paraId="5CF80290">
      <w:pPr>
        <w:widowControl/>
        <w:shd w:val="clear" w:color="auto" w:fill="FFFFFF"/>
        <w:snapToGrid w:val="0"/>
        <w:spacing w:line="360" w:lineRule="auto"/>
        <w:ind w:firstLine="420" w:firstLineChars="200"/>
        <w:jc w:val="left"/>
        <w:rPr>
          <w:rFonts w:hint="eastAsia" w:cs="宋体"/>
          <w:color w:val="auto"/>
          <w:kern w:val="0"/>
          <w:sz w:val="21"/>
          <w:szCs w:val="20"/>
          <w:highlight w:val="none"/>
          <w:u w:val="single"/>
        </w:rPr>
      </w:pPr>
    </w:p>
    <w:p w14:paraId="69B7866A">
      <w:pPr>
        <w:widowControl/>
        <w:shd w:val="clear" w:color="auto" w:fill="FFFFFF"/>
        <w:snapToGrid w:val="0"/>
        <w:spacing w:line="360" w:lineRule="auto"/>
        <w:ind w:firstLine="420" w:firstLineChars="200"/>
        <w:jc w:val="left"/>
        <w:rPr>
          <w:rFonts w:cs="宋体"/>
          <w:color w:val="auto"/>
          <w:kern w:val="0"/>
          <w:sz w:val="21"/>
          <w:szCs w:val="20"/>
          <w:highlight w:val="none"/>
        </w:rPr>
      </w:pPr>
      <w:r>
        <w:rPr>
          <w:rFonts w:hint="eastAsia" w:cs="宋体"/>
          <w:color w:val="auto"/>
          <w:kern w:val="0"/>
          <w:sz w:val="21"/>
          <w:szCs w:val="20"/>
          <w:highlight w:val="none"/>
          <w:u w:val="single"/>
        </w:rPr>
        <w:t>（联合体主办方名称、联合体成员方名称）</w:t>
      </w:r>
      <w:r>
        <w:rPr>
          <w:rFonts w:hint="eastAsia" w:cs="宋体"/>
          <w:color w:val="auto"/>
          <w:kern w:val="0"/>
          <w:sz w:val="21"/>
          <w:szCs w:val="20"/>
          <w:highlight w:val="none"/>
        </w:rPr>
        <w:t>自愿组成</w:t>
      </w:r>
      <w:r>
        <w:rPr>
          <w:rFonts w:hint="eastAsia" w:cs="宋体"/>
          <w:color w:val="auto"/>
          <w:kern w:val="0"/>
          <w:sz w:val="21"/>
          <w:szCs w:val="20"/>
          <w:highlight w:val="none"/>
          <w:u w:val="single"/>
        </w:rPr>
        <w:t>（联合体名称）</w:t>
      </w:r>
      <w:r>
        <w:rPr>
          <w:rFonts w:hint="eastAsia" w:cs="宋体"/>
          <w:color w:val="auto"/>
          <w:kern w:val="0"/>
          <w:sz w:val="21"/>
          <w:szCs w:val="20"/>
          <w:highlight w:val="none"/>
        </w:rPr>
        <w:t>联合体，共同参加</w:t>
      </w:r>
      <w:r>
        <w:rPr>
          <w:rFonts w:hint="eastAsia" w:cs="宋体"/>
          <w:color w:val="auto"/>
          <w:kern w:val="0"/>
          <w:sz w:val="21"/>
          <w:szCs w:val="20"/>
          <w:highlight w:val="none"/>
          <w:u w:val="single"/>
        </w:rPr>
        <w:t>（项目名称）</w:t>
      </w:r>
      <w:r>
        <w:rPr>
          <w:rFonts w:hint="eastAsia" w:cs="宋体"/>
          <w:color w:val="auto"/>
          <w:kern w:val="0"/>
          <w:sz w:val="21"/>
          <w:szCs w:val="20"/>
          <w:highlight w:val="none"/>
        </w:rPr>
        <w:t>投标。我方授权委托本协议主办方代表联合体各成员参加投标、签署投标资料、提交投标文件。现就联合体投标事宜订立如下协议。</w:t>
      </w:r>
    </w:p>
    <w:p w14:paraId="3885EEB5">
      <w:pPr>
        <w:widowControl/>
        <w:shd w:val="clear" w:color="auto" w:fill="FFFFFF"/>
        <w:snapToGrid w:val="0"/>
        <w:spacing w:line="360" w:lineRule="auto"/>
        <w:ind w:firstLine="420" w:firstLineChars="200"/>
        <w:jc w:val="left"/>
        <w:rPr>
          <w:rFonts w:cs="宋体"/>
          <w:color w:val="auto"/>
          <w:kern w:val="0"/>
          <w:sz w:val="21"/>
          <w:szCs w:val="20"/>
          <w:highlight w:val="none"/>
        </w:rPr>
      </w:pPr>
      <w:r>
        <w:rPr>
          <w:rFonts w:hint="eastAsia" w:cs="宋体"/>
          <w:color w:val="auto"/>
          <w:kern w:val="0"/>
          <w:sz w:val="21"/>
          <w:szCs w:val="20"/>
          <w:highlight w:val="none"/>
        </w:rPr>
        <w:t>1、</w:t>
      </w:r>
      <w:r>
        <w:rPr>
          <w:rFonts w:hint="eastAsia" w:cs="宋体"/>
          <w:color w:val="auto"/>
          <w:kern w:val="0"/>
          <w:sz w:val="21"/>
          <w:szCs w:val="20"/>
          <w:highlight w:val="none"/>
          <w:u w:val="single"/>
        </w:rPr>
        <w:t>（联合体主办方名称）</w:t>
      </w:r>
      <w:r>
        <w:rPr>
          <w:rFonts w:hint="eastAsia" w:cs="宋体"/>
          <w:color w:val="auto"/>
          <w:kern w:val="0"/>
          <w:sz w:val="21"/>
          <w:szCs w:val="20"/>
          <w:highlight w:val="none"/>
        </w:rPr>
        <w:t>为</w:t>
      </w:r>
      <w:r>
        <w:rPr>
          <w:rFonts w:hint="eastAsia" w:cs="宋体"/>
          <w:color w:val="auto"/>
          <w:kern w:val="0"/>
          <w:sz w:val="21"/>
          <w:szCs w:val="20"/>
          <w:highlight w:val="none"/>
          <w:u w:val="single"/>
        </w:rPr>
        <w:t>（联合体名称）</w:t>
      </w:r>
      <w:r>
        <w:rPr>
          <w:rFonts w:hint="eastAsia" w:cs="宋体"/>
          <w:color w:val="auto"/>
          <w:kern w:val="0"/>
          <w:sz w:val="21"/>
          <w:szCs w:val="20"/>
          <w:highlight w:val="none"/>
        </w:rPr>
        <w:t>主办方。</w:t>
      </w:r>
    </w:p>
    <w:p w14:paraId="6AF45152">
      <w:pPr>
        <w:widowControl/>
        <w:shd w:val="clear" w:color="auto" w:fill="FFFFFF"/>
        <w:snapToGrid w:val="0"/>
        <w:spacing w:line="360" w:lineRule="auto"/>
        <w:ind w:firstLine="420" w:firstLineChars="200"/>
        <w:jc w:val="left"/>
        <w:rPr>
          <w:rFonts w:cs="宋体"/>
          <w:color w:val="auto"/>
          <w:kern w:val="0"/>
          <w:sz w:val="21"/>
          <w:szCs w:val="20"/>
          <w:highlight w:val="none"/>
        </w:rPr>
      </w:pPr>
      <w:r>
        <w:rPr>
          <w:rFonts w:hint="eastAsia" w:cs="宋体"/>
          <w:color w:val="auto"/>
          <w:kern w:val="0"/>
          <w:sz w:val="21"/>
          <w:szCs w:val="20"/>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0D26A253">
      <w:pPr>
        <w:widowControl/>
        <w:shd w:val="clear" w:color="auto" w:fill="FFFFFF"/>
        <w:snapToGrid w:val="0"/>
        <w:spacing w:line="360" w:lineRule="auto"/>
        <w:ind w:firstLine="420" w:firstLineChars="200"/>
        <w:jc w:val="left"/>
        <w:rPr>
          <w:rFonts w:cs="宋体"/>
          <w:color w:val="auto"/>
          <w:kern w:val="0"/>
          <w:sz w:val="21"/>
          <w:szCs w:val="20"/>
          <w:highlight w:val="none"/>
        </w:rPr>
      </w:pPr>
      <w:r>
        <w:rPr>
          <w:rFonts w:hint="eastAsia" w:cs="宋体"/>
          <w:color w:val="auto"/>
          <w:kern w:val="0"/>
          <w:sz w:val="21"/>
          <w:szCs w:val="20"/>
          <w:highlight w:val="none"/>
        </w:rPr>
        <w:t>3、联合体将严格按照招标文件的各项要求，递交投标文件，履行合同，并对外承担相应责任。</w:t>
      </w:r>
    </w:p>
    <w:p w14:paraId="60190792">
      <w:pPr>
        <w:widowControl/>
        <w:shd w:val="clear" w:color="auto" w:fill="FFFFFF"/>
        <w:snapToGrid w:val="0"/>
        <w:spacing w:line="360" w:lineRule="auto"/>
        <w:ind w:firstLine="420" w:firstLineChars="200"/>
        <w:jc w:val="left"/>
        <w:rPr>
          <w:rFonts w:cs="宋体"/>
          <w:color w:val="auto"/>
          <w:kern w:val="0"/>
          <w:sz w:val="21"/>
          <w:szCs w:val="20"/>
          <w:highlight w:val="none"/>
        </w:rPr>
      </w:pPr>
      <w:r>
        <w:rPr>
          <w:rFonts w:hint="eastAsia" w:cs="宋体"/>
          <w:color w:val="auto"/>
          <w:kern w:val="0"/>
          <w:sz w:val="21"/>
          <w:szCs w:val="20"/>
          <w:highlight w:val="none"/>
        </w:rPr>
        <w:t>4、联合体各成员单位内部的职责分工如下：</w:t>
      </w:r>
    </w:p>
    <w:p w14:paraId="019148ED">
      <w:pPr>
        <w:widowControl/>
        <w:shd w:val="clear" w:color="auto" w:fill="FFFFFF"/>
        <w:snapToGrid w:val="0"/>
        <w:spacing w:line="360" w:lineRule="auto"/>
        <w:ind w:firstLine="420" w:firstLineChars="200"/>
        <w:jc w:val="left"/>
        <w:rPr>
          <w:rFonts w:cs="宋体"/>
          <w:color w:val="auto"/>
          <w:kern w:val="0"/>
          <w:sz w:val="21"/>
          <w:szCs w:val="20"/>
          <w:highlight w:val="none"/>
        </w:rPr>
      </w:pPr>
      <w:r>
        <w:rPr>
          <w:rFonts w:hint="eastAsia" w:cs="宋体"/>
          <w:color w:val="auto"/>
          <w:kern w:val="0"/>
          <w:sz w:val="21"/>
          <w:szCs w:val="20"/>
          <w:highlight w:val="none"/>
        </w:rPr>
        <w:t>①</w:t>
      </w:r>
      <w:r>
        <w:rPr>
          <w:rFonts w:hint="eastAsia" w:cs="宋体"/>
          <w:color w:val="auto"/>
          <w:kern w:val="0"/>
          <w:sz w:val="21"/>
          <w:szCs w:val="20"/>
          <w:highlight w:val="none"/>
          <w:u w:val="single"/>
        </w:rPr>
        <w:t>（联合体主办方名称）</w:t>
      </w:r>
      <w:r>
        <w:rPr>
          <w:rFonts w:hint="eastAsia" w:cs="宋体"/>
          <w:color w:val="auto"/>
          <w:kern w:val="0"/>
          <w:sz w:val="21"/>
          <w:szCs w:val="20"/>
          <w:highlight w:val="none"/>
        </w:rPr>
        <w:t>：作为联合体的主办方负责本工程的</w:t>
      </w:r>
      <w:r>
        <w:rPr>
          <w:rFonts w:hint="eastAsia" w:cs="宋体"/>
          <w:color w:val="auto"/>
          <w:kern w:val="0"/>
          <w:sz w:val="21"/>
          <w:szCs w:val="20"/>
          <w:highlight w:val="none"/>
          <w:u w:val="single"/>
        </w:rPr>
        <w:t xml:space="preserve">     </w:t>
      </w:r>
      <w:r>
        <w:rPr>
          <w:rFonts w:hint="eastAsia" w:cs="宋体"/>
          <w:color w:val="auto"/>
          <w:kern w:val="0"/>
          <w:sz w:val="21"/>
          <w:szCs w:val="20"/>
          <w:highlight w:val="none"/>
        </w:rPr>
        <w:t>。联合体其他相关方违约时，主办方应承担连带责任，具体按合同要求。</w:t>
      </w:r>
    </w:p>
    <w:p w14:paraId="72D8D498">
      <w:pPr>
        <w:widowControl/>
        <w:shd w:val="clear" w:color="auto" w:fill="FFFFFF"/>
        <w:snapToGrid w:val="0"/>
        <w:spacing w:line="360" w:lineRule="auto"/>
        <w:ind w:firstLine="420" w:firstLineChars="200"/>
        <w:jc w:val="left"/>
        <w:rPr>
          <w:rFonts w:hint="eastAsia" w:cs="宋体"/>
          <w:color w:val="auto"/>
          <w:kern w:val="0"/>
          <w:sz w:val="21"/>
          <w:szCs w:val="20"/>
          <w:highlight w:val="none"/>
        </w:rPr>
      </w:pPr>
      <w:r>
        <w:rPr>
          <w:rFonts w:hint="eastAsia" w:cs="宋体"/>
          <w:color w:val="auto"/>
          <w:kern w:val="0"/>
          <w:sz w:val="21"/>
          <w:szCs w:val="20"/>
          <w:highlight w:val="none"/>
        </w:rPr>
        <w:t>②</w:t>
      </w:r>
      <w:r>
        <w:rPr>
          <w:rFonts w:hint="eastAsia" w:cs="宋体"/>
          <w:color w:val="auto"/>
          <w:kern w:val="0"/>
          <w:sz w:val="21"/>
          <w:szCs w:val="20"/>
          <w:highlight w:val="none"/>
          <w:u w:val="single"/>
        </w:rPr>
        <w:t>（联合体成员方名称）</w:t>
      </w:r>
      <w:r>
        <w:rPr>
          <w:rFonts w:hint="eastAsia" w:cs="宋体"/>
          <w:color w:val="auto"/>
          <w:kern w:val="0"/>
          <w:sz w:val="21"/>
          <w:szCs w:val="20"/>
          <w:highlight w:val="none"/>
        </w:rPr>
        <w:t>：主要负责本工程的</w:t>
      </w:r>
      <w:r>
        <w:rPr>
          <w:rFonts w:hint="eastAsia" w:cs="宋体"/>
          <w:color w:val="auto"/>
          <w:kern w:val="0"/>
          <w:sz w:val="21"/>
          <w:szCs w:val="20"/>
          <w:highlight w:val="none"/>
          <w:u w:val="single"/>
        </w:rPr>
        <w:t xml:space="preserve">         </w:t>
      </w:r>
      <w:r>
        <w:rPr>
          <w:rFonts w:hint="eastAsia" w:cs="宋体"/>
          <w:color w:val="auto"/>
          <w:kern w:val="0"/>
          <w:sz w:val="21"/>
          <w:szCs w:val="20"/>
          <w:highlight w:val="none"/>
        </w:rPr>
        <w:t>，具体按合同要求。</w:t>
      </w:r>
    </w:p>
    <w:p w14:paraId="6BB8D1A4">
      <w:pPr>
        <w:widowControl/>
        <w:shd w:val="clear" w:color="auto" w:fill="FFFFFF"/>
        <w:snapToGrid w:val="0"/>
        <w:spacing w:line="360" w:lineRule="auto"/>
        <w:ind w:firstLine="420" w:firstLineChars="200"/>
        <w:jc w:val="left"/>
        <w:rPr>
          <w:rFonts w:hint="eastAsia" w:ascii="宋体" w:hAnsi="宋体" w:eastAsia="宋体" w:cs="宋体"/>
          <w:color w:val="auto"/>
          <w:sz w:val="18"/>
          <w:szCs w:val="18"/>
          <w:highlight w:val="none"/>
        </w:rPr>
      </w:pPr>
      <w:r>
        <w:rPr>
          <w:rFonts w:hint="eastAsia" w:cs="宋体"/>
          <w:color w:val="auto"/>
          <w:kern w:val="0"/>
          <w:sz w:val="21"/>
          <w:szCs w:val="20"/>
          <w:highlight w:val="none"/>
        </w:rPr>
        <w:t>5、本协议书自签署之日起生效，合同履行完毕后自动失效。</w:t>
      </w:r>
    </w:p>
    <w:p w14:paraId="364CCA8B">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主办方名称：</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2E67AE7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3867B4C3">
      <w:pPr>
        <w:pStyle w:val="6"/>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p>
    <w:p w14:paraId="095F3F8D">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成员</w:t>
      </w:r>
      <w:r>
        <w:rPr>
          <w:rFonts w:hint="eastAsia" w:ascii="宋体" w:hAnsi="宋体" w:eastAsia="宋体" w:cs="宋体"/>
          <w:color w:val="auto"/>
          <w:sz w:val="21"/>
          <w:szCs w:val="21"/>
          <w:highlight w:val="none"/>
        </w:rPr>
        <w:t>方名称：</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1D37C7EA">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784EF602">
      <w:pPr>
        <w:pStyle w:val="6"/>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p>
    <w:p w14:paraId="2C60AD32">
      <w:pPr>
        <w:pStyle w:val="7"/>
        <w:rPr>
          <w:rFonts w:hint="eastAsia" w:ascii="宋体" w:hAnsi="宋体" w:eastAsia="宋体" w:cs="宋体"/>
          <w:color w:val="auto"/>
          <w:sz w:val="21"/>
          <w:szCs w:val="21"/>
          <w:highlight w:val="none"/>
        </w:rPr>
      </w:pPr>
    </w:p>
    <w:p w14:paraId="3EC4CB0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签订日期：</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9408C66">
      <w:pPr>
        <w:pStyle w:val="4"/>
        <w:rPr>
          <w:rFonts w:hint="eastAsia" w:ascii="宋体" w:hAnsi="宋体" w:cs="宋体"/>
          <w:b/>
          <w:bCs/>
          <w:color w:val="000000"/>
          <w:szCs w:val="21"/>
          <w:highlight w:val="none"/>
          <w:u w:val="single"/>
          <w:lang w:val="zh-CN"/>
        </w:rPr>
      </w:pPr>
    </w:p>
    <w:p w14:paraId="22C05A2D">
      <w:pPr>
        <w:pStyle w:val="4"/>
        <w:rPr>
          <w:rFonts w:hint="eastAsia" w:ascii="宋体" w:hAnsi="宋体" w:cs="宋体"/>
          <w:b/>
          <w:bCs/>
          <w:color w:val="000000"/>
          <w:szCs w:val="21"/>
          <w:highlight w:val="none"/>
          <w:u w:val="single"/>
          <w:lang w:val="zh-CN"/>
        </w:rPr>
      </w:pPr>
    </w:p>
    <w:p w14:paraId="659B5C49">
      <w:pPr>
        <w:pStyle w:val="4"/>
        <w:rPr>
          <w:rFonts w:hint="eastAsia" w:ascii="宋体" w:hAnsi="宋体" w:cs="宋体"/>
          <w:b/>
          <w:color w:val="auto"/>
          <w:sz w:val="28"/>
          <w:szCs w:val="28"/>
          <w:highlight w:val="none"/>
        </w:rPr>
      </w:pPr>
      <w:r>
        <w:rPr>
          <w:rFonts w:hint="eastAsia" w:ascii="宋体" w:hAnsi="宋体" w:cs="宋体"/>
          <w:b/>
          <w:bCs/>
          <w:color w:val="000000"/>
          <w:szCs w:val="21"/>
          <w:highlight w:val="none"/>
          <w:u w:val="single"/>
          <w:lang w:val="zh-CN"/>
        </w:rPr>
        <w:t>注：非联合体投标的，无需提交本协议书。本格式仅供参考，投标人可根据实际情况自行调整。</w:t>
      </w:r>
    </w:p>
    <w:p w14:paraId="6D5C747E">
      <w:pPr>
        <w:rPr>
          <w:highlight w:val="none"/>
        </w:rPr>
      </w:pPr>
    </w:p>
    <w:p w14:paraId="6F821231">
      <w:pPr>
        <w:spacing w:line="480" w:lineRule="auto"/>
        <w:ind w:right="879"/>
        <w:jc w:val="left"/>
        <w:rPr>
          <w:rFonts w:hint="eastAsia" w:ascii="宋体" w:hAnsi="宋体" w:cs="宋体"/>
          <w:kern w:val="0"/>
          <w:sz w:val="24"/>
          <w:szCs w:val="24"/>
          <w:highlight w:val="none"/>
        </w:rPr>
      </w:pPr>
    </w:p>
    <w:p w14:paraId="7DFDF7C4">
      <w:pPr>
        <w:spacing w:line="480" w:lineRule="auto"/>
        <w:ind w:right="879"/>
        <w:jc w:val="left"/>
        <w:rPr>
          <w:rFonts w:hint="eastAsia" w:ascii="宋体" w:hAnsi="宋体" w:cs="宋体"/>
          <w:kern w:val="0"/>
          <w:sz w:val="24"/>
          <w:szCs w:val="24"/>
          <w:highlight w:val="none"/>
        </w:rPr>
      </w:pPr>
    </w:p>
    <w:p w14:paraId="54A202AB">
      <w:pPr>
        <w:spacing w:line="480" w:lineRule="auto"/>
        <w:ind w:right="879"/>
        <w:jc w:val="left"/>
        <w:rPr>
          <w:rFonts w:hint="eastAsia" w:ascii="宋体" w:hAnsi="宋体" w:cs="宋体"/>
          <w:kern w:val="0"/>
          <w:sz w:val="24"/>
          <w:szCs w:val="24"/>
          <w:highlight w:val="none"/>
        </w:rPr>
      </w:pPr>
      <w:r>
        <w:rPr>
          <w:rFonts w:hint="eastAsia" w:ascii="宋体" w:hAnsi="宋体" w:cs="宋体"/>
          <w:kern w:val="0"/>
          <w:sz w:val="24"/>
          <w:szCs w:val="24"/>
          <w:highlight w:val="none"/>
        </w:rPr>
        <w:t>附件</w:t>
      </w:r>
      <w:r>
        <w:rPr>
          <w:rFonts w:hint="eastAsia" w:ascii="宋体" w:hAnsi="宋体" w:cs="宋体"/>
          <w:kern w:val="0"/>
          <w:sz w:val="24"/>
          <w:szCs w:val="24"/>
          <w:highlight w:val="none"/>
          <w:lang w:val="en-US" w:eastAsia="zh-CN"/>
        </w:rPr>
        <w:t>二</w:t>
      </w:r>
      <w:r>
        <w:rPr>
          <w:rFonts w:hint="eastAsia" w:ascii="宋体" w:hAnsi="宋体" w:cs="宋体"/>
          <w:kern w:val="0"/>
          <w:sz w:val="24"/>
          <w:szCs w:val="24"/>
          <w:highlight w:val="none"/>
        </w:rPr>
        <w:t>:</w:t>
      </w:r>
    </w:p>
    <w:p w14:paraId="337AC3CE">
      <w:pPr>
        <w:spacing w:line="480" w:lineRule="auto"/>
        <w:ind w:right="879"/>
        <w:jc w:val="center"/>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被招标人拒绝投标的企业名单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3373"/>
        <w:gridCol w:w="1987"/>
        <w:gridCol w:w="2540"/>
      </w:tblGrid>
      <w:tr w14:paraId="2A0B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center"/>
          </w:tcPr>
          <w:p w14:paraId="3F4CF3A7">
            <w:pPr>
              <w:spacing w:line="480" w:lineRule="auto"/>
              <w:jc w:val="center"/>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序号</w:t>
            </w:r>
          </w:p>
        </w:tc>
        <w:tc>
          <w:tcPr>
            <w:tcW w:w="3373" w:type="dxa"/>
            <w:noWrap w:val="0"/>
            <w:vAlign w:val="center"/>
          </w:tcPr>
          <w:p w14:paraId="4AA409A3">
            <w:pPr>
              <w:spacing w:line="480" w:lineRule="auto"/>
              <w:jc w:val="center"/>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企业名称</w:t>
            </w:r>
          </w:p>
        </w:tc>
        <w:tc>
          <w:tcPr>
            <w:tcW w:w="1987" w:type="dxa"/>
            <w:noWrap w:val="0"/>
            <w:vAlign w:val="center"/>
          </w:tcPr>
          <w:p w14:paraId="45617335">
            <w:pPr>
              <w:spacing w:line="480" w:lineRule="auto"/>
              <w:jc w:val="center"/>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禁止范围</w:t>
            </w:r>
          </w:p>
        </w:tc>
        <w:tc>
          <w:tcPr>
            <w:tcW w:w="2540" w:type="dxa"/>
            <w:noWrap w:val="0"/>
            <w:vAlign w:val="center"/>
          </w:tcPr>
          <w:p w14:paraId="47112378">
            <w:pPr>
              <w:spacing w:line="480" w:lineRule="auto"/>
              <w:jc w:val="center"/>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禁止期限</w:t>
            </w:r>
          </w:p>
        </w:tc>
      </w:tr>
      <w:tr w14:paraId="5183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center"/>
          </w:tcPr>
          <w:p w14:paraId="5DF4E00F">
            <w:pPr>
              <w:spacing w:line="480" w:lineRule="auto"/>
              <w:jc w:val="center"/>
              <w:rPr>
                <w:rFonts w:hint="eastAsia" w:ascii="宋体" w:hAnsi="宋体" w:eastAsia="宋体" w:cs="宋体"/>
                <w:color w:val="000000"/>
                <w:sz w:val="24"/>
                <w:szCs w:val="24"/>
                <w:highlight w:val="none"/>
                <w:u w:val="single"/>
                <w:lang w:val="en-US" w:eastAsia="zh-CN"/>
              </w:rPr>
            </w:pPr>
            <w:r>
              <w:rPr>
                <w:rFonts w:hint="eastAsia" w:ascii="宋体" w:hAnsi="宋体" w:cs="宋体"/>
                <w:color w:val="000000"/>
                <w:sz w:val="24"/>
                <w:szCs w:val="24"/>
                <w:highlight w:val="none"/>
                <w:u w:val="single"/>
                <w:lang w:val="en-US" w:eastAsia="zh-CN"/>
              </w:rPr>
              <w:t>1</w:t>
            </w:r>
          </w:p>
        </w:tc>
        <w:tc>
          <w:tcPr>
            <w:tcW w:w="3373" w:type="dxa"/>
            <w:noWrap w:val="0"/>
            <w:vAlign w:val="center"/>
          </w:tcPr>
          <w:p w14:paraId="116913CB">
            <w:pPr>
              <w:spacing w:line="480" w:lineRule="auto"/>
              <w:jc w:val="center"/>
              <w:rPr>
                <w:rFonts w:hint="eastAsia" w:ascii="宋体" w:hAnsi="宋体" w:cs="宋体"/>
                <w:color w:val="000000"/>
                <w:sz w:val="24"/>
                <w:szCs w:val="24"/>
                <w:highlight w:val="none"/>
                <w:u w:val="single"/>
              </w:rPr>
            </w:pPr>
            <w:r>
              <w:rPr>
                <w:rFonts w:hint="eastAsia" w:ascii="宋体" w:hAnsi="宋体" w:cs="宋体"/>
                <w:color w:val="000000"/>
                <w:sz w:val="24"/>
                <w:highlight w:val="none"/>
                <w:u w:val="single"/>
              </w:rPr>
              <w:t>广州市市政工程监理有限公司</w:t>
            </w:r>
          </w:p>
        </w:tc>
        <w:tc>
          <w:tcPr>
            <w:tcW w:w="1987" w:type="dxa"/>
            <w:noWrap w:val="0"/>
            <w:vAlign w:val="center"/>
          </w:tcPr>
          <w:p w14:paraId="06260AB8">
            <w:pPr>
              <w:spacing w:line="480" w:lineRule="auto"/>
              <w:jc w:val="center"/>
              <w:rPr>
                <w:rFonts w:hint="eastAsia" w:ascii="宋体" w:hAnsi="宋体" w:cs="宋体"/>
                <w:color w:val="000000"/>
                <w:sz w:val="24"/>
                <w:szCs w:val="24"/>
                <w:highlight w:val="none"/>
                <w:u w:val="single"/>
              </w:rPr>
            </w:pPr>
            <w:r>
              <w:rPr>
                <w:rFonts w:hint="eastAsia" w:ascii="宋体" w:hAnsi="宋体" w:cs="宋体"/>
                <w:color w:val="000000"/>
                <w:sz w:val="24"/>
                <w:highlight w:val="none"/>
                <w:u w:val="single"/>
              </w:rPr>
              <w:t>监理服务</w:t>
            </w:r>
          </w:p>
        </w:tc>
        <w:tc>
          <w:tcPr>
            <w:tcW w:w="2540" w:type="dxa"/>
            <w:noWrap w:val="0"/>
            <w:vAlign w:val="center"/>
          </w:tcPr>
          <w:p w14:paraId="1D2DAC29">
            <w:pPr>
              <w:spacing w:line="360" w:lineRule="auto"/>
              <w:jc w:val="center"/>
              <w:rPr>
                <w:rFonts w:ascii="宋体" w:hAnsi="宋体" w:cs="宋体"/>
                <w:color w:val="000000"/>
                <w:sz w:val="24"/>
                <w:szCs w:val="24"/>
                <w:highlight w:val="none"/>
                <w:u w:val="single"/>
              </w:rPr>
            </w:pPr>
            <w:r>
              <w:rPr>
                <w:rFonts w:hint="eastAsia" w:ascii="宋体" w:hAnsi="宋体" w:cs="宋体"/>
                <w:color w:val="000000"/>
                <w:sz w:val="24"/>
                <w:highlight w:val="none"/>
                <w:u w:val="single"/>
              </w:rPr>
              <w:t>2025年7月31日至2026年7月30日</w:t>
            </w:r>
          </w:p>
        </w:tc>
      </w:tr>
    </w:tbl>
    <w:p w14:paraId="4039F8F5">
      <w:pPr>
        <w:pStyle w:val="2"/>
        <w:rPr>
          <w:rFonts w:hint="default"/>
          <w:highlight w:val="none"/>
          <w:lang w:val="en-US" w:eastAsia="zh-CN"/>
        </w:rPr>
      </w:pPr>
    </w:p>
    <w:p w14:paraId="3AC77380">
      <w:pPr>
        <w:rPr>
          <w:highlight w:val="none"/>
        </w:rPr>
      </w:pPr>
    </w:p>
    <w:p w14:paraId="344B9E56">
      <w:pPr>
        <w:rPr>
          <w:highlight w:val="none"/>
        </w:rPr>
      </w:pPr>
    </w:p>
    <w:sectPr>
      <w:headerReference r:id="rId3" w:type="default"/>
      <w:footerReference r:id="rId4" w:type="default"/>
      <w:pgSz w:w="11906" w:h="16838"/>
      <w:pgMar w:top="1440" w:right="1274"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3E22">
    <w:pPr>
      <w:pStyle w:val="7"/>
      <w:jc w:val="center"/>
    </w:pPr>
    <w:r>
      <w:fldChar w:fldCharType="begin"/>
    </w:r>
    <w:r>
      <w:instrText xml:space="preserve">PAGE   \* MERGEFORMAT</w:instrText>
    </w:r>
    <w:r>
      <w:fldChar w:fldCharType="separate"/>
    </w:r>
    <w:r>
      <w:rPr>
        <w:lang w:val="zh-CN"/>
      </w:rPr>
      <w:t>1</w:t>
    </w:r>
    <w:r>
      <w:fldChar w:fldCharType="end"/>
    </w:r>
  </w:p>
  <w:p w14:paraId="30368699">
    <w:pPr>
      <w:pStyle w:val="7"/>
      <w:tabs>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452B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D73E0"/>
    <w:multiLevelType w:val="singleLevel"/>
    <w:tmpl w:val="B69D73E0"/>
    <w:lvl w:ilvl="0" w:tentative="0">
      <w:start w:val="8"/>
      <w:numFmt w:val="decimal"/>
      <w:suff w:val="space"/>
      <w:lvlText w:val="%1."/>
      <w:lvlJc w:val="left"/>
    </w:lvl>
  </w:abstractNum>
  <w:abstractNum w:abstractNumId="1">
    <w:nsid w:val="61898AD0"/>
    <w:multiLevelType w:val="singleLevel"/>
    <w:tmpl w:val="61898AD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MTI3OTRkYjRiOWZhYjMyOWY1N2FkNTBiOTIwYzMifQ=="/>
  </w:docVars>
  <w:rsids>
    <w:rsidRoot w:val="04FB2E97"/>
    <w:rsid w:val="04FB2E97"/>
    <w:rsid w:val="0FDA2383"/>
    <w:rsid w:val="1400791F"/>
    <w:rsid w:val="1462527F"/>
    <w:rsid w:val="1A6A27E0"/>
    <w:rsid w:val="1CDC5096"/>
    <w:rsid w:val="27584B03"/>
    <w:rsid w:val="2B545E91"/>
    <w:rsid w:val="2D6E62EA"/>
    <w:rsid w:val="3BC57E40"/>
    <w:rsid w:val="3DB36470"/>
    <w:rsid w:val="42253B3B"/>
    <w:rsid w:val="487D3AFA"/>
    <w:rsid w:val="4BEF46BE"/>
    <w:rsid w:val="4E21063A"/>
    <w:rsid w:val="4F24475A"/>
    <w:rsid w:val="56817328"/>
    <w:rsid w:val="57ED3D2C"/>
    <w:rsid w:val="5D4A130C"/>
    <w:rsid w:val="60BB633A"/>
    <w:rsid w:val="65F46C17"/>
    <w:rsid w:val="677005FF"/>
    <w:rsid w:val="79495032"/>
    <w:rsid w:val="7E38709F"/>
    <w:rsid w:val="7E47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0" w:lineRule="auto"/>
      <w:outlineLvl w:val="1"/>
    </w:pPr>
    <w:rPr>
      <w:rFonts w:ascii="Arial" w:hAnsi="Arial" w:eastAsia="黑体"/>
      <w:b/>
      <w:kern w:val="0"/>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25"/>
      <w:ind w:left="112"/>
    </w:pPr>
    <w:rPr>
      <w:szCs w:val="21"/>
    </w:rPr>
  </w:style>
  <w:style w:type="paragraph" w:styleId="4">
    <w:name w:val="Normal Indent"/>
    <w:basedOn w:val="1"/>
    <w:next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Plain Text"/>
    <w:basedOn w:val="1"/>
    <w:next w:val="1"/>
    <w:qFormat/>
    <w:uiPriority w:val="0"/>
    <w:rPr>
      <w:rFonts w:ascii="宋体" w:hAnsi="Courier New"/>
      <w:szCs w:val="20"/>
    </w:rPr>
  </w:style>
  <w:style w:type="paragraph" w:styleId="7">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11">
    <w:name w:val="page number"/>
    <w:qFormat/>
    <w:uiPriority w:val="0"/>
  </w:style>
  <w:style w:type="character" w:styleId="12">
    <w:name w:val="annotation reference"/>
    <w:qFormat/>
    <w:uiPriority w:val="0"/>
    <w:rPr>
      <w:sz w:val="21"/>
      <w:szCs w:val="21"/>
    </w:rPr>
  </w:style>
  <w:style w:type="paragraph" w:customStyle="1" w:styleId="13">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5242</Words>
  <Characters>5883</Characters>
  <Lines>0</Lines>
  <Paragraphs>0</Paragraphs>
  <TotalTime>28</TotalTime>
  <ScaleCrop>false</ScaleCrop>
  <LinksUpToDate>false</LinksUpToDate>
  <CharactersWithSpaces>6138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2025-11-04T06:43:00Z</dcterms:created>
  <dc:creator>◕‿◕ 丁﹏]</dc:creator>
  <cp:lastModifiedBy>◕‿◕ 丁﹏]</cp:lastModifiedBy>
  <dcterms:modified xsi:type="dcterms:W3CDTF">2025-11-20T04:48:25Z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5184B2DB397D4239AA4B195C4D46F6A9_13</vt:lpwstr>
  </property>
  <property fmtid="{D5CDD505-2E9C-101B-9397-08002B2CF9AE}" pid="4" name="KSOTemplateDocerSaveRecord">
    <vt:lpwstr>eyJoZGlkIjoiMzEwNTM5NzYwMDRjMzkwZTVkZjY2ODkwMGIxNGU0OTUiLCJ1c2VySWQiOiIzNDY3NjExNTMifQ==</vt:lpwstr>
  </property>
</Properties>
</file>