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61447">
      <w:pPr>
        <w:rPr>
          <w:color w:val="auto"/>
          <w:highlight w:val="none"/>
        </w:rPr>
      </w:pPr>
    </w:p>
    <w:p w14:paraId="6D6AE6B6">
      <w:pPr>
        <w:rPr>
          <w:color w:val="auto"/>
          <w:highlight w:val="none"/>
        </w:rPr>
      </w:pPr>
    </w:p>
    <w:p w14:paraId="5EEC7F9A">
      <w:pPr>
        <w:rPr>
          <w:rStyle w:val="24"/>
          <w:b/>
          <w:bCs/>
          <w:color w:val="auto"/>
          <w:sz w:val="44"/>
          <w:szCs w:val="44"/>
          <w:highlight w:val="none"/>
        </w:rPr>
      </w:pPr>
    </w:p>
    <w:p w14:paraId="36EC653A">
      <w:pPr>
        <w:pStyle w:val="11"/>
        <w:rPr>
          <w:color w:val="auto"/>
          <w:highlight w:val="none"/>
        </w:rPr>
      </w:pPr>
    </w:p>
    <w:p w14:paraId="5350492C">
      <w:pPr>
        <w:rPr>
          <w:color w:val="auto"/>
          <w:highlight w:val="none"/>
        </w:rPr>
      </w:pPr>
    </w:p>
    <w:p w14:paraId="20855BEF">
      <w:pPr>
        <w:pStyle w:val="11"/>
        <w:rPr>
          <w:rStyle w:val="24"/>
          <w:b/>
          <w:bCs/>
          <w:color w:val="auto"/>
          <w:sz w:val="44"/>
          <w:szCs w:val="44"/>
          <w:highlight w:val="none"/>
        </w:rPr>
      </w:pPr>
    </w:p>
    <w:p w14:paraId="1B7D9629">
      <w:pPr>
        <w:rPr>
          <w:rStyle w:val="24"/>
          <w:b/>
          <w:bCs/>
          <w:color w:val="auto"/>
          <w:sz w:val="44"/>
          <w:szCs w:val="44"/>
          <w:highlight w:val="none"/>
        </w:rPr>
      </w:pPr>
    </w:p>
    <w:p w14:paraId="2F152E18">
      <w:pPr>
        <w:pStyle w:val="11"/>
        <w:rPr>
          <w:color w:val="auto"/>
          <w:highlight w:val="none"/>
        </w:rPr>
      </w:pPr>
    </w:p>
    <w:p w14:paraId="5A09DB25">
      <w:pPr>
        <w:rPr>
          <w:color w:val="auto"/>
          <w:highlight w:val="none"/>
        </w:rPr>
      </w:pPr>
    </w:p>
    <w:p w14:paraId="6A200092">
      <w:pPr>
        <w:pStyle w:val="5"/>
        <w:ind w:firstLine="0" w:firstLineChars="0"/>
        <w:jc w:val="center"/>
        <w:rPr>
          <w:rFonts w:hint="eastAsia"/>
          <w:b/>
          <w:bCs/>
          <w:color w:val="auto"/>
          <w:sz w:val="48"/>
          <w:szCs w:val="48"/>
          <w:highlight w:val="none"/>
          <w:lang w:eastAsia="zh-CN"/>
        </w:rPr>
      </w:pPr>
      <w:r>
        <w:rPr>
          <w:rFonts w:hint="eastAsia"/>
          <w:b/>
          <w:bCs/>
          <w:color w:val="auto"/>
          <w:sz w:val="48"/>
          <w:szCs w:val="48"/>
          <w:highlight w:val="none"/>
          <w:lang w:eastAsia="zh-CN"/>
        </w:rPr>
        <w:t>广州市观音山公墓（含市第二思园和教育基地及广场配套项目）二期工程施工总承包项目</w:t>
      </w:r>
    </w:p>
    <w:p w14:paraId="6B02023F">
      <w:pPr>
        <w:pStyle w:val="5"/>
        <w:jc w:val="center"/>
        <w:rPr>
          <w:color w:val="auto"/>
          <w:highlight w:val="none"/>
        </w:rPr>
      </w:pPr>
    </w:p>
    <w:p w14:paraId="1F48FAF9">
      <w:pPr>
        <w:jc w:val="center"/>
        <w:rPr>
          <w:rStyle w:val="24"/>
          <w:b/>
          <w:bCs/>
          <w:color w:val="auto"/>
          <w:sz w:val="28"/>
          <w:szCs w:val="28"/>
          <w:highlight w:val="none"/>
        </w:rPr>
      </w:pPr>
    </w:p>
    <w:p w14:paraId="6CE680A7">
      <w:pPr>
        <w:pStyle w:val="11"/>
        <w:rPr>
          <w:rStyle w:val="24"/>
          <w:b/>
          <w:bCs/>
          <w:color w:val="auto"/>
          <w:sz w:val="28"/>
          <w:szCs w:val="28"/>
          <w:highlight w:val="none"/>
        </w:rPr>
      </w:pPr>
    </w:p>
    <w:p w14:paraId="5394179C">
      <w:pPr>
        <w:rPr>
          <w:color w:val="auto"/>
          <w:highlight w:val="none"/>
        </w:rPr>
      </w:pPr>
    </w:p>
    <w:p w14:paraId="6B535FB4">
      <w:pPr>
        <w:jc w:val="center"/>
        <w:rPr>
          <w:rStyle w:val="24"/>
          <w:b/>
          <w:bCs/>
          <w:color w:val="auto"/>
          <w:sz w:val="28"/>
          <w:szCs w:val="28"/>
          <w:highlight w:val="none"/>
        </w:rPr>
      </w:pPr>
    </w:p>
    <w:p w14:paraId="64442AE2">
      <w:pPr>
        <w:jc w:val="center"/>
        <w:rPr>
          <w:rStyle w:val="24"/>
          <w:b/>
          <w:bCs/>
          <w:color w:val="auto"/>
          <w:sz w:val="28"/>
          <w:szCs w:val="28"/>
          <w:highlight w:val="none"/>
        </w:rPr>
      </w:pPr>
    </w:p>
    <w:p w14:paraId="6A632993">
      <w:pPr>
        <w:pStyle w:val="11"/>
        <w:rPr>
          <w:color w:val="auto"/>
          <w:highlight w:val="none"/>
        </w:rPr>
      </w:pPr>
    </w:p>
    <w:p w14:paraId="595B9027">
      <w:pPr>
        <w:jc w:val="center"/>
        <w:rPr>
          <w:rStyle w:val="24"/>
          <w:b/>
          <w:bCs/>
          <w:color w:val="auto"/>
          <w:sz w:val="84"/>
          <w:szCs w:val="84"/>
          <w:highlight w:val="none"/>
        </w:rPr>
      </w:pPr>
      <w:r>
        <w:rPr>
          <w:rStyle w:val="24"/>
          <w:rFonts w:hint="eastAsia"/>
          <w:b/>
          <w:bCs/>
          <w:color w:val="auto"/>
          <w:sz w:val="84"/>
          <w:szCs w:val="84"/>
          <w:highlight w:val="none"/>
        </w:rPr>
        <w:t>招标文件</w:t>
      </w:r>
    </w:p>
    <w:p w14:paraId="016A5EBC">
      <w:pPr>
        <w:jc w:val="center"/>
        <w:rPr>
          <w:rStyle w:val="24"/>
          <w:b/>
          <w:bCs/>
          <w:color w:val="auto"/>
          <w:sz w:val="28"/>
          <w:szCs w:val="28"/>
          <w:highlight w:val="none"/>
        </w:rPr>
      </w:pPr>
    </w:p>
    <w:p w14:paraId="6427CE27">
      <w:pPr>
        <w:jc w:val="center"/>
        <w:rPr>
          <w:rStyle w:val="24"/>
          <w:b/>
          <w:bCs/>
          <w:color w:val="auto"/>
          <w:sz w:val="28"/>
          <w:szCs w:val="28"/>
          <w:highlight w:val="none"/>
        </w:rPr>
      </w:pPr>
    </w:p>
    <w:p w14:paraId="03BA5A1C">
      <w:pPr>
        <w:pStyle w:val="11"/>
        <w:rPr>
          <w:rStyle w:val="24"/>
          <w:b/>
          <w:bCs/>
          <w:color w:val="auto"/>
          <w:sz w:val="28"/>
          <w:szCs w:val="28"/>
          <w:highlight w:val="none"/>
        </w:rPr>
      </w:pPr>
    </w:p>
    <w:p w14:paraId="469AB494">
      <w:pPr>
        <w:rPr>
          <w:rStyle w:val="24"/>
          <w:b/>
          <w:bCs/>
          <w:color w:val="auto"/>
          <w:sz w:val="28"/>
          <w:szCs w:val="28"/>
          <w:highlight w:val="none"/>
        </w:rPr>
      </w:pPr>
    </w:p>
    <w:p w14:paraId="24D556F6">
      <w:pPr>
        <w:pStyle w:val="11"/>
        <w:rPr>
          <w:color w:val="auto"/>
          <w:highlight w:val="none"/>
        </w:rPr>
      </w:pPr>
    </w:p>
    <w:p w14:paraId="54F0FFDA">
      <w:pPr>
        <w:rPr>
          <w:color w:val="auto"/>
          <w:highlight w:val="none"/>
        </w:rPr>
      </w:pPr>
    </w:p>
    <w:p w14:paraId="30350BCF">
      <w:pPr>
        <w:ind w:firstLine="1807" w:firstLineChars="600"/>
        <w:rPr>
          <w:rStyle w:val="24"/>
          <w:rFonts w:hint="eastAsia" w:eastAsia="宋体"/>
          <w:b/>
          <w:bCs/>
          <w:color w:val="auto"/>
          <w:sz w:val="30"/>
          <w:szCs w:val="30"/>
          <w:highlight w:val="none"/>
          <w:lang w:eastAsia="zh-CN"/>
        </w:rPr>
      </w:pPr>
      <w:r>
        <w:rPr>
          <w:rStyle w:val="24"/>
          <w:rFonts w:hint="eastAsia"/>
          <w:b/>
          <w:bCs/>
          <w:color w:val="auto"/>
          <w:sz w:val="30"/>
          <w:szCs w:val="30"/>
          <w:highlight w:val="none"/>
        </w:rPr>
        <w:t>招标单位：</w:t>
      </w:r>
      <w:r>
        <w:rPr>
          <w:rStyle w:val="24"/>
          <w:rFonts w:hint="eastAsia"/>
          <w:b/>
          <w:bCs/>
          <w:color w:val="auto"/>
          <w:sz w:val="30"/>
          <w:szCs w:val="30"/>
          <w:highlight w:val="none"/>
          <w:lang w:eastAsia="zh-CN"/>
        </w:rPr>
        <w:t>广州市殡葬服务中心</w:t>
      </w:r>
    </w:p>
    <w:p w14:paraId="3E6679A4">
      <w:pPr>
        <w:ind w:firstLine="1807" w:firstLineChars="600"/>
        <w:rPr>
          <w:rStyle w:val="24"/>
          <w:rFonts w:hint="eastAsia" w:eastAsia="宋体"/>
          <w:b/>
          <w:bCs/>
          <w:color w:val="auto"/>
          <w:sz w:val="30"/>
          <w:szCs w:val="30"/>
          <w:highlight w:val="none"/>
          <w:lang w:eastAsia="zh-CN"/>
        </w:rPr>
      </w:pPr>
      <w:r>
        <w:rPr>
          <w:rStyle w:val="24"/>
          <w:rFonts w:hint="eastAsia"/>
          <w:b/>
          <w:bCs/>
          <w:color w:val="auto"/>
          <w:sz w:val="30"/>
          <w:szCs w:val="30"/>
          <w:highlight w:val="none"/>
        </w:rPr>
        <w:t>代理单位：广州市政府采购中心</w:t>
      </w:r>
    </w:p>
    <w:p w14:paraId="297C400A">
      <w:pPr>
        <w:ind w:firstLine="1807" w:firstLineChars="600"/>
        <w:rPr>
          <w:rStyle w:val="24"/>
          <w:b/>
          <w:bCs/>
          <w:color w:val="auto"/>
          <w:sz w:val="30"/>
          <w:szCs w:val="30"/>
          <w:highlight w:val="none"/>
        </w:rPr>
      </w:pPr>
      <w:r>
        <w:rPr>
          <w:rStyle w:val="24"/>
          <w:rFonts w:hint="eastAsia"/>
          <w:b/>
          <w:bCs/>
          <w:color w:val="auto"/>
          <w:sz w:val="30"/>
          <w:szCs w:val="30"/>
          <w:highlight w:val="none"/>
        </w:rPr>
        <w:t>日期：202</w:t>
      </w:r>
      <w:r>
        <w:rPr>
          <w:rStyle w:val="24"/>
          <w:rFonts w:hint="eastAsia"/>
          <w:b/>
          <w:bCs/>
          <w:color w:val="auto"/>
          <w:sz w:val="30"/>
          <w:szCs w:val="30"/>
          <w:highlight w:val="none"/>
          <w:lang w:val="en-US" w:eastAsia="zh-CN"/>
        </w:rPr>
        <w:t>5</w:t>
      </w:r>
      <w:r>
        <w:rPr>
          <w:rStyle w:val="24"/>
          <w:rFonts w:hint="eastAsia"/>
          <w:b/>
          <w:bCs/>
          <w:color w:val="auto"/>
          <w:sz w:val="30"/>
          <w:szCs w:val="30"/>
          <w:highlight w:val="none"/>
        </w:rPr>
        <w:t>年</w:t>
      </w:r>
      <w:r>
        <w:rPr>
          <w:rStyle w:val="24"/>
          <w:rFonts w:hint="eastAsia" w:eastAsia="微软雅黑"/>
          <w:b/>
          <w:bCs/>
          <w:color w:val="auto"/>
          <w:sz w:val="30"/>
          <w:szCs w:val="30"/>
          <w:highlight w:val="none"/>
          <w:lang w:val="en-US" w:eastAsia="zh-CN"/>
        </w:rPr>
        <w:t>11</w:t>
      </w:r>
      <w:r>
        <w:rPr>
          <w:rStyle w:val="24"/>
          <w:rFonts w:hint="eastAsia"/>
          <w:b/>
          <w:bCs/>
          <w:color w:val="auto"/>
          <w:sz w:val="30"/>
          <w:szCs w:val="30"/>
          <w:highlight w:val="none"/>
        </w:rPr>
        <w:t>月</w:t>
      </w:r>
    </w:p>
    <w:p w14:paraId="0336A5FC">
      <w:pPr>
        <w:ind w:firstLine="1807" w:firstLineChars="600"/>
        <w:rPr>
          <w:rStyle w:val="24"/>
          <w:b/>
          <w:bCs/>
          <w:color w:val="auto"/>
          <w:sz w:val="30"/>
          <w:szCs w:val="30"/>
          <w:highlight w:val="none"/>
        </w:rPr>
      </w:pPr>
    </w:p>
    <w:p w14:paraId="2237B6D0">
      <w:pPr>
        <w:jc w:val="center"/>
        <w:rPr>
          <w:rStyle w:val="24"/>
          <w:rFonts w:cs="宋体"/>
          <w:b/>
          <w:bCs/>
          <w:color w:val="auto"/>
          <w:sz w:val="28"/>
          <w:szCs w:val="28"/>
          <w:highlight w:val="none"/>
        </w:rPr>
        <w:sectPr>
          <w:headerReference r:id="rId5" w:type="first"/>
          <w:footerReference r:id="rId8" w:type="first"/>
          <w:headerReference r:id="rId3" w:type="default"/>
          <w:footerReference r:id="rId6" w:type="default"/>
          <w:headerReference r:id="rId4" w:type="even"/>
          <w:footerReference r:id="rId7" w:type="even"/>
          <w:pgSz w:w="12240" w:h="15840"/>
          <w:pgMar w:top="1440" w:right="1800" w:bottom="1440" w:left="1800" w:header="720" w:footer="720" w:gutter="0"/>
          <w:pgNumType w:fmt="decimal"/>
          <w:cols w:space="720" w:num="1"/>
        </w:sectPr>
      </w:pPr>
    </w:p>
    <w:p w14:paraId="09B6C60E">
      <w:pPr>
        <w:jc w:val="center"/>
        <w:rPr>
          <w:rFonts w:cs="宋体"/>
          <w:b/>
          <w:caps/>
          <w:color w:val="auto"/>
          <w:kern w:val="0"/>
          <w:highlight w:val="none"/>
        </w:rPr>
      </w:pPr>
      <w:r>
        <w:rPr>
          <w:rStyle w:val="24"/>
          <w:rFonts w:hint="eastAsia" w:cs="宋体"/>
          <w:b/>
          <w:bCs/>
          <w:color w:val="auto"/>
          <w:sz w:val="28"/>
          <w:szCs w:val="28"/>
          <w:highlight w:val="none"/>
        </w:rPr>
        <w:t>目录</w:t>
      </w:r>
    </w:p>
    <w:p w14:paraId="2564C029">
      <w:pPr>
        <w:pStyle w:val="15"/>
        <w:tabs>
          <w:tab w:val="right" w:leader="dot" w:pos="8640"/>
          <w:tab w:val="clear" w:pos="9060"/>
        </w:tabs>
      </w:pPr>
      <w:r>
        <w:rPr>
          <w:rFonts w:hint="eastAsia" w:cs="宋体"/>
          <w:color w:val="auto"/>
          <w:highlight w:val="none"/>
        </w:rPr>
        <w:fldChar w:fldCharType="begin"/>
      </w:r>
      <w:r>
        <w:rPr>
          <w:rFonts w:hint="eastAsia" w:cs="宋体"/>
          <w:color w:val="auto"/>
          <w:highlight w:val="none"/>
        </w:rPr>
        <w:instrText xml:space="preserve"> TOC \o "1-3" \h \z \u </w:instrText>
      </w:r>
      <w:r>
        <w:rPr>
          <w:rFonts w:hint="eastAsia" w:cs="宋体"/>
          <w:color w:val="auto"/>
          <w:highlight w:val="none"/>
        </w:rPr>
        <w:fldChar w:fldCharType="separate"/>
      </w:r>
      <w:r>
        <w:rPr>
          <w:rFonts w:hint="eastAsia" w:cs="宋体"/>
          <w:color w:val="auto"/>
          <w:highlight w:val="none"/>
        </w:rPr>
        <w:fldChar w:fldCharType="begin"/>
      </w:r>
      <w:r>
        <w:rPr>
          <w:rFonts w:hint="eastAsia" w:cs="宋体"/>
          <w:highlight w:val="none"/>
        </w:rPr>
        <w:instrText xml:space="preserve"> HYPERLINK \l _Toc9 </w:instrText>
      </w:r>
      <w:r>
        <w:rPr>
          <w:rFonts w:hint="eastAsia" w:cs="宋体"/>
          <w:highlight w:val="none"/>
        </w:rPr>
        <w:fldChar w:fldCharType="separate"/>
      </w:r>
      <w:r>
        <w:rPr>
          <w:highlight w:val="none"/>
        </w:rPr>
        <w:t>第一章投标须知</w:t>
      </w:r>
      <w:r>
        <w:tab/>
      </w:r>
      <w:r>
        <w:fldChar w:fldCharType="begin"/>
      </w:r>
      <w:r>
        <w:instrText xml:space="preserve"> PAGEREF _Toc9 \h </w:instrText>
      </w:r>
      <w:r>
        <w:fldChar w:fldCharType="separate"/>
      </w:r>
      <w:r>
        <w:t>4</w:t>
      </w:r>
      <w:r>
        <w:fldChar w:fldCharType="end"/>
      </w:r>
      <w:r>
        <w:rPr>
          <w:rFonts w:hint="eastAsia" w:cs="宋体"/>
          <w:color w:val="auto"/>
          <w:highlight w:val="none"/>
        </w:rPr>
        <w:fldChar w:fldCharType="end"/>
      </w:r>
    </w:p>
    <w:p w14:paraId="4DF9A548">
      <w:pPr>
        <w:pStyle w:val="16"/>
        <w:tabs>
          <w:tab w:val="right" w:leader="dot" w:pos="8640"/>
          <w:tab w:val="clear" w:pos="9060"/>
        </w:tabs>
      </w:pPr>
      <w:r>
        <w:rPr>
          <w:rFonts w:ascii="宋体" w:hAnsi="宋体" w:cs="宋体"/>
          <w:color w:val="auto"/>
          <w:highlight w:val="none"/>
        </w:rPr>
        <w:fldChar w:fldCharType="begin"/>
      </w:r>
      <w:r>
        <w:rPr>
          <w:rFonts w:ascii="宋体" w:hAnsi="宋体" w:cs="宋体"/>
          <w:highlight w:val="none"/>
        </w:rPr>
        <w:instrText xml:space="preserve"> HYPERLINK \l _Toc5375 </w:instrText>
      </w:r>
      <w:r>
        <w:rPr>
          <w:rFonts w:ascii="宋体" w:hAnsi="宋体" w:cs="宋体"/>
          <w:highlight w:val="none"/>
        </w:rPr>
        <w:fldChar w:fldCharType="separate"/>
      </w:r>
      <w:r>
        <w:rPr>
          <w:rFonts w:hint="eastAsia"/>
          <w:highlight w:val="none"/>
        </w:rPr>
        <w:t>一、投标须知前附表</w:t>
      </w:r>
      <w:r>
        <w:tab/>
      </w:r>
      <w:r>
        <w:fldChar w:fldCharType="begin"/>
      </w:r>
      <w:r>
        <w:instrText xml:space="preserve"> PAGEREF _Toc5375 \h </w:instrText>
      </w:r>
      <w:r>
        <w:fldChar w:fldCharType="separate"/>
      </w:r>
      <w:r>
        <w:t>4</w:t>
      </w:r>
      <w:r>
        <w:fldChar w:fldCharType="end"/>
      </w:r>
      <w:r>
        <w:rPr>
          <w:rFonts w:ascii="宋体" w:hAnsi="宋体" w:cs="宋体"/>
          <w:color w:val="auto"/>
          <w:highlight w:val="none"/>
        </w:rPr>
        <w:fldChar w:fldCharType="end"/>
      </w:r>
    </w:p>
    <w:p w14:paraId="78B656E0">
      <w:pPr>
        <w:pStyle w:val="16"/>
        <w:tabs>
          <w:tab w:val="right" w:leader="dot" w:pos="8640"/>
          <w:tab w:val="clear" w:pos="9060"/>
        </w:tabs>
      </w:pPr>
      <w:r>
        <w:rPr>
          <w:rFonts w:ascii="宋体" w:hAnsi="宋体" w:cs="宋体"/>
          <w:color w:val="auto"/>
          <w:highlight w:val="none"/>
        </w:rPr>
        <w:fldChar w:fldCharType="begin"/>
      </w:r>
      <w:r>
        <w:rPr>
          <w:rFonts w:ascii="宋体" w:hAnsi="宋体" w:cs="宋体"/>
          <w:highlight w:val="none"/>
        </w:rPr>
        <w:instrText xml:space="preserve"> HYPERLINK \l _Toc811 </w:instrText>
      </w:r>
      <w:r>
        <w:rPr>
          <w:rFonts w:ascii="宋体" w:hAnsi="宋体" w:cs="宋体"/>
          <w:highlight w:val="none"/>
        </w:rPr>
        <w:fldChar w:fldCharType="separate"/>
      </w:r>
      <w:r>
        <w:rPr>
          <w:rFonts w:hint="eastAsia"/>
          <w:highlight w:val="none"/>
        </w:rPr>
        <w:t>二、投标须知修改表</w:t>
      </w:r>
      <w:r>
        <w:tab/>
      </w:r>
      <w:r>
        <w:fldChar w:fldCharType="begin"/>
      </w:r>
      <w:r>
        <w:instrText xml:space="preserve"> PAGEREF _Toc811 \h </w:instrText>
      </w:r>
      <w:r>
        <w:fldChar w:fldCharType="separate"/>
      </w:r>
      <w:r>
        <w:t>10</w:t>
      </w:r>
      <w:r>
        <w:fldChar w:fldCharType="end"/>
      </w:r>
      <w:r>
        <w:rPr>
          <w:rFonts w:ascii="宋体" w:hAnsi="宋体" w:cs="宋体"/>
          <w:color w:val="auto"/>
          <w:highlight w:val="none"/>
        </w:rPr>
        <w:fldChar w:fldCharType="end"/>
      </w:r>
    </w:p>
    <w:p w14:paraId="04386A0C">
      <w:pPr>
        <w:pStyle w:val="16"/>
        <w:tabs>
          <w:tab w:val="right" w:leader="dot" w:pos="8640"/>
          <w:tab w:val="clear" w:pos="9060"/>
        </w:tabs>
      </w:pPr>
      <w:r>
        <w:rPr>
          <w:rFonts w:ascii="宋体" w:hAnsi="宋体" w:cs="宋体"/>
          <w:color w:val="auto"/>
          <w:highlight w:val="none"/>
        </w:rPr>
        <w:fldChar w:fldCharType="begin"/>
      </w:r>
      <w:r>
        <w:rPr>
          <w:rFonts w:ascii="宋体" w:hAnsi="宋体" w:cs="宋体"/>
          <w:highlight w:val="none"/>
        </w:rPr>
        <w:instrText xml:space="preserve"> HYPERLINK \l _Toc28734 </w:instrText>
      </w:r>
      <w:r>
        <w:rPr>
          <w:rFonts w:ascii="宋体" w:hAnsi="宋体" w:cs="宋体"/>
          <w:highlight w:val="none"/>
        </w:rPr>
        <w:fldChar w:fldCharType="separate"/>
      </w:r>
      <w:r>
        <w:rPr>
          <w:rFonts w:hint="eastAsia"/>
          <w:highlight w:val="none"/>
        </w:rPr>
        <w:t>三、投标须知通用条款</w:t>
      </w:r>
      <w:r>
        <w:tab/>
      </w:r>
      <w:r>
        <w:fldChar w:fldCharType="begin"/>
      </w:r>
      <w:r>
        <w:instrText xml:space="preserve"> PAGEREF _Toc28734 \h </w:instrText>
      </w:r>
      <w:r>
        <w:fldChar w:fldCharType="separate"/>
      </w:r>
      <w:r>
        <w:t>23</w:t>
      </w:r>
      <w:r>
        <w:fldChar w:fldCharType="end"/>
      </w:r>
      <w:r>
        <w:rPr>
          <w:rFonts w:ascii="宋体" w:hAnsi="宋体" w:cs="宋体"/>
          <w:color w:val="auto"/>
          <w:highlight w:val="none"/>
        </w:rPr>
        <w:fldChar w:fldCharType="end"/>
      </w:r>
    </w:p>
    <w:p w14:paraId="0D82BC0D">
      <w:pPr>
        <w:pStyle w:val="10"/>
        <w:tabs>
          <w:tab w:val="right" w:leader="dot" w:pos="8640"/>
        </w:tabs>
      </w:pPr>
      <w:r>
        <w:rPr>
          <w:rFonts w:ascii="宋体" w:hAnsi="宋体" w:cs="宋体"/>
          <w:color w:val="auto"/>
          <w:highlight w:val="none"/>
        </w:rPr>
        <w:fldChar w:fldCharType="begin"/>
      </w:r>
      <w:r>
        <w:rPr>
          <w:rFonts w:ascii="宋体" w:hAnsi="宋体" w:cs="宋体"/>
          <w:highlight w:val="none"/>
        </w:rPr>
        <w:instrText xml:space="preserve"> HYPERLINK \l _Toc6896 </w:instrText>
      </w:r>
      <w:r>
        <w:rPr>
          <w:rFonts w:ascii="宋体" w:hAnsi="宋体" w:cs="宋体"/>
          <w:highlight w:val="none"/>
        </w:rPr>
        <w:fldChar w:fldCharType="separate"/>
      </w:r>
      <w:r>
        <w:rPr>
          <w:rFonts w:hint="eastAsia"/>
          <w:highlight w:val="none"/>
        </w:rPr>
        <w:t>（一）总则</w:t>
      </w:r>
      <w:r>
        <w:tab/>
      </w:r>
      <w:r>
        <w:fldChar w:fldCharType="begin"/>
      </w:r>
      <w:r>
        <w:instrText xml:space="preserve"> PAGEREF _Toc6896 \h </w:instrText>
      </w:r>
      <w:r>
        <w:fldChar w:fldCharType="separate"/>
      </w:r>
      <w:r>
        <w:t>23</w:t>
      </w:r>
      <w:r>
        <w:fldChar w:fldCharType="end"/>
      </w:r>
      <w:r>
        <w:rPr>
          <w:rFonts w:ascii="宋体" w:hAnsi="宋体" w:cs="宋体"/>
          <w:color w:val="auto"/>
          <w:highlight w:val="none"/>
        </w:rPr>
        <w:fldChar w:fldCharType="end"/>
      </w:r>
    </w:p>
    <w:p w14:paraId="0650CA8F">
      <w:pPr>
        <w:pStyle w:val="10"/>
        <w:tabs>
          <w:tab w:val="right" w:leader="dot" w:pos="8640"/>
        </w:tabs>
      </w:pPr>
      <w:r>
        <w:rPr>
          <w:rFonts w:ascii="宋体" w:hAnsi="宋体" w:cs="宋体"/>
          <w:color w:val="auto"/>
          <w:highlight w:val="none"/>
        </w:rPr>
        <w:fldChar w:fldCharType="begin"/>
      </w:r>
      <w:r>
        <w:rPr>
          <w:rFonts w:ascii="宋体" w:hAnsi="宋体" w:cs="宋体"/>
          <w:highlight w:val="none"/>
        </w:rPr>
        <w:instrText xml:space="preserve"> HYPERLINK \l _Toc10331 </w:instrText>
      </w:r>
      <w:r>
        <w:rPr>
          <w:rFonts w:ascii="宋体" w:hAnsi="宋体" w:cs="宋体"/>
          <w:highlight w:val="none"/>
        </w:rPr>
        <w:fldChar w:fldCharType="separate"/>
      </w:r>
      <w:r>
        <w:rPr>
          <w:rFonts w:hint="eastAsia"/>
          <w:highlight w:val="none"/>
        </w:rPr>
        <w:t>（二）招标文件</w:t>
      </w:r>
      <w:r>
        <w:tab/>
      </w:r>
      <w:r>
        <w:fldChar w:fldCharType="begin"/>
      </w:r>
      <w:r>
        <w:instrText xml:space="preserve"> PAGEREF _Toc10331 \h </w:instrText>
      </w:r>
      <w:r>
        <w:fldChar w:fldCharType="separate"/>
      </w:r>
      <w:r>
        <w:t>24</w:t>
      </w:r>
      <w:r>
        <w:fldChar w:fldCharType="end"/>
      </w:r>
      <w:r>
        <w:rPr>
          <w:rFonts w:ascii="宋体" w:hAnsi="宋体" w:cs="宋体"/>
          <w:color w:val="auto"/>
          <w:highlight w:val="none"/>
        </w:rPr>
        <w:fldChar w:fldCharType="end"/>
      </w:r>
    </w:p>
    <w:p w14:paraId="38EB61F4">
      <w:pPr>
        <w:pStyle w:val="10"/>
        <w:tabs>
          <w:tab w:val="right" w:leader="dot" w:pos="8640"/>
        </w:tabs>
      </w:pPr>
      <w:r>
        <w:rPr>
          <w:rFonts w:ascii="宋体" w:hAnsi="宋体" w:cs="宋体"/>
          <w:color w:val="auto"/>
          <w:highlight w:val="none"/>
        </w:rPr>
        <w:fldChar w:fldCharType="begin"/>
      </w:r>
      <w:r>
        <w:rPr>
          <w:rFonts w:ascii="宋体" w:hAnsi="宋体" w:cs="宋体"/>
          <w:highlight w:val="none"/>
        </w:rPr>
        <w:instrText xml:space="preserve"> HYPERLINK \l _Toc19781 </w:instrText>
      </w:r>
      <w:r>
        <w:rPr>
          <w:rFonts w:ascii="宋体" w:hAnsi="宋体" w:cs="宋体"/>
          <w:highlight w:val="none"/>
        </w:rPr>
        <w:fldChar w:fldCharType="separate"/>
      </w:r>
      <w:r>
        <w:rPr>
          <w:rFonts w:hint="eastAsia"/>
          <w:highlight w:val="none"/>
        </w:rPr>
        <w:t>（三）投标文件的编制</w:t>
      </w:r>
      <w:r>
        <w:tab/>
      </w:r>
      <w:r>
        <w:fldChar w:fldCharType="begin"/>
      </w:r>
      <w:r>
        <w:instrText xml:space="preserve"> PAGEREF _Toc19781 \h </w:instrText>
      </w:r>
      <w:r>
        <w:fldChar w:fldCharType="separate"/>
      </w:r>
      <w:r>
        <w:t>26</w:t>
      </w:r>
      <w:r>
        <w:fldChar w:fldCharType="end"/>
      </w:r>
      <w:r>
        <w:rPr>
          <w:rFonts w:ascii="宋体" w:hAnsi="宋体" w:cs="宋体"/>
          <w:color w:val="auto"/>
          <w:highlight w:val="none"/>
        </w:rPr>
        <w:fldChar w:fldCharType="end"/>
      </w:r>
    </w:p>
    <w:p w14:paraId="2ED80AA5">
      <w:pPr>
        <w:pStyle w:val="10"/>
        <w:tabs>
          <w:tab w:val="right" w:leader="dot" w:pos="8640"/>
        </w:tabs>
      </w:pPr>
      <w:r>
        <w:rPr>
          <w:rFonts w:ascii="宋体" w:hAnsi="宋体" w:cs="宋体"/>
          <w:color w:val="auto"/>
          <w:highlight w:val="none"/>
        </w:rPr>
        <w:fldChar w:fldCharType="begin"/>
      </w:r>
      <w:r>
        <w:rPr>
          <w:rFonts w:ascii="宋体" w:hAnsi="宋体" w:cs="宋体"/>
          <w:highlight w:val="none"/>
        </w:rPr>
        <w:instrText xml:space="preserve"> HYPERLINK \l _Toc22006 </w:instrText>
      </w:r>
      <w:r>
        <w:rPr>
          <w:rFonts w:ascii="宋体" w:hAnsi="宋体" w:cs="宋体"/>
          <w:highlight w:val="none"/>
        </w:rPr>
        <w:fldChar w:fldCharType="separate"/>
      </w:r>
      <w:r>
        <w:rPr>
          <w:rFonts w:hint="eastAsia"/>
          <w:highlight w:val="none"/>
        </w:rPr>
        <w:t>（四）投标文件的提交</w:t>
      </w:r>
      <w:r>
        <w:tab/>
      </w:r>
      <w:r>
        <w:fldChar w:fldCharType="begin"/>
      </w:r>
      <w:r>
        <w:instrText xml:space="preserve"> PAGEREF _Toc22006 \h </w:instrText>
      </w:r>
      <w:r>
        <w:fldChar w:fldCharType="separate"/>
      </w:r>
      <w:r>
        <w:t>34</w:t>
      </w:r>
      <w:r>
        <w:fldChar w:fldCharType="end"/>
      </w:r>
      <w:r>
        <w:rPr>
          <w:rFonts w:ascii="宋体" w:hAnsi="宋体" w:cs="宋体"/>
          <w:color w:val="auto"/>
          <w:highlight w:val="none"/>
        </w:rPr>
        <w:fldChar w:fldCharType="end"/>
      </w:r>
    </w:p>
    <w:p w14:paraId="333FA4E2">
      <w:pPr>
        <w:pStyle w:val="10"/>
        <w:tabs>
          <w:tab w:val="right" w:leader="dot" w:pos="8640"/>
        </w:tabs>
      </w:pPr>
      <w:r>
        <w:rPr>
          <w:rFonts w:ascii="宋体" w:hAnsi="宋体" w:cs="宋体"/>
          <w:color w:val="auto"/>
          <w:highlight w:val="none"/>
        </w:rPr>
        <w:fldChar w:fldCharType="begin"/>
      </w:r>
      <w:r>
        <w:rPr>
          <w:rFonts w:ascii="宋体" w:hAnsi="宋体" w:cs="宋体"/>
          <w:highlight w:val="none"/>
        </w:rPr>
        <w:instrText xml:space="preserve"> HYPERLINK \l _Toc30918 </w:instrText>
      </w:r>
      <w:r>
        <w:rPr>
          <w:rFonts w:ascii="宋体" w:hAnsi="宋体" w:cs="宋体"/>
          <w:highlight w:val="none"/>
        </w:rPr>
        <w:fldChar w:fldCharType="separate"/>
      </w:r>
      <w:r>
        <w:rPr>
          <w:rFonts w:hint="eastAsia"/>
          <w:highlight w:val="none"/>
        </w:rPr>
        <w:t>（五）开标、评标、定标及合同签定</w:t>
      </w:r>
      <w:r>
        <w:tab/>
      </w:r>
      <w:r>
        <w:fldChar w:fldCharType="begin"/>
      </w:r>
      <w:r>
        <w:instrText xml:space="preserve"> PAGEREF _Toc30918 \h </w:instrText>
      </w:r>
      <w:r>
        <w:fldChar w:fldCharType="separate"/>
      </w:r>
      <w:r>
        <w:t>35</w:t>
      </w:r>
      <w:r>
        <w:fldChar w:fldCharType="end"/>
      </w:r>
      <w:r>
        <w:rPr>
          <w:rFonts w:ascii="宋体" w:hAnsi="宋体" w:cs="宋体"/>
          <w:color w:val="auto"/>
          <w:highlight w:val="none"/>
        </w:rPr>
        <w:fldChar w:fldCharType="end"/>
      </w:r>
    </w:p>
    <w:p w14:paraId="4208DCC0">
      <w:pPr>
        <w:pStyle w:val="15"/>
        <w:tabs>
          <w:tab w:val="right" w:leader="dot" w:pos="8640"/>
          <w:tab w:val="clear" w:pos="9060"/>
        </w:tabs>
      </w:pPr>
      <w:r>
        <w:rPr>
          <w:rFonts w:ascii="宋体" w:hAnsi="宋体" w:cs="宋体"/>
          <w:color w:val="auto"/>
          <w:highlight w:val="none"/>
        </w:rPr>
        <w:fldChar w:fldCharType="begin"/>
      </w:r>
      <w:r>
        <w:rPr>
          <w:rFonts w:ascii="宋体" w:hAnsi="宋体" w:cs="宋体"/>
          <w:highlight w:val="none"/>
        </w:rPr>
        <w:instrText xml:space="preserve"> HYPERLINK \l _Toc12316 </w:instrText>
      </w:r>
      <w:r>
        <w:rPr>
          <w:rFonts w:ascii="宋体" w:hAnsi="宋体" w:cs="宋体"/>
          <w:highlight w:val="none"/>
        </w:rPr>
        <w:fldChar w:fldCharType="separate"/>
      </w:r>
      <w:r>
        <w:rPr>
          <w:highlight w:val="none"/>
        </w:rPr>
        <w:t>第二章开标、评标及定标办法</w:t>
      </w:r>
      <w:r>
        <w:tab/>
      </w:r>
      <w:r>
        <w:fldChar w:fldCharType="begin"/>
      </w:r>
      <w:r>
        <w:instrText xml:space="preserve"> PAGEREF _Toc12316 \h </w:instrText>
      </w:r>
      <w:r>
        <w:fldChar w:fldCharType="separate"/>
      </w:r>
      <w:r>
        <w:t>38</w:t>
      </w:r>
      <w:r>
        <w:fldChar w:fldCharType="end"/>
      </w:r>
      <w:r>
        <w:rPr>
          <w:rFonts w:ascii="宋体" w:hAnsi="宋体" w:cs="宋体"/>
          <w:color w:val="auto"/>
          <w:highlight w:val="none"/>
        </w:rPr>
        <w:fldChar w:fldCharType="end"/>
      </w:r>
    </w:p>
    <w:p w14:paraId="30846BCB">
      <w:pPr>
        <w:pStyle w:val="16"/>
        <w:tabs>
          <w:tab w:val="right" w:leader="dot" w:pos="8640"/>
          <w:tab w:val="clear" w:pos="9060"/>
        </w:tabs>
      </w:pPr>
      <w:r>
        <w:rPr>
          <w:rFonts w:ascii="宋体" w:hAnsi="宋体" w:cs="宋体"/>
          <w:color w:val="auto"/>
          <w:highlight w:val="none"/>
        </w:rPr>
        <w:fldChar w:fldCharType="begin"/>
      </w:r>
      <w:r>
        <w:rPr>
          <w:rFonts w:ascii="宋体" w:hAnsi="宋体" w:cs="宋体"/>
          <w:highlight w:val="none"/>
        </w:rPr>
        <w:instrText xml:space="preserve"> HYPERLINK \l _Toc26485 </w:instrText>
      </w:r>
      <w:r>
        <w:rPr>
          <w:rFonts w:ascii="宋体" w:hAnsi="宋体" w:cs="宋体"/>
          <w:highlight w:val="none"/>
        </w:rPr>
        <w:fldChar w:fldCharType="separate"/>
      </w:r>
      <w:r>
        <w:rPr>
          <w:rFonts w:hint="eastAsia"/>
          <w:szCs w:val="28"/>
          <w:highlight w:val="none"/>
        </w:rPr>
        <w:t>一、</w:t>
      </w:r>
      <w:r>
        <w:rPr>
          <w:rFonts w:hint="eastAsia"/>
          <w:highlight w:val="none"/>
        </w:rPr>
        <w:t>开标、评标及定标办法修改表</w:t>
      </w:r>
      <w:r>
        <w:tab/>
      </w:r>
      <w:r>
        <w:fldChar w:fldCharType="begin"/>
      </w:r>
      <w:r>
        <w:instrText xml:space="preserve"> PAGEREF _Toc26485 \h </w:instrText>
      </w:r>
      <w:r>
        <w:fldChar w:fldCharType="separate"/>
      </w:r>
      <w:r>
        <w:t>38</w:t>
      </w:r>
      <w:r>
        <w:fldChar w:fldCharType="end"/>
      </w:r>
      <w:r>
        <w:rPr>
          <w:rFonts w:ascii="宋体" w:hAnsi="宋体" w:cs="宋体"/>
          <w:color w:val="auto"/>
          <w:highlight w:val="none"/>
        </w:rPr>
        <w:fldChar w:fldCharType="end"/>
      </w:r>
    </w:p>
    <w:p w14:paraId="6F45BBA1">
      <w:pPr>
        <w:pStyle w:val="16"/>
        <w:tabs>
          <w:tab w:val="right" w:leader="dot" w:pos="8640"/>
          <w:tab w:val="clear" w:pos="9060"/>
        </w:tabs>
      </w:pPr>
      <w:r>
        <w:rPr>
          <w:rFonts w:ascii="宋体" w:hAnsi="宋体" w:cs="宋体"/>
          <w:color w:val="auto"/>
          <w:highlight w:val="none"/>
        </w:rPr>
        <w:fldChar w:fldCharType="begin"/>
      </w:r>
      <w:r>
        <w:rPr>
          <w:rFonts w:ascii="宋体" w:hAnsi="宋体" w:cs="宋体"/>
          <w:highlight w:val="none"/>
        </w:rPr>
        <w:instrText xml:space="preserve"> HYPERLINK \l _Toc13134 </w:instrText>
      </w:r>
      <w:r>
        <w:rPr>
          <w:rFonts w:ascii="宋体" w:hAnsi="宋体" w:cs="宋体"/>
          <w:highlight w:val="none"/>
        </w:rPr>
        <w:fldChar w:fldCharType="separate"/>
      </w:r>
      <w:r>
        <w:rPr>
          <w:rFonts w:hint="eastAsia"/>
          <w:highlight w:val="none"/>
        </w:rPr>
        <w:t>二、开标、评标及定标办法</w:t>
      </w:r>
      <w:r>
        <w:rPr>
          <w:rFonts w:hint="eastAsia"/>
          <w:szCs w:val="30"/>
          <w:highlight w:val="none"/>
        </w:rPr>
        <w:t>通用条款</w:t>
      </w:r>
      <w:r>
        <w:tab/>
      </w:r>
      <w:r>
        <w:fldChar w:fldCharType="begin"/>
      </w:r>
      <w:r>
        <w:instrText xml:space="preserve"> PAGEREF _Toc13134 \h </w:instrText>
      </w:r>
      <w:r>
        <w:fldChar w:fldCharType="separate"/>
      </w:r>
      <w:r>
        <w:t>44</w:t>
      </w:r>
      <w:r>
        <w:fldChar w:fldCharType="end"/>
      </w:r>
      <w:r>
        <w:rPr>
          <w:rFonts w:ascii="宋体" w:hAnsi="宋体" w:cs="宋体"/>
          <w:color w:val="auto"/>
          <w:highlight w:val="none"/>
        </w:rPr>
        <w:fldChar w:fldCharType="end"/>
      </w:r>
    </w:p>
    <w:p w14:paraId="039047C3">
      <w:pPr>
        <w:pStyle w:val="10"/>
        <w:tabs>
          <w:tab w:val="right" w:leader="dot" w:pos="8640"/>
        </w:tabs>
      </w:pPr>
      <w:r>
        <w:rPr>
          <w:rFonts w:ascii="宋体" w:hAnsi="宋体" w:cs="宋体"/>
          <w:color w:val="auto"/>
          <w:highlight w:val="none"/>
        </w:rPr>
        <w:fldChar w:fldCharType="begin"/>
      </w:r>
      <w:r>
        <w:rPr>
          <w:rFonts w:ascii="宋体" w:hAnsi="宋体" w:cs="宋体"/>
          <w:highlight w:val="none"/>
        </w:rPr>
        <w:instrText xml:space="preserve"> HYPERLINK \l _Toc7243 </w:instrText>
      </w:r>
      <w:r>
        <w:rPr>
          <w:rFonts w:ascii="宋体" w:hAnsi="宋体" w:cs="宋体"/>
          <w:highlight w:val="none"/>
        </w:rPr>
        <w:fldChar w:fldCharType="separate"/>
      </w:r>
      <w:r>
        <w:rPr>
          <w:rFonts w:hint="eastAsia"/>
          <w:highlight w:val="none"/>
        </w:rPr>
        <w:t>（一）总则</w:t>
      </w:r>
      <w:r>
        <w:tab/>
      </w:r>
      <w:r>
        <w:fldChar w:fldCharType="begin"/>
      </w:r>
      <w:r>
        <w:instrText xml:space="preserve"> PAGEREF _Toc7243 \h </w:instrText>
      </w:r>
      <w:r>
        <w:fldChar w:fldCharType="separate"/>
      </w:r>
      <w:r>
        <w:t>44</w:t>
      </w:r>
      <w:r>
        <w:fldChar w:fldCharType="end"/>
      </w:r>
      <w:r>
        <w:rPr>
          <w:rFonts w:ascii="宋体" w:hAnsi="宋体" w:cs="宋体"/>
          <w:color w:val="auto"/>
          <w:highlight w:val="none"/>
        </w:rPr>
        <w:fldChar w:fldCharType="end"/>
      </w:r>
    </w:p>
    <w:p w14:paraId="4A5489A6">
      <w:pPr>
        <w:pStyle w:val="10"/>
        <w:tabs>
          <w:tab w:val="right" w:leader="dot" w:pos="8640"/>
        </w:tabs>
      </w:pPr>
      <w:r>
        <w:rPr>
          <w:rFonts w:ascii="宋体" w:hAnsi="宋体" w:cs="宋体"/>
          <w:color w:val="auto"/>
          <w:highlight w:val="none"/>
        </w:rPr>
        <w:fldChar w:fldCharType="begin"/>
      </w:r>
      <w:r>
        <w:rPr>
          <w:rFonts w:ascii="宋体" w:hAnsi="宋体" w:cs="宋体"/>
          <w:highlight w:val="none"/>
        </w:rPr>
        <w:instrText xml:space="preserve"> HYPERLINK \l _Toc21805 </w:instrText>
      </w:r>
      <w:r>
        <w:rPr>
          <w:rFonts w:ascii="宋体" w:hAnsi="宋体" w:cs="宋体"/>
          <w:highlight w:val="none"/>
        </w:rPr>
        <w:fldChar w:fldCharType="separate"/>
      </w:r>
      <w:r>
        <w:rPr>
          <w:rFonts w:hint="eastAsia"/>
          <w:highlight w:val="none"/>
        </w:rPr>
        <w:t>（二）开标评标办法程序和细则</w:t>
      </w:r>
      <w:r>
        <w:tab/>
      </w:r>
      <w:r>
        <w:fldChar w:fldCharType="begin"/>
      </w:r>
      <w:r>
        <w:instrText xml:space="preserve"> PAGEREF _Toc21805 \h </w:instrText>
      </w:r>
      <w:r>
        <w:fldChar w:fldCharType="separate"/>
      </w:r>
      <w:r>
        <w:t>47</w:t>
      </w:r>
      <w:r>
        <w:fldChar w:fldCharType="end"/>
      </w:r>
      <w:r>
        <w:rPr>
          <w:rFonts w:ascii="宋体" w:hAnsi="宋体" w:cs="宋体"/>
          <w:color w:val="auto"/>
          <w:highlight w:val="none"/>
        </w:rPr>
        <w:fldChar w:fldCharType="end"/>
      </w:r>
    </w:p>
    <w:p w14:paraId="508637EF">
      <w:pPr>
        <w:pStyle w:val="10"/>
        <w:tabs>
          <w:tab w:val="right" w:leader="dot" w:pos="8640"/>
        </w:tabs>
      </w:pPr>
      <w:r>
        <w:rPr>
          <w:rFonts w:ascii="宋体" w:hAnsi="宋体" w:cs="宋体"/>
          <w:color w:val="auto"/>
          <w:highlight w:val="none"/>
        </w:rPr>
        <w:fldChar w:fldCharType="begin"/>
      </w:r>
      <w:r>
        <w:rPr>
          <w:rFonts w:ascii="宋体" w:hAnsi="宋体" w:cs="宋体"/>
          <w:highlight w:val="none"/>
        </w:rPr>
        <w:instrText xml:space="preserve"> HYPERLINK \l _Toc682 </w:instrText>
      </w:r>
      <w:r>
        <w:rPr>
          <w:rFonts w:ascii="宋体" w:hAnsi="宋体" w:cs="宋体"/>
          <w:highlight w:val="none"/>
        </w:rPr>
        <w:fldChar w:fldCharType="separate"/>
      </w:r>
      <w:r>
        <w:rPr>
          <w:rFonts w:hint="eastAsia" w:cs="宋体"/>
          <w:kern w:val="0"/>
          <w:szCs w:val="27"/>
          <w:highlight w:val="none"/>
        </w:rPr>
        <w:t>可选办法七（适合综合评分法四，技术标与经济标同时开启）</w:t>
      </w:r>
      <w:r>
        <w:tab/>
      </w:r>
      <w:r>
        <w:fldChar w:fldCharType="begin"/>
      </w:r>
      <w:r>
        <w:instrText xml:space="preserve"> PAGEREF _Toc682 \h </w:instrText>
      </w:r>
      <w:r>
        <w:fldChar w:fldCharType="separate"/>
      </w:r>
      <w:r>
        <w:t>47</w:t>
      </w:r>
      <w:r>
        <w:fldChar w:fldCharType="end"/>
      </w:r>
      <w:r>
        <w:rPr>
          <w:rFonts w:ascii="宋体" w:hAnsi="宋体" w:cs="宋体"/>
          <w:color w:val="auto"/>
          <w:highlight w:val="none"/>
        </w:rPr>
        <w:fldChar w:fldCharType="end"/>
      </w:r>
    </w:p>
    <w:p w14:paraId="5713CE72">
      <w:pPr>
        <w:pStyle w:val="15"/>
        <w:tabs>
          <w:tab w:val="right" w:leader="dot" w:pos="8640"/>
          <w:tab w:val="clear" w:pos="9060"/>
        </w:tabs>
      </w:pPr>
      <w:r>
        <w:rPr>
          <w:rFonts w:ascii="宋体" w:hAnsi="宋体" w:cs="宋体"/>
          <w:color w:val="auto"/>
          <w:highlight w:val="none"/>
        </w:rPr>
        <w:fldChar w:fldCharType="begin"/>
      </w:r>
      <w:r>
        <w:rPr>
          <w:rFonts w:ascii="宋体" w:hAnsi="宋体" w:cs="宋体"/>
          <w:highlight w:val="none"/>
        </w:rPr>
        <w:instrText xml:space="preserve"> HYPERLINK \l _Toc22077 </w:instrText>
      </w:r>
      <w:r>
        <w:rPr>
          <w:rFonts w:ascii="宋体" w:hAnsi="宋体" w:cs="宋体"/>
          <w:highlight w:val="none"/>
        </w:rPr>
        <w:fldChar w:fldCharType="separate"/>
      </w:r>
      <w:r>
        <w:rPr>
          <w:highlight w:val="none"/>
        </w:rPr>
        <w:t>第三章合同条款</w:t>
      </w:r>
      <w:r>
        <w:tab/>
      </w:r>
      <w:r>
        <w:fldChar w:fldCharType="begin"/>
      </w:r>
      <w:r>
        <w:instrText xml:space="preserve"> PAGEREF _Toc22077 \h </w:instrText>
      </w:r>
      <w:r>
        <w:fldChar w:fldCharType="separate"/>
      </w:r>
      <w:r>
        <w:t>65</w:t>
      </w:r>
      <w:r>
        <w:fldChar w:fldCharType="end"/>
      </w:r>
      <w:r>
        <w:rPr>
          <w:rFonts w:ascii="宋体" w:hAnsi="宋体" w:cs="宋体"/>
          <w:color w:val="auto"/>
          <w:highlight w:val="none"/>
        </w:rPr>
        <w:fldChar w:fldCharType="end"/>
      </w:r>
    </w:p>
    <w:p w14:paraId="4C57D21B">
      <w:pPr>
        <w:pStyle w:val="15"/>
        <w:tabs>
          <w:tab w:val="right" w:leader="dot" w:pos="8640"/>
          <w:tab w:val="clear" w:pos="9060"/>
        </w:tabs>
      </w:pPr>
      <w:r>
        <w:rPr>
          <w:rFonts w:ascii="宋体" w:hAnsi="宋体" w:cs="宋体"/>
          <w:color w:val="auto"/>
          <w:highlight w:val="none"/>
        </w:rPr>
        <w:fldChar w:fldCharType="begin"/>
      </w:r>
      <w:r>
        <w:rPr>
          <w:rFonts w:ascii="宋体" w:hAnsi="宋体" w:cs="宋体"/>
          <w:highlight w:val="none"/>
        </w:rPr>
        <w:instrText xml:space="preserve"> HYPERLINK \l _Toc28955 </w:instrText>
      </w:r>
      <w:r>
        <w:rPr>
          <w:rFonts w:ascii="宋体" w:hAnsi="宋体" w:cs="宋体"/>
          <w:highlight w:val="none"/>
        </w:rPr>
        <w:fldChar w:fldCharType="separate"/>
      </w:r>
      <w:r>
        <w:rPr>
          <w:highlight w:val="none"/>
        </w:rPr>
        <w:t>第四章投标文件格式</w:t>
      </w:r>
      <w:r>
        <w:tab/>
      </w:r>
      <w:r>
        <w:fldChar w:fldCharType="begin"/>
      </w:r>
      <w:r>
        <w:instrText xml:space="preserve"> PAGEREF _Toc28955 \h </w:instrText>
      </w:r>
      <w:r>
        <w:fldChar w:fldCharType="separate"/>
      </w:r>
      <w:r>
        <w:t>66</w:t>
      </w:r>
      <w:r>
        <w:fldChar w:fldCharType="end"/>
      </w:r>
      <w:r>
        <w:rPr>
          <w:rFonts w:ascii="宋体" w:hAnsi="宋体" w:cs="宋体"/>
          <w:color w:val="auto"/>
          <w:highlight w:val="none"/>
        </w:rPr>
        <w:fldChar w:fldCharType="end"/>
      </w:r>
    </w:p>
    <w:p w14:paraId="5D2AC3B6">
      <w:pPr>
        <w:pStyle w:val="15"/>
        <w:tabs>
          <w:tab w:val="right" w:leader="dot" w:pos="8640"/>
          <w:tab w:val="clear" w:pos="9060"/>
        </w:tabs>
      </w:pPr>
      <w:r>
        <w:rPr>
          <w:rFonts w:ascii="宋体" w:hAnsi="宋体" w:cs="宋体"/>
          <w:color w:val="auto"/>
          <w:highlight w:val="none"/>
        </w:rPr>
        <w:fldChar w:fldCharType="begin"/>
      </w:r>
      <w:r>
        <w:rPr>
          <w:rFonts w:ascii="宋体" w:hAnsi="宋体" w:cs="宋体"/>
          <w:highlight w:val="none"/>
        </w:rPr>
        <w:instrText xml:space="preserve"> HYPERLINK \l _Toc28364 </w:instrText>
      </w:r>
      <w:r>
        <w:rPr>
          <w:rFonts w:ascii="宋体" w:hAnsi="宋体" w:cs="宋体"/>
          <w:highlight w:val="none"/>
        </w:rPr>
        <w:fldChar w:fldCharType="separate"/>
      </w:r>
      <w:r>
        <w:rPr>
          <w:rFonts w:hint="eastAsia" w:eastAsia="宋体"/>
          <w:highlight w:val="none"/>
        </w:rPr>
        <w:t>一、技术标投标文件格式</w:t>
      </w:r>
      <w:r>
        <w:tab/>
      </w:r>
      <w:r>
        <w:fldChar w:fldCharType="begin"/>
      </w:r>
      <w:r>
        <w:instrText xml:space="preserve"> PAGEREF _Toc28364 \h </w:instrText>
      </w:r>
      <w:r>
        <w:fldChar w:fldCharType="separate"/>
      </w:r>
      <w:r>
        <w:t>66</w:t>
      </w:r>
      <w:r>
        <w:fldChar w:fldCharType="end"/>
      </w:r>
      <w:r>
        <w:rPr>
          <w:rFonts w:ascii="宋体" w:hAnsi="宋体" w:cs="宋体"/>
          <w:color w:val="auto"/>
          <w:highlight w:val="none"/>
        </w:rPr>
        <w:fldChar w:fldCharType="end"/>
      </w:r>
    </w:p>
    <w:p w14:paraId="2D6A8B7E">
      <w:pPr>
        <w:pStyle w:val="10"/>
        <w:tabs>
          <w:tab w:val="right" w:leader="dot" w:pos="8640"/>
        </w:tabs>
      </w:pPr>
      <w:r>
        <w:rPr>
          <w:rFonts w:ascii="宋体" w:hAnsi="宋体" w:cs="宋体"/>
          <w:color w:val="auto"/>
          <w:highlight w:val="none"/>
        </w:rPr>
        <w:fldChar w:fldCharType="begin"/>
      </w:r>
      <w:r>
        <w:rPr>
          <w:rFonts w:ascii="宋体" w:hAnsi="宋体" w:cs="宋体"/>
          <w:highlight w:val="none"/>
        </w:rPr>
        <w:instrText xml:space="preserve"> HYPERLINK \l _Toc15049 </w:instrText>
      </w:r>
      <w:r>
        <w:rPr>
          <w:rFonts w:ascii="宋体" w:hAnsi="宋体" w:cs="宋体"/>
          <w:highlight w:val="none"/>
        </w:rPr>
        <w:fldChar w:fldCharType="separate"/>
      </w:r>
      <w:r>
        <w:rPr>
          <w:rFonts w:hint="eastAsia"/>
          <w:highlight w:val="none"/>
        </w:rPr>
        <w:t>格式一：</w:t>
      </w:r>
      <w:r>
        <w:tab/>
      </w:r>
      <w:r>
        <w:fldChar w:fldCharType="begin"/>
      </w:r>
      <w:r>
        <w:instrText xml:space="preserve"> PAGEREF _Toc15049 \h </w:instrText>
      </w:r>
      <w:r>
        <w:fldChar w:fldCharType="separate"/>
      </w:r>
      <w:r>
        <w:t>66</w:t>
      </w:r>
      <w:r>
        <w:fldChar w:fldCharType="end"/>
      </w:r>
      <w:r>
        <w:rPr>
          <w:rFonts w:ascii="宋体" w:hAnsi="宋体" w:cs="宋体"/>
          <w:color w:val="auto"/>
          <w:highlight w:val="none"/>
        </w:rPr>
        <w:fldChar w:fldCharType="end"/>
      </w:r>
    </w:p>
    <w:p w14:paraId="02E40DA3">
      <w:pPr>
        <w:pStyle w:val="10"/>
        <w:tabs>
          <w:tab w:val="right" w:leader="dot" w:pos="8640"/>
        </w:tabs>
      </w:pPr>
      <w:r>
        <w:rPr>
          <w:rFonts w:ascii="宋体" w:hAnsi="宋体" w:cs="宋体"/>
          <w:color w:val="auto"/>
          <w:highlight w:val="none"/>
        </w:rPr>
        <w:fldChar w:fldCharType="begin"/>
      </w:r>
      <w:r>
        <w:rPr>
          <w:rFonts w:ascii="宋体" w:hAnsi="宋体" w:cs="宋体"/>
          <w:highlight w:val="none"/>
        </w:rPr>
        <w:instrText xml:space="preserve"> HYPERLINK \l _Toc14295 </w:instrText>
      </w:r>
      <w:r>
        <w:rPr>
          <w:rFonts w:ascii="宋体" w:hAnsi="宋体" w:cs="宋体"/>
          <w:highlight w:val="none"/>
        </w:rPr>
        <w:fldChar w:fldCharType="separate"/>
      </w:r>
      <w:r>
        <w:rPr>
          <w:rFonts w:hint="eastAsia"/>
          <w:highlight w:val="none"/>
        </w:rPr>
        <w:t>格式二：</w:t>
      </w:r>
      <w:r>
        <w:tab/>
      </w:r>
      <w:r>
        <w:fldChar w:fldCharType="begin"/>
      </w:r>
      <w:r>
        <w:instrText xml:space="preserve"> PAGEREF _Toc14295 \h </w:instrText>
      </w:r>
      <w:r>
        <w:fldChar w:fldCharType="separate"/>
      </w:r>
      <w:r>
        <w:t>67</w:t>
      </w:r>
      <w:r>
        <w:fldChar w:fldCharType="end"/>
      </w:r>
      <w:r>
        <w:rPr>
          <w:rFonts w:ascii="宋体" w:hAnsi="宋体" w:cs="宋体"/>
          <w:color w:val="auto"/>
          <w:highlight w:val="none"/>
        </w:rPr>
        <w:fldChar w:fldCharType="end"/>
      </w:r>
    </w:p>
    <w:p w14:paraId="114A8003">
      <w:pPr>
        <w:pStyle w:val="10"/>
        <w:tabs>
          <w:tab w:val="right" w:leader="dot" w:pos="8640"/>
        </w:tabs>
      </w:pPr>
      <w:r>
        <w:rPr>
          <w:rFonts w:ascii="宋体" w:hAnsi="宋体" w:cs="宋体"/>
          <w:color w:val="auto"/>
          <w:highlight w:val="none"/>
        </w:rPr>
        <w:fldChar w:fldCharType="begin"/>
      </w:r>
      <w:r>
        <w:rPr>
          <w:rFonts w:ascii="宋体" w:hAnsi="宋体" w:cs="宋体"/>
          <w:highlight w:val="none"/>
        </w:rPr>
        <w:instrText xml:space="preserve"> HYPERLINK \l _Toc19725 </w:instrText>
      </w:r>
      <w:r>
        <w:rPr>
          <w:rFonts w:ascii="宋体" w:hAnsi="宋体" w:cs="宋体"/>
          <w:highlight w:val="none"/>
        </w:rPr>
        <w:fldChar w:fldCharType="separate"/>
      </w:r>
      <w:r>
        <w:rPr>
          <w:rFonts w:hint="eastAsia"/>
          <w:highlight w:val="none"/>
        </w:rPr>
        <w:t>格式三：</w:t>
      </w:r>
      <w:r>
        <w:tab/>
      </w:r>
      <w:r>
        <w:fldChar w:fldCharType="begin"/>
      </w:r>
      <w:r>
        <w:instrText xml:space="preserve"> PAGEREF _Toc19725 \h </w:instrText>
      </w:r>
      <w:r>
        <w:fldChar w:fldCharType="separate"/>
      </w:r>
      <w:r>
        <w:t>71</w:t>
      </w:r>
      <w:r>
        <w:fldChar w:fldCharType="end"/>
      </w:r>
      <w:r>
        <w:rPr>
          <w:rFonts w:ascii="宋体" w:hAnsi="宋体" w:cs="宋体"/>
          <w:color w:val="auto"/>
          <w:highlight w:val="none"/>
        </w:rPr>
        <w:fldChar w:fldCharType="end"/>
      </w:r>
    </w:p>
    <w:p w14:paraId="3B86ABB0">
      <w:pPr>
        <w:pStyle w:val="15"/>
        <w:tabs>
          <w:tab w:val="right" w:leader="dot" w:pos="8640"/>
          <w:tab w:val="clear" w:pos="9060"/>
        </w:tabs>
      </w:pPr>
      <w:r>
        <w:rPr>
          <w:rFonts w:ascii="宋体" w:hAnsi="宋体" w:cs="宋体"/>
          <w:color w:val="auto"/>
          <w:highlight w:val="none"/>
        </w:rPr>
        <w:fldChar w:fldCharType="begin"/>
      </w:r>
      <w:r>
        <w:rPr>
          <w:rFonts w:ascii="宋体" w:hAnsi="宋体" w:cs="宋体"/>
          <w:highlight w:val="none"/>
        </w:rPr>
        <w:instrText xml:space="preserve"> HYPERLINK \l _Toc6650 </w:instrText>
      </w:r>
      <w:r>
        <w:rPr>
          <w:rFonts w:ascii="宋体" w:hAnsi="宋体" w:cs="宋体"/>
          <w:highlight w:val="none"/>
        </w:rPr>
        <w:fldChar w:fldCharType="separate"/>
      </w:r>
      <w:r>
        <w:rPr>
          <w:rFonts w:hint="eastAsia" w:eastAsia="宋体"/>
          <w:highlight w:val="none"/>
        </w:rPr>
        <w:t>二、经济标投标文件格式</w:t>
      </w:r>
      <w:r>
        <w:tab/>
      </w:r>
      <w:r>
        <w:fldChar w:fldCharType="begin"/>
      </w:r>
      <w:r>
        <w:instrText xml:space="preserve"> PAGEREF _Toc6650 \h </w:instrText>
      </w:r>
      <w:r>
        <w:fldChar w:fldCharType="separate"/>
      </w:r>
      <w:r>
        <w:t>72</w:t>
      </w:r>
      <w:r>
        <w:fldChar w:fldCharType="end"/>
      </w:r>
      <w:r>
        <w:rPr>
          <w:rFonts w:ascii="宋体" w:hAnsi="宋体" w:cs="宋体"/>
          <w:color w:val="auto"/>
          <w:highlight w:val="none"/>
        </w:rPr>
        <w:fldChar w:fldCharType="end"/>
      </w:r>
    </w:p>
    <w:p w14:paraId="78277D6A">
      <w:pPr>
        <w:pStyle w:val="10"/>
        <w:tabs>
          <w:tab w:val="right" w:leader="dot" w:pos="8640"/>
        </w:tabs>
      </w:pPr>
      <w:r>
        <w:rPr>
          <w:rFonts w:ascii="宋体" w:hAnsi="宋体" w:cs="宋体"/>
          <w:color w:val="auto"/>
          <w:highlight w:val="none"/>
        </w:rPr>
        <w:fldChar w:fldCharType="begin"/>
      </w:r>
      <w:r>
        <w:rPr>
          <w:rFonts w:ascii="宋体" w:hAnsi="宋体" w:cs="宋体"/>
          <w:highlight w:val="none"/>
        </w:rPr>
        <w:instrText xml:space="preserve"> HYPERLINK \l _Toc14455 </w:instrText>
      </w:r>
      <w:r>
        <w:rPr>
          <w:rFonts w:ascii="宋体" w:hAnsi="宋体" w:cs="宋体"/>
          <w:highlight w:val="none"/>
        </w:rPr>
        <w:fldChar w:fldCharType="separate"/>
      </w:r>
      <w:r>
        <w:rPr>
          <w:rFonts w:hint="eastAsia"/>
          <w:snapToGrid w:val="0"/>
          <w:highlight w:val="none"/>
        </w:rPr>
        <w:t>格式四：</w:t>
      </w:r>
      <w:r>
        <w:tab/>
      </w:r>
      <w:r>
        <w:fldChar w:fldCharType="begin"/>
      </w:r>
      <w:r>
        <w:instrText xml:space="preserve"> PAGEREF _Toc14455 \h </w:instrText>
      </w:r>
      <w:r>
        <w:fldChar w:fldCharType="separate"/>
      </w:r>
      <w:r>
        <w:t>72</w:t>
      </w:r>
      <w:r>
        <w:fldChar w:fldCharType="end"/>
      </w:r>
      <w:r>
        <w:rPr>
          <w:rFonts w:ascii="宋体" w:hAnsi="宋体" w:cs="宋体"/>
          <w:color w:val="auto"/>
          <w:highlight w:val="none"/>
        </w:rPr>
        <w:fldChar w:fldCharType="end"/>
      </w:r>
    </w:p>
    <w:p w14:paraId="5DB83081">
      <w:pPr>
        <w:pStyle w:val="10"/>
        <w:tabs>
          <w:tab w:val="right" w:leader="dot" w:pos="8640"/>
        </w:tabs>
      </w:pPr>
      <w:r>
        <w:rPr>
          <w:rFonts w:ascii="宋体" w:hAnsi="宋体" w:cs="宋体"/>
          <w:color w:val="auto"/>
          <w:highlight w:val="none"/>
        </w:rPr>
        <w:fldChar w:fldCharType="begin"/>
      </w:r>
      <w:r>
        <w:rPr>
          <w:rFonts w:ascii="宋体" w:hAnsi="宋体" w:cs="宋体"/>
          <w:highlight w:val="none"/>
        </w:rPr>
        <w:instrText xml:space="preserve"> HYPERLINK \l _Toc3166 </w:instrText>
      </w:r>
      <w:r>
        <w:rPr>
          <w:rFonts w:ascii="宋体" w:hAnsi="宋体" w:cs="宋体"/>
          <w:highlight w:val="none"/>
        </w:rPr>
        <w:fldChar w:fldCharType="separate"/>
      </w:r>
      <w:r>
        <w:rPr>
          <w:rFonts w:hint="eastAsia"/>
          <w:snapToGrid w:val="0"/>
          <w:highlight w:val="none"/>
        </w:rPr>
        <w:t>格式五：</w:t>
      </w:r>
      <w:r>
        <w:tab/>
      </w:r>
      <w:r>
        <w:fldChar w:fldCharType="begin"/>
      </w:r>
      <w:r>
        <w:instrText xml:space="preserve"> PAGEREF _Toc3166 \h </w:instrText>
      </w:r>
      <w:r>
        <w:fldChar w:fldCharType="separate"/>
      </w:r>
      <w:r>
        <w:t>73</w:t>
      </w:r>
      <w:r>
        <w:fldChar w:fldCharType="end"/>
      </w:r>
      <w:r>
        <w:rPr>
          <w:rFonts w:ascii="宋体" w:hAnsi="宋体" w:cs="宋体"/>
          <w:color w:val="auto"/>
          <w:highlight w:val="none"/>
        </w:rPr>
        <w:fldChar w:fldCharType="end"/>
      </w:r>
    </w:p>
    <w:p w14:paraId="2BB817AE">
      <w:pPr>
        <w:pStyle w:val="10"/>
        <w:tabs>
          <w:tab w:val="right" w:leader="dot" w:pos="8640"/>
        </w:tabs>
      </w:pPr>
      <w:r>
        <w:rPr>
          <w:rFonts w:ascii="宋体" w:hAnsi="宋体" w:cs="宋体"/>
          <w:color w:val="auto"/>
          <w:highlight w:val="none"/>
        </w:rPr>
        <w:fldChar w:fldCharType="begin"/>
      </w:r>
      <w:r>
        <w:rPr>
          <w:rFonts w:ascii="宋体" w:hAnsi="宋体" w:cs="宋体"/>
          <w:highlight w:val="none"/>
        </w:rPr>
        <w:instrText xml:space="preserve"> HYPERLINK \l _Toc1281 </w:instrText>
      </w:r>
      <w:r>
        <w:rPr>
          <w:rFonts w:ascii="宋体" w:hAnsi="宋体" w:cs="宋体"/>
          <w:highlight w:val="none"/>
        </w:rPr>
        <w:fldChar w:fldCharType="separate"/>
      </w:r>
      <w:r>
        <w:rPr>
          <w:rFonts w:hint="eastAsia"/>
          <w:highlight w:val="none"/>
        </w:rPr>
        <w:t>格式</w:t>
      </w:r>
      <w:r>
        <w:rPr>
          <w:rFonts w:hint="eastAsia"/>
          <w:snapToGrid w:val="0"/>
          <w:highlight w:val="none"/>
        </w:rPr>
        <w:t>六</w:t>
      </w:r>
      <w:r>
        <w:rPr>
          <w:rFonts w:hint="eastAsia"/>
          <w:kern w:val="2"/>
          <w:highlight w:val="none"/>
        </w:rPr>
        <w:t>：</w:t>
      </w:r>
      <w:r>
        <w:tab/>
      </w:r>
      <w:r>
        <w:fldChar w:fldCharType="begin"/>
      </w:r>
      <w:r>
        <w:instrText xml:space="preserve"> PAGEREF _Toc1281 \h </w:instrText>
      </w:r>
      <w:r>
        <w:fldChar w:fldCharType="separate"/>
      </w:r>
      <w:r>
        <w:t>74</w:t>
      </w:r>
      <w:r>
        <w:fldChar w:fldCharType="end"/>
      </w:r>
      <w:r>
        <w:rPr>
          <w:rFonts w:ascii="宋体" w:hAnsi="宋体" w:cs="宋体"/>
          <w:color w:val="auto"/>
          <w:highlight w:val="none"/>
        </w:rPr>
        <w:fldChar w:fldCharType="end"/>
      </w:r>
    </w:p>
    <w:p w14:paraId="09BCF070">
      <w:pPr>
        <w:pStyle w:val="10"/>
        <w:tabs>
          <w:tab w:val="right" w:leader="dot" w:pos="8640"/>
        </w:tabs>
      </w:pPr>
      <w:r>
        <w:rPr>
          <w:rFonts w:ascii="宋体" w:hAnsi="宋体" w:cs="宋体"/>
          <w:color w:val="auto"/>
          <w:highlight w:val="none"/>
        </w:rPr>
        <w:fldChar w:fldCharType="begin"/>
      </w:r>
      <w:r>
        <w:rPr>
          <w:rFonts w:ascii="宋体" w:hAnsi="宋体" w:cs="宋体"/>
          <w:highlight w:val="none"/>
        </w:rPr>
        <w:instrText xml:space="preserve"> HYPERLINK \l _Toc30404 </w:instrText>
      </w:r>
      <w:r>
        <w:rPr>
          <w:rFonts w:ascii="宋体" w:hAnsi="宋体" w:cs="宋体"/>
          <w:highlight w:val="none"/>
        </w:rPr>
        <w:fldChar w:fldCharType="separate"/>
      </w:r>
      <w:r>
        <w:rPr>
          <w:rFonts w:hint="eastAsia"/>
          <w:highlight w:val="none"/>
        </w:rPr>
        <w:t>格式</w:t>
      </w:r>
      <w:r>
        <w:rPr>
          <w:rFonts w:hint="eastAsia"/>
          <w:snapToGrid w:val="0"/>
          <w:highlight w:val="none"/>
          <w:lang w:val="en-US" w:eastAsia="zh-CN"/>
        </w:rPr>
        <w:t>七</w:t>
      </w:r>
      <w:r>
        <w:rPr>
          <w:rFonts w:hint="eastAsia"/>
          <w:kern w:val="2"/>
          <w:highlight w:val="none"/>
        </w:rPr>
        <w:t>：</w:t>
      </w:r>
      <w:r>
        <w:tab/>
      </w:r>
      <w:r>
        <w:fldChar w:fldCharType="begin"/>
      </w:r>
      <w:r>
        <w:instrText xml:space="preserve"> PAGEREF _Toc30404 \h </w:instrText>
      </w:r>
      <w:r>
        <w:fldChar w:fldCharType="separate"/>
      </w:r>
      <w:r>
        <w:t>75</w:t>
      </w:r>
      <w:r>
        <w:fldChar w:fldCharType="end"/>
      </w:r>
      <w:r>
        <w:rPr>
          <w:rFonts w:ascii="宋体" w:hAnsi="宋体" w:cs="宋体"/>
          <w:color w:val="auto"/>
          <w:highlight w:val="none"/>
        </w:rPr>
        <w:fldChar w:fldCharType="end"/>
      </w:r>
    </w:p>
    <w:p w14:paraId="6D927150">
      <w:pPr>
        <w:pStyle w:val="15"/>
        <w:tabs>
          <w:tab w:val="right" w:leader="dot" w:pos="8640"/>
          <w:tab w:val="clear" w:pos="9060"/>
        </w:tabs>
      </w:pPr>
      <w:r>
        <w:rPr>
          <w:rFonts w:ascii="宋体" w:hAnsi="宋体" w:cs="宋体"/>
          <w:color w:val="auto"/>
          <w:highlight w:val="none"/>
        </w:rPr>
        <w:fldChar w:fldCharType="begin"/>
      </w:r>
      <w:r>
        <w:rPr>
          <w:rFonts w:ascii="宋体" w:hAnsi="宋体" w:cs="宋体"/>
          <w:highlight w:val="none"/>
        </w:rPr>
        <w:instrText xml:space="preserve"> HYPERLINK \l _Toc9316 </w:instrText>
      </w:r>
      <w:r>
        <w:rPr>
          <w:rFonts w:ascii="宋体" w:hAnsi="宋体" w:cs="宋体"/>
          <w:highlight w:val="none"/>
        </w:rPr>
        <w:fldChar w:fldCharType="separate"/>
      </w:r>
      <w:r>
        <w:rPr>
          <w:rFonts w:hint="default"/>
          <w:highlight w:val="none"/>
        </w:rPr>
        <w:t>第五章技术条件（工程建设标准）</w:t>
      </w:r>
      <w:r>
        <w:tab/>
      </w:r>
      <w:r>
        <w:fldChar w:fldCharType="begin"/>
      </w:r>
      <w:r>
        <w:instrText xml:space="preserve"> PAGEREF _Toc9316 \h </w:instrText>
      </w:r>
      <w:r>
        <w:fldChar w:fldCharType="separate"/>
      </w:r>
      <w:r>
        <w:t>78</w:t>
      </w:r>
      <w:r>
        <w:fldChar w:fldCharType="end"/>
      </w:r>
      <w:r>
        <w:rPr>
          <w:rFonts w:ascii="宋体" w:hAnsi="宋体" w:cs="宋体"/>
          <w:color w:val="auto"/>
          <w:highlight w:val="none"/>
        </w:rPr>
        <w:fldChar w:fldCharType="end"/>
      </w:r>
    </w:p>
    <w:p w14:paraId="2167E773">
      <w:pPr>
        <w:pStyle w:val="15"/>
        <w:tabs>
          <w:tab w:val="right" w:leader="dot" w:pos="8640"/>
          <w:tab w:val="clear" w:pos="9060"/>
        </w:tabs>
      </w:pPr>
      <w:r>
        <w:rPr>
          <w:rFonts w:ascii="宋体" w:hAnsi="宋体" w:cs="宋体"/>
          <w:color w:val="auto"/>
          <w:highlight w:val="none"/>
        </w:rPr>
        <w:fldChar w:fldCharType="begin"/>
      </w:r>
      <w:r>
        <w:rPr>
          <w:rFonts w:ascii="宋体" w:hAnsi="宋体" w:cs="宋体"/>
          <w:highlight w:val="none"/>
        </w:rPr>
        <w:instrText xml:space="preserve"> HYPERLINK \l _Toc4343 </w:instrText>
      </w:r>
      <w:r>
        <w:rPr>
          <w:rFonts w:ascii="宋体" w:hAnsi="宋体" w:cs="宋体"/>
          <w:highlight w:val="none"/>
        </w:rPr>
        <w:fldChar w:fldCharType="separate"/>
      </w:r>
      <w:r>
        <w:rPr>
          <w:highlight w:val="none"/>
        </w:rPr>
        <w:t>第六章图纸及勘察资料</w:t>
      </w:r>
      <w:r>
        <w:tab/>
      </w:r>
      <w:r>
        <w:fldChar w:fldCharType="begin"/>
      </w:r>
      <w:r>
        <w:instrText xml:space="preserve"> PAGEREF _Toc4343 \h </w:instrText>
      </w:r>
      <w:r>
        <w:fldChar w:fldCharType="separate"/>
      </w:r>
      <w:r>
        <w:t>80</w:t>
      </w:r>
      <w:r>
        <w:fldChar w:fldCharType="end"/>
      </w:r>
      <w:r>
        <w:rPr>
          <w:rFonts w:ascii="宋体" w:hAnsi="宋体" w:cs="宋体"/>
          <w:color w:val="auto"/>
          <w:highlight w:val="none"/>
        </w:rPr>
        <w:fldChar w:fldCharType="end"/>
      </w:r>
    </w:p>
    <w:p w14:paraId="00000E0A">
      <w:pPr>
        <w:pStyle w:val="15"/>
        <w:tabs>
          <w:tab w:val="right" w:leader="dot" w:pos="8640"/>
          <w:tab w:val="clear" w:pos="9060"/>
        </w:tabs>
      </w:pPr>
      <w:r>
        <w:rPr>
          <w:rFonts w:ascii="宋体" w:hAnsi="宋体" w:cs="宋体"/>
          <w:color w:val="auto"/>
          <w:highlight w:val="none"/>
        </w:rPr>
        <w:fldChar w:fldCharType="begin"/>
      </w:r>
      <w:r>
        <w:rPr>
          <w:rFonts w:ascii="宋体" w:hAnsi="宋体" w:cs="宋体"/>
          <w:highlight w:val="none"/>
        </w:rPr>
        <w:instrText xml:space="preserve"> HYPERLINK \l _Toc12376 </w:instrText>
      </w:r>
      <w:r>
        <w:rPr>
          <w:rFonts w:ascii="宋体" w:hAnsi="宋体" w:cs="宋体"/>
          <w:highlight w:val="none"/>
        </w:rPr>
        <w:fldChar w:fldCharType="separate"/>
      </w:r>
      <w:r>
        <w:rPr>
          <w:highlight w:val="none"/>
        </w:rPr>
        <w:t>第七章工程量清单</w:t>
      </w:r>
      <w:r>
        <w:tab/>
      </w:r>
      <w:r>
        <w:fldChar w:fldCharType="begin"/>
      </w:r>
      <w:r>
        <w:instrText xml:space="preserve"> PAGEREF _Toc12376 \h </w:instrText>
      </w:r>
      <w:r>
        <w:fldChar w:fldCharType="separate"/>
      </w:r>
      <w:r>
        <w:t>81</w:t>
      </w:r>
      <w:r>
        <w:fldChar w:fldCharType="end"/>
      </w:r>
      <w:r>
        <w:rPr>
          <w:rFonts w:ascii="宋体" w:hAnsi="宋体" w:cs="宋体"/>
          <w:color w:val="auto"/>
          <w:highlight w:val="none"/>
        </w:rPr>
        <w:fldChar w:fldCharType="end"/>
      </w:r>
    </w:p>
    <w:p w14:paraId="6171152D">
      <w:pPr>
        <w:pStyle w:val="15"/>
        <w:tabs>
          <w:tab w:val="right" w:leader="dot" w:pos="8640"/>
          <w:tab w:val="clear" w:pos="9060"/>
        </w:tabs>
      </w:pPr>
      <w:r>
        <w:rPr>
          <w:rFonts w:ascii="宋体" w:hAnsi="宋体" w:cs="宋体"/>
          <w:color w:val="auto"/>
          <w:highlight w:val="none"/>
        </w:rPr>
        <w:fldChar w:fldCharType="begin"/>
      </w:r>
      <w:r>
        <w:rPr>
          <w:rFonts w:ascii="宋体" w:hAnsi="宋体" w:cs="宋体"/>
          <w:highlight w:val="none"/>
        </w:rPr>
        <w:instrText xml:space="preserve"> HYPERLINK \l _Toc4763 </w:instrText>
      </w:r>
      <w:r>
        <w:rPr>
          <w:rFonts w:ascii="宋体" w:hAnsi="宋体" w:cs="宋体"/>
          <w:highlight w:val="none"/>
        </w:rPr>
        <w:fldChar w:fldCharType="separate"/>
      </w:r>
      <w:r>
        <w:rPr>
          <w:highlight w:val="none"/>
        </w:rPr>
        <w:t>第八章最高投标限价</w:t>
      </w:r>
      <w:r>
        <w:tab/>
      </w:r>
      <w:r>
        <w:fldChar w:fldCharType="begin"/>
      </w:r>
      <w:r>
        <w:instrText xml:space="preserve"> PAGEREF _Toc4763 \h </w:instrText>
      </w:r>
      <w:r>
        <w:fldChar w:fldCharType="separate"/>
      </w:r>
      <w:r>
        <w:t>82</w:t>
      </w:r>
      <w:r>
        <w:fldChar w:fldCharType="end"/>
      </w:r>
      <w:r>
        <w:rPr>
          <w:rFonts w:ascii="宋体" w:hAnsi="宋体" w:cs="宋体"/>
          <w:color w:val="auto"/>
          <w:highlight w:val="none"/>
        </w:rPr>
        <w:fldChar w:fldCharType="end"/>
      </w:r>
    </w:p>
    <w:p w14:paraId="78984710">
      <w:pPr>
        <w:pStyle w:val="15"/>
        <w:tabs>
          <w:tab w:val="right" w:leader="dot" w:pos="8640"/>
          <w:tab w:val="clear" w:pos="9060"/>
        </w:tabs>
      </w:pPr>
      <w:r>
        <w:rPr>
          <w:rFonts w:ascii="宋体" w:hAnsi="宋体" w:cs="宋体"/>
          <w:color w:val="auto"/>
          <w:highlight w:val="none"/>
        </w:rPr>
        <w:fldChar w:fldCharType="begin"/>
      </w:r>
      <w:r>
        <w:rPr>
          <w:rFonts w:ascii="宋体" w:hAnsi="宋体" w:cs="宋体"/>
          <w:highlight w:val="none"/>
        </w:rPr>
        <w:instrText xml:space="preserve"> HYPERLINK \l _Toc7052 </w:instrText>
      </w:r>
      <w:r>
        <w:rPr>
          <w:rFonts w:ascii="宋体" w:hAnsi="宋体" w:cs="宋体"/>
          <w:highlight w:val="none"/>
        </w:rPr>
        <w:fldChar w:fldCharType="separate"/>
      </w:r>
      <w:r>
        <w:rPr>
          <w:rFonts w:hint="eastAsia" w:ascii="宋体" w:hAnsi="宋体" w:eastAsia="宋体" w:cs="Times New Roman"/>
          <w:szCs w:val="48"/>
          <w:highlight w:val="none"/>
        </w:rPr>
        <w:t>第九章工程保险</w:t>
      </w:r>
      <w:r>
        <w:tab/>
      </w:r>
      <w:r>
        <w:fldChar w:fldCharType="begin"/>
      </w:r>
      <w:r>
        <w:instrText xml:space="preserve"> PAGEREF _Toc7052 \h </w:instrText>
      </w:r>
      <w:r>
        <w:fldChar w:fldCharType="separate"/>
      </w:r>
      <w:r>
        <w:t>83</w:t>
      </w:r>
      <w:r>
        <w:fldChar w:fldCharType="end"/>
      </w:r>
      <w:r>
        <w:rPr>
          <w:rFonts w:ascii="宋体" w:hAnsi="宋体" w:cs="宋体"/>
          <w:color w:val="auto"/>
          <w:highlight w:val="none"/>
        </w:rPr>
        <w:fldChar w:fldCharType="end"/>
      </w:r>
    </w:p>
    <w:p w14:paraId="3E013492">
      <w:pPr>
        <w:pStyle w:val="2"/>
        <w:ind w:right="325" w:rightChars="155"/>
        <w:jc w:val="center"/>
        <w:rPr>
          <w:rFonts w:hint="default"/>
          <w:color w:val="auto"/>
          <w:highlight w:val="none"/>
        </w:rPr>
      </w:pPr>
      <w:r>
        <w:rPr>
          <w:rFonts w:ascii="宋体" w:hAnsi="宋体" w:cs="宋体"/>
          <w:color w:val="auto"/>
          <w:highlight w:val="none"/>
        </w:rPr>
        <w:fldChar w:fldCharType="end"/>
      </w:r>
    </w:p>
    <w:p w14:paraId="3DF6075A">
      <w:pPr>
        <w:pStyle w:val="2"/>
        <w:jc w:val="center"/>
        <w:rPr>
          <w:rFonts w:hint="default"/>
          <w:color w:val="auto"/>
          <w:highlight w:val="none"/>
        </w:rPr>
      </w:pPr>
      <w:r>
        <w:rPr>
          <w:color w:val="auto"/>
          <w:highlight w:val="none"/>
        </w:rPr>
        <w:br w:type="page"/>
      </w:r>
      <w:bookmarkStart w:id="0" w:name="_Toc9"/>
      <w:r>
        <w:rPr>
          <w:color w:val="auto"/>
          <w:highlight w:val="none"/>
        </w:rPr>
        <w:t>第一章投标须知</w:t>
      </w:r>
      <w:bookmarkEnd w:id="0"/>
    </w:p>
    <w:p w14:paraId="346B2EF3">
      <w:pPr>
        <w:pStyle w:val="3"/>
        <w:rPr>
          <w:color w:val="auto"/>
          <w:highlight w:val="none"/>
        </w:rPr>
      </w:pPr>
      <w:bookmarkStart w:id="1" w:name="_Toc5375"/>
      <w:r>
        <w:rPr>
          <w:rFonts w:hint="eastAsia"/>
          <w:color w:val="auto"/>
          <w:highlight w:val="none"/>
        </w:rPr>
        <w:t>一、投标须知前附表</w:t>
      </w:r>
      <w:bookmarkEnd w:id="1"/>
    </w:p>
    <w:p w14:paraId="3FF524B5">
      <w:pPr>
        <w:pStyle w:val="5"/>
        <w:spacing w:line="360" w:lineRule="auto"/>
        <w:ind w:firstLine="422"/>
        <w:rPr>
          <w:b/>
          <w:color w:val="auto"/>
          <w:szCs w:val="21"/>
          <w:highlight w:val="none"/>
        </w:rPr>
      </w:pPr>
      <w:r>
        <w:rPr>
          <w:rFonts w:hint="eastAsia"/>
          <w:b/>
          <w:color w:val="auto"/>
          <w:szCs w:val="21"/>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21"/>
        <w:tblW w:w="4925"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855"/>
        <w:gridCol w:w="1502"/>
        <w:gridCol w:w="5759"/>
      </w:tblGrid>
      <w:tr w14:paraId="4B7E5F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blHeader/>
          <w:jc w:val="center"/>
        </w:trPr>
        <w:tc>
          <w:tcPr>
            <w:tcW w:w="348" w:type="pct"/>
            <w:tcBorders>
              <w:top w:val="double" w:color="auto" w:sz="4" w:space="0"/>
              <w:left w:val="double" w:color="auto" w:sz="4" w:space="0"/>
              <w:bottom w:val="single" w:color="auto" w:sz="4" w:space="0"/>
              <w:right w:val="single" w:color="auto" w:sz="4" w:space="0"/>
            </w:tcBorders>
            <w:vAlign w:val="center"/>
          </w:tcPr>
          <w:p w14:paraId="2740564D">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项目</w:t>
            </w:r>
          </w:p>
        </w:tc>
        <w:tc>
          <w:tcPr>
            <w:tcW w:w="490" w:type="pct"/>
            <w:tcBorders>
              <w:top w:val="double" w:color="auto" w:sz="4" w:space="0"/>
              <w:left w:val="single" w:color="auto" w:sz="4" w:space="0"/>
              <w:bottom w:val="single" w:color="auto" w:sz="4" w:space="0"/>
              <w:right w:val="single" w:color="auto" w:sz="4" w:space="0"/>
            </w:tcBorders>
            <w:vAlign w:val="center"/>
          </w:tcPr>
          <w:p w14:paraId="632535EB">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条款号</w:t>
            </w:r>
          </w:p>
        </w:tc>
        <w:tc>
          <w:tcPr>
            <w:tcW w:w="861" w:type="pct"/>
            <w:tcBorders>
              <w:top w:val="double" w:color="auto" w:sz="4" w:space="0"/>
              <w:left w:val="single" w:color="auto" w:sz="4" w:space="0"/>
              <w:bottom w:val="single" w:color="auto" w:sz="4" w:space="0"/>
              <w:right w:val="single" w:color="auto" w:sz="4" w:space="0"/>
            </w:tcBorders>
            <w:vAlign w:val="center"/>
          </w:tcPr>
          <w:p w14:paraId="37F780B1">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内容</w:t>
            </w:r>
          </w:p>
        </w:tc>
        <w:tc>
          <w:tcPr>
            <w:tcW w:w="3300" w:type="pct"/>
            <w:tcBorders>
              <w:top w:val="double" w:color="auto" w:sz="4" w:space="0"/>
              <w:left w:val="single" w:color="auto" w:sz="4" w:space="0"/>
              <w:bottom w:val="single" w:color="auto" w:sz="4" w:space="0"/>
              <w:right w:val="double" w:color="auto" w:sz="4" w:space="0"/>
            </w:tcBorders>
            <w:vAlign w:val="center"/>
          </w:tcPr>
          <w:p w14:paraId="5EFD4FFF">
            <w:pPr>
              <w:pStyle w:val="12"/>
              <w:keepNext w:val="0"/>
              <w:keepLines w:val="0"/>
              <w:suppressLineNumbers w:val="0"/>
              <w:spacing w:before="0" w:beforeAutospacing="0" w:after="0" w:afterAutospacing="0"/>
              <w:ind w:left="0" w:right="0"/>
              <w:jc w:val="center"/>
              <w:rPr>
                <w:rFonts w:hint="default" w:ascii="宋体" w:hAnsi="宋体" w:cs="宋体"/>
                <w:color w:val="auto"/>
                <w:kern w:val="2"/>
                <w:sz w:val="21"/>
                <w:szCs w:val="21"/>
                <w:highlight w:val="none"/>
              </w:rPr>
            </w:pPr>
            <w:r>
              <w:rPr>
                <w:rFonts w:hint="eastAsia" w:ascii="宋体" w:hAnsi="宋体" w:cs="宋体"/>
                <w:color w:val="auto"/>
                <w:kern w:val="2"/>
                <w:sz w:val="21"/>
                <w:szCs w:val="21"/>
                <w:highlight w:val="none"/>
              </w:rPr>
              <w:t>说明与要求</w:t>
            </w:r>
          </w:p>
        </w:tc>
      </w:tr>
      <w:tr w14:paraId="02DB78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4DF214AD">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w:t>
            </w:r>
          </w:p>
        </w:tc>
        <w:tc>
          <w:tcPr>
            <w:tcW w:w="490" w:type="pct"/>
            <w:tcBorders>
              <w:top w:val="single" w:color="auto" w:sz="4" w:space="0"/>
              <w:left w:val="single" w:color="auto" w:sz="4" w:space="0"/>
              <w:bottom w:val="single" w:color="auto" w:sz="4" w:space="0"/>
              <w:right w:val="single" w:color="auto" w:sz="4" w:space="0"/>
            </w:tcBorders>
            <w:vAlign w:val="center"/>
          </w:tcPr>
          <w:p w14:paraId="195437A8">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w:t>
            </w:r>
          </w:p>
        </w:tc>
        <w:tc>
          <w:tcPr>
            <w:tcW w:w="861" w:type="pct"/>
            <w:tcBorders>
              <w:top w:val="single" w:color="auto" w:sz="4" w:space="0"/>
              <w:left w:val="single" w:color="auto" w:sz="4" w:space="0"/>
              <w:bottom w:val="single" w:color="auto" w:sz="4" w:space="0"/>
              <w:right w:val="single" w:color="auto" w:sz="4" w:space="0"/>
            </w:tcBorders>
            <w:vAlign w:val="center"/>
          </w:tcPr>
          <w:p w14:paraId="06C628EF">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定义</w:t>
            </w:r>
          </w:p>
        </w:tc>
        <w:tc>
          <w:tcPr>
            <w:tcW w:w="3300" w:type="pct"/>
            <w:tcBorders>
              <w:top w:val="single" w:color="auto" w:sz="4" w:space="0"/>
              <w:left w:val="single" w:color="auto" w:sz="4" w:space="0"/>
              <w:bottom w:val="single" w:color="auto" w:sz="4" w:space="0"/>
              <w:right w:val="double" w:color="auto" w:sz="4" w:space="0"/>
            </w:tcBorders>
            <w:vAlign w:val="center"/>
          </w:tcPr>
          <w:p w14:paraId="1FB678D2">
            <w:pPr>
              <w:keepNext w:val="0"/>
              <w:keepLines w:val="0"/>
              <w:suppressLineNumbers w:val="0"/>
              <w:spacing w:before="0" w:beforeAutospacing="0" w:after="0" w:afterAutospacing="0"/>
              <w:ind w:left="0" w:right="0"/>
              <w:rPr>
                <w:rFonts w:hint="eastAsia" w:eastAsia="宋体" w:cs="宋体"/>
                <w:color w:val="auto"/>
                <w:szCs w:val="21"/>
                <w:highlight w:val="none"/>
                <w:u w:val="single"/>
                <w:lang w:eastAsia="zh-CN"/>
              </w:rPr>
            </w:pPr>
            <w:r>
              <w:rPr>
                <w:rFonts w:hint="eastAsia" w:cs="宋体"/>
                <w:color w:val="auto"/>
                <w:szCs w:val="21"/>
                <w:highlight w:val="none"/>
              </w:rPr>
              <w:t>招标人（即发包人）：</w:t>
            </w:r>
            <w:r>
              <w:rPr>
                <w:rFonts w:hint="eastAsia" w:cs="宋体"/>
                <w:color w:val="auto"/>
                <w:szCs w:val="21"/>
                <w:highlight w:val="none"/>
                <w:u w:val="single"/>
                <w:lang w:eastAsia="zh-CN"/>
              </w:rPr>
              <w:t>广州市殡葬服务中心</w:t>
            </w:r>
          </w:p>
          <w:p w14:paraId="0703134C">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招标代理：</w:t>
            </w:r>
            <w:r>
              <w:rPr>
                <w:rFonts w:hint="eastAsia"/>
                <w:color w:val="auto"/>
                <w:szCs w:val="21"/>
                <w:highlight w:val="none"/>
                <w:u w:val="single"/>
              </w:rPr>
              <w:t>广州市政府采购中心</w:t>
            </w:r>
          </w:p>
          <w:p w14:paraId="55FDD48F">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rPr>
              <w:t>设计单位：</w:t>
            </w:r>
            <w:r>
              <w:rPr>
                <w:rFonts w:hint="eastAsia" w:cs="宋体"/>
                <w:color w:val="auto"/>
                <w:szCs w:val="21"/>
                <w:highlight w:val="none"/>
                <w:u w:val="single"/>
                <w:lang w:val="en-US" w:eastAsia="zh-CN"/>
              </w:rPr>
              <w:t>广州市市政工程设计研究总院有限公司</w:t>
            </w:r>
          </w:p>
          <w:p w14:paraId="014277B6">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rPr>
              <w:t>监理单位：</w:t>
            </w:r>
            <w:r>
              <w:rPr>
                <w:rFonts w:hint="eastAsia" w:cs="宋体"/>
                <w:color w:val="auto"/>
                <w:szCs w:val="21"/>
                <w:highlight w:val="none"/>
                <w:u w:val="single"/>
                <w:lang w:val="en-US" w:eastAsia="zh-CN"/>
              </w:rPr>
              <w:t>中达安股份有限公司</w:t>
            </w:r>
          </w:p>
          <w:p w14:paraId="4C0DBF1A">
            <w:pPr>
              <w:keepNext w:val="0"/>
              <w:keepLines w:val="0"/>
              <w:suppressLineNumbers w:val="0"/>
              <w:spacing w:before="0" w:beforeAutospacing="0" w:after="0" w:afterAutospacing="0"/>
              <w:ind w:left="0" w:right="0"/>
              <w:rPr>
                <w:rFonts w:hint="eastAsia" w:eastAsia="宋体" w:cs="宋体"/>
                <w:color w:val="auto"/>
                <w:szCs w:val="21"/>
                <w:highlight w:val="none"/>
                <w:lang w:val="en-US" w:eastAsia="zh-CN"/>
              </w:rPr>
            </w:pPr>
            <w:r>
              <w:rPr>
                <w:rFonts w:hint="eastAsia" w:cs="宋体"/>
                <w:color w:val="auto"/>
                <w:szCs w:val="21"/>
                <w:highlight w:val="none"/>
              </w:rPr>
              <w:t>检测机构：</w:t>
            </w:r>
            <w:r>
              <w:rPr>
                <w:rFonts w:hint="eastAsia" w:cs="宋体"/>
                <w:color w:val="auto"/>
                <w:szCs w:val="21"/>
                <w:highlight w:val="none"/>
                <w:u w:val="single"/>
                <w:lang w:val="en-US" w:eastAsia="zh-CN"/>
              </w:rPr>
              <w:t>待定</w:t>
            </w:r>
          </w:p>
        </w:tc>
      </w:tr>
      <w:tr w14:paraId="2DC6E2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547F0937">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w:t>
            </w:r>
          </w:p>
        </w:tc>
        <w:tc>
          <w:tcPr>
            <w:tcW w:w="490" w:type="pct"/>
            <w:tcBorders>
              <w:top w:val="single" w:color="auto" w:sz="4" w:space="0"/>
              <w:left w:val="single" w:color="auto" w:sz="4" w:space="0"/>
              <w:bottom w:val="single" w:color="auto" w:sz="4" w:space="0"/>
              <w:right w:val="single" w:color="auto" w:sz="4" w:space="0"/>
            </w:tcBorders>
            <w:vAlign w:val="center"/>
          </w:tcPr>
          <w:p w14:paraId="36B7F927">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2.2</w:t>
            </w:r>
          </w:p>
        </w:tc>
        <w:tc>
          <w:tcPr>
            <w:tcW w:w="861" w:type="pct"/>
            <w:tcBorders>
              <w:top w:val="single" w:color="auto" w:sz="4" w:space="0"/>
              <w:left w:val="single" w:color="auto" w:sz="4" w:space="0"/>
              <w:bottom w:val="single" w:color="auto" w:sz="4" w:space="0"/>
              <w:right w:val="single" w:color="auto" w:sz="4" w:space="0"/>
            </w:tcBorders>
            <w:vAlign w:val="center"/>
          </w:tcPr>
          <w:p w14:paraId="7C0FEFD6">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工程名称</w:t>
            </w:r>
          </w:p>
        </w:tc>
        <w:tc>
          <w:tcPr>
            <w:tcW w:w="3300" w:type="pct"/>
            <w:tcBorders>
              <w:top w:val="single" w:color="auto" w:sz="4" w:space="0"/>
              <w:left w:val="single" w:color="auto" w:sz="4" w:space="0"/>
              <w:bottom w:val="single" w:color="auto" w:sz="4" w:space="0"/>
              <w:right w:val="double" w:color="auto" w:sz="4" w:space="0"/>
            </w:tcBorders>
            <w:vAlign w:val="center"/>
          </w:tcPr>
          <w:p w14:paraId="31CBD68F">
            <w:pPr>
              <w:keepNext w:val="0"/>
              <w:keepLines w:val="0"/>
              <w:suppressLineNumbers w:val="0"/>
              <w:spacing w:before="0" w:beforeAutospacing="0" w:after="0" w:afterAutospacing="0"/>
              <w:ind w:left="0" w:right="0"/>
              <w:rPr>
                <w:rFonts w:hint="eastAsia" w:eastAsia="宋体" w:cs="宋体"/>
                <w:color w:val="auto"/>
                <w:szCs w:val="21"/>
                <w:highlight w:val="none"/>
                <w:u w:val="single"/>
                <w:lang w:eastAsia="zh-CN"/>
              </w:rPr>
            </w:pPr>
            <w:r>
              <w:rPr>
                <w:rFonts w:hint="eastAsia" w:cs="宋体"/>
                <w:strike w:val="0"/>
                <w:color w:val="auto"/>
                <w:szCs w:val="21"/>
                <w:highlight w:val="none"/>
                <w:u w:val="single"/>
                <w:lang w:eastAsia="zh-CN"/>
              </w:rPr>
              <w:t>广州市观音山公墓（含市第二思园和教育基地及广场配套项目）二期工程施工总承包项目</w:t>
            </w:r>
          </w:p>
        </w:tc>
      </w:tr>
      <w:tr w14:paraId="110D74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4290A2CB">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3</w:t>
            </w:r>
          </w:p>
        </w:tc>
        <w:tc>
          <w:tcPr>
            <w:tcW w:w="490" w:type="pct"/>
            <w:tcBorders>
              <w:top w:val="single" w:color="auto" w:sz="4" w:space="0"/>
              <w:left w:val="single" w:color="auto" w:sz="4" w:space="0"/>
              <w:bottom w:val="single" w:color="auto" w:sz="4" w:space="0"/>
              <w:right w:val="single" w:color="auto" w:sz="4" w:space="0"/>
            </w:tcBorders>
            <w:vAlign w:val="center"/>
          </w:tcPr>
          <w:p w14:paraId="534ADB60">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2.2</w:t>
            </w:r>
          </w:p>
        </w:tc>
        <w:tc>
          <w:tcPr>
            <w:tcW w:w="861" w:type="pct"/>
            <w:tcBorders>
              <w:top w:val="single" w:color="auto" w:sz="4" w:space="0"/>
              <w:left w:val="single" w:color="auto" w:sz="4" w:space="0"/>
              <w:bottom w:val="single" w:color="auto" w:sz="4" w:space="0"/>
              <w:right w:val="single" w:color="auto" w:sz="4" w:space="0"/>
            </w:tcBorders>
            <w:vAlign w:val="center"/>
          </w:tcPr>
          <w:p w14:paraId="6E268ED9">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建设地点</w:t>
            </w:r>
          </w:p>
        </w:tc>
        <w:tc>
          <w:tcPr>
            <w:tcW w:w="3300" w:type="pct"/>
            <w:tcBorders>
              <w:top w:val="single" w:color="auto" w:sz="4" w:space="0"/>
              <w:left w:val="single" w:color="auto" w:sz="4" w:space="0"/>
              <w:bottom w:val="single" w:color="auto" w:sz="4" w:space="0"/>
              <w:right w:val="double" w:color="auto" w:sz="4" w:space="0"/>
            </w:tcBorders>
            <w:vAlign w:val="center"/>
          </w:tcPr>
          <w:p w14:paraId="5D04AD4A">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u w:val="single"/>
              </w:rPr>
              <w:t>详见本工程招标公告</w:t>
            </w:r>
          </w:p>
        </w:tc>
      </w:tr>
      <w:tr w14:paraId="3D004E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7ECCFF95">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4</w:t>
            </w:r>
          </w:p>
        </w:tc>
        <w:tc>
          <w:tcPr>
            <w:tcW w:w="490" w:type="pct"/>
            <w:tcBorders>
              <w:top w:val="single" w:color="auto" w:sz="4" w:space="0"/>
              <w:left w:val="single" w:color="auto" w:sz="4" w:space="0"/>
              <w:bottom w:val="single" w:color="auto" w:sz="4" w:space="0"/>
              <w:right w:val="single" w:color="auto" w:sz="4" w:space="0"/>
            </w:tcBorders>
            <w:vAlign w:val="center"/>
          </w:tcPr>
          <w:p w14:paraId="2AA7C5C3">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2.2</w:t>
            </w:r>
          </w:p>
        </w:tc>
        <w:tc>
          <w:tcPr>
            <w:tcW w:w="861" w:type="pct"/>
            <w:tcBorders>
              <w:top w:val="single" w:color="auto" w:sz="4" w:space="0"/>
              <w:left w:val="single" w:color="auto" w:sz="4" w:space="0"/>
              <w:bottom w:val="single" w:color="auto" w:sz="4" w:space="0"/>
              <w:right w:val="single" w:color="auto" w:sz="4" w:space="0"/>
            </w:tcBorders>
            <w:vAlign w:val="center"/>
          </w:tcPr>
          <w:p w14:paraId="6C3D6EC8">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建设规模</w:t>
            </w:r>
          </w:p>
        </w:tc>
        <w:tc>
          <w:tcPr>
            <w:tcW w:w="3300" w:type="pct"/>
            <w:tcBorders>
              <w:top w:val="single" w:color="auto" w:sz="4" w:space="0"/>
              <w:left w:val="single" w:color="auto" w:sz="4" w:space="0"/>
              <w:bottom w:val="single" w:color="auto" w:sz="4" w:space="0"/>
              <w:right w:val="double" w:color="auto" w:sz="4" w:space="0"/>
            </w:tcBorders>
            <w:vAlign w:val="center"/>
          </w:tcPr>
          <w:p w14:paraId="08822907">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u w:val="single"/>
              </w:rPr>
              <w:t>详见本工程招标公告</w:t>
            </w:r>
          </w:p>
        </w:tc>
      </w:tr>
      <w:tr w14:paraId="307E69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3E3B0B4C">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5</w:t>
            </w:r>
          </w:p>
        </w:tc>
        <w:tc>
          <w:tcPr>
            <w:tcW w:w="490" w:type="pct"/>
            <w:tcBorders>
              <w:top w:val="single" w:color="auto" w:sz="4" w:space="0"/>
              <w:left w:val="single" w:color="auto" w:sz="4" w:space="0"/>
              <w:bottom w:val="single" w:color="auto" w:sz="4" w:space="0"/>
              <w:right w:val="single" w:color="auto" w:sz="4" w:space="0"/>
            </w:tcBorders>
            <w:vAlign w:val="center"/>
          </w:tcPr>
          <w:p w14:paraId="27D9D520">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2.2</w:t>
            </w:r>
          </w:p>
        </w:tc>
        <w:tc>
          <w:tcPr>
            <w:tcW w:w="861" w:type="pct"/>
            <w:tcBorders>
              <w:top w:val="single" w:color="auto" w:sz="4" w:space="0"/>
              <w:left w:val="single" w:color="auto" w:sz="4" w:space="0"/>
              <w:bottom w:val="single" w:color="auto" w:sz="4" w:space="0"/>
              <w:right w:val="single" w:color="auto" w:sz="4" w:space="0"/>
            </w:tcBorders>
            <w:vAlign w:val="center"/>
          </w:tcPr>
          <w:p w14:paraId="379CB129">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承包方式</w:t>
            </w:r>
          </w:p>
        </w:tc>
        <w:tc>
          <w:tcPr>
            <w:tcW w:w="3300" w:type="pct"/>
            <w:tcBorders>
              <w:top w:val="single" w:color="auto" w:sz="4" w:space="0"/>
              <w:left w:val="single" w:color="auto" w:sz="4" w:space="0"/>
              <w:bottom w:val="single" w:color="auto" w:sz="4" w:space="0"/>
              <w:right w:val="double" w:color="auto" w:sz="4" w:space="0"/>
            </w:tcBorders>
            <w:vAlign w:val="center"/>
          </w:tcPr>
          <w:p w14:paraId="247EAB06">
            <w:pPr>
              <w:keepNext w:val="0"/>
              <w:keepLines w:val="0"/>
              <w:suppressLineNumbers w:val="0"/>
              <w:spacing w:before="0" w:beforeAutospacing="0" w:after="0" w:afterAutospacing="0"/>
              <w:ind w:left="0" w:right="0"/>
              <w:rPr>
                <w:rFonts w:hint="default" w:cs="宋体"/>
                <w:color w:val="auto"/>
                <w:szCs w:val="21"/>
                <w:highlight w:val="none"/>
                <w:u w:val="single"/>
              </w:rPr>
            </w:pPr>
          </w:p>
          <w:p w14:paraId="7EB2FE1E">
            <w:pPr>
              <w:keepNext w:val="0"/>
              <w:keepLines w:val="0"/>
              <w:suppressLineNumbers w:val="0"/>
              <w:spacing w:before="0" w:beforeAutospacing="0" w:after="0" w:afterAutospacing="0"/>
              <w:ind w:left="0" w:right="0"/>
              <w:rPr>
                <w:rFonts w:hint="default" w:cs="宋体"/>
                <w:color w:val="auto"/>
                <w:kern w:val="0"/>
                <w:szCs w:val="21"/>
                <w:highlight w:val="none"/>
                <w:u w:val="single"/>
              </w:rPr>
            </w:pPr>
            <w:r>
              <w:rPr>
                <w:rFonts w:hint="eastAsia" w:cs="宋体"/>
                <w:color w:val="auto"/>
                <w:szCs w:val="21"/>
                <w:highlight w:val="none"/>
                <w:u w:val="single"/>
              </w:rPr>
              <w:t>工程综合单价包干、按系数计算的措施费项目合价包干（专用条款另有约定的除外），工程量按实结算。报价人根据招标人（即发包人）提供的工程量清单、图纸等有关资料，结合工程现场实际情况、工程性质、工程特点等要求，包工、包料、包机械、包工期、包质量、包安全、包文明施工，包环境卫生、建筑垃圾按广州市相关规定清运、包承包范围内工程验收通过、包移交、包结算和资料整理归档等。</w:t>
            </w:r>
          </w:p>
          <w:p w14:paraId="270F58B4">
            <w:pPr>
              <w:keepNext w:val="0"/>
              <w:keepLines w:val="0"/>
              <w:suppressLineNumbers w:val="0"/>
              <w:spacing w:before="0" w:beforeAutospacing="0" w:after="0" w:afterAutospacing="0"/>
              <w:ind w:left="0" w:right="0"/>
              <w:rPr>
                <w:rFonts w:hint="default" w:cs="宋体"/>
                <w:color w:val="auto"/>
                <w:kern w:val="0"/>
                <w:szCs w:val="21"/>
                <w:highlight w:val="none"/>
                <w:u w:val="single"/>
              </w:rPr>
            </w:pPr>
          </w:p>
        </w:tc>
      </w:tr>
      <w:tr w14:paraId="6E73A8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39E29B0C">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6</w:t>
            </w:r>
          </w:p>
        </w:tc>
        <w:tc>
          <w:tcPr>
            <w:tcW w:w="490" w:type="pct"/>
            <w:tcBorders>
              <w:top w:val="single" w:color="auto" w:sz="4" w:space="0"/>
              <w:left w:val="single" w:color="auto" w:sz="4" w:space="0"/>
              <w:bottom w:val="single" w:color="auto" w:sz="4" w:space="0"/>
              <w:right w:val="single" w:color="auto" w:sz="4" w:space="0"/>
            </w:tcBorders>
            <w:vAlign w:val="center"/>
          </w:tcPr>
          <w:p w14:paraId="47DE7A9E">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2.2</w:t>
            </w:r>
          </w:p>
        </w:tc>
        <w:tc>
          <w:tcPr>
            <w:tcW w:w="861" w:type="pct"/>
            <w:tcBorders>
              <w:top w:val="single" w:color="auto" w:sz="4" w:space="0"/>
              <w:left w:val="single" w:color="auto" w:sz="4" w:space="0"/>
              <w:bottom w:val="single" w:color="auto" w:sz="4" w:space="0"/>
              <w:right w:val="single" w:color="auto" w:sz="4" w:space="0"/>
            </w:tcBorders>
            <w:vAlign w:val="center"/>
          </w:tcPr>
          <w:p w14:paraId="570A461E">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质量标准</w:t>
            </w:r>
          </w:p>
        </w:tc>
        <w:tc>
          <w:tcPr>
            <w:tcW w:w="3300" w:type="pct"/>
            <w:tcBorders>
              <w:top w:val="single" w:color="auto" w:sz="4" w:space="0"/>
              <w:left w:val="single" w:color="auto" w:sz="4" w:space="0"/>
              <w:bottom w:val="single" w:color="auto" w:sz="4" w:space="0"/>
              <w:right w:val="double" w:color="auto" w:sz="4" w:space="0"/>
            </w:tcBorders>
            <w:vAlign w:val="center"/>
          </w:tcPr>
          <w:p w14:paraId="7F609F75">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u w:val="single"/>
              </w:rPr>
              <w:t>合格</w:t>
            </w:r>
          </w:p>
        </w:tc>
      </w:tr>
      <w:tr w14:paraId="29F732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6DAC723A">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7</w:t>
            </w:r>
          </w:p>
        </w:tc>
        <w:tc>
          <w:tcPr>
            <w:tcW w:w="490" w:type="pct"/>
            <w:tcBorders>
              <w:top w:val="single" w:color="auto" w:sz="4" w:space="0"/>
              <w:left w:val="single" w:color="auto" w:sz="4" w:space="0"/>
              <w:bottom w:val="single" w:color="auto" w:sz="4" w:space="0"/>
              <w:right w:val="single" w:color="auto" w:sz="4" w:space="0"/>
            </w:tcBorders>
            <w:vAlign w:val="center"/>
          </w:tcPr>
          <w:p w14:paraId="697D9653">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2.2</w:t>
            </w:r>
          </w:p>
        </w:tc>
        <w:tc>
          <w:tcPr>
            <w:tcW w:w="861" w:type="pct"/>
            <w:tcBorders>
              <w:top w:val="single" w:color="auto" w:sz="4" w:space="0"/>
              <w:left w:val="single" w:color="auto" w:sz="4" w:space="0"/>
              <w:bottom w:val="single" w:color="auto" w:sz="4" w:space="0"/>
              <w:right w:val="single" w:color="auto" w:sz="4" w:space="0"/>
            </w:tcBorders>
            <w:vAlign w:val="center"/>
          </w:tcPr>
          <w:p w14:paraId="6F2450CF">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招标范围</w:t>
            </w:r>
          </w:p>
        </w:tc>
        <w:tc>
          <w:tcPr>
            <w:tcW w:w="3300" w:type="pct"/>
            <w:tcBorders>
              <w:top w:val="single" w:color="auto" w:sz="4" w:space="0"/>
              <w:left w:val="single" w:color="auto" w:sz="4" w:space="0"/>
              <w:bottom w:val="single" w:color="auto" w:sz="4" w:space="0"/>
              <w:right w:val="double" w:color="auto" w:sz="4" w:space="0"/>
            </w:tcBorders>
            <w:vAlign w:val="center"/>
          </w:tcPr>
          <w:p w14:paraId="14F59697">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u w:val="single"/>
              </w:rPr>
              <w:t>详见本工程招标公告</w:t>
            </w:r>
          </w:p>
        </w:tc>
      </w:tr>
      <w:tr w14:paraId="172DEC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4983BB51">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8</w:t>
            </w:r>
          </w:p>
        </w:tc>
        <w:tc>
          <w:tcPr>
            <w:tcW w:w="490" w:type="pct"/>
            <w:tcBorders>
              <w:top w:val="single" w:color="auto" w:sz="4" w:space="0"/>
              <w:left w:val="single" w:color="auto" w:sz="4" w:space="0"/>
              <w:bottom w:val="single" w:color="auto" w:sz="4" w:space="0"/>
              <w:right w:val="single" w:color="auto" w:sz="4" w:space="0"/>
            </w:tcBorders>
            <w:vAlign w:val="center"/>
          </w:tcPr>
          <w:p w14:paraId="2A7FB5A0">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2.2</w:t>
            </w:r>
          </w:p>
        </w:tc>
        <w:tc>
          <w:tcPr>
            <w:tcW w:w="861" w:type="pct"/>
            <w:tcBorders>
              <w:top w:val="single" w:color="auto" w:sz="4" w:space="0"/>
              <w:left w:val="single" w:color="auto" w:sz="4" w:space="0"/>
              <w:bottom w:val="single" w:color="auto" w:sz="4" w:space="0"/>
              <w:right w:val="single" w:color="auto" w:sz="4" w:space="0"/>
            </w:tcBorders>
            <w:vAlign w:val="center"/>
          </w:tcPr>
          <w:p w14:paraId="7496C6DF">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工期要求</w:t>
            </w:r>
          </w:p>
        </w:tc>
        <w:tc>
          <w:tcPr>
            <w:tcW w:w="3300" w:type="pct"/>
            <w:tcBorders>
              <w:top w:val="single" w:color="auto" w:sz="4" w:space="0"/>
              <w:left w:val="single" w:color="auto" w:sz="4" w:space="0"/>
              <w:bottom w:val="single" w:color="auto" w:sz="4" w:space="0"/>
              <w:right w:val="double" w:color="auto" w:sz="4" w:space="0"/>
            </w:tcBorders>
            <w:vAlign w:val="center"/>
          </w:tcPr>
          <w:p w14:paraId="41BBDD69">
            <w:pPr>
              <w:keepNext w:val="0"/>
              <w:keepLines w:val="0"/>
              <w:suppressLineNumbers w:val="0"/>
              <w:spacing w:before="0" w:beforeAutospacing="0" w:after="0" w:afterAutospacing="0"/>
              <w:ind w:left="0" w:right="0"/>
              <w:rPr>
                <w:rFonts w:hint="default" w:cs="宋体"/>
                <w:color w:val="auto"/>
                <w:szCs w:val="21"/>
                <w:highlight w:val="none"/>
              </w:rPr>
            </w:pPr>
            <w:r>
              <w:rPr>
                <w:rFonts w:hint="eastAsia"/>
                <w:color w:val="auto"/>
                <w:szCs w:val="21"/>
                <w:highlight w:val="none"/>
                <w:u w:val="single"/>
              </w:rPr>
              <w:t>从</w:t>
            </w:r>
            <w:r>
              <w:rPr>
                <w:rFonts w:hint="eastAsia" w:ascii="宋体" w:hAnsi="宋体" w:eastAsia="宋体" w:cs="Times New Roman"/>
                <w:b w:val="0"/>
                <w:bCs w:val="0"/>
                <w:color w:val="auto"/>
                <w:sz w:val="21"/>
                <w:szCs w:val="21"/>
                <w:highlight w:val="none"/>
                <w:u w:val="single"/>
              </w:rPr>
              <w:t>监理单位签发的开工令（或开工报告）</w:t>
            </w:r>
            <w:r>
              <w:rPr>
                <w:rFonts w:hint="eastAsia"/>
                <w:color w:val="auto"/>
                <w:szCs w:val="21"/>
                <w:highlight w:val="none"/>
                <w:u w:val="single"/>
              </w:rPr>
              <w:t>之日起</w:t>
            </w:r>
            <w:r>
              <w:rPr>
                <w:rFonts w:hint="eastAsia"/>
                <w:color w:val="auto"/>
                <w:szCs w:val="21"/>
                <w:highlight w:val="none"/>
                <w:u w:val="single"/>
                <w:lang w:val="en-US" w:eastAsia="zh-CN"/>
              </w:rPr>
              <w:t>900</w:t>
            </w:r>
            <w:r>
              <w:rPr>
                <w:rFonts w:hint="eastAsia"/>
                <w:color w:val="auto"/>
                <w:szCs w:val="21"/>
                <w:highlight w:val="none"/>
                <w:u w:val="single"/>
              </w:rPr>
              <w:t>日历天</w:t>
            </w:r>
            <w:r>
              <w:rPr>
                <w:rFonts w:hint="eastAsia"/>
                <w:color w:val="auto"/>
                <w:szCs w:val="21"/>
                <w:highlight w:val="none"/>
              </w:rPr>
              <w:t>。</w:t>
            </w:r>
          </w:p>
        </w:tc>
      </w:tr>
      <w:tr w14:paraId="0BF4FD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3DEC5DB1">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9</w:t>
            </w:r>
          </w:p>
        </w:tc>
        <w:tc>
          <w:tcPr>
            <w:tcW w:w="490" w:type="pct"/>
            <w:tcBorders>
              <w:top w:val="single" w:color="auto" w:sz="4" w:space="0"/>
              <w:left w:val="single" w:color="auto" w:sz="4" w:space="0"/>
              <w:bottom w:val="single" w:color="auto" w:sz="4" w:space="0"/>
              <w:right w:val="single" w:color="auto" w:sz="4" w:space="0"/>
            </w:tcBorders>
            <w:vAlign w:val="center"/>
          </w:tcPr>
          <w:p w14:paraId="7181872D">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3.1</w:t>
            </w:r>
          </w:p>
        </w:tc>
        <w:tc>
          <w:tcPr>
            <w:tcW w:w="861" w:type="pct"/>
            <w:tcBorders>
              <w:top w:val="single" w:color="auto" w:sz="4" w:space="0"/>
              <w:left w:val="single" w:color="auto" w:sz="4" w:space="0"/>
              <w:bottom w:val="single" w:color="auto" w:sz="4" w:space="0"/>
              <w:right w:val="single" w:color="auto" w:sz="4" w:space="0"/>
            </w:tcBorders>
            <w:vAlign w:val="center"/>
          </w:tcPr>
          <w:p w14:paraId="0C2B650C">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资金来源</w:t>
            </w:r>
          </w:p>
        </w:tc>
        <w:tc>
          <w:tcPr>
            <w:tcW w:w="3300" w:type="pct"/>
            <w:tcBorders>
              <w:top w:val="single" w:color="auto" w:sz="4" w:space="0"/>
              <w:left w:val="single" w:color="auto" w:sz="4" w:space="0"/>
              <w:bottom w:val="single" w:color="auto" w:sz="4" w:space="0"/>
              <w:right w:val="double" w:color="auto" w:sz="4" w:space="0"/>
            </w:tcBorders>
            <w:vAlign w:val="center"/>
          </w:tcPr>
          <w:p w14:paraId="7E6289F6">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详见本工程招标公告</w:t>
            </w:r>
          </w:p>
        </w:tc>
      </w:tr>
      <w:tr w14:paraId="570124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5D5D2C48">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10</w:t>
            </w:r>
          </w:p>
        </w:tc>
        <w:tc>
          <w:tcPr>
            <w:tcW w:w="490" w:type="pct"/>
            <w:tcBorders>
              <w:top w:val="single" w:color="auto" w:sz="4" w:space="0"/>
              <w:left w:val="single" w:color="auto" w:sz="4" w:space="0"/>
              <w:bottom w:val="single" w:color="auto" w:sz="4" w:space="0"/>
              <w:right w:val="single" w:color="auto" w:sz="4" w:space="0"/>
            </w:tcBorders>
            <w:vAlign w:val="center"/>
          </w:tcPr>
          <w:p w14:paraId="77618300">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4.1</w:t>
            </w:r>
          </w:p>
        </w:tc>
        <w:tc>
          <w:tcPr>
            <w:tcW w:w="861" w:type="pct"/>
            <w:tcBorders>
              <w:top w:val="single" w:color="auto" w:sz="4" w:space="0"/>
              <w:left w:val="single" w:color="auto" w:sz="4" w:space="0"/>
              <w:bottom w:val="single" w:color="auto" w:sz="4" w:space="0"/>
              <w:right w:val="single" w:color="auto" w:sz="4" w:space="0"/>
            </w:tcBorders>
            <w:vAlign w:val="center"/>
          </w:tcPr>
          <w:p w14:paraId="445079D1">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投标人资质等级及项目负责人等级要求</w:t>
            </w:r>
          </w:p>
        </w:tc>
        <w:tc>
          <w:tcPr>
            <w:tcW w:w="3300" w:type="pct"/>
            <w:tcBorders>
              <w:top w:val="single" w:color="auto" w:sz="4" w:space="0"/>
              <w:left w:val="single" w:color="auto" w:sz="4" w:space="0"/>
              <w:bottom w:val="single" w:color="auto" w:sz="4" w:space="0"/>
              <w:right w:val="double" w:color="auto" w:sz="4" w:space="0"/>
            </w:tcBorders>
            <w:vAlign w:val="center"/>
          </w:tcPr>
          <w:p w14:paraId="325F8C87">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详见本工程招标公告</w:t>
            </w:r>
          </w:p>
        </w:tc>
      </w:tr>
      <w:tr w14:paraId="3E8C66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3BF5F4AF">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11</w:t>
            </w:r>
          </w:p>
        </w:tc>
        <w:tc>
          <w:tcPr>
            <w:tcW w:w="490" w:type="pct"/>
            <w:tcBorders>
              <w:top w:val="single" w:color="auto" w:sz="4" w:space="0"/>
              <w:left w:val="single" w:color="auto" w:sz="4" w:space="0"/>
              <w:bottom w:val="single" w:color="auto" w:sz="4" w:space="0"/>
              <w:right w:val="single" w:color="auto" w:sz="4" w:space="0"/>
            </w:tcBorders>
            <w:vAlign w:val="center"/>
          </w:tcPr>
          <w:p w14:paraId="635D15E9">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0D6151E1">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资格审查方式</w:t>
            </w:r>
          </w:p>
        </w:tc>
        <w:tc>
          <w:tcPr>
            <w:tcW w:w="3300" w:type="pct"/>
            <w:tcBorders>
              <w:top w:val="single" w:color="auto" w:sz="4" w:space="0"/>
              <w:left w:val="single" w:color="auto" w:sz="4" w:space="0"/>
              <w:bottom w:val="single" w:color="auto" w:sz="4" w:space="0"/>
              <w:right w:val="double" w:color="auto" w:sz="4" w:space="0"/>
            </w:tcBorders>
            <w:vAlign w:val="center"/>
          </w:tcPr>
          <w:p w14:paraId="468283F7">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详见本工程招标公告</w:t>
            </w:r>
          </w:p>
        </w:tc>
      </w:tr>
      <w:tr w14:paraId="2A391D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050E5AC5">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12</w:t>
            </w:r>
          </w:p>
        </w:tc>
        <w:tc>
          <w:tcPr>
            <w:tcW w:w="490" w:type="pct"/>
            <w:tcBorders>
              <w:top w:val="single" w:color="auto" w:sz="4" w:space="0"/>
              <w:left w:val="single" w:color="auto" w:sz="4" w:space="0"/>
              <w:bottom w:val="single" w:color="auto" w:sz="4" w:space="0"/>
              <w:right w:val="single" w:color="auto" w:sz="4" w:space="0"/>
            </w:tcBorders>
            <w:vAlign w:val="center"/>
          </w:tcPr>
          <w:p w14:paraId="0CAA3340">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13.1</w:t>
            </w:r>
          </w:p>
        </w:tc>
        <w:tc>
          <w:tcPr>
            <w:tcW w:w="861" w:type="pct"/>
            <w:tcBorders>
              <w:top w:val="single" w:color="auto" w:sz="4" w:space="0"/>
              <w:left w:val="single" w:color="auto" w:sz="4" w:space="0"/>
              <w:bottom w:val="single" w:color="auto" w:sz="4" w:space="0"/>
              <w:right w:val="single" w:color="auto" w:sz="4" w:space="0"/>
            </w:tcBorders>
            <w:vAlign w:val="center"/>
          </w:tcPr>
          <w:p w14:paraId="5B3CDE37">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报价以及单价和总价计算方式</w:t>
            </w:r>
          </w:p>
        </w:tc>
        <w:tc>
          <w:tcPr>
            <w:tcW w:w="3300" w:type="pct"/>
            <w:tcBorders>
              <w:top w:val="single" w:color="auto" w:sz="4" w:space="0"/>
              <w:left w:val="single" w:color="auto" w:sz="4" w:space="0"/>
              <w:bottom w:val="single" w:color="auto" w:sz="4" w:space="0"/>
              <w:right w:val="double" w:color="auto" w:sz="4" w:space="0"/>
            </w:tcBorders>
            <w:vAlign w:val="center"/>
          </w:tcPr>
          <w:p w14:paraId="288702D2">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工程量清单计价，按国家、省有关计价规范执行。</w:t>
            </w:r>
          </w:p>
        </w:tc>
      </w:tr>
      <w:tr w14:paraId="51A77A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0D5513C5">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13</w:t>
            </w:r>
          </w:p>
        </w:tc>
        <w:tc>
          <w:tcPr>
            <w:tcW w:w="490" w:type="pct"/>
            <w:tcBorders>
              <w:top w:val="single" w:color="auto" w:sz="4" w:space="0"/>
              <w:left w:val="single" w:color="auto" w:sz="4" w:space="0"/>
              <w:bottom w:val="single" w:color="auto" w:sz="4" w:space="0"/>
              <w:right w:val="single" w:color="auto" w:sz="4" w:space="0"/>
            </w:tcBorders>
            <w:vAlign w:val="center"/>
          </w:tcPr>
          <w:p w14:paraId="00DFFE6F">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15.1</w:t>
            </w:r>
          </w:p>
        </w:tc>
        <w:tc>
          <w:tcPr>
            <w:tcW w:w="861" w:type="pct"/>
            <w:tcBorders>
              <w:top w:val="single" w:color="auto" w:sz="4" w:space="0"/>
              <w:left w:val="single" w:color="auto" w:sz="4" w:space="0"/>
              <w:bottom w:val="single" w:color="auto" w:sz="4" w:space="0"/>
              <w:right w:val="single" w:color="auto" w:sz="4" w:space="0"/>
            </w:tcBorders>
            <w:vAlign w:val="center"/>
          </w:tcPr>
          <w:p w14:paraId="0EEC5DF1">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投标有效期</w:t>
            </w:r>
          </w:p>
        </w:tc>
        <w:tc>
          <w:tcPr>
            <w:tcW w:w="3300" w:type="pct"/>
            <w:tcBorders>
              <w:top w:val="single" w:color="auto" w:sz="4" w:space="0"/>
              <w:left w:val="single" w:color="auto" w:sz="4" w:space="0"/>
              <w:bottom w:val="single" w:color="auto" w:sz="4" w:space="0"/>
              <w:right w:val="double" w:color="auto" w:sz="4" w:space="0"/>
            </w:tcBorders>
            <w:vAlign w:val="center"/>
          </w:tcPr>
          <w:p w14:paraId="52605C78">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u w:val="single"/>
              </w:rPr>
              <w:t>90</w:t>
            </w:r>
            <w:r>
              <w:rPr>
                <w:rFonts w:hint="eastAsia" w:cs="宋体"/>
                <w:color w:val="auto"/>
                <w:szCs w:val="21"/>
                <w:highlight w:val="none"/>
              </w:rPr>
              <w:t>日历天。（从投标截止之日计起）。</w:t>
            </w:r>
            <w:r>
              <w:rPr>
                <w:rFonts w:hint="eastAsia" w:cs="宋体"/>
                <w:color w:val="auto"/>
                <w:szCs w:val="21"/>
                <w:highlight w:val="none"/>
                <w:u w:val="single"/>
              </w:rPr>
              <w:t>如投标有效期内发生异议或投诉的，则投标有效期自动延长至异议或投诉处理结束后90日历天。</w:t>
            </w:r>
          </w:p>
        </w:tc>
      </w:tr>
      <w:tr w14:paraId="32E850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183B7FDE">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14</w:t>
            </w:r>
          </w:p>
        </w:tc>
        <w:tc>
          <w:tcPr>
            <w:tcW w:w="490" w:type="pct"/>
            <w:tcBorders>
              <w:top w:val="single" w:color="auto" w:sz="4" w:space="0"/>
              <w:left w:val="single" w:color="auto" w:sz="4" w:space="0"/>
              <w:bottom w:val="single" w:color="auto" w:sz="4" w:space="0"/>
              <w:right w:val="single" w:color="auto" w:sz="4" w:space="0"/>
            </w:tcBorders>
            <w:vAlign w:val="center"/>
          </w:tcPr>
          <w:p w14:paraId="1B072D80">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16.1</w:t>
            </w:r>
          </w:p>
        </w:tc>
        <w:tc>
          <w:tcPr>
            <w:tcW w:w="861" w:type="pct"/>
            <w:tcBorders>
              <w:top w:val="single" w:color="auto" w:sz="4" w:space="0"/>
              <w:left w:val="single" w:color="auto" w:sz="4" w:space="0"/>
              <w:bottom w:val="single" w:color="auto" w:sz="4" w:space="0"/>
              <w:right w:val="single" w:color="auto" w:sz="4" w:space="0"/>
            </w:tcBorders>
            <w:vAlign w:val="center"/>
          </w:tcPr>
          <w:p w14:paraId="7AD3A6AC">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投标保证金</w:t>
            </w:r>
          </w:p>
        </w:tc>
        <w:tc>
          <w:tcPr>
            <w:tcW w:w="3300" w:type="pct"/>
            <w:tcBorders>
              <w:top w:val="single" w:color="auto" w:sz="4" w:space="0"/>
              <w:left w:val="single" w:color="auto" w:sz="4" w:space="0"/>
              <w:bottom w:val="single" w:color="auto" w:sz="4" w:space="0"/>
              <w:right w:val="double" w:color="auto" w:sz="4" w:space="0"/>
            </w:tcBorders>
            <w:vAlign w:val="center"/>
          </w:tcPr>
          <w:p w14:paraId="7EEAAAA8">
            <w:pPr>
              <w:pStyle w:val="11"/>
              <w:keepNext w:val="0"/>
              <w:keepLines w:val="0"/>
              <w:suppressLineNumbers w:val="0"/>
              <w:spacing w:before="0" w:beforeAutospacing="0" w:after="0" w:afterAutospacing="0"/>
              <w:ind w:left="0" w:right="0"/>
              <w:rPr>
                <w:rFonts w:hint="default"/>
                <w:color w:val="auto"/>
                <w:highlight w:val="none"/>
              </w:rPr>
            </w:pPr>
            <w:r>
              <w:rPr>
                <w:rFonts w:hint="eastAsia" w:ascii="宋体" w:hAnsi="宋体" w:eastAsia="宋体" w:cs="宋体"/>
                <w:b/>
                <w:bCs/>
                <w:color w:val="auto"/>
                <w:szCs w:val="21"/>
                <w:highlight w:val="none"/>
              </w:rPr>
              <w:t>方式</w:t>
            </w:r>
            <w:r>
              <w:rPr>
                <w:rFonts w:hint="eastAsia" w:cs="宋体"/>
                <w:b/>
                <w:bCs/>
                <w:color w:val="auto"/>
                <w:szCs w:val="21"/>
                <w:highlight w:val="none"/>
                <w:lang w:val="en-US" w:eastAsia="zh-CN"/>
              </w:rPr>
              <w:t>一</w:t>
            </w:r>
            <w:r>
              <w:rPr>
                <w:rFonts w:hint="eastAsia" w:ascii="宋体" w:hAnsi="宋体" w:eastAsia="宋体" w:cs="宋体"/>
                <w:b/>
                <w:bCs/>
                <w:color w:val="auto"/>
                <w:szCs w:val="21"/>
                <w:highlight w:val="none"/>
              </w:rPr>
              <w:t>：本项目</w:t>
            </w:r>
            <w:r>
              <w:rPr>
                <w:rFonts w:hint="eastAsia" w:cs="宋体"/>
                <w:b/>
                <w:bCs/>
                <w:color w:val="auto"/>
                <w:szCs w:val="21"/>
                <w:highlight w:val="none"/>
                <w:lang w:val="en-US" w:eastAsia="zh-CN"/>
              </w:rPr>
              <w:t>不</w:t>
            </w:r>
            <w:r>
              <w:rPr>
                <w:rFonts w:hint="eastAsia" w:ascii="宋体" w:hAnsi="宋体" w:eastAsia="宋体" w:cs="宋体"/>
                <w:b w:val="0"/>
                <w:bCs w:val="0"/>
                <w:color w:val="auto"/>
                <w:szCs w:val="21"/>
                <w:highlight w:val="none"/>
              </w:rPr>
              <w:t>收取投标保证金</w:t>
            </w:r>
            <w:r>
              <w:rPr>
                <w:rFonts w:hint="eastAsia" w:ascii="宋体" w:hAnsi="宋体" w:eastAsia="宋体" w:cs="宋体"/>
                <w:color w:val="auto"/>
                <w:szCs w:val="21"/>
                <w:highlight w:val="none"/>
              </w:rPr>
              <w:t>。</w:t>
            </w:r>
          </w:p>
        </w:tc>
      </w:tr>
      <w:tr w14:paraId="40B126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6F4E0126">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15</w:t>
            </w:r>
          </w:p>
        </w:tc>
        <w:tc>
          <w:tcPr>
            <w:tcW w:w="490" w:type="pct"/>
            <w:tcBorders>
              <w:top w:val="single" w:color="auto" w:sz="4" w:space="0"/>
              <w:left w:val="single" w:color="auto" w:sz="4" w:space="0"/>
              <w:bottom w:val="single" w:color="auto" w:sz="4" w:space="0"/>
              <w:right w:val="single" w:color="auto" w:sz="4" w:space="0"/>
            </w:tcBorders>
            <w:vAlign w:val="center"/>
          </w:tcPr>
          <w:p w14:paraId="1040AEB4">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5</w:t>
            </w:r>
          </w:p>
        </w:tc>
        <w:tc>
          <w:tcPr>
            <w:tcW w:w="861" w:type="pct"/>
            <w:tcBorders>
              <w:top w:val="single" w:color="auto" w:sz="4" w:space="0"/>
              <w:left w:val="single" w:color="auto" w:sz="4" w:space="0"/>
              <w:bottom w:val="single" w:color="auto" w:sz="4" w:space="0"/>
              <w:right w:val="single" w:color="auto" w:sz="4" w:space="0"/>
            </w:tcBorders>
            <w:vAlign w:val="center"/>
          </w:tcPr>
          <w:p w14:paraId="104CB594">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踏勘现场</w:t>
            </w:r>
          </w:p>
        </w:tc>
        <w:tc>
          <w:tcPr>
            <w:tcW w:w="3300" w:type="pct"/>
            <w:tcBorders>
              <w:top w:val="single" w:color="auto" w:sz="4" w:space="0"/>
              <w:left w:val="single" w:color="auto" w:sz="4" w:space="0"/>
              <w:bottom w:val="single" w:color="auto" w:sz="4" w:space="0"/>
              <w:right w:val="double" w:color="auto" w:sz="4" w:space="0"/>
            </w:tcBorders>
            <w:vAlign w:val="center"/>
          </w:tcPr>
          <w:p w14:paraId="37F519AD">
            <w:pPr>
              <w:pStyle w:val="12"/>
              <w:keepNext w:val="0"/>
              <w:keepLines w:val="0"/>
              <w:suppressLineNumbers w:val="0"/>
              <w:spacing w:before="0" w:beforeAutospacing="0" w:after="0" w:afterAutospacing="0"/>
              <w:ind w:left="0" w:right="0"/>
              <w:rPr>
                <w:rFonts w:hint="default" w:ascii="宋体" w:hAnsi="宋体" w:cs="宋体"/>
                <w:color w:val="auto"/>
                <w:kern w:val="2"/>
                <w:sz w:val="21"/>
                <w:szCs w:val="21"/>
                <w:highlight w:val="none"/>
              </w:rPr>
            </w:pPr>
            <w:r>
              <w:rPr>
                <w:rFonts w:hint="eastAsia" w:ascii="宋体" w:hAnsi="宋体" w:cs="宋体"/>
                <w:color w:val="auto"/>
                <w:kern w:val="2"/>
                <w:sz w:val="21"/>
                <w:szCs w:val="21"/>
                <w:highlight w:val="none"/>
                <w:u w:val="single"/>
              </w:rPr>
              <w:t>自行踏勘，投标人不进行踏勘的，视为已熟知现场条件，自行承担相关风险。</w:t>
            </w:r>
          </w:p>
        </w:tc>
      </w:tr>
      <w:tr w14:paraId="72E75D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20A55B3A">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16</w:t>
            </w:r>
          </w:p>
        </w:tc>
        <w:tc>
          <w:tcPr>
            <w:tcW w:w="490" w:type="pct"/>
            <w:tcBorders>
              <w:top w:val="single" w:color="auto" w:sz="4" w:space="0"/>
              <w:left w:val="single" w:color="auto" w:sz="4" w:space="0"/>
              <w:bottom w:val="single" w:color="auto" w:sz="4" w:space="0"/>
              <w:right w:val="single" w:color="auto" w:sz="4" w:space="0"/>
            </w:tcBorders>
            <w:vAlign w:val="center"/>
          </w:tcPr>
          <w:p w14:paraId="266DD77E">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8</w:t>
            </w:r>
          </w:p>
        </w:tc>
        <w:tc>
          <w:tcPr>
            <w:tcW w:w="861" w:type="pct"/>
            <w:tcBorders>
              <w:top w:val="single" w:color="auto" w:sz="4" w:space="0"/>
              <w:left w:val="single" w:color="auto" w:sz="4" w:space="0"/>
              <w:bottom w:val="single" w:color="auto" w:sz="4" w:space="0"/>
              <w:right w:val="single" w:color="auto" w:sz="4" w:space="0"/>
            </w:tcBorders>
            <w:vAlign w:val="center"/>
          </w:tcPr>
          <w:p w14:paraId="536ED669">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投标答疑</w:t>
            </w:r>
          </w:p>
        </w:tc>
        <w:tc>
          <w:tcPr>
            <w:tcW w:w="3300" w:type="pct"/>
            <w:tcBorders>
              <w:top w:val="single" w:color="auto" w:sz="4" w:space="0"/>
              <w:left w:val="single" w:color="auto" w:sz="4" w:space="0"/>
              <w:bottom w:val="single" w:color="auto" w:sz="4" w:space="0"/>
              <w:right w:val="double" w:color="auto" w:sz="4" w:space="0"/>
            </w:tcBorders>
            <w:vAlign w:val="center"/>
          </w:tcPr>
          <w:p w14:paraId="00E40407">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1.疑问提交时间：</w:t>
            </w:r>
            <w:r>
              <w:rPr>
                <w:rFonts w:hint="eastAsia" w:cs="宋体"/>
                <w:color w:val="auto"/>
                <w:szCs w:val="21"/>
                <w:highlight w:val="none"/>
                <w:u w:val="single"/>
              </w:rPr>
              <w:t>(在递交投标文件截止日期前18日)见本项目日程安排</w:t>
            </w:r>
            <w:r>
              <w:rPr>
                <w:rFonts w:hint="eastAsia" w:cs="宋体"/>
                <w:color w:val="auto"/>
                <w:szCs w:val="21"/>
                <w:highlight w:val="none"/>
              </w:rPr>
              <w:t>；</w:t>
            </w:r>
          </w:p>
          <w:p w14:paraId="7BFDB6FE">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2.形式：投标人的疑问通过</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交易平台提交。</w:t>
            </w:r>
          </w:p>
          <w:p w14:paraId="6BD87F1B">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u w:val="single"/>
              </w:rPr>
              <w:t>3.招标人澄清、修补或答疑期限：在递交投标文件截止日期前15日</w:t>
            </w:r>
          </w:p>
          <w:p w14:paraId="0A317361">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u w:val="single"/>
              </w:rPr>
              <w:t>4.网上答疑的相关事项详见招标文件8.1、8.2款。</w:t>
            </w:r>
          </w:p>
          <w:p w14:paraId="02790F34">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具体要求：按照交易平台关于全流程电子化项目的相关指南进行操作，详见：</w:t>
            </w:r>
            <w:r>
              <w:rPr>
                <w:rFonts w:hint="eastAsia" w:cs="宋体"/>
                <w:color w:val="auto"/>
                <w:szCs w:val="21"/>
                <w:highlight w:val="none"/>
                <w:u w:val="single"/>
              </w:rPr>
              <w:t>广州交易集团有限公司（广州公共资源交易中心）网站(http:/www.gzggzy.cn)服务指南栏目</w:t>
            </w:r>
            <w:r>
              <w:rPr>
                <w:rFonts w:hint="eastAsia" w:cs="宋体"/>
                <w:color w:val="auto"/>
                <w:szCs w:val="21"/>
                <w:highlight w:val="none"/>
              </w:rPr>
              <w:t>。提问一律不得署名。</w:t>
            </w:r>
          </w:p>
        </w:tc>
      </w:tr>
      <w:tr w14:paraId="067637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6D1FBDBE">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17</w:t>
            </w:r>
          </w:p>
        </w:tc>
        <w:tc>
          <w:tcPr>
            <w:tcW w:w="490" w:type="pct"/>
            <w:tcBorders>
              <w:top w:val="single" w:color="auto" w:sz="4" w:space="0"/>
              <w:left w:val="single" w:color="auto" w:sz="4" w:space="0"/>
              <w:bottom w:val="single" w:color="auto" w:sz="4" w:space="0"/>
              <w:right w:val="single" w:color="auto" w:sz="4" w:space="0"/>
            </w:tcBorders>
            <w:vAlign w:val="center"/>
          </w:tcPr>
          <w:p w14:paraId="4F846D6D">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20.1</w:t>
            </w:r>
          </w:p>
        </w:tc>
        <w:tc>
          <w:tcPr>
            <w:tcW w:w="861" w:type="pct"/>
            <w:tcBorders>
              <w:top w:val="single" w:color="auto" w:sz="4" w:space="0"/>
              <w:left w:val="single" w:color="auto" w:sz="4" w:space="0"/>
              <w:bottom w:val="single" w:color="auto" w:sz="4" w:space="0"/>
              <w:right w:val="single" w:color="auto" w:sz="4" w:space="0"/>
            </w:tcBorders>
            <w:vAlign w:val="center"/>
          </w:tcPr>
          <w:p w14:paraId="7632BDDD">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投标截止时间</w:t>
            </w:r>
          </w:p>
        </w:tc>
        <w:tc>
          <w:tcPr>
            <w:tcW w:w="3300" w:type="pct"/>
            <w:tcBorders>
              <w:top w:val="single" w:color="auto" w:sz="4" w:space="0"/>
              <w:left w:val="single" w:color="auto" w:sz="4" w:space="0"/>
              <w:bottom w:val="single" w:color="auto" w:sz="4" w:space="0"/>
              <w:right w:val="double" w:color="auto" w:sz="4" w:space="0"/>
            </w:tcBorders>
            <w:vAlign w:val="center"/>
          </w:tcPr>
          <w:p w14:paraId="5E4C5547">
            <w:pPr>
              <w:keepNext w:val="0"/>
              <w:keepLines w:val="0"/>
              <w:suppressLineNumbers w:val="0"/>
              <w:spacing w:before="0" w:beforeAutospacing="0" w:after="0" w:afterAutospacing="0"/>
              <w:ind w:left="0" w:right="0"/>
              <w:rPr>
                <w:rFonts w:hint="default" w:cs="宋体"/>
                <w:strike/>
                <w:color w:val="auto"/>
                <w:szCs w:val="21"/>
                <w:highlight w:val="none"/>
              </w:rPr>
            </w:pPr>
            <w:r>
              <w:rPr>
                <w:rFonts w:hint="eastAsia" w:cs="宋体"/>
                <w:color w:val="auto"/>
                <w:szCs w:val="21"/>
                <w:highlight w:val="none"/>
              </w:rPr>
              <w:t>年月日时分（北京时间）。</w:t>
            </w:r>
          </w:p>
        </w:tc>
      </w:tr>
      <w:tr w14:paraId="6387E8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6B664F3F">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18</w:t>
            </w:r>
          </w:p>
        </w:tc>
        <w:tc>
          <w:tcPr>
            <w:tcW w:w="490" w:type="pct"/>
            <w:tcBorders>
              <w:top w:val="single" w:color="auto" w:sz="4" w:space="0"/>
              <w:left w:val="single" w:color="auto" w:sz="4" w:space="0"/>
              <w:bottom w:val="single" w:color="auto" w:sz="4" w:space="0"/>
              <w:right w:val="single" w:color="auto" w:sz="4" w:space="0"/>
            </w:tcBorders>
            <w:vAlign w:val="center"/>
          </w:tcPr>
          <w:p w14:paraId="64AEAEF6">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20.1</w:t>
            </w:r>
          </w:p>
        </w:tc>
        <w:tc>
          <w:tcPr>
            <w:tcW w:w="861" w:type="pct"/>
            <w:tcBorders>
              <w:top w:val="single" w:color="auto" w:sz="4" w:space="0"/>
              <w:left w:val="single" w:color="auto" w:sz="4" w:space="0"/>
              <w:bottom w:val="single" w:color="auto" w:sz="4" w:space="0"/>
              <w:right w:val="single" w:color="auto" w:sz="4" w:space="0"/>
            </w:tcBorders>
            <w:vAlign w:val="center"/>
          </w:tcPr>
          <w:p w14:paraId="3A39571B">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开标开始时间和地点</w:t>
            </w:r>
          </w:p>
        </w:tc>
        <w:tc>
          <w:tcPr>
            <w:tcW w:w="3300" w:type="pct"/>
            <w:tcBorders>
              <w:top w:val="single" w:color="auto" w:sz="4" w:space="0"/>
              <w:left w:val="single" w:color="auto" w:sz="4" w:space="0"/>
              <w:bottom w:val="single" w:color="auto" w:sz="4" w:space="0"/>
              <w:right w:val="double" w:color="auto" w:sz="4" w:space="0"/>
            </w:tcBorders>
            <w:vAlign w:val="center"/>
          </w:tcPr>
          <w:p w14:paraId="74C79D80">
            <w:pPr>
              <w:keepNext w:val="0"/>
              <w:keepLines w:val="0"/>
              <w:widowControl/>
              <w:suppressLineNumbers w:val="0"/>
              <w:spacing w:before="0" w:beforeAutospacing="0" w:after="0" w:afterAutospacing="0"/>
              <w:ind w:left="0" w:right="0"/>
              <w:jc w:val="left"/>
              <w:rPr>
                <w:rFonts w:hint="default" w:cs="宋体"/>
                <w:bCs/>
                <w:color w:val="auto"/>
                <w:kern w:val="0"/>
                <w:szCs w:val="21"/>
                <w:highlight w:val="none"/>
              </w:rPr>
            </w:pPr>
            <w:r>
              <w:rPr>
                <w:rFonts w:hint="eastAsia" w:cs="宋体"/>
                <w:bCs/>
                <w:color w:val="auto"/>
                <w:kern w:val="0"/>
                <w:szCs w:val="21"/>
                <w:highlight w:val="none"/>
              </w:rPr>
              <w:t>1、开标开始时间：年月日时分（与投标截止时间为同一时间），地点：</w:t>
            </w:r>
            <w:r>
              <w:rPr>
                <w:rFonts w:hint="eastAsia" w:cs="宋体"/>
                <w:color w:val="auto"/>
                <w:szCs w:val="21"/>
                <w:highlight w:val="none"/>
                <w:u w:val="single"/>
              </w:rPr>
              <w:t>广州交易集团有限公司（广州公共资源交易中心）</w:t>
            </w:r>
            <w:r>
              <w:rPr>
                <w:rFonts w:hint="eastAsia" w:cs="宋体"/>
                <w:bCs/>
                <w:color w:val="auto"/>
                <w:kern w:val="0"/>
                <w:szCs w:val="21"/>
                <w:highlight w:val="none"/>
                <w:u w:val="single"/>
              </w:rPr>
              <w:t>开标室</w:t>
            </w:r>
            <w:r>
              <w:rPr>
                <w:rFonts w:hint="eastAsia" w:cs="宋体"/>
                <w:bCs/>
                <w:color w:val="auto"/>
                <w:kern w:val="0"/>
                <w:szCs w:val="21"/>
                <w:highlight w:val="none"/>
              </w:rPr>
              <w:t>。</w:t>
            </w:r>
            <w:r>
              <w:rPr>
                <w:rFonts w:hint="eastAsia" w:cs="宋体"/>
                <w:b/>
                <w:bCs/>
                <w:color w:val="auto"/>
                <w:kern w:val="0"/>
                <w:szCs w:val="21"/>
                <w:highlight w:val="none"/>
              </w:rPr>
              <w:t>投标人也可选择参加在线开标，具体按照交易平台相关指南进行操作。详见：</w:t>
            </w:r>
            <w:r>
              <w:rPr>
                <w:rFonts w:hint="eastAsia" w:cs="宋体"/>
                <w:bCs/>
                <w:color w:val="auto"/>
                <w:kern w:val="0"/>
                <w:szCs w:val="21"/>
                <w:highlight w:val="none"/>
                <w:u w:val="single"/>
              </w:rPr>
              <w:t>广州交易集团有限公司（广州公共资源交易中心）网站最新指引</w:t>
            </w:r>
            <w:r>
              <w:rPr>
                <w:rFonts w:hint="eastAsia" w:cs="宋体"/>
                <w:b/>
                <w:bCs/>
                <w:color w:val="auto"/>
                <w:kern w:val="0"/>
                <w:szCs w:val="21"/>
                <w:highlight w:val="none"/>
              </w:rPr>
              <w:t>。</w:t>
            </w:r>
          </w:p>
          <w:p w14:paraId="1FD11195">
            <w:pPr>
              <w:keepNext w:val="0"/>
              <w:keepLines w:val="0"/>
              <w:widowControl/>
              <w:suppressLineNumbers w:val="0"/>
              <w:spacing w:before="0" w:beforeAutospacing="0" w:after="0" w:afterAutospacing="0"/>
              <w:ind w:left="0" w:right="0"/>
              <w:jc w:val="left"/>
              <w:rPr>
                <w:rFonts w:hint="default" w:cs="宋体"/>
                <w:bCs/>
                <w:color w:val="auto"/>
                <w:kern w:val="0"/>
                <w:szCs w:val="21"/>
                <w:highlight w:val="none"/>
              </w:rPr>
            </w:pPr>
            <w:r>
              <w:rPr>
                <w:rFonts w:hint="eastAsia" w:cs="宋体"/>
                <w:bCs/>
                <w:color w:val="auto"/>
                <w:kern w:val="0"/>
                <w:szCs w:val="21"/>
                <w:highlight w:val="none"/>
              </w:rPr>
              <w:t>注：投标文件解密问题。投标人只用执行一次解密，招标人执行解密次数根据招标文件开标次数确定。</w:t>
            </w:r>
          </w:p>
          <w:p w14:paraId="57A8DFD3">
            <w:pPr>
              <w:keepNext w:val="0"/>
              <w:keepLines w:val="0"/>
              <w:widowControl/>
              <w:suppressLineNumbers w:val="0"/>
              <w:spacing w:before="0" w:beforeAutospacing="0" w:after="0" w:afterAutospacing="0"/>
              <w:ind w:left="0" w:right="0"/>
              <w:jc w:val="left"/>
              <w:rPr>
                <w:rFonts w:hint="default" w:cs="宋体"/>
                <w:bCs/>
                <w:color w:val="auto"/>
                <w:kern w:val="0"/>
                <w:szCs w:val="21"/>
                <w:highlight w:val="none"/>
              </w:rPr>
            </w:pPr>
            <w:r>
              <w:rPr>
                <w:rFonts w:hint="eastAsia" w:cs="宋体"/>
                <w:bCs/>
                <w:color w:val="auto"/>
                <w:kern w:val="0"/>
                <w:szCs w:val="21"/>
                <w:highlight w:val="none"/>
              </w:rPr>
              <w:t>2、递交投标文件备用光盘时间：年月日时分至年月日时分；递交地点：。(建议安排在投标文件截止时间前15分钟至投标文件截止时间）</w:t>
            </w:r>
          </w:p>
          <w:p w14:paraId="4F9F1C2A">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bCs/>
                <w:color w:val="auto"/>
                <w:kern w:val="0"/>
                <w:szCs w:val="21"/>
                <w:highlight w:val="none"/>
              </w:rPr>
              <w:t>上述时间及地点是否有改变，请密切留意</w:t>
            </w:r>
            <w:r>
              <w:rPr>
                <w:rFonts w:hint="eastAsia" w:cs="宋体"/>
                <w:b/>
                <w:color w:val="auto"/>
                <w:kern w:val="0"/>
                <w:szCs w:val="21"/>
                <w:highlight w:val="none"/>
              </w:rPr>
              <w:t>补充公告和</w:t>
            </w:r>
            <w:r>
              <w:rPr>
                <w:rFonts w:hint="eastAsia" w:cs="宋体"/>
                <w:bCs/>
                <w:color w:val="auto"/>
                <w:kern w:val="0"/>
                <w:szCs w:val="21"/>
                <w:highlight w:val="none"/>
              </w:rPr>
              <w:t>招标答疑纪要的相关信息。</w:t>
            </w:r>
          </w:p>
        </w:tc>
      </w:tr>
      <w:tr w14:paraId="70ED3E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5DEAB5F0">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19</w:t>
            </w:r>
          </w:p>
        </w:tc>
        <w:tc>
          <w:tcPr>
            <w:tcW w:w="490" w:type="pct"/>
            <w:tcBorders>
              <w:top w:val="single" w:color="auto" w:sz="4" w:space="0"/>
              <w:left w:val="single" w:color="auto" w:sz="4" w:space="0"/>
              <w:bottom w:val="single" w:color="auto" w:sz="4" w:space="0"/>
              <w:right w:val="single" w:color="auto" w:sz="4" w:space="0"/>
            </w:tcBorders>
            <w:vAlign w:val="center"/>
          </w:tcPr>
          <w:p w14:paraId="36DB11DE">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26</w:t>
            </w:r>
          </w:p>
        </w:tc>
        <w:tc>
          <w:tcPr>
            <w:tcW w:w="861" w:type="pct"/>
            <w:tcBorders>
              <w:top w:val="single" w:color="auto" w:sz="4" w:space="0"/>
              <w:left w:val="single" w:color="auto" w:sz="4" w:space="0"/>
              <w:bottom w:val="single" w:color="auto" w:sz="4" w:space="0"/>
              <w:right w:val="single" w:color="auto" w:sz="4" w:space="0"/>
            </w:tcBorders>
            <w:vAlign w:val="center"/>
          </w:tcPr>
          <w:p w14:paraId="138D1055">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开标评标办法</w:t>
            </w:r>
          </w:p>
        </w:tc>
        <w:tc>
          <w:tcPr>
            <w:tcW w:w="3300" w:type="pct"/>
            <w:tcBorders>
              <w:top w:val="single" w:color="auto" w:sz="4" w:space="0"/>
              <w:left w:val="single" w:color="auto" w:sz="4" w:space="0"/>
              <w:bottom w:val="single" w:color="auto" w:sz="4" w:space="0"/>
              <w:right w:val="double" w:color="auto" w:sz="4" w:space="0"/>
            </w:tcBorders>
            <w:vAlign w:val="center"/>
          </w:tcPr>
          <w:p w14:paraId="1594661D">
            <w:pPr>
              <w:pStyle w:val="19"/>
              <w:keepNext w:val="0"/>
              <w:keepLines w:val="0"/>
              <w:suppressLineNumbers w:val="0"/>
              <w:spacing w:before="0" w:beforeAutospacing="0" w:after="0" w:afterAutospacing="0"/>
              <w:ind w:left="0" w:right="0" w:firstLine="0"/>
              <w:rPr>
                <w:rFonts w:hint="default" w:ascii="宋体" w:hAnsi="宋体" w:cs="宋体"/>
                <w:color w:val="auto"/>
                <w:spacing w:val="-2"/>
                <w:kern w:val="2"/>
                <w:sz w:val="21"/>
                <w:szCs w:val="21"/>
                <w:highlight w:val="none"/>
                <w:u w:val="single"/>
              </w:rPr>
            </w:pPr>
            <w:r>
              <w:rPr>
                <w:rFonts w:hint="eastAsia" w:ascii="宋体" w:hAnsi="宋体" w:cs="宋体"/>
                <w:color w:val="auto"/>
                <w:kern w:val="2"/>
                <w:sz w:val="21"/>
                <w:szCs w:val="21"/>
                <w:highlight w:val="none"/>
              </w:rPr>
              <w:t>方式一：</w:t>
            </w:r>
            <w:r>
              <w:rPr>
                <w:rFonts w:hint="eastAsia" w:ascii="宋体" w:hAnsi="宋体" w:cs="宋体"/>
                <w:color w:val="auto"/>
                <w:spacing w:val="-2"/>
                <w:kern w:val="2"/>
                <w:sz w:val="21"/>
                <w:szCs w:val="21"/>
                <w:highlight w:val="none"/>
              </w:rPr>
              <w:t>选取方法</w:t>
            </w:r>
            <w:r>
              <w:rPr>
                <w:rFonts w:hint="eastAsia" w:ascii="宋体" w:hAnsi="宋体" w:cs="宋体"/>
                <w:color w:val="auto"/>
                <w:spacing w:val="-2"/>
                <w:kern w:val="2"/>
                <w:sz w:val="21"/>
                <w:szCs w:val="21"/>
                <w:highlight w:val="none"/>
                <w:u w:val="single"/>
              </w:rPr>
              <w:t>七（适合综合评分法四，技术标与经济标同时开启）</w:t>
            </w:r>
          </w:p>
          <w:p w14:paraId="22D9956A">
            <w:pPr>
              <w:pStyle w:val="19"/>
              <w:keepNext w:val="0"/>
              <w:keepLines w:val="0"/>
              <w:suppressLineNumbers w:val="0"/>
              <w:spacing w:before="0" w:beforeAutospacing="0" w:after="0" w:afterAutospacing="0"/>
              <w:ind w:left="0" w:right="0" w:firstLine="0"/>
              <w:rPr>
                <w:rFonts w:hint="default" w:ascii="宋体" w:hAnsi="宋体" w:cs="宋体"/>
                <w:b/>
                <w:bCs/>
                <w:color w:val="auto"/>
                <w:spacing w:val="-2"/>
                <w:kern w:val="2"/>
                <w:sz w:val="28"/>
                <w:szCs w:val="28"/>
                <w:highlight w:val="none"/>
                <w:u w:val="thick"/>
              </w:rPr>
            </w:pPr>
            <w:r>
              <w:rPr>
                <w:rFonts w:hint="eastAsia" w:ascii="宋体" w:hAnsi="宋体" w:cs="宋体"/>
                <w:color w:val="auto"/>
                <w:spacing w:val="-2"/>
                <w:kern w:val="2"/>
                <w:sz w:val="21"/>
                <w:szCs w:val="21"/>
                <w:highlight w:val="none"/>
                <w:u w:val="single"/>
              </w:rPr>
              <w:t>投标人总得分=技术得分（满分100分）×</w:t>
            </w:r>
            <w:r>
              <w:rPr>
                <w:rFonts w:hint="eastAsia" w:ascii="宋体" w:hAnsi="宋体" w:cs="宋体"/>
                <w:color w:val="auto"/>
                <w:spacing w:val="-2"/>
                <w:kern w:val="2"/>
                <w:sz w:val="21"/>
                <w:szCs w:val="21"/>
                <w:highlight w:val="none"/>
                <w:u w:val="single"/>
                <w:lang w:val="en-US" w:eastAsia="zh-CN"/>
              </w:rPr>
              <w:t>20%</w:t>
            </w:r>
            <w:r>
              <w:rPr>
                <w:rFonts w:hint="eastAsia" w:ascii="宋体" w:hAnsi="宋体" w:cs="宋体"/>
                <w:color w:val="auto"/>
                <w:spacing w:val="-2"/>
                <w:kern w:val="2"/>
                <w:sz w:val="21"/>
                <w:szCs w:val="21"/>
                <w:highlight w:val="none"/>
                <w:u w:val="single"/>
              </w:rPr>
              <w:t>＋经济得分（满分100分）×</w:t>
            </w:r>
            <w:r>
              <w:rPr>
                <w:rFonts w:hint="eastAsia" w:ascii="宋体" w:hAnsi="宋体" w:cs="宋体"/>
                <w:color w:val="auto"/>
                <w:spacing w:val="-2"/>
                <w:kern w:val="2"/>
                <w:sz w:val="21"/>
                <w:szCs w:val="21"/>
                <w:highlight w:val="none"/>
                <w:u w:val="single"/>
                <w:lang w:val="en-US" w:eastAsia="zh-CN"/>
              </w:rPr>
              <w:t>75%</w:t>
            </w:r>
            <w:r>
              <w:rPr>
                <w:rFonts w:hint="eastAsia" w:ascii="宋体" w:hAnsi="宋体" w:cs="宋体"/>
                <w:color w:val="auto"/>
                <w:spacing w:val="-2"/>
                <w:kern w:val="2"/>
                <w:sz w:val="21"/>
                <w:szCs w:val="21"/>
                <w:highlight w:val="none"/>
                <w:u w:val="single"/>
              </w:rPr>
              <w:t>＋综合诚信评价排名得分×</w:t>
            </w:r>
            <w:r>
              <w:rPr>
                <w:rFonts w:hint="eastAsia" w:ascii="宋体" w:hAnsi="宋体" w:cs="宋体"/>
                <w:color w:val="auto"/>
                <w:spacing w:val="-2"/>
                <w:kern w:val="2"/>
                <w:sz w:val="21"/>
                <w:szCs w:val="21"/>
                <w:highlight w:val="none"/>
                <w:u w:val="single"/>
                <w:lang w:val="en-US" w:eastAsia="zh-CN"/>
              </w:rPr>
              <w:t>5%</w:t>
            </w:r>
          </w:p>
          <w:p w14:paraId="25AB37EC">
            <w:pPr>
              <w:pStyle w:val="19"/>
              <w:keepNext w:val="0"/>
              <w:keepLines w:val="0"/>
              <w:suppressLineNumbers w:val="0"/>
              <w:spacing w:before="0" w:beforeAutospacing="0" w:after="0" w:afterAutospacing="0"/>
              <w:ind w:left="0" w:right="0" w:firstLine="0"/>
              <w:rPr>
                <w:rFonts w:hint="default" w:ascii="宋体" w:hAnsi="宋体" w:cs="宋体"/>
                <w:color w:val="auto"/>
                <w:kern w:val="2"/>
                <w:sz w:val="21"/>
                <w:szCs w:val="21"/>
                <w:highlight w:val="none"/>
              </w:rPr>
            </w:pPr>
            <w:r>
              <w:rPr>
                <w:rFonts w:hint="eastAsia" w:ascii="宋体" w:hAnsi="宋体" w:cs="宋体"/>
                <w:color w:val="auto"/>
                <w:spacing w:val="-2"/>
                <w:kern w:val="2"/>
                <w:sz w:val="21"/>
                <w:szCs w:val="21"/>
                <w:highlight w:val="none"/>
                <w:u w:val="single"/>
              </w:rPr>
              <w:t>总得分相同的投标文件，以技术分较高的排前；如仍存在相同情况，则对具有相同情况的投标人，由评标委员会采用记名投票方式，以得票多的排前。</w:t>
            </w:r>
          </w:p>
        </w:tc>
      </w:tr>
      <w:tr w14:paraId="24FA7E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18032E9D">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20</w:t>
            </w:r>
          </w:p>
        </w:tc>
        <w:tc>
          <w:tcPr>
            <w:tcW w:w="490" w:type="pct"/>
            <w:tcBorders>
              <w:top w:val="single" w:color="auto" w:sz="4" w:space="0"/>
              <w:left w:val="single" w:color="auto" w:sz="4" w:space="0"/>
              <w:bottom w:val="single" w:color="auto" w:sz="4" w:space="0"/>
              <w:right w:val="single" w:color="auto" w:sz="4" w:space="0"/>
            </w:tcBorders>
            <w:vAlign w:val="center"/>
          </w:tcPr>
          <w:p w14:paraId="58C856B8">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29.1</w:t>
            </w:r>
          </w:p>
        </w:tc>
        <w:tc>
          <w:tcPr>
            <w:tcW w:w="861" w:type="pct"/>
            <w:tcBorders>
              <w:top w:val="single" w:color="auto" w:sz="4" w:space="0"/>
              <w:left w:val="single" w:color="auto" w:sz="4" w:space="0"/>
              <w:bottom w:val="single" w:color="auto" w:sz="4" w:space="0"/>
              <w:right w:val="single" w:color="auto" w:sz="4" w:space="0"/>
            </w:tcBorders>
            <w:vAlign w:val="center"/>
          </w:tcPr>
          <w:p w14:paraId="0C07BF95">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履约担保</w:t>
            </w:r>
          </w:p>
        </w:tc>
        <w:tc>
          <w:tcPr>
            <w:tcW w:w="3300" w:type="pct"/>
            <w:tcBorders>
              <w:top w:val="single" w:color="auto" w:sz="4" w:space="0"/>
              <w:left w:val="single" w:color="auto" w:sz="4" w:space="0"/>
              <w:bottom w:val="single" w:color="auto" w:sz="4" w:space="0"/>
              <w:right w:val="double" w:color="auto" w:sz="4" w:space="0"/>
            </w:tcBorders>
            <w:vAlign w:val="center"/>
          </w:tcPr>
          <w:p w14:paraId="40D1F79C">
            <w:pPr>
              <w:pStyle w:val="19"/>
              <w:keepNext w:val="0"/>
              <w:keepLines w:val="0"/>
              <w:suppressLineNumbers w:val="0"/>
              <w:spacing w:before="0" w:beforeAutospacing="0" w:after="0" w:afterAutospacing="0"/>
              <w:ind w:left="0" w:right="0" w:firstLine="0"/>
              <w:rPr>
                <w:rFonts w:hint="default" w:ascii="宋体" w:hAnsi="宋体" w:cs="宋体"/>
                <w:color w:val="auto"/>
                <w:kern w:val="2"/>
                <w:sz w:val="21"/>
                <w:szCs w:val="21"/>
                <w:highlight w:val="none"/>
              </w:rPr>
            </w:pPr>
            <w:r>
              <w:rPr>
                <w:rFonts w:hint="eastAsia" w:ascii="宋体" w:hAnsi="宋体" w:cs="宋体"/>
                <w:color w:val="auto"/>
                <w:kern w:val="2"/>
                <w:sz w:val="21"/>
                <w:szCs w:val="21"/>
                <w:highlight w:val="none"/>
              </w:rPr>
              <w:t>中标人提供的履约保证金金额为中标价款的</w:t>
            </w:r>
            <w:r>
              <w:rPr>
                <w:rFonts w:hint="eastAsia" w:ascii="宋体" w:hAnsi="宋体" w:cs="宋体"/>
                <w:color w:val="auto"/>
                <w:kern w:val="2"/>
                <w:sz w:val="21"/>
                <w:szCs w:val="21"/>
                <w:highlight w:val="none"/>
                <w:u w:val="single"/>
                <w:lang w:val="en-US" w:eastAsia="zh-CN"/>
              </w:rPr>
              <w:t>10</w:t>
            </w:r>
            <w:r>
              <w:rPr>
                <w:rFonts w:hint="eastAsia" w:ascii="宋体" w:hAnsi="宋体" w:cs="宋体"/>
                <w:color w:val="auto"/>
                <w:kern w:val="2"/>
                <w:sz w:val="21"/>
                <w:szCs w:val="21"/>
                <w:highlight w:val="none"/>
              </w:rPr>
              <w:t>%。</w:t>
            </w:r>
          </w:p>
        </w:tc>
      </w:tr>
      <w:tr w14:paraId="7A19BA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0515DC31">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21</w:t>
            </w:r>
          </w:p>
        </w:tc>
        <w:tc>
          <w:tcPr>
            <w:tcW w:w="490" w:type="pct"/>
            <w:tcBorders>
              <w:top w:val="single" w:color="auto" w:sz="4" w:space="0"/>
              <w:left w:val="single" w:color="auto" w:sz="4" w:space="0"/>
              <w:bottom w:val="single" w:color="auto" w:sz="4" w:space="0"/>
              <w:right w:val="single" w:color="auto" w:sz="4" w:space="0"/>
            </w:tcBorders>
            <w:vAlign w:val="center"/>
          </w:tcPr>
          <w:p w14:paraId="27A87CED">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55C7FDEA">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最高投标限价</w:t>
            </w:r>
          </w:p>
        </w:tc>
        <w:tc>
          <w:tcPr>
            <w:tcW w:w="3300" w:type="pct"/>
            <w:tcBorders>
              <w:top w:val="single" w:color="auto" w:sz="4" w:space="0"/>
              <w:left w:val="single" w:color="auto" w:sz="4" w:space="0"/>
              <w:bottom w:val="single" w:color="auto" w:sz="4" w:space="0"/>
              <w:right w:val="double" w:color="auto" w:sz="4" w:space="0"/>
            </w:tcBorders>
            <w:vAlign w:val="center"/>
          </w:tcPr>
          <w:p w14:paraId="494186EA">
            <w:pPr>
              <w:keepNext w:val="0"/>
              <w:keepLines w:val="0"/>
              <w:suppressLineNumbers w:val="0"/>
              <w:spacing w:before="0" w:beforeAutospacing="0" w:after="0" w:afterAutospacing="0"/>
              <w:ind w:left="0" w:right="0"/>
              <w:rPr>
                <w:rFonts w:hint="default" w:eastAsia="宋体" w:cs="宋体"/>
                <w:color w:val="auto"/>
                <w:szCs w:val="21"/>
                <w:highlight w:val="none"/>
                <w:lang w:eastAsia="zh-CN"/>
              </w:rPr>
            </w:pPr>
            <w:r>
              <w:rPr>
                <w:rFonts w:hint="eastAsia" w:cs="宋体"/>
                <w:color w:val="auto"/>
                <w:szCs w:val="21"/>
                <w:highlight w:val="none"/>
              </w:rPr>
              <w:t>本项目最高投标限价为</w:t>
            </w:r>
            <w:r>
              <w:rPr>
                <w:rFonts w:hint="eastAsia" w:cs="宋体"/>
                <w:color w:val="auto"/>
                <w:szCs w:val="21"/>
                <w:highlight w:val="none"/>
                <w:u w:val="single"/>
                <w:lang w:val="en-US" w:eastAsia="zh-CN"/>
              </w:rPr>
              <w:t>133149542.23</w:t>
            </w:r>
            <w:r>
              <w:rPr>
                <w:rFonts w:hint="eastAsia" w:cs="宋体"/>
                <w:color w:val="auto"/>
                <w:szCs w:val="21"/>
                <w:highlight w:val="none"/>
              </w:rPr>
              <w:t>人民币</w:t>
            </w:r>
            <w:r>
              <w:rPr>
                <w:rFonts w:hint="default" w:cs="宋体"/>
                <w:color w:val="auto"/>
                <w:szCs w:val="21"/>
                <w:highlight w:val="none"/>
              </w:rPr>
              <w:t>元</w:t>
            </w:r>
            <w:r>
              <w:rPr>
                <w:rFonts w:hint="eastAsia" w:cs="宋体"/>
                <w:color w:val="auto"/>
                <w:szCs w:val="21"/>
                <w:highlight w:val="none"/>
                <w:lang w:eastAsia="zh-CN"/>
              </w:rPr>
              <w:t>。</w:t>
            </w:r>
          </w:p>
          <w:p w14:paraId="5758CAD6">
            <w:pPr>
              <w:keepNext w:val="0"/>
              <w:keepLines w:val="0"/>
              <w:suppressLineNumbers w:val="0"/>
              <w:spacing w:before="0" w:beforeAutospacing="0" w:after="0" w:afterAutospacing="0"/>
              <w:ind w:left="0" w:right="0"/>
              <w:rPr>
                <w:rFonts w:hint="default" w:cs="宋体"/>
                <w:color w:val="auto"/>
                <w:szCs w:val="21"/>
                <w:highlight w:val="none"/>
              </w:rPr>
            </w:pPr>
            <w:r>
              <w:rPr>
                <w:rFonts w:hint="default" w:cs="宋体"/>
                <w:color w:val="auto"/>
                <w:szCs w:val="21"/>
                <w:highlight w:val="none"/>
              </w:rPr>
              <w:t>本项目实行双限价，即:投标人的投标报价及综合单价都不能超过招标人公布的最高投标限价或最高综合单价限价，具体详见最高投标限价公布函及工程量清单投标报价超过最高投标限价的投标文件将被拒绝</w:t>
            </w:r>
            <w:r>
              <w:rPr>
                <w:rFonts w:hint="eastAsia" w:cs="宋体"/>
                <w:color w:val="auto"/>
                <w:szCs w:val="21"/>
                <w:highlight w:val="none"/>
                <w:lang w:eastAsia="zh-CN"/>
              </w:rPr>
              <w:t>。</w:t>
            </w:r>
            <w:r>
              <w:rPr>
                <w:rFonts w:hint="eastAsia" w:cs="宋体"/>
                <w:color w:val="auto"/>
                <w:szCs w:val="21"/>
                <w:highlight w:val="none"/>
                <w:lang w:val="en-US" w:eastAsia="zh-CN"/>
              </w:rPr>
              <w:t>注</w:t>
            </w:r>
            <w:r>
              <w:rPr>
                <w:rFonts w:hint="default" w:cs="宋体"/>
                <w:color w:val="auto"/>
                <w:szCs w:val="21"/>
                <w:highlight w:val="none"/>
              </w:rPr>
              <w:t>:综合单价超过对应的最高综合单价限价的投标文件将被拒绝。</w:t>
            </w:r>
          </w:p>
        </w:tc>
      </w:tr>
      <w:tr w14:paraId="7067D6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13565AA2">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22</w:t>
            </w:r>
          </w:p>
        </w:tc>
        <w:tc>
          <w:tcPr>
            <w:tcW w:w="490" w:type="pct"/>
            <w:tcBorders>
              <w:top w:val="single" w:color="auto" w:sz="4" w:space="0"/>
              <w:left w:val="single" w:color="auto" w:sz="4" w:space="0"/>
              <w:bottom w:val="single" w:color="auto" w:sz="4" w:space="0"/>
              <w:right w:val="single" w:color="auto" w:sz="4" w:space="0"/>
            </w:tcBorders>
            <w:vAlign w:val="center"/>
          </w:tcPr>
          <w:p w14:paraId="6C31AAA0">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7EE748F6">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非竞争费用</w:t>
            </w:r>
          </w:p>
        </w:tc>
        <w:tc>
          <w:tcPr>
            <w:tcW w:w="3300" w:type="pct"/>
            <w:tcBorders>
              <w:top w:val="single" w:color="auto" w:sz="4" w:space="0"/>
              <w:left w:val="single" w:color="auto" w:sz="4" w:space="0"/>
              <w:bottom w:val="single" w:color="auto" w:sz="4" w:space="0"/>
              <w:right w:val="double" w:color="auto" w:sz="4" w:space="0"/>
            </w:tcBorders>
            <w:vAlign w:val="center"/>
          </w:tcPr>
          <w:p w14:paraId="69B1783E">
            <w:pPr>
              <w:keepNext w:val="0"/>
              <w:keepLines w:val="0"/>
              <w:suppressLineNumbers w:val="0"/>
              <w:spacing w:before="0" w:beforeAutospacing="0" w:after="0" w:afterAutospacing="0"/>
              <w:ind w:left="840" w:right="0" w:hanging="840" w:hangingChars="400"/>
              <w:rPr>
                <w:rFonts w:hint="eastAsia" w:cs="宋体"/>
                <w:color w:val="auto"/>
                <w:szCs w:val="21"/>
                <w:highlight w:val="none"/>
                <w:lang w:eastAsia="zh-CN"/>
              </w:rPr>
            </w:pPr>
            <w:r>
              <w:rPr>
                <w:rFonts w:hint="eastAsia" w:cs="宋体"/>
                <w:color w:val="auto"/>
                <w:szCs w:val="21"/>
                <w:highlight w:val="none"/>
              </w:rPr>
              <w:t>本项目安全</w:t>
            </w:r>
            <w:r>
              <w:rPr>
                <w:rFonts w:hint="eastAsia" w:cs="宋体"/>
                <w:color w:val="auto"/>
                <w:szCs w:val="21"/>
                <w:highlight w:val="none"/>
                <w:lang w:val="en-US" w:eastAsia="zh-CN"/>
              </w:rPr>
              <w:t>生产</w:t>
            </w:r>
            <w:r>
              <w:rPr>
                <w:rFonts w:hint="eastAsia" w:cs="宋体"/>
                <w:color w:val="auto"/>
                <w:szCs w:val="21"/>
                <w:highlight w:val="none"/>
              </w:rPr>
              <w:t>措施费为</w:t>
            </w:r>
            <w:r>
              <w:rPr>
                <w:rFonts w:hint="eastAsia" w:cs="宋体"/>
                <w:color w:val="auto"/>
                <w:szCs w:val="21"/>
                <w:highlight w:val="none"/>
                <w:u w:val="single"/>
                <w:lang w:val="en-US" w:eastAsia="zh-CN"/>
              </w:rPr>
              <w:t>2745879.38</w:t>
            </w:r>
            <w:r>
              <w:rPr>
                <w:rFonts w:hint="eastAsia" w:cs="宋体"/>
                <w:color w:val="auto"/>
                <w:szCs w:val="21"/>
                <w:highlight w:val="none"/>
              </w:rPr>
              <w:t>元</w:t>
            </w:r>
            <w:r>
              <w:rPr>
                <w:rFonts w:hint="eastAsia" w:cs="宋体"/>
                <w:color w:val="auto"/>
                <w:szCs w:val="21"/>
                <w:highlight w:val="none"/>
                <w:lang w:eastAsia="zh-CN"/>
              </w:rPr>
              <w:t>，</w:t>
            </w:r>
          </w:p>
          <w:p w14:paraId="1A592A88">
            <w:pPr>
              <w:keepNext w:val="0"/>
              <w:keepLines w:val="0"/>
              <w:suppressLineNumbers w:val="0"/>
              <w:spacing w:before="0" w:beforeAutospacing="0" w:after="0" w:afterAutospacing="0"/>
              <w:ind w:left="840" w:right="0" w:hanging="840" w:hangingChars="400"/>
              <w:rPr>
                <w:rFonts w:hint="default" w:cs="宋体"/>
                <w:color w:val="auto"/>
                <w:szCs w:val="21"/>
                <w:highlight w:val="none"/>
              </w:rPr>
            </w:pPr>
            <w:r>
              <w:rPr>
                <w:rFonts w:hint="eastAsia" w:cs="宋体"/>
                <w:color w:val="auto"/>
                <w:szCs w:val="21"/>
                <w:highlight w:val="none"/>
              </w:rPr>
              <w:t>暂列金额为</w:t>
            </w:r>
            <w:r>
              <w:rPr>
                <w:rFonts w:hint="eastAsia" w:cs="宋体"/>
                <w:color w:val="auto"/>
                <w:szCs w:val="21"/>
                <w:highlight w:val="none"/>
                <w:u w:val="single"/>
                <w:lang w:val="en-US" w:eastAsia="zh-CN"/>
              </w:rPr>
              <w:t>10423514.69</w:t>
            </w:r>
            <w:r>
              <w:rPr>
                <w:rFonts w:hint="eastAsia" w:cs="宋体"/>
                <w:color w:val="auto"/>
                <w:szCs w:val="21"/>
                <w:highlight w:val="none"/>
              </w:rPr>
              <w:t>元，暂估价为</w:t>
            </w:r>
            <w:r>
              <w:rPr>
                <w:rFonts w:hint="eastAsia" w:cs="宋体"/>
                <w:color w:val="auto"/>
                <w:szCs w:val="21"/>
                <w:highlight w:val="none"/>
                <w:u w:val="single"/>
                <w:lang w:val="en-US" w:eastAsia="zh-CN"/>
              </w:rPr>
              <w:t xml:space="preserve"> 0 </w:t>
            </w:r>
            <w:r>
              <w:rPr>
                <w:rFonts w:hint="eastAsia" w:cs="宋体"/>
                <w:color w:val="auto"/>
                <w:szCs w:val="21"/>
                <w:highlight w:val="none"/>
              </w:rPr>
              <w:t>元。（未按招标文件规定的金额填写的，由评标委员会按照招标文件规定的金额进行修正）</w:t>
            </w:r>
          </w:p>
        </w:tc>
      </w:tr>
      <w:tr w14:paraId="5BF831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5B601AF8">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23</w:t>
            </w:r>
          </w:p>
        </w:tc>
        <w:tc>
          <w:tcPr>
            <w:tcW w:w="490" w:type="pct"/>
            <w:tcBorders>
              <w:top w:val="single" w:color="auto" w:sz="4" w:space="0"/>
              <w:left w:val="single" w:color="auto" w:sz="4" w:space="0"/>
              <w:bottom w:val="single" w:color="auto" w:sz="4" w:space="0"/>
              <w:right w:val="single" w:color="auto" w:sz="4" w:space="0"/>
            </w:tcBorders>
            <w:vAlign w:val="center"/>
          </w:tcPr>
          <w:p w14:paraId="738D8A2F">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5F6BA7F9">
            <w:pPr>
              <w:pStyle w:val="19"/>
              <w:keepNext w:val="0"/>
              <w:keepLines w:val="0"/>
              <w:suppressLineNumbers w:val="0"/>
              <w:spacing w:before="0" w:beforeAutospacing="0" w:after="0" w:afterAutospacing="0"/>
              <w:ind w:left="0" w:right="0" w:firstLine="0"/>
              <w:rPr>
                <w:rFonts w:hint="default" w:ascii="宋体" w:hAnsi="宋体" w:cs="宋体"/>
                <w:color w:val="auto"/>
                <w:kern w:val="2"/>
                <w:sz w:val="21"/>
                <w:szCs w:val="21"/>
                <w:highlight w:val="none"/>
              </w:rPr>
            </w:pPr>
            <w:r>
              <w:rPr>
                <w:rFonts w:hint="eastAsia" w:ascii="宋体" w:hAnsi="宋体" w:cs="宋体"/>
                <w:color w:val="auto"/>
                <w:kern w:val="2"/>
                <w:sz w:val="21"/>
                <w:szCs w:val="21"/>
                <w:highlight w:val="none"/>
              </w:rPr>
              <w:t>保修期</w:t>
            </w:r>
          </w:p>
        </w:tc>
        <w:tc>
          <w:tcPr>
            <w:tcW w:w="3300" w:type="pct"/>
            <w:tcBorders>
              <w:top w:val="single" w:color="auto" w:sz="4" w:space="0"/>
              <w:left w:val="single" w:color="auto" w:sz="4" w:space="0"/>
              <w:bottom w:val="single" w:color="auto" w:sz="4" w:space="0"/>
              <w:right w:val="double" w:color="auto" w:sz="4" w:space="0"/>
            </w:tcBorders>
            <w:vAlign w:val="center"/>
          </w:tcPr>
          <w:p w14:paraId="1C2A9202">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按照合同约定。</w:t>
            </w:r>
          </w:p>
        </w:tc>
      </w:tr>
      <w:tr w14:paraId="323DDE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0F8D3B3F">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24</w:t>
            </w:r>
          </w:p>
        </w:tc>
        <w:tc>
          <w:tcPr>
            <w:tcW w:w="490" w:type="pct"/>
            <w:tcBorders>
              <w:top w:val="single" w:color="auto" w:sz="4" w:space="0"/>
              <w:left w:val="single" w:color="auto" w:sz="4" w:space="0"/>
              <w:bottom w:val="single" w:color="auto" w:sz="4" w:space="0"/>
              <w:right w:val="single" w:color="auto" w:sz="4" w:space="0"/>
            </w:tcBorders>
            <w:vAlign w:val="center"/>
          </w:tcPr>
          <w:p w14:paraId="608F8F47">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251424BE">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计算评标参考价的等分点值</w:t>
            </w:r>
          </w:p>
        </w:tc>
        <w:tc>
          <w:tcPr>
            <w:tcW w:w="3300" w:type="pct"/>
            <w:tcBorders>
              <w:top w:val="single" w:color="auto" w:sz="4" w:space="0"/>
              <w:left w:val="single" w:color="auto" w:sz="4" w:space="0"/>
              <w:bottom w:val="single" w:color="auto" w:sz="4" w:space="0"/>
              <w:right w:val="double" w:color="auto" w:sz="4" w:space="0"/>
            </w:tcBorders>
            <w:vAlign w:val="center"/>
          </w:tcPr>
          <w:p w14:paraId="30E712D9">
            <w:pPr>
              <w:keepNext w:val="0"/>
              <w:keepLines w:val="0"/>
              <w:suppressLineNumbers w:val="0"/>
              <w:spacing w:before="0" w:beforeAutospacing="0" w:after="0" w:afterAutospacing="0"/>
              <w:ind w:left="0" w:right="0"/>
              <w:rPr>
                <w:rFonts w:hint="default" w:cs="宋体"/>
                <w:color w:val="auto"/>
                <w:szCs w:val="21"/>
                <w:highlight w:val="none"/>
              </w:rPr>
            </w:pPr>
            <w:r>
              <w:rPr>
                <w:rFonts w:hint="eastAsia" w:ascii="宋体" w:hAnsi="宋体"/>
                <w:color w:val="auto"/>
                <w:szCs w:val="21"/>
                <w:highlight w:val="none"/>
              </w:rPr>
              <w:t>计算评标参考价的等分点值</w:t>
            </w:r>
            <w:r>
              <w:rPr>
                <w:rFonts w:hint="default" w:ascii="宋体" w:hAnsi="宋体"/>
                <w:color w:val="auto"/>
                <w:szCs w:val="21"/>
                <w:highlight w:val="none"/>
              </w:rPr>
              <w:t>X</w:t>
            </w:r>
            <w:r>
              <w:rPr>
                <w:rFonts w:hint="eastAsia" w:ascii="宋体" w:hAnsi="宋体"/>
                <w:color w:val="auto"/>
                <w:szCs w:val="21"/>
                <w:highlight w:val="none"/>
              </w:rPr>
              <w:t>在开标前从[0,100]的整数中随机抽取。</w:t>
            </w:r>
          </w:p>
        </w:tc>
      </w:tr>
      <w:tr w14:paraId="57B093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63FEF5C8">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25</w:t>
            </w:r>
          </w:p>
        </w:tc>
        <w:tc>
          <w:tcPr>
            <w:tcW w:w="490" w:type="pct"/>
            <w:tcBorders>
              <w:top w:val="single" w:color="auto" w:sz="4" w:space="0"/>
              <w:left w:val="single" w:color="auto" w:sz="4" w:space="0"/>
              <w:bottom w:val="single" w:color="auto" w:sz="4" w:space="0"/>
              <w:right w:val="single" w:color="auto" w:sz="4" w:space="0"/>
            </w:tcBorders>
            <w:vAlign w:val="center"/>
          </w:tcPr>
          <w:p w14:paraId="54735E2A">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089C2E3C">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进入第二阶段评审的家数</w:t>
            </w:r>
          </w:p>
        </w:tc>
        <w:tc>
          <w:tcPr>
            <w:tcW w:w="3300" w:type="pct"/>
            <w:tcBorders>
              <w:top w:val="single" w:color="auto" w:sz="4" w:space="0"/>
              <w:left w:val="single" w:color="auto" w:sz="4" w:space="0"/>
              <w:bottom w:val="single" w:color="auto" w:sz="4" w:space="0"/>
              <w:right w:val="double" w:color="auto" w:sz="4" w:space="0"/>
            </w:tcBorders>
            <w:vAlign w:val="center"/>
          </w:tcPr>
          <w:p w14:paraId="5FD33314">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本款不适用。</w:t>
            </w:r>
          </w:p>
        </w:tc>
      </w:tr>
      <w:tr w14:paraId="40876F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29FAC32F">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26</w:t>
            </w:r>
          </w:p>
        </w:tc>
        <w:tc>
          <w:tcPr>
            <w:tcW w:w="490" w:type="pct"/>
            <w:tcBorders>
              <w:top w:val="single" w:color="auto" w:sz="4" w:space="0"/>
              <w:left w:val="single" w:color="auto" w:sz="4" w:space="0"/>
              <w:bottom w:val="single" w:color="auto" w:sz="4" w:space="0"/>
              <w:right w:val="single" w:color="auto" w:sz="4" w:space="0"/>
            </w:tcBorders>
            <w:vAlign w:val="center"/>
          </w:tcPr>
          <w:p w14:paraId="1EF3DE88">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2D765D64">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工程成本警戒价</w:t>
            </w:r>
          </w:p>
        </w:tc>
        <w:tc>
          <w:tcPr>
            <w:tcW w:w="3300" w:type="pct"/>
            <w:tcBorders>
              <w:top w:val="single" w:color="auto" w:sz="4" w:space="0"/>
              <w:left w:val="single" w:color="auto" w:sz="4" w:space="0"/>
              <w:bottom w:val="single" w:color="auto" w:sz="4" w:space="0"/>
              <w:right w:val="double" w:color="auto" w:sz="4" w:space="0"/>
            </w:tcBorders>
            <w:vAlign w:val="center"/>
          </w:tcPr>
          <w:p w14:paraId="21F9BC14">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ascii="宋体" w:hAnsi="宋体" w:eastAsia="宋体" w:cs="宋体"/>
                <w:i w:val="0"/>
                <w:iCs w:val="0"/>
                <w:color w:val="FF0000"/>
                <w:kern w:val="0"/>
                <w:sz w:val="24"/>
                <w:szCs w:val="24"/>
                <w:u w:val="none"/>
                <w:lang w:val="en-US" w:eastAsia="zh-CN" w:bidi="ar"/>
              </w:rPr>
              <w:t>工程成本警戒价为</w:t>
            </w:r>
            <w:r>
              <w:rPr>
                <w:rStyle w:val="29"/>
                <w:b/>
                <w:bCs/>
                <w:color w:val="FF0000"/>
                <w:lang w:val="en-US" w:eastAsia="zh-CN" w:bidi="ar"/>
              </w:rPr>
              <w:t>119834588.00</w:t>
            </w:r>
            <w:r>
              <w:rPr>
                <w:rStyle w:val="30"/>
                <w:color w:val="FF0000"/>
                <w:lang w:val="en-US" w:eastAsia="zh-CN" w:bidi="ar"/>
              </w:rPr>
              <w:t>元(按最高投标限价的90%设置）。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r>
              <w:rPr>
                <w:rStyle w:val="30"/>
                <w:color w:val="FF0000"/>
                <w:lang w:val="en-US" w:eastAsia="zh-CN" w:bidi="ar"/>
              </w:rPr>
              <w:br w:type="textWrapping"/>
            </w:r>
            <w:r>
              <w:rPr>
                <w:rStyle w:val="30"/>
                <w:color w:val="FF0000"/>
                <w:lang w:val="en-US" w:eastAsia="zh-CN" w:bidi="ar"/>
              </w:rPr>
              <w:t>注：为充分体现招标人意愿及落实项目招标人负责制，警戒价由招标人决定。</w:t>
            </w:r>
          </w:p>
        </w:tc>
      </w:tr>
      <w:tr w14:paraId="470456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5E0D5CCC">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27</w:t>
            </w:r>
          </w:p>
        </w:tc>
        <w:tc>
          <w:tcPr>
            <w:tcW w:w="490" w:type="pct"/>
            <w:tcBorders>
              <w:top w:val="single" w:color="auto" w:sz="4" w:space="0"/>
              <w:left w:val="single" w:color="auto" w:sz="4" w:space="0"/>
              <w:bottom w:val="single" w:color="auto" w:sz="4" w:space="0"/>
              <w:right w:val="single" w:color="auto" w:sz="4" w:space="0"/>
            </w:tcBorders>
            <w:vAlign w:val="center"/>
          </w:tcPr>
          <w:p w14:paraId="46B49869">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2FFC9E39">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第一阶段各分值的权重</w:t>
            </w:r>
          </w:p>
        </w:tc>
        <w:tc>
          <w:tcPr>
            <w:tcW w:w="3300" w:type="pct"/>
            <w:tcBorders>
              <w:top w:val="single" w:color="auto" w:sz="4" w:space="0"/>
              <w:left w:val="single" w:color="auto" w:sz="4" w:space="0"/>
              <w:bottom w:val="single" w:color="auto" w:sz="4" w:space="0"/>
              <w:right w:val="double" w:color="auto" w:sz="4" w:space="0"/>
            </w:tcBorders>
            <w:vAlign w:val="center"/>
          </w:tcPr>
          <w:p w14:paraId="408822FC">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本项目不适用。</w:t>
            </w:r>
          </w:p>
        </w:tc>
      </w:tr>
      <w:tr w14:paraId="150DB5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48CDA6B3">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28</w:t>
            </w:r>
          </w:p>
        </w:tc>
        <w:tc>
          <w:tcPr>
            <w:tcW w:w="490" w:type="pct"/>
            <w:tcBorders>
              <w:top w:val="single" w:color="auto" w:sz="4" w:space="0"/>
              <w:left w:val="single" w:color="auto" w:sz="4" w:space="0"/>
              <w:bottom w:val="single" w:color="auto" w:sz="4" w:space="0"/>
              <w:right w:val="single" w:color="auto" w:sz="4" w:space="0"/>
            </w:tcBorders>
            <w:vAlign w:val="center"/>
          </w:tcPr>
          <w:p w14:paraId="50D8CCBB">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3F087992">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评标委员会人数</w:t>
            </w:r>
          </w:p>
        </w:tc>
        <w:tc>
          <w:tcPr>
            <w:tcW w:w="3300" w:type="pct"/>
            <w:tcBorders>
              <w:top w:val="single" w:color="auto" w:sz="4" w:space="0"/>
              <w:left w:val="single" w:color="auto" w:sz="4" w:space="0"/>
              <w:bottom w:val="single" w:color="auto" w:sz="4" w:space="0"/>
              <w:right w:val="double" w:color="auto" w:sz="4" w:space="0"/>
            </w:tcBorders>
            <w:vAlign w:val="center"/>
          </w:tcPr>
          <w:p w14:paraId="0A13541E">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评标委员会由招标人依法组建。</w:t>
            </w:r>
          </w:p>
        </w:tc>
      </w:tr>
      <w:tr w14:paraId="666B73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6589D7C7">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29</w:t>
            </w:r>
          </w:p>
        </w:tc>
        <w:tc>
          <w:tcPr>
            <w:tcW w:w="490" w:type="pct"/>
            <w:tcBorders>
              <w:top w:val="single" w:color="auto" w:sz="4" w:space="0"/>
              <w:left w:val="single" w:color="auto" w:sz="4" w:space="0"/>
              <w:bottom w:val="single" w:color="auto" w:sz="4" w:space="0"/>
              <w:right w:val="single" w:color="auto" w:sz="4" w:space="0"/>
            </w:tcBorders>
            <w:vAlign w:val="center"/>
          </w:tcPr>
          <w:p w14:paraId="37CC4037">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46E510EA">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企业综合诚信评价分数</w:t>
            </w:r>
          </w:p>
        </w:tc>
        <w:tc>
          <w:tcPr>
            <w:tcW w:w="3300" w:type="pct"/>
            <w:tcBorders>
              <w:top w:val="single" w:color="auto" w:sz="4" w:space="0"/>
              <w:left w:val="single" w:color="auto" w:sz="4" w:space="0"/>
              <w:bottom w:val="single" w:color="auto" w:sz="4" w:space="0"/>
              <w:right w:val="double" w:color="auto" w:sz="4" w:space="0"/>
            </w:tcBorders>
            <w:vAlign w:val="center"/>
          </w:tcPr>
          <w:p w14:paraId="6CFEC97D">
            <w:pPr>
              <w:pStyle w:val="5"/>
              <w:keepNext w:val="0"/>
              <w:keepLines w:val="0"/>
              <w:suppressLineNumbers w:val="0"/>
              <w:spacing w:before="0" w:beforeAutospacing="0" w:after="0" w:afterAutospacing="0"/>
              <w:ind w:left="0" w:right="0"/>
              <w:rPr>
                <w:rFonts w:hint="default"/>
                <w:color w:val="auto"/>
                <w:highlight w:val="none"/>
              </w:rPr>
            </w:pPr>
            <w:r>
              <w:rPr>
                <w:rFonts w:hint="eastAsia" w:ascii="宋体" w:hAnsi="宋体"/>
                <w:color w:val="auto"/>
                <w:szCs w:val="21"/>
                <w:highlight w:val="none"/>
              </w:rPr>
              <w:t>本项目的企业综合诚信评价分数，以广州市住房和城乡建设局（诚信综合评价专栏）公布的企业综合诚信排名为准。</w:t>
            </w:r>
          </w:p>
        </w:tc>
      </w:tr>
      <w:tr w14:paraId="488584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21E04F57">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30</w:t>
            </w:r>
          </w:p>
        </w:tc>
        <w:tc>
          <w:tcPr>
            <w:tcW w:w="490" w:type="pct"/>
            <w:tcBorders>
              <w:top w:val="single" w:color="auto" w:sz="4" w:space="0"/>
              <w:left w:val="single" w:color="auto" w:sz="4" w:space="0"/>
              <w:bottom w:val="single" w:color="auto" w:sz="4" w:space="0"/>
              <w:right w:val="single" w:color="auto" w:sz="4" w:space="0"/>
            </w:tcBorders>
            <w:vAlign w:val="center"/>
          </w:tcPr>
          <w:p w14:paraId="5BBE6964">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05C2F017">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第二阶段投标人名次的排序方法（适用于办法一、办法二）</w:t>
            </w:r>
          </w:p>
        </w:tc>
        <w:tc>
          <w:tcPr>
            <w:tcW w:w="3300" w:type="pct"/>
            <w:tcBorders>
              <w:top w:val="single" w:color="auto" w:sz="4" w:space="0"/>
              <w:left w:val="single" w:color="auto" w:sz="4" w:space="0"/>
              <w:bottom w:val="single" w:color="auto" w:sz="4" w:space="0"/>
              <w:right w:val="double" w:color="auto" w:sz="4" w:space="0"/>
            </w:tcBorders>
            <w:vAlign w:val="center"/>
          </w:tcPr>
          <w:p w14:paraId="023181A3">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本项目不适用。</w:t>
            </w:r>
          </w:p>
        </w:tc>
      </w:tr>
      <w:tr w14:paraId="06A884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74065048">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31</w:t>
            </w:r>
          </w:p>
        </w:tc>
        <w:tc>
          <w:tcPr>
            <w:tcW w:w="490" w:type="pct"/>
            <w:tcBorders>
              <w:top w:val="single" w:color="auto" w:sz="4" w:space="0"/>
              <w:left w:val="single" w:color="auto" w:sz="4" w:space="0"/>
              <w:bottom w:val="single" w:color="auto" w:sz="4" w:space="0"/>
              <w:right w:val="single" w:color="auto" w:sz="4" w:space="0"/>
            </w:tcBorders>
            <w:vAlign w:val="center"/>
          </w:tcPr>
          <w:p w14:paraId="327ADD68">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714B7DAC">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经济分相同情况下的排序方法（适用于办法三、办法四）</w:t>
            </w:r>
          </w:p>
        </w:tc>
        <w:tc>
          <w:tcPr>
            <w:tcW w:w="3300" w:type="pct"/>
            <w:tcBorders>
              <w:top w:val="single" w:color="auto" w:sz="4" w:space="0"/>
              <w:left w:val="single" w:color="auto" w:sz="4" w:space="0"/>
              <w:bottom w:val="single" w:color="auto" w:sz="4" w:space="0"/>
              <w:right w:val="double" w:color="auto" w:sz="4" w:space="0"/>
            </w:tcBorders>
            <w:vAlign w:val="center"/>
          </w:tcPr>
          <w:p w14:paraId="6CE257F6">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本项目不适用。</w:t>
            </w:r>
          </w:p>
        </w:tc>
      </w:tr>
      <w:tr w14:paraId="575087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359AD0DE">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32</w:t>
            </w:r>
          </w:p>
        </w:tc>
        <w:tc>
          <w:tcPr>
            <w:tcW w:w="490" w:type="pct"/>
            <w:tcBorders>
              <w:top w:val="single" w:color="auto" w:sz="4" w:space="0"/>
              <w:left w:val="single" w:color="auto" w:sz="4" w:space="0"/>
              <w:bottom w:val="single" w:color="auto" w:sz="4" w:space="0"/>
              <w:right w:val="single" w:color="auto" w:sz="4" w:space="0"/>
            </w:tcBorders>
            <w:vAlign w:val="center"/>
          </w:tcPr>
          <w:p w14:paraId="258EC4EF">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56D17DB6">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第二阶段投标人名次的排序方法（适用于办法五、办法六）</w:t>
            </w:r>
          </w:p>
        </w:tc>
        <w:tc>
          <w:tcPr>
            <w:tcW w:w="3300" w:type="pct"/>
            <w:tcBorders>
              <w:top w:val="single" w:color="auto" w:sz="4" w:space="0"/>
              <w:left w:val="single" w:color="auto" w:sz="4" w:space="0"/>
              <w:bottom w:val="single" w:color="auto" w:sz="4" w:space="0"/>
              <w:right w:val="double" w:color="auto" w:sz="4" w:space="0"/>
            </w:tcBorders>
            <w:vAlign w:val="center"/>
          </w:tcPr>
          <w:p w14:paraId="3B837538">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本款不适用。</w:t>
            </w:r>
          </w:p>
        </w:tc>
      </w:tr>
      <w:tr w14:paraId="2987F9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22E4F48F">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33</w:t>
            </w:r>
          </w:p>
        </w:tc>
        <w:tc>
          <w:tcPr>
            <w:tcW w:w="490" w:type="pct"/>
            <w:tcBorders>
              <w:top w:val="single" w:color="auto" w:sz="4" w:space="0"/>
              <w:left w:val="single" w:color="auto" w:sz="4" w:space="0"/>
              <w:bottom w:val="single" w:color="auto" w:sz="4" w:space="0"/>
              <w:right w:val="single" w:color="auto" w:sz="4" w:space="0"/>
            </w:tcBorders>
            <w:vAlign w:val="center"/>
          </w:tcPr>
          <w:p w14:paraId="23F4BC0E">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13.4、13.5.2</w:t>
            </w:r>
          </w:p>
        </w:tc>
        <w:tc>
          <w:tcPr>
            <w:tcW w:w="861" w:type="pct"/>
            <w:tcBorders>
              <w:top w:val="single" w:color="auto" w:sz="4" w:space="0"/>
              <w:left w:val="single" w:color="auto" w:sz="4" w:space="0"/>
              <w:bottom w:val="single" w:color="auto" w:sz="4" w:space="0"/>
              <w:right w:val="single" w:color="auto" w:sz="4" w:space="0"/>
            </w:tcBorders>
            <w:vAlign w:val="center"/>
          </w:tcPr>
          <w:p w14:paraId="0F5CECA7">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合同价款的调整办法</w:t>
            </w:r>
          </w:p>
        </w:tc>
        <w:tc>
          <w:tcPr>
            <w:tcW w:w="3300" w:type="pct"/>
            <w:tcBorders>
              <w:top w:val="single" w:color="auto" w:sz="4" w:space="0"/>
              <w:left w:val="single" w:color="auto" w:sz="4" w:space="0"/>
              <w:bottom w:val="single" w:color="auto" w:sz="4" w:space="0"/>
              <w:right w:val="double" w:color="auto" w:sz="4" w:space="0"/>
            </w:tcBorders>
            <w:vAlign w:val="center"/>
          </w:tcPr>
          <w:p w14:paraId="5D3AF06C">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u w:val="single"/>
              </w:rPr>
              <w:t>按合同条款相关约定调整。</w:t>
            </w:r>
          </w:p>
        </w:tc>
      </w:tr>
      <w:tr w14:paraId="33A056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264F223E">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34</w:t>
            </w:r>
          </w:p>
        </w:tc>
        <w:tc>
          <w:tcPr>
            <w:tcW w:w="490" w:type="pct"/>
            <w:tcBorders>
              <w:top w:val="single" w:color="auto" w:sz="4" w:space="0"/>
              <w:left w:val="single" w:color="auto" w:sz="4" w:space="0"/>
              <w:bottom w:val="single" w:color="auto" w:sz="4" w:space="0"/>
              <w:right w:val="single" w:color="auto" w:sz="4" w:space="0"/>
            </w:tcBorders>
            <w:vAlign w:val="center"/>
          </w:tcPr>
          <w:p w14:paraId="36486982">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3357A1D8">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建设工程质量检测单位</w:t>
            </w:r>
          </w:p>
        </w:tc>
        <w:tc>
          <w:tcPr>
            <w:tcW w:w="3300" w:type="pct"/>
            <w:tcBorders>
              <w:top w:val="single" w:color="auto" w:sz="4" w:space="0"/>
              <w:left w:val="single" w:color="auto" w:sz="4" w:space="0"/>
              <w:bottom w:val="single" w:color="auto" w:sz="4" w:space="0"/>
              <w:right w:val="double" w:color="auto" w:sz="4" w:space="0"/>
            </w:tcBorders>
            <w:vAlign w:val="center"/>
          </w:tcPr>
          <w:p w14:paraId="4D532B6E">
            <w:pPr>
              <w:keepNext w:val="0"/>
              <w:keepLines w:val="0"/>
              <w:suppressLineNumbers w:val="0"/>
              <w:spacing w:before="0" w:beforeAutospacing="0" w:after="0" w:afterAutospacing="0"/>
              <w:ind w:left="0" w:right="0"/>
              <w:rPr>
                <w:rFonts w:hint="default" w:cs="宋体"/>
                <w:color w:val="auto"/>
                <w:kern w:val="0"/>
                <w:szCs w:val="21"/>
                <w:highlight w:val="none"/>
                <w:lang w:val="zh-CN"/>
              </w:rPr>
            </w:pPr>
            <w:r>
              <w:rPr>
                <w:rFonts w:hint="eastAsia" w:cs="宋体"/>
                <w:color w:val="auto"/>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247262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67ABF248">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35</w:t>
            </w:r>
          </w:p>
        </w:tc>
        <w:tc>
          <w:tcPr>
            <w:tcW w:w="490" w:type="pct"/>
            <w:tcBorders>
              <w:top w:val="single" w:color="auto" w:sz="4" w:space="0"/>
              <w:left w:val="single" w:color="auto" w:sz="4" w:space="0"/>
              <w:bottom w:val="single" w:color="auto" w:sz="4" w:space="0"/>
              <w:right w:val="single" w:color="auto" w:sz="4" w:space="0"/>
            </w:tcBorders>
            <w:vAlign w:val="center"/>
          </w:tcPr>
          <w:p w14:paraId="090AA9D0">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1CC1C02C">
            <w:pPr>
              <w:keepNext w:val="0"/>
              <w:keepLines w:val="0"/>
              <w:suppressLineNumbers w:val="0"/>
              <w:spacing w:before="0" w:beforeAutospacing="0" w:after="0" w:afterAutospacing="0"/>
              <w:ind w:left="0" w:right="0"/>
              <w:rPr>
                <w:rFonts w:hint="default" w:cs="宋体"/>
                <w:color w:val="auto"/>
                <w:kern w:val="0"/>
                <w:szCs w:val="21"/>
                <w:highlight w:val="none"/>
                <w:lang w:val="zh-CN"/>
              </w:rPr>
            </w:pPr>
            <w:r>
              <w:rPr>
                <w:rFonts w:hint="eastAsia" w:cs="宋体"/>
                <w:color w:val="auto"/>
                <w:kern w:val="0"/>
                <w:szCs w:val="21"/>
                <w:highlight w:val="none"/>
                <w:lang w:val="zh-CN"/>
              </w:rPr>
              <w:t>分包</w:t>
            </w:r>
          </w:p>
        </w:tc>
        <w:tc>
          <w:tcPr>
            <w:tcW w:w="3300" w:type="pct"/>
            <w:tcBorders>
              <w:top w:val="single" w:color="auto" w:sz="4" w:space="0"/>
              <w:left w:val="single" w:color="auto" w:sz="4" w:space="0"/>
              <w:bottom w:val="single" w:color="auto" w:sz="4" w:space="0"/>
              <w:right w:val="double" w:color="auto" w:sz="4" w:space="0"/>
            </w:tcBorders>
            <w:vAlign w:val="center"/>
          </w:tcPr>
          <w:p w14:paraId="6E761B79">
            <w:pPr>
              <w:keepNext w:val="0"/>
              <w:keepLines w:val="0"/>
              <w:suppressLineNumbers w:val="0"/>
              <w:spacing w:before="0" w:beforeAutospacing="0" w:after="0" w:afterAutospacing="0"/>
              <w:ind w:left="0" w:right="0"/>
              <w:rPr>
                <w:rFonts w:hint="default" w:cs="宋体"/>
                <w:color w:val="auto"/>
                <w:kern w:val="0"/>
                <w:szCs w:val="21"/>
                <w:highlight w:val="none"/>
                <w:lang w:val="zh-CN"/>
              </w:rPr>
            </w:pPr>
            <w:r>
              <w:rPr>
                <w:rFonts w:hint="eastAsia" w:cs="宋体"/>
                <w:color w:val="auto"/>
                <w:kern w:val="0"/>
                <w:szCs w:val="21"/>
                <w:highlight w:val="none"/>
                <w:lang w:val="zh-CN"/>
              </w:rPr>
              <w:t>□不允许；</w:t>
            </w:r>
          </w:p>
          <w:p w14:paraId="4F1D1407">
            <w:pPr>
              <w:keepNext w:val="0"/>
              <w:keepLines w:val="0"/>
              <w:suppressLineNumbers w:val="0"/>
              <w:spacing w:before="0" w:beforeAutospacing="0" w:after="0" w:afterAutospacing="0"/>
              <w:ind w:left="0" w:right="0"/>
              <w:rPr>
                <w:rFonts w:hint="default" w:cs="宋体"/>
                <w:color w:val="auto"/>
                <w:kern w:val="0"/>
                <w:szCs w:val="21"/>
                <w:highlight w:val="none"/>
                <w:lang w:val="zh-CN"/>
              </w:rPr>
            </w:pPr>
            <w:r>
              <w:rPr>
                <w:rFonts w:hint="eastAsia" w:cs="宋体"/>
                <w:color w:val="auto"/>
                <w:kern w:val="0"/>
                <w:szCs w:val="21"/>
                <w:highlight w:val="none"/>
                <w:lang w:val="zh-CN"/>
              </w:rPr>
              <w:t>■允许：分包内容要要求：</w:t>
            </w:r>
            <w:r>
              <w:rPr>
                <w:rFonts w:hint="eastAsia" w:cs="宋体"/>
                <w:color w:val="auto"/>
                <w:kern w:val="0"/>
                <w:szCs w:val="21"/>
                <w:highlight w:val="none"/>
                <w:u w:val="single"/>
                <w:lang w:val="en-US" w:eastAsia="zh-CN"/>
              </w:rPr>
              <w:t>按行业主管部门要求分包</w:t>
            </w:r>
            <w:r>
              <w:rPr>
                <w:rFonts w:hint="eastAsia" w:cs="宋体"/>
                <w:color w:val="auto"/>
                <w:kern w:val="0"/>
                <w:szCs w:val="21"/>
                <w:highlight w:val="none"/>
                <w:u w:val="single"/>
                <w:lang w:val="zh-CN"/>
              </w:rPr>
              <w:t>。</w:t>
            </w:r>
          </w:p>
          <w:p w14:paraId="75E1F0A6">
            <w:pPr>
              <w:keepNext w:val="0"/>
              <w:keepLines w:val="0"/>
              <w:suppressLineNumbers w:val="0"/>
              <w:spacing w:before="0" w:beforeAutospacing="0" w:after="0" w:afterAutospacing="0"/>
              <w:ind w:left="0" w:right="0"/>
              <w:rPr>
                <w:rFonts w:hint="default" w:cs="宋体"/>
                <w:color w:val="auto"/>
                <w:kern w:val="0"/>
                <w:szCs w:val="21"/>
                <w:highlight w:val="none"/>
                <w:lang w:val="zh-CN"/>
              </w:rPr>
            </w:pPr>
            <w:r>
              <w:rPr>
                <w:rFonts w:hint="eastAsia" w:cs="宋体"/>
                <w:color w:val="auto"/>
                <w:kern w:val="0"/>
                <w:szCs w:val="21"/>
                <w:highlight w:val="none"/>
                <w:lang w:val="zh-CN"/>
              </w:rPr>
              <w:t>分包金额要求：</w:t>
            </w:r>
            <w:r>
              <w:rPr>
                <w:rFonts w:hint="eastAsia" w:cs="宋体"/>
                <w:color w:val="auto"/>
                <w:kern w:val="0"/>
                <w:szCs w:val="21"/>
                <w:highlight w:val="none"/>
                <w:u w:val="single"/>
                <w:lang w:val="en-US" w:eastAsia="zh-CN"/>
              </w:rPr>
              <w:t>按行业主管部门要求分包</w:t>
            </w:r>
            <w:r>
              <w:rPr>
                <w:rFonts w:hint="eastAsia" w:cs="宋体"/>
                <w:color w:val="auto"/>
                <w:kern w:val="0"/>
                <w:szCs w:val="21"/>
                <w:highlight w:val="none"/>
                <w:u w:val="single"/>
                <w:lang w:val="zh-CN"/>
              </w:rPr>
              <w:t>。</w:t>
            </w:r>
          </w:p>
          <w:p w14:paraId="2B5858BA">
            <w:pPr>
              <w:keepNext w:val="0"/>
              <w:keepLines w:val="0"/>
              <w:suppressLineNumbers w:val="0"/>
              <w:spacing w:before="0" w:beforeAutospacing="0" w:after="0" w:afterAutospacing="0"/>
              <w:ind w:left="0" w:right="0"/>
              <w:rPr>
                <w:rFonts w:hint="default" w:cs="宋体"/>
                <w:color w:val="auto"/>
                <w:kern w:val="0"/>
                <w:szCs w:val="21"/>
                <w:highlight w:val="none"/>
                <w:lang w:val="zh-CN"/>
              </w:rPr>
            </w:pPr>
            <w:r>
              <w:rPr>
                <w:rFonts w:hint="eastAsia" w:cs="宋体"/>
                <w:color w:val="auto"/>
                <w:kern w:val="0"/>
                <w:szCs w:val="21"/>
                <w:highlight w:val="none"/>
                <w:lang w:val="zh-CN"/>
              </w:rPr>
              <w:t>对分包人的资质要求：</w:t>
            </w:r>
            <w:r>
              <w:rPr>
                <w:rFonts w:hint="eastAsia" w:cs="宋体"/>
                <w:color w:val="auto"/>
                <w:kern w:val="0"/>
                <w:szCs w:val="21"/>
                <w:highlight w:val="none"/>
                <w:u w:val="single"/>
                <w:lang w:val="en-US" w:eastAsia="zh-CN"/>
              </w:rPr>
              <w:t>按行业主管部门要求分包</w:t>
            </w:r>
            <w:r>
              <w:rPr>
                <w:rFonts w:hint="eastAsia" w:cs="宋体"/>
                <w:color w:val="auto"/>
                <w:kern w:val="0"/>
                <w:szCs w:val="21"/>
                <w:highlight w:val="none"/>
                <w:u w:val="single"/>
                <w:lang w:val="zh-CN"/>
              </w:rPr>
              <w:t>。</w:t>
            </w:r>
          </w:p>
          <w:p w14:paraId="4FD6D631">
            <w:pPr>
              <w:keepNext w:val="0"/>
              <w:keepLines w:val="0"/>
              <w:suppressLineNumbers w:val="0"/>
              <w:spacing w:before="0" w:beforeAutospacing="0" w:after="0" w:afterAutospacing="0"/>
              <w:ind w:left="0" w:right="0"/>
              <w:rPr>
                <w:rFonts w:hint="default" w:cs="宋体"/>
                <w:color w:val="auto"/>
                <w:kern w:val="0"/>
                <w:szCs w:val="21"/>
                <w:highlight w:val="none"/>
                <w:lang w:val="zh-CN"/>
              </w:rPr>
            </w:pPr>
            <w:r>
              <w:rPr>
                <w:rFonts w:hint="eastAsia" w:cs="宋体"/>
                <w:color w:val="auto"/>
                <w:kern w:val="0"/>
                <w:szCs w:val="21"/>
                <w:highlight w:val="none"/>
                <w:lang w:val="zh-CN"/>
              </w:rPr>
              <w:t>对分包人的其他要求：</w:t>
            </w:r>
            <w:r>
              <w:rPr>
                <w:rFonts w:hint="eastAsia" w:cs="宋体"/>
                <w:color w:val="auto"/>
                <w:kern w:val="0"/>
                <w:szCs w:val="21"/>
                <w:highlight w:val="none"/>
                <w:u w:val="single"/>
                <w:lang w:val="en-US" w:eastAsia="zh-CN"/>
              </w:rPr>
              <w:t>按行业主管部门要求分包</w:t>
            </w:r>
            <w:r>
              <w:rPr>
                <w:rFonts w:hint="eastAsia" w:cs="宋体"/>
                <w:color w:val="auto"/>
                <w:kern w:val="0"/>
                <w:szCs w:val="21"/>
                <w:highlight w:val="none"/>
                <w:u w:val="single"/>
                <w:lang w:val="zh-CN"/>
              </w:rPr>
              <w:t>。</w:t>
            </w:r>
          </w:p>
        </w:tc>
      </w:tr>
      <w:tr w14:paraId="0345FD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690B26A8">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36</w:t>
            </w:r>
          </w:p>
        </w:tc>
        <w:tc>
          <w:tcPr>
            <w:tcW w:w="490" w:type="pct"/>
            <w:tcBorders>
              <w:top w:val="single" w:color="auto" w:sz="4" w:space="0"/>
              <w:left w:val="single" w:color="auto" w:sz="4" w:space="0"/>
              <w:bottom w:val="single" w:color="auto" w:sz="4" w:space="0"/>
              <w:right w:val="single" w:color="auto" w:sz="4" w:space="0"/>
            </w:tcBorders>
            <w:vAlign w:val="center"/>
          </w:tcPr>
          <w:p w14:paraId="101A856E">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15464F89">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电子招标投标解密失败及突发情况的补救</w:t>
            </w:r>
          </w:p>
        </w:tc>
        <w:tc>
          <w:tcPr>
            <w:tcW w:w="3300" w:type="pct"/>
            <w:tcBorders>
              <w:top w:val="single" w:color="auto" w:sz="4" w:space="0"/>
              <w:left w:val="single" w:color="auto" w:sz="4" w:space="0"/>
              <w:bottom w:val="single" w:color="auto" w:sz="4" w:space="0"/>
              <w:right w:val="double" w:color="auto" w:sz="4" w:space="0"/>
            </w:tcBorders>
            <w:vAlign w:val="center"/>
          </w:tcPr>
          <w:p w14:paraId="71626191">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1、按照交易平台关于全流程电子化项目的相关指南进行操作。详见：</w:t>
            </w:r>
            <w:r>
              <w:rPr>
                <w:rFonts w:hint="eastAsia" w:cs="宋体"/>
                <w:bCs/>
                <w:color w:val="auto"/>
                <w:kern w:val="0"/>
                <w:szCs w:val="21"/>
                <w:highlight w:val="none"/>
                <w:u w:val="single"/>
              </w:rPr>
              <w:t>广州交易集团有限公司（广州公共资源交易中心）网站发布的最新版操作指引</w:t>
            </w:r>
            <w:r>
              <w:rPr>
                <w:rFonts w:hint="eastAsia" w:cs="宋体"/>
                <w:color w:val="auto"/>
                <w:szCs w:val="21"/>
                <w:highlight w:val="none"/>
              </w:rPr>
              <w:t>。</w:t>
            </w:r>
          </w:p>
          <w:p w14:paraId="25D4A17C">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2、提交投标文件光盘备用</w:t>
            </w:r>
          </w:p>
          <w:p w14:paraId="3FA987A2">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5186E8F6">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3、补救方案</w:t>
            </w:r>
          </w:p>
          <w:p w14:paraId="7EEA5DF7">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（1）投标文件解密失败的补救方案：</w:t>
            </w:r>
          </w:p>
          <w:p w14:paraId="45BAF8F6">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35450B91">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（2）评标时突发情况的补救方案</w:t>
            </w:r>
          </w:p>
          <w:p w14:paraId="4A8D9DF5">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若遇不可抗力发生（指网络瘫痪、服务器损坏、交易系统故障短期无法恢复等因素），由评标委员会开启投标人递交的全部投标文件光盘，并按光盘内容进行评审。</w:t>
            </w:r>
          </w:p>
          <w:p w14:paraId="2EB92E4B">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（3）除发生上述情况外，开标评标均以投标人通过交易平台网上递交的电子投标文件为准。</w:t>
            </w:r>
          </w:p>
        </w:tc>
      </w:tr>
      <w:tr w14:paraId="6153A1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2033070B">
            <w:pPr>
              <w:keepNext w:val="0"/>
              <w:keepLines w:val="0"/>
              <w:suppressLineNumbers w:val="0"/>
              <w:spacing w:before="0" w:beforeAutospacing="0" w:after="0" w:afterAutospacing="0"/>
              <w:ind w:left="0" w:right="0"/>
              <w:jc w:val="center"/>
              <w:rPr>
                <w:rFonts w:hint="default" w:eastAsia="宋体" w:cs="宋体"/>
                <w:color w:val="auto"/>
                <w:szCs w:val="21"/>
                <w:highlight w:val="none"/>
                <w:lang w:val="en-US" w:eastAsia="zh-CN"/>
              </w:rPr>
            </w:pPr>
            <w:r>
              <w:rPr>
                <w:rFonts w:hint="eastAsia" w:cs="宋体"/>
                <w:color w:val="auto"/>
                <w:szCs w:val="21"/>
                <w:highlight w:val="none"/>
                <w:lang w:val="en-US" w:eastAsia="zh-CN"/>
              </w:rPr>
              <w:t>37</w:t>
            </w:r>
          </w:p>
        </w:tc>
        <w:tc>
          <w:tcPr>
            <w:tcW w:w="490" w:type="pct"/>
            <w:tcBorders>
              <w:top w:val="single" w:color="auto" w:sz="4" w:space="0"/>
              <w:left w:val="single" w:color="auto" w:sz="4" w:space="0"/>
              <w:bottom w:val="single" w:color="auto" w:sz="4" w:space="0"/>
              <w:right w:val="single" w:color="auto" w:sz="4" w:space="0"/>
            </w:tcBorders>
            <w:vAlign w:val="center"/>
          </w:tcPr>
          <w:p w14:paraId="4B792CD0">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117C67C7">
            <w:pPr>
              <w:keepNext w:val="0"/>
              <w:keepLines w:val="0"/>
              <w:suppressLineNumbers w:val="0"/>
              <w:spacing w:before="0" w:beforeAutospacing="0" w:after="0" w:afterAutospacing="0"/>
              <w:ind w:left="0" w:right="0"/>
              <w:jc w:val="center"/>
              <w:rPr>
                <w:rFonts w:hint="eastAsia" w:cs="宋体"/>
                <w:color w:val="auto"/>
                <w:szCs w:val="21"/>
                <w:highlight w:val="none"/>
              </w:rPr>
            </w:pPr>
            <w:r>
              <w:rPr>
                <w:rFonts w:hint="eastAsia" w:cs="宋体"/>
                <w:color w:val="auto"/>
                <w:szCs w:val="21"/>
                <w:highlight w:val="none"/>
              </w:rPr>
              <w:t>招标人对中标人参与“百千万工程”的具体要求</w:t>
            </w:r>
          </w:p>
        </w:tc>
        <w:tc>
          <w:tcPr>
            <w:tcW w:w="3300" w:type="pct"/>
            <w:tcBorders>
              <w:top w:val="single" w:color="auto" w:sz="4" w:space="0"/>
              <w:left w:val="single" w:color="auto" w:sz="4" w:space="0"/>
              <w:bottom w:val="single" w:color="auto" w:sz="4" w:space="0"/>
              <w:right w:val="double" w:color="auto" w:sz="4" w:space="0"/>
            </w:tcBorders>
            <w:vAlign w:val="center"/>
          </w:tcPr>
          <w:p w14:paraId="1AEB8856">
            <w:pPr>
              <w:keepNext w:val="0"/>
              <w:keepLines w:val="0"/>
              <w:suppressLineNumbers w:val="0"/>
              <w:spacing w:before="0" w:beforeAutospacing="0" w:after="0" w:afterAutospacing="0"/>
              <w:ind w:left="0" w:right="0"/>
              <w:rPr>
                <w:rFonts w:hint="eastAsia" w:cs="宋体"/>
                <w:color w:val="auto"/>
                <w:szCs w:val="21"/>
                <w:highlight w:val="none"/>
                <w:lang w:val="zh-CN"/>
              </w:rPr>
            </w:pPr>
            <w:r>
              <w:rPr>
                <w:rFonts w:hint="eastAsia" w:cs="宋体"/>
                <w:color w:val="auto"/>
                <w:szCs w:val="21"/>
                <w:highlight w:val="none"/>
                <w:lang w:val="zh-CN"/>
              </w:rPr>
              <w:t>☑具体要求在中标后按照投标承诺和招标人的要求执行。</w:t>
            </w:r>
          </w:p>
          <w:p w14:paraId="59E55970">
            <w:pPr>
              <w:keepNext w:val="0"/>
              <w:keepLines w:val="0"/>
              <w:suppressLineNumbers w:val="0"/>
              <w:spacing w:before="0" w:beforeAutospacing="0" w:after="0" w:afterAutospacing="0"/>
              <w:ind w:left="0" w:right="0"/>
              <w:rPr>
                <w:rFonts w:hint="eastAsia" w:cs="宋体"/>
                <w:color w:val="auto"/>
                <w:szCs w:val="21"/>
                <w:highlight w:val="none"/>
              </w:rPr>
            </w:pPr>
          </w:p>
        </w:tc>
      </w:tr>
      <w:tr w14:paraId="464426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389E8BA7">
            <w:pPr>
              <w:keepNext w:val="0"/>
              <w:keepLines w:val="0"/>
              <w:suppressLineNumbers w:val="0"/>
              <w:spacing w:before="0" w:beforeAutospacing="0" w:after="0" w:afterAutospacing="0"/>
              <w:ind w:left="0" w:right="0"/>
              <w:jc w:val="center"/>
              <w:rPr>
                <w:rFonts w:hint="eastAsia" w:eastAsia="宋体" w:cs="宋体"/>
                <w:color w:val="auto"/>
                <w:szCs w:val="21"/>
                <w:highlight w:val="none"/>
                <w:lang w:eastAsia="zh-CN"/>
              </w:rPr>
            </w:pPr>
            <w:r>
              <w:rPr>
                <w:rFonts w:hint="eastAsia" w:cs="宋体"/>
                <w:color w:val="auto"/>
                <w:szCs w:val="21"/>
                <w:highlight w:val="none"/>
              </w:rPr>
              <w:t>3</w:t>
            </w:r>
            <w:r>
              <w:rPr>
                <w:rFonts w:hint="eastAsia" w:cs="宋体"/>
                <w:color w:val="auto"/>
                <w:szCs w:val="21"/>
                <w:highlight w:val="none"/>
                <w:lang w:val="en-US" w:eastAsia="zh-CN"/>
              </w:rPr>
              <w:t>8</w:t>
            </w:r>
          </w:p>
        </w:tc>
        <w:tc>
          <w:tcPr>
            <w:tcW w:w="490" w:type="pct"/>
            <w:tcBorders>
              <w:top w:val="single" w:color="auto" w:sz="4" w:space="0"/>
              <w:left w:val="single" w:color="auto" w:sz="4" w:space="0"/>
              <w:bottom w:val="single" w:color="auto" w:sz="4" w:space="0"/>
              <w:right w:val="single" w:color="auto" w:sz="4" w:space="0"/>
            </w:tcBorders>
            <w:vAlign w:val="center"/>
          </w:tcPr>
          <w:p w14:paraId="048522B2">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4DC0A8CC">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u w:val="single"/>
              </w:rPr>
              <w:t>招标人拒绝接收投标文件备用光盘的情况</w:t>
            </w:r>
          </w:p>
        </w:tc>
        <w:tc>
          <w:tcPr>
            <w:tcW w:w="3300" w:type="pct"/>
            <w:tcBorders>
              <w:top w:val="single" w:color="auto" w:sz="4" w:space="0"/>
              <w:left w:val="single" w:color="auto" w:sz="4" w:space="0"/>
              <w:bottom w:val="single" w:color="auto" w:sz="4" w:space="0"/>
              <w:right w:val="double" w:color="auto" w:sz="4" w:space="0"/>
            </w:tcBorders>
            <w:vAlign w:val="center"/>
          </w:tcPr>
          <w:p w14:paraId="381DB560">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u w:val="single"/>
              </w:rPr>
              <w:t>1、在投标截止期后逾期或未在指定地点递交投标文件备用光盘的；</w:t>
            </w:r>
          </w:p>
          <w:p w14:paraId="7F21CA2E">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u w:val="single"/>
              </w:rPr>
              <w:t>2、投标文件备用光盘未按招标文件要求密封或未在密封处盖章的；</w:t>
            </w:r>
          </w:p>
          <w:p w14:paraId="232552E5">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u w:val="single"/>
              </w:rPr>
              <w:t>3、投标人代表未凭法定代表人证明书（原件）、授权委托书原件（仅限于非法定代表人）、本人身份证原件递交投标文件备用光盘的。</w:t>
            </w:r>
          </w:p>
        </w:tc>
      </w:tr>
      <w:tr w14:paraId="6B9750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07" w:type="dxa"/>
            <w:tcBorders>
              <w:top w:val="single" w:color="auto" w:sz="4" w:space="0"/>
              <w:left w:val="double" w:color="auto" w:sz="4" w:space="0"/>
              <w:bottom w:val="single" w:color="auto" w:sz="4" w:space="0"/>
              <w:right w:val="single" w:color="auto" w:sz="4" w:space="0"/>
            </w:tcBorders>
            <w:vAlign w:val="center"/>
          </w:tcPr>
          <w:p w14:paraId="0E5E77A6">
            <w:pPr>
              <w:keepNext w:val="0"/>
              <w:keepLines w:val="0"/>
              <w:suppressLineNumbers w:val="0"/>
              <w:spacing w:before="0" w:beforeAutospacing="0" w:after="0" w:afterAutospacing="0"/>
              <w:ind w:left="0" w:leftChars="0" w:right="0" w:rightChars="0"/>
              <w:jc w:val="left"/>
              <w:rPr>
                <w:rFonts w:hint="eastAsia" w:cs="宋体"/>
                <w:color w:val="auto"/>
                <w:sz w:val="21"/>
                <w:szCs w:val="21"/>
                <w:highlight w:val="none"/>
              </w:rPr>
            </w:pPr>
            <w:r>
              <w:rPr>
                <w:rFonts w:hint="eastAsia" w:cs="宋体"/>
                <w:color w:val="auto"/>
                <w:sz w:val="21"/>
                <w:szCs w:val="21"/>
                <w:highlight w:val="none"/>
                <w:lang w:val="en-US" w:eastAsia="zh-CN"/>
              </w:rPr>
              <w:t>39</w:t>
            </w:r>
          </w:p>
        </w:tc>
        <w:tc>
          <w:tcPr>
            <w:tcW w:w="855" w:type="dxa"/>
            <w:tcBorders>
              <w:top w:val="single" w:color="auto" w:sz="4" w:space="0"/>
              <w:left w:val="single" w:color="auto" w:sz="4" w:space="0"/>
              <w:bottom w:val="single" w:color="auto" w:sz="4" w:space="0"/>
              <w:right w:val="single" w:color="auto" w:sz="4" w:space="0"/>
            </w:tcBorders>
            <w:vAlign w:val="center"/>
          </w:tcPr>
          <w:p w14:paraId="79F4C9E5">
            <w:pPr>
              <w:keepNext w:val="0"/>
              <w:keepLines w:val="0"/>
              <w:suppressLineNumbers w:val="0"/>
              <w:spacing w:before="0" w:beforeAutospacing="0" w:after="0" w:afterAutospacing="0" w:line="240" w:lineRule="auto"/>
              <w:ind w:left="0" w:leftChars="0" w:right="0" w:rightChars="0"/>
              <w:jc w:val="left"/>
              <w:rPr>
                <w:rFonts w:hint="eastAsia" w:cs="宋体"/>
                <w:color w:val="auto"/>
                <w:sz w:val="21"/>
                <w:szCs w:val="21"/>
                <w:highlight w:val="none"/>
              </w:rPr>
            </w:pPr>
            <w:r>
              <w:rPr>
                <w:rFonts w:hint="eastAsia" w:ascii="宋体" w:hAnsi="宋体" w:cs="宋体"/>
                <w:color w:val="auto"/>
                <w:sz w:val="21"/>
                <w:szCs w:val="21"/>
                <w:highlight w:val="none"/>
              </w:rPr>
              <w:t>增加</w:t>
            </w:r>
          </w:p>
        </w:tc>
        <w:tc>
          <w:tcPr>
            <w:tcW w:w="1502" w:type="dxa"/>
            <w:tcBorders>
              <w:top w:val="single" w:color="auto" w:sz="4" w:space="0"/>
              <w:left w:val="single" w:color="auto" w:sz="4" w:space="0"/>
              <w:bottom w:val="single" w:color="auto" w:sz="4" w:space="0"/>
              <w:right w:val="single" w:color="auto" w:sz="4" w:space="0"/>
            </w:tcBorders>
            <w:vAlign w:val="center"/>
          </w:tcPr>
          <w:p w14:paraId="0DCEAAF0">
            <w:pPr>
              <w:keepNext w:val="0"/>
              <w:keepLines w:val="0"/>
              <w:suppressLineNumbers w:val="0"/>
              <w:snapToGrid/>
              <w:spacing w:before="0" w:beforeAutospacing="0" w:after="0" w:afterAutospacing="0" w:line="240" w:lineRule="auto"/>
              <w:ind w:left="0" w:leftChars="0" w:right="0" w:rightChars="0"/>
              <w:rPr>
                <w:rFonts w:hint="eastAsia" w:cs="宋体"/>
                <w:color w:val="auto"/>
                <w:sz w:val="21"/>
                <w:szCs w:val="21"/>
                <w:highlight w:val="none"/>
                <w:u w:val="none"/>
              </w:rPr>
            </w:pPr>
            <w:r>
              <w:rPr>
                <w:rFonts w:hint="eastAsia" w:ascii="宋体" w:hAnsi="宋体" w:cs="宋体"/>
                <w:color w:val="auto"/>
                <w:sz w:val="21"/>
                <w:szCs w:val="21"/>
                <w:highlight w:val="none"/>
                <w:u w:val="none"/>
              </w:rPr>
              <w:t>价格评审优惠政策</w:t>
            </w:r>
          </w:p>
        </w:tc>
        <w:tc>
          <w:tcPr>
            <w:tcW w:w="5759" w:type="dxa"/>
            <w:tcBorders>
              <w:top w:val="single" w:color="auto" w:sz="4" w:space="0"/>
              <w:left w:val="single" w:color="auto" w:sz="4" w:space="0"/>
              <w:bottom w:val="single" w:color="auto" w:sz="4" w:space="0"/>
              <w:right w:val="double" w:color="auto" w:sz="4" w:space="0"/>
            </w:tcBorders>
            <w:vAlign w:val="center"/>
          </w:tcPr>
          <w:p w14:paraId="7C81011B">
            <w:pPr>
              <w:keepNext w:val="0"/>
              <w:keepLines w:val="0"/>
              <w:suppressLineNumbers w:val="0"/>
              <w:snapToGrid/>
              <w:spacing w:before="0" w:beforeAutospacing="0" w:after="0" w:afterAutospacing="0" w:line="240" w:lineRule="auto"/>
              <w:ind w:left="0" w:leftChars="0" w:right="0" w:rightChars="0"/>
              <w:rPr>
                <w:rFonts w:hint="eastAsia" w:cs="宋体"/>
                <w:color w:val="auto"/>
                <w:sz w:val="21"/>
                <w:szCs w:val="21"/>
                <w:highlight w:val="none"/>
                <w:u w:val="none"/>
              </w:rPr>
            </w:pPr>
            <w:r>
              <w:rPr>
                <w:rFonts w:hint="eastAsia" w:ascii="宋体" w:hAnsi="宋体" w:eastAsia="宋体" w:cs="宋体"/>
                <w:i w:val="0"/>
                <w:iCs w:val="0"/>
                <w:color w:val="FF0000"/>
                <w:kern w:val="0"/>
                <w:sz w:val="18"/>
                <w:szCs w:val="18"/>
                <w:u w:val="none"/>
                <w:lang w:val="en-US" w:eastAsia="zh-CN" w:bidi="ar"/>
              </w:rPr>
              <w:t>经济标评审优惠政策（仅适用于招标人为国家机关、事业单位、团体组织，且使用财政性资金开展的依法必须招标项目）</w:t>
            </w:r>
            <w:r>
              <w:rPr>
                <w:rFonts w:hint="eastAsia" w:ascii="宋体" w:hAnsi="宋体" w:eastAsia="宋体" w:cs="宋体"/>
                <w:i w:val="0"/>
                <w:iCs w:val="0"/>
                <w:color w:val="FF0000"/>
                <w:kern w:val="0"/>
                <w:sz w:val="18"/>
                <w:szCs w:val="18"/>
                <w:u w:val="none"/>
                <w:lang w:val="en-US" w:eastAsia="zh-CN" w:bidi="ar"/>
              </w:rPr>
              <w:br w:type="textWrapping"/>
            </w:r>
            <w:r>
              <w:rPr>
                <w:rFonts w:hint="eastAsia" w:ascii="宋体" w:hAnsi="宋体" w:eastAsia="宋体" w:cs="宋体"/>
                <w:i w:val="0"/>
                <w:iCs w:val="0"/>
                <w:color w:val="FF0000"/>
                <w:kern w:val="0"/>
                <w:sz w:val="18"/>
                <w:szCs w:val="18"/>
                <w:u w:val="none"/>
                <w:lang w:val="en-US" w:eastAsia="zh-CN" w:bidi="ar"/>
              </w:rPr>
              <w:t>☑本招标项目执行经济标评审优惠政策</w:t>
            </w:r>
            <w:r>
              <w:rPr>
                <w:rFonts w:hint="eastAsia" w:ascii="宋体" w:hAnsi="宋体" w:eastAsia="宋体" w:cs="宋体"/>
                <w:i w:val="0"/>
                <w:iCs w:val="0"/>
                <w:color w:val="FF0000"/>
                <w:kern w:val="0"/>
                <w:sz w:val="18"/>
                <w:szCs w:val="18"/>
                <w:u w:val="none"/>
                <w:lang w:val="en-US" w:eastAsia="zh-CN" w:bidi="ar"/>
              </w:rPr>
              <w:br w:type="textWrapping"/>
            </w:r>
            <w:r>
              <w:rPr>
                <w:rFonts w:hint="eastAsia" w:ascii="宋体" w:hAnsi="宋体" w:eastAsia="宋体" w:cs="宋体"/>
                <w:i w:val="0"/>
                <w:iCs w:val="0"/>
                <w:color w:val="FF0000"/>
                <w:kern w:val="0"/>
                <w:sz w:val="18"/>
                <w:szCs w:val="18"/>
                <w:u w:val="none"/>
                <w:lang w:val="en-US" w:eastAsia="zh-CN" w:bidi="ar"/>
              </w:rPr>
              <w:t>□本招标项目不执行经济标评审优惠政策</w:t>
            </w:r>
            <w:r>
              <w:rPr>
                <w:rFonts w:hint="eastAsia" w:ascii="宋体" w:hAnsi="宋体" w:eastAsia="宋体" w:cs="宋体"/>
                <w:i w:val="0"/>
                <w:iCs w:val="0"/>
                <w:color w:val="FF0000"/>
                <w:kern w:val="0"/>
                <w:sz w:val="18"/>
                <w:szCs w:val="18"/>
                <w:u w:val="none"/>
                <w:lang w:val="en-US" w:eastAsia="zh-CN" w:bidi="ar"/>
              </w:rPr>
              <w:br w:type="textWrapping"/>
            </w:r>
            <w:r>
              <w:rPr>
                <w:rFonts w:hint="eastAsia" w:ascii="宋体" w:hAnsi="宋体" w:eastAsia="宋体" w:cs="宋体"/>
                <w:i w:val="0"/>
                <w:iCs w:val="0"/>
                <w:color w:val="FF0000"/>
                <w:kern w:val="0"/>
                <w:sz w:val="18"/>
                <w:szCs w:val="18"/>
                <w:u w:val="none"/>
                <w:lang w:val="en-US" w:eastAsia="zh-CN" w:bidi="ar"/>
              </w:rPr>
              <w:t>注：（1）符合经济标评审优惠政策条件的，应当执行该政策；不符合经济标评审优惠政策条件的，不得执行该政策。</w:t>
            </w:r>
            <w:r>
              <w:rPr>
                <w:rFonts w:hint="eastAsia" w:ascii="宋体" w:hAnsi="宋体" w:eastAsia="宋体" w:cs="宋体"/>
                <w:i w:val="0"/>
                <w:iCs w:val="0"/>
                <w:color w:val="FF0000"/>
                <w:kern w:val="0"/>
                <w:sz w:val="18"/>
                <w:szCs w:val="18"/>
                <w:u w:val="none"/>
                <w:lang w:val="en-US" w:eastAsia="zh-CN" w:bidi="ar"/>
              </w:rPr>
              <w:br w:type="textWrapping"/>
            </w:r>
            <w:r>
              <w:rPr>
                <w:rFonts w:hint="eastAsia" w:ascii="宋体" w:hAnsi="宋体" w:eastAsia="宋体" w:cs="宋体"/>
                <w:i w:val="0"/>
                <w:iCs w:val="0"/>
                <w:color w:val="FF0000"/>
                <w:kern w:val="0"/>
                <w:sz w:val="18"/>
                <w:szCs w:val="18"/>
                <w:u w:val="none"/>
                <w:lang w:val="en-US" w:eastAsia="zh-CN" w:bidi="ar"/>
              </w:rPr>
              <w:t>（2）财政性资金是指纳入预算管理的资金，以财政性资金作为还款来源的借贷资金，视同财政性资金。</w:t>
            </w:r>
            <w:r>
              <w:rPr>
                <w:rFonts w:hint="eastAsia" w:ascii="宋体" w:hAnsi="宋体" w:eastAsia="宋体" w:cs="宋体"/>
                <w:i w:val="0"/>
                <w:iCs w:val="0"/>
                <w:color w:val="FF0000"/>
                <w:kern w:val="0"/>
                <w:sz w:val="18"/>
                <w:szCs w:val="18"/>
                <w:u w:val="none"/>
                <w:lang w:val="en-US" w:eastAsia="zh-CN" w:bidi="ar"/>
              </w:rPr>
              <w:br w:type="textWrapping"/>
            </w:r>
            <w:r>
              <w:rPr>
                <w:rFonts w:hint="eastAsia" w:ascii="宋体" w:hAnsi="宋体" w:eastAsia="宋体" w:cs="宋体"/>
                <w:i w:val="0"/>
                <w:iCs w:val="0"/>
                <w:color w:val="FF0000"/>
                <w:kern w:val="0"/>
                <w:sz w:val="18"/>
                <w:szCs w:val="18"/>
                <w:u w:val="none"/>
                <w:lang w:val="en-US" w:eastAsia="zh-CN" w:bidi="ar"/>
              </w:rPr>
              <w:t>（3）☑若本招标项目执行经济标评审优惠政策，当允许大中型企业向一家或者多家小微企业分包，且分包承诺小微企业的合同份额占到合同总金额30%以上的，应附</w:t>
            </w:r>
            <w:r>
              <w:rPr>
                <w:rFonts w:hint="eastAsia" w:ascii="宋体" w:hAnsi="宋体" w:eastAsia="宋体" w:cs="宋体"/>
                <w:b/>
                <w:bCs/>
                <w:i w:val="0"/>
                <w:iCs w:val="0"/>
                <w:color w:val="FF0000"/>
                <w:kern w:val="0"/>
                <w:sz w:val="18"/>
                <w:szCs w:val="18"/>
                <w:u w:val="single"/>
                <w:lang w:val="en-US" w:eastAsia="zh-CN" w:bidi="ar"/>
              </w:rPr>
              <w:t>《分包承诺书》</w:t>
            </w:r>
            <w:r>
              <w:rPr>
                <w:rFonts w:hint="eastAsia" w:ascii="宋体" w:hAnsi="宋体" w:eastAsia="宋体" w:cs="宋体"/>
                <w:i w:val="0"/>
                <w:iCs w:val="0"/>
                <w:color w:val="FF0000"/>
                <w:kern w:val="0"/>
                <w:sz w:val="18"/>
                <w:szCs w:val="18"/>
                <w:u w:val="none"/>
                <w:lang w:val="en-US" w:eastAsia="zh-CN" w:bidi="ar"/>
              </w:rPr>
              <w:t>（格式详见第四章投标文件格式）对该内容进行明确。</w:t>
            </w:r>
            <w:r>
              <w:rPr>
                <w:rFonts w:hint="eastAsia" w:ascii="宋体" w:hAnsi="宋体" w:eastAsia="宋体" w:cs="宋体"/>
                <w:i w:val="0"/>
                <w:iCs w:val="0"/>
                <w:color w:val="FF0000"/>
                <w:kern w:val="0"/>
                <w:sz w:val="18"/>
                <w:szCs w:val="18"/>
                <w:u w:val="none"/>
                <w:lang w:val="en-US" w:eastAsia="zh-CN" w:bidi="ar"/>
              </w:rPr>
              <w:br w:type="textWrapping"/>
            </w:r>
            <w:r>
              <w:rPr>
                <w:rFonts w:hint="eastAsia" w:ascii="宋体" w:hAnsi="宋体" w:eastAsia="宋体" w:cs="宋体"/>
                <w:i w:val="0"/>
                <w:iCs w:val="0"/>
                <w:color w:val="FF0000"/>
                <w:kern w:val="0"/>
                <w:sz w:val="18"/>
                <w:szCs w:val="18"/>
                <w:u w:val="none"/>
                <w:lang w:val="en-US" w:eastAsia="zh-CN" w:bidi="ar"/>
              </w:rPr>
              <w:t>1、根据《广东省政府采购促进中小企业发展实施细则（试行）》（粤财采购〔2022〕10号）要求，对符合《政府采购促进中小企业发展管理办法》（财库〔2020〕46号）的投标人，给予相应的价格评审优惠。</w:t>
            </w:r>
            <w:r>
              <w:rPr>
                <w:rFonts w:hint="eastAsia" w:ascii="宋体" w:hAnsi="宋体" w:eastAsia="宋体" w:cs="宋体"/>
                <w:i w:val="0"/>
                <w:iCs w:val="0"/>
                <w:color w:val="FF0000"/>
                <w:kern w:val="0"/>
                <w:sz w:val="18"/>
                <w:szCs w:val="18"/>
                <w:u w:val="none"/>
                <w:lang w:val="en-US" w:eastAsia="zh-CN" w:bidi="ar"/>
              </w:rPr>
              <w:br w:type="textWrapping"/>
            </w:r>
            <w:r>
              <w:rPr>
                <w:rFonts w:hint="eastAsia" w:ascii="宋体" w:hAnsi="宋体" w:eastAsia="宋体" w:cs="宋体"/>
                <w:i w:val="0"/>
                <w:iCs w:val="0"/>
                <w:color w:val="FF0000"/>
                <w:kern w:val="0"/>
                <w:sz w:val="18"/>
                <w:szCs w:val="18"/>
                <w:u w:val="none"/>
                <w:lang w:val="en-US" w:eastAsia="zh-CN" w:bidi="ar"/>
              </w:rPr>
              <w:t>2、本招标项目定标阶段价格因素评审计算报价得分时，对小微企业投标的，在采用原报价进行评分的基础上增加其价格得分的5%作为其报价得分；对允许大中型企业向一家或者多家小微企业分包（</w:t>
            </w:r>
            <w:r>
              <w:rPr>
                <w:rFonts w:hint="eastAsia" w:ascii="宋体" w:hAnsi="宋体" w:eastAsia="宋体" w:cs="宋体"/>
                <w:b/>
                <w:bCs/>
                <w:i w:val="0"/>
                <w:iCs w:val="0"/>
                <w:color w:val="FF0000"/>
                <w:kern w:val="0"/>
                <w:sz w:val="18"/>
                <w:szCs w:val="18"/>
                <w:u w:val="single"/>
                <w:lang w:val="en-US" w:eastAsia="zh-CN" w:bidi="ar"/>
              </w:rPr>
              <w:t>《分包承诺书》</w:t>
            </w:r>
            <w:r>
              <w:rPr>
                <w:rFonts w:hint="eastAsia" w:ascii="宋体" w:hAnsi="宋体" w:eastAsia="宋体" w:cs="宋体"/>
                <w:i w:val="0"/>
                <w:iCs w:val="0"/>
                <w:color w:val="FF0000"/>
                <w:kern w:val="0"/>
                <w:sz w:val="18"/>
                <w:szCs w:val="18"/>
                <w:u w:val="none"/>
                <w:lang w:val="en-US" w:eastAsia="zh-CN" w:bidi="ar"/>
              </w:rPr>
              <w:t>约定小微企业的合同份额占到合同总金额30%以上）的，在采用原报价进行评分的基础上增加其报价得分的2%作为其报价得分。若原报价已满分，不再享受加分优惠。</w:t>
            </w:r>
            <w:r>
              <w:rPr>
                <w:rFonts w:hint="eastAsia" w:ascii="宋体" w:hAnsi="宋体" w:eastAsia="宋体" w:cs="宋体"/>
                <w:i w:val="0"/>
                <w:iCs w:val="0"/>
                <w:color w:val="FF0000"/>
                <w:kern w:val="0"/>
                <w:sz w:val="18"/>
                <w:szCs w:val="18"/>
                <w:u w:val="none"/>
                <w:lang w:val="en-US" w:eastAsia="zh-CN" w:bidi="ar"/>
              </w:rPr>
              <w:br w:type="textWrapping"/>
            </w:r>
            <w:r>
              <w:rPr>
                <w:rFonts w:hint="eastAsia" w:ascii="宋体" w:hAnsi="宋体" w:eastAsia="宋体" w:cs="宋体"/>
                <w:i w:val="0"/>
                <w:iCs w:val="0"/>
                <w:color w:val="FF0000"/>
                <w:kern w:val="0"/>
                <w:sz w:val="18"/>
                <w:szCs w:val="18"/>
                <w:u w:val="none"/>
                <w:lang w:val="en-US" w:eastAsia="zh-CN" w:bidi="ar"/>
              </w:rPr>
              <w:t>3、投标人应按《政府采购促进中小企业发展管理办法》（财库〔2020〕46号）规定出具《中小企业声明函》、《分包承诺书》（格式详见第四章投标文件格式），否则不得享受相关价格评审优惠。投标人填写《中小企业声明函》、</w:t>
            </w:r>
            <w:r>
              <w:rPr>
                <w:rFonts w:hint="eastAsia" w:ascii="宋体" w:hAnsi="宋体" w:eastAsia="宋体" w:cs="宋体"/>
                <w:b/>
                <w:bCs/>
                <w:i w:val="0"/>
                <w:iCs w:val="0"/>
                <w:color w:val="FF0000"/>
                <w:kern w:val="0"/>
                <w:sz w:val="18"/>
                <w:szCs w:val="18"/>
                <w:u w:val="single"/>
                <w:lang w:val="en-US" w:eastAsia="zh-CN" w:bidi="ar"/>
              </w:rPr>
              <w:t>《分包承诺书》</w:t>
            </w:r>
            <w:r>
              <w:rPr>
                <w:rFonts w:hint="eastAsia" w:ascii="宋体" w:hAnsi="宋体" w:eastAsia="宋体" w:cs="宋体"/>
                <w:i w:val="0"/>
                <w:iCs w:val="0"/>
                <w:color w:val="FF0000"/>
                <w:kern w:val="0"/>
                <w:sz w:val="18"/>
                <w:szCs w:val="18"/>
                <w:u w:val="none"/>
                <w:lang w:val="en-US" w:eastAsia="zh-CN" w:bidi="ar"/>
              </w:rPr>
              <w:t>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r>
              <w:rPr>
                <w:rFonts w:hint="eastAsia" w:ascii="宋体" w:hAnsi="宋体" w:eastAsia="宋体" w:cs="宋体"/>
                <w:i w:val="0"/>
                <w:iCs w:val="0"/>
                <w:color w:val="FF0000"/>
                <w:kern w:val="0"/>
                <w:sz w:val="18"/>
                <w:szCs w:val="18"/>
                <w:u w:val="none"/>
                <w:lang w:val="en-US" w:eastAsia="zh-CN" w:bidi="ar"/>
              </w:rPr>
              <w:br w:type="textWrapping"/>
            </w:r>
            <w:r>
              <w:rPr>
                <w:rFonts w:hint="eastAsia" w:ascii="宋体" w:hAnsi="宋体" w:eastAsia="宋体" w:cs="宋体"/>
                <w:i w:val="0"/>
                <w:iCs w:val="0"/>
                <w:color w:val="FF0000"/>
                <w:kern w:val="0"/>
                <w:sz w:val="18"/>
                <w:szCs w:val="18"/>
                <w:u w:val="none"/>
                <w:lang w:val="en-US" w:eastAsia="zh-CN" w:bidi="ar"/>
              </w:rPr>
              <w:t>4、小微企业划分标准按照《工业和信息化部 国家统计局 国家发展和改革委员会 财政部关于印发中小企业划型标准规定的通知》（工信部联企业〔2011〕300号）执行。本招标项目属于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i w:val="0"/>
                <w:iCs w:val="0"/>
                <w:color w:val="FF0000"/>
                <w:kern w:val="0"/>
                <w:sz w:val="18"/>
                <w:szCs w:val="18"/>
                <w:u w:val="none"/>
                <w:lang w:val="en-US" w:eastAsia="zh-CN" w:bidi="ar"/>
              </w:rPr>
              <w:br w:type="textWrapping"/>
            </w:r>
            <w:r>
              <w:rPr>
                <w:rFonts w:hint="eastAsia" w:ascii="宋体" w:hAnsi="宋体" w:eastAsia="宋体" w:cs="宋体"/>
                <w:i w:val="0"/>
                <w:iCs w:val="0"/>
                <w:color w:val="FF0000"/>
                <w:kern w:val="0"/>
                <w:sz w:val="18"/>
                <w:szCs w:val="18"/>
                <w:u w:val="none"/>
                <w:lang w:val="en-US" w:eastAsia="zh-CN" w:bidi="ar"/>
              </w:rPr>
              <w:t>注：（1）小微企业，是指在中华人民共和国境内依法设立，依据国务院批准的中小企业划分标准确定的小型企业和微型企业，但与大企业的负责人为同一人，或者与大企业存在直接控股、管理关系的除外。</w:t>
            </w:r>
            <w:r>
              <w:rPr>
                <w:rFonts w:hint="eastAsia" w:ascii="宋体" w:hAnsi="宋体" w:eastAsia="宋体" w:cs="宋体"/>
                <w:i w:val="0"/>
                <w:iCs w:val="0"/>
                <w:color w:val="FF0000"/>
                <w:kern w:val="0"/>
                <w:sz w:val="18"/>
                <w:szCs w:val="18"/>
                <w:u w:val="none"/>
                <w:lang w:val="en-US" w:eastAsia="zh-CN" w:bidi="ar"/>
              </w:rPr>
              <w:br w:type="textWrapping"/>
            </w:r>
            <w:r>
              <w:rPr>
                <w:rFonts w:hint="eastAsia" w:ascii="宋体" w:hAnsi="宋体" w:eastAsia="宋体" w:cs="宋体"/>
                <w:i w:val="0"/>
                <w:iCs w:val="0"/>
                <w:color w:val="FF0000"/>
                <w:kern w:val="0"/>
                <w:sz w:val="18"/>
                <w:szCs w:val="18"/>
                <w:u w:val="none"/>
                <w:lang w:val="en-US" w:eastAsia="zh-CN" w:bidi="ar"/>
              </w:rPr>
              <w:t>（2）接受分包合同的小微企业与投标人企业、分包企业之间存在直接控股、管理关系的，不享受价格评分优惠。规定享受扶持政策获得承包合同的，小微企业不得将合同分包给大中型企业，中型企业不得将合同分包给大型企业。事业单位、社会组织等非企业主体不享受中小企业扶持政策。</w:t>
            </w:r>
            <w:r>
              <w:rPr>
                <w:rFonts w:hint="eastAsia" w:ascii="宋体" w:hAnsi="宋体" w:eastAsia="宋体" w:cs="宋体"/>
                <w:i w:val="0"/>
                <w:iCs w:val="0"/>
                <w:color w:val="FF0000"/>
                <w:kern w:val="0"/>
                <w:sz w:val="18"/>
                <w:szCs w:val="18"/>
                <w:u w:val="none"/>
                <w:lang w:val="en-US" w:eastAsia="zh-CN" w:bidi="ar"/>
              </w:rPr>
              <w:br w:type="textWrapping"/>
            </w:r>
            <w:r>
              <w:rPr>
                <w:rFonts w:hint="eastAsia" w:ascii="宋体" w:hAnsi="宋体" w:eastAsia="宋体" w:cs="宋体"/>
                <w:i w:val="0"/>
                <w:iCs w:val="0"/>
                <w:color w:val="FF0000"/>
                <w:kern w:val="0"/>
                <w:sz w:val="18"/>
                <w:szCs w:val="18"/>
                <w:u w:val="none"/>
                <w:lang w:val="en-US" w:eastAsia="zh-CN" w:bidi="ar"/>
              </w:rPr>
              <w:t>（3）公示期间如有异议、投诉的，被异议、投诉单位需提供注册登记所在地的县级以上人民政府中小企业主管部门认定函。</w:t>
            </w:r>
            <w:r>
              <w:rPr>
                <w:rFonts w:hint="eastAsia" w:ascii="宋体" w:hAnsi="宋体" w:eastAsia="宋体" w:cs="宋体"/>
                <w:i w:val="0"/>
                <w:iCs w:val="0"/>
                <w:color w:val="FF0000"/>
                <w:kern w:val="0"/>
                <w:sz w:val="18"/>
                <w:szCs w:val="18"/>
                <w:u w:val="none"/>
                <w:lang w:val="en-US" w:eastAsia="zh-CN" w:bidi="ar"/>
              </w:rPr>
              <w:br w:type="textWrapping"/>
            </w:r>
            <w:r>
              <w:rPr>
                <w:rFonts w:hint="eastAsia" w:ascii="宋体" w:hAnsi="宋体" w:eastAsia="宋体" w:cs="宋体"/>
                <w:i w:val="0"/>
                <w:iCs w:val="0"/>
                <w:color w:val="FF0000"/>
                <w:kern w:val="0"/>
                <w:sz w:val="18"/>
                <w:szCs w:val="18"/>
                <w:u w:val="none"/>
                <w:lang w:val="en-US" w:eastAsia="zh-CN" w:bidi="ar"/>
              </w:rPr>
              <w:t>（4）规定享受扶持政策获得承包合同的，小微企业不得将合同分包给大中型企业，中型企业不得将合同分包给大型企业。</w:t>
            </w:r>
            <w:r>
              <w:rPr>
                <w:rFonts w:hint="eastAsia" w:ascii="宋体" w:hAnsi="宋体" w:eastAsia="宋体" w:cs="宋体"/>
                <w:i w:val="0"/>
                <w:iCs w:val="0"/>
                <w:color w:val="FF0000"/>
                <w:kern w:val="0"/>
                <w:sz w:val="18"/>
                <w:szCs w:val="18"/>
                <w:u w:val="none"/>
                <w:lang w:val="en-US" w:eastAsia="zh-CN" w:bidi="ar"/>
              </w:rPr>
              <w:br w:type="textWrapping"/>
            </w:r>
            <w:r>
              <w:rPr>
                <w:rFonts w:hint="eastAsia" w:ascii="宋体" w:hAnsi="宋体" w:eastAsia="宋体" w:cs="宋体"/>
                <w:i w:val="0"/>
                <w:iCs w:val="0"/>
                <w:color w:val="FF0000"/>
                <w:kern w:val="0"/>
                <w:sz w:val="18"/>
                <w:szCs w:val="18"/>
                <w:u w:val="none"/>
                <w:lang w:val="en-US" w:eastAsia="zh-CN" w:bidi="ar"/>
              </w:rPr>
              <w:t>（5）根据《财政部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四章投标文件格式），经评审满足要求后，可享受上述加分优惠，否则不得享受上述加分优惠。监狱企业、残疾人福利性单位属于小型、微型企业的，不重复享受政策。</w:t>
            </w:r>
          </w:p>
        </w:tc>
      </w:tr>
    </w:tbl>
    <w:p w14:paraId="1054B5A3">
      <w:pPr>
        <w:spacing w:line="480" w:lineRule="auto"/>
        <w:rPr>
          <w:rFonts w:ascii="宋体"/>
          <w:color w:val="auto"/>
          <w:sz w:val="24"/>
          <w:highlight w:val="none"/>
        </w:rPr>
      </w:pPr>
      <w:r>
        <w:rPr>
          <w:rFonts w:hint="eastAsia" w:ascii="宋体" w:hAnsi="宋体"/>
          <w:color w:val="auto"/>
          <w:sz w:val="24"/>
          <w:highlight w:val="none"/>
        </w:rPr>
        <w:t>注：企业</w:t>
      </w:r>
      <w:r>
        <w:rPr>
          <w:rFonts w:hint="eastAsia" w:ascii="宋体" w:hAnsi="宋体" w:cs="宋体"/>
          <w:color w:val="auto"/>
          <w:kern w:val="0"/>
          <w:sz w:val="24"/>
          <w:highlight w:val="none"/>
        </w:rPr>
        <w:t>综合诚信评价得分即</w:t>
      </w:r>
      <w:r>
        <w:rPr>
          <w:rFonts w:hint="eastAsia" w:ascii="宋体" w:hAnsi="宋体"/>
          <w:color w:val="auto"/>
          <w:sz w:val="24"/>
          <w:highlight w:val="none"/>
        </w:rPr>
        <w:t>企业</w:t>
      </w:r>
      <w:r>
        <w:rPr>
          <w:rFonts w:hint="eastAsia" w:ascii="宋体" w:hAnsi="宋体" w:cs="宋体"/>
          <w:color w:val="auto"/>
          <w:kern w:val="0"/>
          <w:sz w:val="24"/>
          <w:highlight w:val="none"/>
        </w:rPr>
        <w:t>综合诚信评价</w:t>
      </w:r>
      <w:r>
        <w:rPr>
          <w:rFonts w:ascii="宋体" w:hAnsi="宋体" w:cs="宋体"/>
          <w:color w:val="auto"/>
          <w:kern w:val="0"/>
          <w:sz w:val="24"/>
          <w:highlight w:val="none"/>
        </w:rPr>
        <w:t>60</w:t>
      </w:r>
      <w:r>
        <w:rPr>
          <w:rFonts w:hint="eastAsia" w:ascii="宋体" w:hAnsi="宋体" w:cs="宋体"/>
          <w:color w:val="auto"/>
          <w:kern w:val="0"/>
          <w:sz w:val="24"/>
          <w:highlight w:val="none"/>
        </w:rPr>
        <w:t>日诚信分，以下同。</w:t>
      </w:r>
    </w:p>
    <w:p w14:paraId="34244182">
      <w:pPr>
        <w:pStyle w:val="3"/>
        <w:rPr>
          <w:color w:val="auto"/>
          <w:highlight w:val="none"/>
        </w:rPr>
      </w:pPr>
      <w:r>
        <w:rPr>
          <w:color w:val="auto"/>
          <w:highlight w:val="none"/>
        </w:rPr>
        <w:br w:type="page"/>
      </w:r>
      <w:bookmarkStart w:id="2" w:name="_Toc811"/>
      <w:r>
        <w:rPr>
          <w:rFonts w:hint="eastAsia"/>
          <w:color w:val="auto"/>
          <w:highlight w:val="none"/>
        </w:rPr>
        <w:t>二、投标须知修改表</w:t>
      </w:r>
      <w:bookmarkEnd w:id="2"/>
    </w:p>
    <w:p w14:paraId="4F356D9B">
      <w:pPr>
        <w:pStyle w:val="19"/>
        <w:pBdr>
          <w:bottom w:val="single" w:color="auto" w:sz="6" w:space="1"/>
        </w:pBdr>
        <w:spacing w:line="360" w:lineRule="auto"/>
        <w:rPr>
          <w:rFonts w:ascii="宋体" w:hAnsi="宋体" w:cs="宋体"/>
          <w:b/>
          <w:color w:val="auto"/>
          <w:szCs w:val="21"/>
          <w:highlight w:val="none"/>
        </w:rPr>
      </w:pPr>
      <w:r>
        <w:rPr>
          <w:rFonts w:hint="eastAsia" w:ascii="宋体" w:hAnsi="宋体" w:cs="宋体"/>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w:t>
      </w:r>
      <w:r>
        <w:rPr>
          <w:rFonts w:ascii="仿宋" w:hAnsi="仿宋" w:eastAsia="仿宋" w:cs="宋体"/>
          <w:b/>
          <w:bCs/>
          <w:color w:val="auto"/>
          <w:sz w:val="22"/>
          <w:highlight w:val="none"/>
        </w:rPr>
        <w:t>http://zfcj.gz.gov.cn/</w:t>
      </w:r>
      <w:r>
        <w:rPr>
          <w:rFonts w:hint="eastAsia" w:ascii="宋体" w:hAnsi="宋体" w:cs="宋体"/>
          <w:b/>
          <w:color w:val="auto"/>
          <w:szCs w:val="21"/>
          <w:highlight w:val="none"/>
        </w:rPr>
        <w:t>）下载查阅。</w:t>
      </w:r>
    </w:p>
    <w:p w14:paraId="740D5184">
      <w:pPr>
        <w:spacing w:line="360" w:lineRule="auto"/>
        <w:ind w:firstLine="411" w:firstLineChars="195"/>
        <w:rPr>
          <w:rFonts w:cs="宋体"/>
          <w:b/>
          <w:color w:val="auto"/>
          <w:szCs w:val="21"/>
          <w:highlight w:val="none"/>
        </w:rPr>
      </w:pPr>
      <w:r>
        <w:rPr>
          <w:rFonts w:hint="eastAsia" w:cs="宋体"/>
          <w:b/>
          <w:color w:val="auto"/>
          <w:szCs w:val="21"/>
          <w:highlight w:val="none"/>
        </w:rPr>
        <w:t>条款号：2.5修改类型：增加</w:t>
      </w:r>
    </w:p>
    <w:p w14:paraId="04FC2FF6">
      <w:pPr>
        <w:pStyle w:val="19"/>
        <w:pBdr>
          <w:bottom w:val="single" w:color="auto" w:sz="6" w:space="1"/>
        </w:pBdr>
        <w:spacing w:after="0" w:line="360" w:lineRule="auto"/>
        <w:ind w:firstLine="411" w:firstLineChars="195"/>
        <w:rPr>
          <w:rFonts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2.5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14:paraId="2A434B17">
      <w:pPr>
        <w:spacing w:line="360" w:lineRule="auto"/>
        <w:ind w:firstLine="411" w:firstLineChars="195"/>
        <w:rPr>
          <w:rFonts w:cs="宋体"/>
          <w:b/>
          <w:color w:val="auto"/>
          <w:szCs w:val="21"/>
          <w:highlight w:val="none"/>
        </w:rPr>
      </w:pPr>
      <w:r>
        <w:rPr>
          <w:rFonts w:hint="eastAsia" w:cs="宋体"/>
          <w:b/>
          <w:color w:val="auto"/>
          <w:szCs w:val="21"/>
          <w:highlight w:val="none"/>
        </w:rPr>
        <w:t>条款号：5.1修改类型：修改</w:t>
      </w:r>
    </w:p>
    <w:p w14:paraId="4634EA52">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：5.1</w:t>
      </w:r>
      <w:r>
        <w:rPr>
          <w:rFonts w:hint="eastAsia" w:cs="宋体"/>
          <w:bCs/>
          <w:color w:val="auto"/>
          <w:szCs w:val="21"/>
          <w:highlight w:val="none"/>
        </w:rPr>
        <w:t>投标人应按本投标须知前附表第15项所述时间和要求对工程现场及周围环境进行踏勘，</w:t>
      </w:r>
      <w:r>
        <w:rPr>
          <w:rFonts w:hint="eastAsia" w:cs="宋体"/>
          <w:color w:val="auto"/>
          <w:szCs w:val="21"/>
          <w:highlight w:val="none"/>
        </w:rPr>
        <w:t>投标人应充分重视和仔细地进行这种考察，</w:t>
      </w:r>
      <w:r>
        <w:rPr>
          <w:rFonts w:hint="eastAsia" w:cs="宋体"/>
          <w:bCs/>
          <w:color w:val="auto"/>
          <w:szCs w:val="21"/>
          <w:highlight w:val="none"/>
        </w:rPr>
        <w:t>以便投标人获取</w:t>
      </w:r>
      <w:r>
        <w:rPr>
          <w:rFonts w:hint="eastAsia" w:cs="宋体"/>
          <w:color w:val="auto"/>
          <w:szCs w:val="21"/>
          <w:highlight w:val="none"/>
        </w:rPr>
        <w:t>那些须投标人自己负责的</w:t>
      </w:r>
      <w:r>
        <w:rPr>
          <w:rFonts w:hint="eastAsia" w:cs="宋体"/>
          <w:bCs/>
          <w:color w:val="auto"/>
          <w:szCs w:val="21"/>
          <w:highlight w:val="none"/>
        </w:rPr>
        <w:t>有关编制投标文件和签署合同所涉及现场所有的资料。</w:t>
      </w:r>
      <w:r>
        <w:rPr>
          <w:rFonts w:hint="eastAsia" w:cs="宋体"/>
          <w:color w:val="auto"/>
          <w:szCs w:val="21"/>
          <w:highlight w:val="none"/>
        </w:rPr>
        <w:t>一旦中标，这种考察即被认为其结果已在中标文件中得到充分反映。考察现场的费用由投标人自己承担。</w:t>
      </w:r>
    </w:p>
    <w:p w14:paraId="737688C8">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w:t>
      </w:r>
      <w:r>
        <w:rPr>
          <w:rFonts w:hint="eastAsia" w:cs="宋体"/>
          <w:color w:val="auto"/>
          <w:szCs w:val="21"/>
          <w:highlight w:val="none"/>
          <w:u w:val="single"/>
        </w:rPr>
        <w:t>招标人不受理因投标人缺乏对现场条件的了解或掌握而提出的任何索赔。</w:t>
      </w:r>
      <w:r>
        <w:rPr>
          <w:rFonts w:hint="eastAsia" w:cs="宋体"/>
          <w:color w:val="auto"/>
          <w:szCs w:val="21"/>
          <w:highlight w:val="none"/>
        </w:rPr>
        <w:t>考察现场的费用由投标人自己承担。</w:t>
      </w:r>
    </w:p>
    <w:p w14:paraId="2B37F87F">
      <w:pPr>
        <w:spacing w:line="360" w:lineRule="auto"/>
        <w:ind w:firstLine="411" w:firstLineChars="195"/>
        <w:rPr>
          <w:rFonts w:cs="宋体"/>
          <w:b/>
          <w:color w:val="auto"/>
          <w:szCs w:val="21"/>
          <w:highlight w:val="none"/>
        </w:rPr>
      </w:pPr>
      <w:r>
        <w:rPr>
          <w:rFonts w:hint="eastAsia" w:cs="宋体"/>
          <w:b/>
          <w:color w:val="auto"/>
          <w:szCs w:val="21"/>
          <w:highlight w:val="none"/>
        </w:rPr>
        <w:t>条款号：8.1修改类型：修改</w:t>
      </w:r>
    </w:p>
    <w:p w14:paraId="1B3D1168">
      <w:pPr>
        <w:pStyle w:val="19"/>
        <w:pBdr>
          <w:bottom w:val="single" w:color="auto" w:sz="6" w:space="1"/>
        </w:pBdr>
        <w:spacing w:after="0" w:line="360" w:lineRule="auto"/>
        <w:ind w:firstLine="411" w:firstLineChars="195"/>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8.1投标人若对招标文件（包括招标图纸）中有疑问，可以书面形式通过交易平台提交给招标人或招标代理人，提交形式见本须知前附表第16项。</w:t>
      </w:r>
    </w:p>
    <w:p w14:paraId="349CABE4">
      <w:pPr>
        <w:pStyle w:val="19"/>
        <w:pBdr>
          <w:bottom w:val="single" w:color="auto" w:sz="6" w:space="1"/>
        </w:pBdr>
        <w:spacing w:after="0" w:line="360" w:lineRule="auto"/>
        <w:ind w:firstLine="411" w:firstLineChars="195"/>
        <w:rPr>
          <w:rFonts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8.1项目答疑纪要采用网上答疑方式进行。投标人若对招标文件（包括招标图纸、清单、最高投标限价、合同条款）有疑问的，可在规定的时间内通过广州公共资源交易中心网站将问题提交给招标人或招标代理人，提交问题时一律不得署名。</w:t>
      </w:r>
    </w:p>
    <w:p w14:paraId="141E4911">
      <w:pPr>
        <w:pStyle w:val="19"/>
        <w:pBdr>
          <w:bottom w:val="single" w:color="auto" w:sz="6" w:space="1"/>
        </w:pBdr>
        <w:spacing w:after="0" w:line="360" w:lineRule="auto"/>
        <w:ind w:firstLine="409" w:firstLineChars="195"/>
        <w:rPr>
          <w:rFonts w:ascii="宋体" w:hAnsi="宋体" w:cs="宋体"/>
          <w:color w:val="auto"/>
          <w:sz w:val="21"/>
          <w:szCs w:val="21"/>
          <w:highlight w:val="none"/>
        </w:rPr>
      </w:pPr>
      <w:r>
        <w:rPr>
          <w:rFonts w:hint="eastAsia" w:ascii="宋体" w:hAnsi="宋体" w:cs="宋体"/>
          <w:color w:val="auto"/>
          <w:sz w:val="21"/>
          <w:szCs w:val="21"/>
          <w:highlight w:val="none"/>
        </w:rPr>
        <w:t>网上答疑的操作指南为：投标人登录交易中心数字交易平台，进入“我是投标人（供应商）”-&gt;“我的投标”-&gt;“招标答疑提问”查询项目并提问(提问一律不得署名)以及查看所有的问题。</w:t>
      </w:r>
    </w:p>
    <w:p w14:paraId="3AF231E3">
      <w:pPr>
        <w:pStyle w:val="19"/>
        <w:pBdr>
          <w:bottom w:val="single" w:color="auto" w:sz="6" w:space="1"/>
        </w:pBdr>
        <w:spacing w:after="0" w:line="360" w:lineRule="auto"/>
        <w:ind w:firstLine="409" w:firstLineChars="195"/>
        <w:rPr>
          <w:rFonts w:ascii="宋体" w:hAnsi="宋体" w:cs="宋体"/>
          <w:color w:val="auto"/>
          <w:sz w:val="21"/>
          <w:szCs w:val="21"/>
          <w:highlight w:val="none"/>
        </w:rPr>
      </w:pPr>
    </w:p>
    <w:p w14:paraId="3794A88A">
      <w:pPr>
        <w:spacing w:line="360" w:lineRule="auto"/>
        <w:ind w:firstLine="411" w:firstLineChars="195"/>
        <w:rPr>
          <w:rFonts w:cs="宋体"/>
          <w:b/>
          <w:color w:val="auto"/>
          <w:szCs w:val="21"/>
          <w:highlight w:val="none"/>
        </w:rPr>
      </w:pPr>
      <w:r>
        <w:rPr>
          <w:rFonts w:hint="eastAsia" w:cs="宋体"/>
          <w:b/>
          <w:color w:val="auto"/>
          <w:szCs w:val="21"/>
          <w:highlight w:val="none"/>
        </w:rPr>
        <w:t>条款号：8.2修改类型：修改</w:t>
      </w:r>
    </w:p>
    <w:p w14:paraId="0B56479B">
      <w:pPr>
        <w:pStyle w:val="19"/>
        <w:spacing w:after="0" w:line="360" w:lineRule="auto"/>
        <w:ind w:firstLine="411" w:firstLineChars="195"/>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8.2招标答疑会会议纪要将在提交投标文件截止时间15日前在交易平台“项目答疑纪要”专区公开发布。答疑纪要一经在交易平台发布，视作已发放给所有投标人。</w:t>
      </w:r>
    </w:p>
    <w:p w14:paraId="4EBF2AF5">
      <w:pPr>
        <w:pStyle w:val="19"/>
        <w:pBdr>
          <w:bottom w:val="single" w:color="auto" w:sz="4" w:space="1"/>
        </w:pBdr>
        <w:spacing w:after="0" w:line="360" w:lineRule="auto"/>
        <w:ind w:firstLine="411" w:firstLineChars="195"/>
        <w:rPr>
          <w:rFonts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8.2招标答疑会会议纪要将在提交投标文件截止时间15日前在</w:t>
      </w:r>
      <w:r>
        <w:rPr>
          <w:rFonts w:hint="eastAsia" w:ascii="宋体" w:hAnsi="宋体" w:cs="宋体"/>
          <w:color w:val="auto"/>
          <w:sz w:val="21"/>
          <w:szCs w:val="21"/>
          <w:highlight w:val="none"/>
          <w:u w:val="single"/>
        </w:rPr>
        <w:t>广州交易集团有限公司（广州公共资源交易中心）</w:t>
      </w:r>
      <w:r>
        <w:rPr>
          <w:rFonts w:hint="eastAsia" w:ascii="宋体" w:hAnsi="宋体" w:cs="宋体"/>
          <w:color w:val="auto"/>
          <w:sz w:val="21"/>
          <w:szCs w:val="21"/>
          <w:highlight w:val="none"/>
        </w:rPr>
        <w:t>交易平台“</w:t>
      </w:r>
      <w:r>
        <w:rPr>
          <w:color w:val="auto"/>
          <w:highlight w:val="none"/>
        </w:rPr>
        <w:fldChar w:fldCharType="begin"/>
      </w:r>
      <w:r>
        <w:rPr>
          <w:color w:val="auto"/>
          <w:highlight w:val="none"/>
        </w:rPr>
        <w:instrText xml:space="preserve"> HYPERLINK "http://ggzy.gz.gov.cn/xmcxjsgc/index.jhtml" </w:instrText>
      </w:r>
      <w:r>
        <w:rPr>
          <w:color w:val="auto"/>
          <w:highlight w:val="none"/>
        </w:rPr>
        <w:fldChar w:fldCharType="separate"/>
      </w:r>
      <w:r>
        <w:rPr>
          <w:rFonts w:hint="eastAsia" w:ascii="宋体" w:hAnsi="宋体" w:cs="宋体"/>
          <w:color w:val="auto"/>
          <w:sz w:val="21"/>
          <w:szCs w:val="21"/>
          <w:highlight w:val="none"/>
          <w:u w:val="single"/>
        </w:rPr>
        <w:t>项目查询(日程安排、答疑纪要)</w:t>
      </w:r>
      <w:r>
        <w:rPr>
          <w:rFonts w:hint="eastAsia" w:ascii="宋体" w:hAnsi="宋体" w:cs="宋体"/>
          <w:color w:val="auto"/>
          <w:sz w:val="21"/>
          <w:szCs w:val="21"/>
          <w:highlight w:val="none"/>
          <w:u w:val="single"/>
        </w:rPr>
        <w:fldChar w:fldCharType="end"/>
      </w:r>
      <w:r>
        <w:rPr>
          <w:rFonts w:hint="eastAsia" w:ascii="宋体" w:hAnsi="宋体" w:cs="宋体"/>
          <w:color w:val="auto"/>
          <w:sz w:val="21"/>
          <w:szCs w:val="21"/>
          <w:highlight w:val="none"/>
        </w:rPr>
        <w:t>”专区公开发布。答疑纪要一经在</w:t>
      </w:r>
      <w:r>
        <w:rPr>
          <w:rFonts w:hint="eastAsia" w:ascii="宋体" w:hAnsi="宋体" w:cs="宋体"/>
          <w:color w:val="auto"/>
          <w:sz w:val="21"/>
          <w:szCs w:val="21"/>
          <w:highlight w:val="none"/>
          <w:u w:val="single"/>
        </w:rPr>
        <w:t>广州交易集团有限公司（广州公共资源交易中心）</w:t>
      </w:r>
      <w:r>
        <w:rPr>
          <w:rFonts w:hint="eastAsia" w:ascii="宋体" w:hAnsi="宋体" w:cs="宋体"/>
          <w:color w:val="auto"/>
          <w:sz w:val="21"/>
          <w:szCs w:val="21"/>
          <w:highlight w:val="none"/>
        </w:rPr>
        <w:t>交易平台发布，视作已发放给所有投标人。</w:t>
      </w:r>
    </w:p>
    <w:p w14:paraId="0844B0D7">
      <w:pPr>
        <w:spacing w:line="360" w:lineRule="auto"/>
        <w:ind w:firstLine="411" w:firstLineChars="195"/>
        <w:rPr>
          <w:rFonts w:cs="宋体"/>
          <w:b/>
          <w:color w:val="auto"/>
          <w:szCs w:val="21"/>
          <w:highlight w:val="none"/>
        </w:rPr>
      </w:pPr>
      <w:r>
        <w:rPr>
          <w:rFonts w:hint="eastAsia" w:cs="宋体"/>
          <w:b/>
          <w:color w:val="auto"/>
          <w:szCs w:val="21"/>
          <w:highlight w:val="none"/>
        </w:rPr>
        <w:t>条款号：9.2修改类型：修改</w:t>
      </w:r>
    </w:p>
    <w:p w14:paraId="5FE8C821">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9.2招标文件的澄清或修改将在交易平台“项目答疑纪要”专区公开发布。答疑纪要一经在交易平台发布，视作已发放给所有投标人，以交易平台上网发布时间作为送达时间。</w:t>
      </w:r>
    </w:p>
    <w:p w14:paraId="7950C1D9">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9.2招标文件的澄清或修改将在</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w:t>
      </w:r>
      <w:r>
        <w:rPr>
          <w:color w:val="auto"/>
          <w:highlight w:val="none"/>
        </w:rPr>
        <w:fldChar w:fldCharType="begin"/>
      </w:r>
      <w:r>
        <w:rPr>
          <w:color w:val="auto"/>
          <w:highlight w:val="none"/>
        </w:rPr>
        <w:instrText xml:space="preserve"> HYPERLINK "http://ggzy.gz.gov.cn/xmcxjsgc/index.jhtml" </w:instrText>
      </w:r>
      <w:r>
        <w:rPr>
          <w:color w:val="auto"/>
          <w:highlight w:val="none"/>
        </w:rPr>
        <w:fldChar w:fldCharType="separate"/>
      </w:r>
      <w:r>
        <w:rPr>
          <w:rFonts w:hint="eastAsia" w:cs="宋体"/>
          <w:color w:val="auto"/>
          <w:szCs w:val="21"/>
          <w:highlight w:val="none"/>
          <w:u w:val="single"/>
        </w:rPr>
        <w:t>项目查询(日程安排、答疑纪要)</w:t>
      </w:r>
      <w:r>
        <w:rPr>
          <w:rFonts w:hint="eastAsia" w:cs="宋体"/>
          <w:color w:val="auto"/>
          <w:szCs w:val="21"/>
          <w:highlight w:val="none"/>
          <w:u w:val="single"/>
        </w:rPr>
        <w:fldChar w:fldCharType="end"/>
      </w:r>
      <w:r>
        <w:rPr>
          <w:rFonts w:hint="eastAsia" w:cs="宋体"/>
          <w:color w:val="auto"/>
          <w:szCs w:val="21"/>
          <w:highlight w:val="none"/>
        </w:rPr>
        <w:t>”专区公开发布。答疑纪要一经在</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交易平台发布，视作已发放给所有投标人，以</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交易平台上网发布时间作为送达时间。</w:t>
      </w:r>
    </w:p>
    <w:p w14:paraId="52684984">
      <w:pPr>
        <w:spacing w:line="360" w:lineRule="auto"/>
        <w:ind w:firstLine="411" w:firstLineChars="195"/>
        <w:rPr>
          <w:rFonts w:cs="宋体"/>
          <w:b/>
          <w:color w:val="auto"/>
          <w:szCs w:val="21"/>
          <w:highlight w:val="none"/>
        </w:rPr>
      </w:pPr>
      <w:r>
        <w:rPr>
          <w:rFonts w:hint="eastAsia" w:cs="宋体"/>
          <w:b/>
          <w:color w:val="auto"/>
          <w:szCs w:val="21"/>
          <w:highlight w:val="none"/>
        </w:rPr>
        <w:t>条款号：9.4修改类型：修改</w:t>
      </w:r>
    </w:p>
    <w:p w14:paraId="60646557">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9.4招标文件的澄清或修改均以书面形式明确的内容为准。当招标文件的澄清、修改、补充等在同一内容的表述不一致时，以最后发出的书面形式的文件为准。</w:t>
      </w:r>
    </w:p>
    <w:p w14:paraId="4A76CC0E">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9.4招标文件的澄清或修改均以</w:t>
      </w:r>
      <w:r>
        <w:rPr>
          <w:rFonts w:hint="eastAsia" w:cs="宋体"/>
          <w:color w:val="auto"/>
          <w:szCs w:val="21"/>
          <w:highlight w:val="none"/>
          <w:u w:val="single"/>
        </w:rPr>
        <w:t>网上答疑公布</w:t>
      </w:r>
      <w:r>
        <w:rPr>
          <w:rFonts w:hint="eastAsia" w:cs="宋体"/>
          <w:color w:val="auto"/>
          <w:szCs w:val="21"/>
          <w:highlight w:val="none"/>
        </w:rPr>
        <w:t>的内容为准。当招标文件的澄清、修改、补充等在同一内容的表述不一致时，以最后发出的</w:t>
      </w:r>
      <w:r>
        <w:rPr>
          <w:rFonts w:hint="eastAsia" w:cs="宋体"/>
          <w:color w:val="auto"/>
          <w:szCs w:val="21"/>
          <w:highlight w:val="none"/>
          <w:u w:val="single"/>
        </w:rPr>
        <w:t>文件</w:t>
      </w:r>
      <w:r>
        <w:rPr>
          <w:rFonts w:hint="eastAsia" w:cs="宋体"/>
          <w:color w:val="auto"/>
          <w:szCs w:val="21"/>
          <w:highlight w:val="none"/>
        </w:rPr>
        <w:t>为准。</w:t>
      </w:r>
    </w:p>
    <w:p w14:paraId="29004F8C">
      <w:pPr>
        <w:spacing w:line="360" w:lineRule="auto"/>
        <w:ind w:firstLine="411" w:firstLineChars="195"/>
        <w:rPr>
          <w:rFonts w:cs="宋体"/>
          <w:b/>
          <w:color w:val="auto"/>
          <w:szCs w:val="21"/>
          <w:highlight w:val="none"/>
        </w:rPr>
      </w:pPr>
      <w:r>
        <w:rPr>
          <w:rFonts w:hint="eastAsia" w:cs="宋体"/>
          <w:b/>
          <w:color w:val="auto"/>
          <w:szCs w:val="21"/>
          <w:highlight w:val="none"/>
        </w:rPr>
        <w:t>条款号：11.2修改类型：修改</w:t>
      </w:r>
    </w:p>
    <w:p w14:paraId="0E9E7719">
      <w:pPr>
        <w:spacing w:line="360" w:lineRule="auto"/>
        <w:ind w:firstLine="411" w:firstLineChars="195"/>
        <w:rPr>
          <w:rFonts w:cs="宋体"/>
          <w:bCs/>
          <w:color w:val="auto"/>
          <w:szCs w:val="21"/>
          <w:highlight w:val="none"/>
        </w:rPr>
      </w:pPr>
      <w:r>
        <w:rPr>
          <w:rFonts w:hint="eastAsia" w:cs="宋体"/>
          <w:b/>
          <w:color w:val="auto"/>
          <w:szCs w:val="21"/>
          <w:highlight w:val="none"/>
        </w:rPr>
        <w:t>原文：</w:t>
      </w:r>
      <w:r>
        <w:rPr>
          <w:rFonts w:hint="eastAsia" w:cs="宋体"/>
          <w:bCs/>
          <w:color w:val="auto"/>
          <w:szCs w:val="21"/>
          <w:highlight w:val="none"/>
        </w:rPr>
        <w:t>11.2投标文件技术标部分主要包括下列内容:</w:t>
      </w:r>
    </w:p>
    <w:p w14:paraId="140A6215">
      <w:pPr>
        <w:spacing w:line="360" w:lineRule="auto"/>
        <w:ind w:firstLine="409" w:firstLineChars="195"/>
        <w:rPr>
          <w:rFonts w:cs="宋体"/>
          <w:bCs/>
          <w:color w:val="auto"/>
          <w:szCs w:val="21"/>
          <w:highlight w:val="none"/>
        </w:rPr>
      </w:pPr>
      <w:r>
        <w:rPr>
          <w:rFonts w:hint="eastAsia" w:cs="宋体"/>
          <w:bCs/>
          <w:color w:val="auto"/>
          <w:szCs w:val="21"/>
          <w:highlight w:val="none"/>
        </w:rPr>
        <w:t>11.2.1技术投标文件</w:t>
      </w:r>
      <w:r>
        <w:rPr>
          <w:rFonts w:hint="eastAsia" w:cs="宋体"/>
          <w:color w:val="auto"/>
          <w:szCs w:val="21"/>
          <w:highlight w:val="none"/>
        </w:rPr>
        <w:t>(按招标文件的要求填写)</w:t>
      </w:r>
      <w:r>
        <w:rPr>
          <w:rFonts w:hint="eastAsia" w:cs="宋体"/>
          <w:bCs/>
          <w:color w:val="auto"/>
          <w:szCs w:val="21"/>
          <w:highlight w:val="none"/>
        </w:rPr>
        <w:t>；</w:t>
      </w:r>
    </w:p>
    <w:p w14:paraId="2725964A">
      <w:pPr>
        <w:spacing w:line="360" w:lineRule="auto"/>
        <w:ind w:firstLine="409" w:firstLineChars="195"/>
        <w:rPr>
          <w:rFonts w:cs="宋体"/>
          <w:bCs/>
          <w:color w:val="auto"/>
          <w:szCs w:val="21"/>
          <w:highlight w:val="none"/>
        </w:rPr>
      </w:pPr>
      <w:r>
        <w:rPr>
          <w:rFonts w:hint="eastAsia" w:cs="宋体"/>
          <w:bCs/>
          <w:color w:val="auto"/>
          <w:szCs w:val="21"/>
          <w:highlight w:val="none"/>
        </w:rPr>
        <w:t>11.2.2资格审查文件：</w:t>
      </w:r>
    </w:p>
    <w:p w14:paraId="65435C5D">
      <w:pPr>
        <w:tabs>
          <w:tab w:val="left" w:pos="1125"/>
        </w:tabs>
        <w:spacing w:line="360" w:lineRule="auto"/>
        <w:ind w:firstLine="409" w:firstLineChars="195"/>
        <w:rPr>
          <w:rFonts w:hint="eastAsia" w:eastAsia="宋体" w:cs="宋体"/>
          <w:color w:val="auto"/>
          <w:szCs w:val="21"/>
          <w:highlight w:val="none"/>
          <w:lang w:eastAsia="zh-CN"/>
        </w:rPr>
      </w:pPr>
      <w:r>
        <w:rPr>
          <w:rFonts w:hint="eastAsia" w:cs="宋体"/>
          <w:color w:val="auto"/>
          <w:szCs w:val="21"/>
          <w:highlight w:val="none"/>
        </w:rPr>
        <w:t>（1）投标人声明；</w:t>
      </w:r>
    </w:p>
    <w:p w14:paraId="56B39B66">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（2）法定代表人证明书、法定代表人签字或盖章的本投标文件授权委托证明书；</w:t>
      </w:r>
    </w:p>
    <w:p w14:paraId="5806CAD3">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（3）企业营业执照扫描件或电子证照；</w:t>
      </w:r>
    </w:p>
    <w:p w14:paraId="2BA82D7C">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（4）企业资质证书扫描件或电子证照；</w:t>
      </w:r>
    </w:p>
    <w:p w14:paraId="0E8E65EA">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（5）建筑施工企业安全生产许可证扫描件或电子证照；</w:t>
      </w:r>
    </w:p>
    <w:p w14:paraId="47300141">
      <w:pPr>
        <w:tabs>
          <w:tab w:val="left" w:pos="1125"/>
        </w:tabs>
        <w:spacing w:line="360" w:lineRule="auto"/>
        <w:ind w:firstLine="409" w:firstLineChars="195"/>
        <w:rPr>
          <w:rFonts w:hint="eastAsia" w:eastAsia="宋体" w:cs="宋体"/>
          <w:color w:val="auto"/>
          <w:szCs w:val="21"/>
          <w:highlight w:val="none"/>
          <w:lang w:eastAsia="zh-CN"/>
        </w:rPr>
      </w:pPr>
      <w:r>
        <w:rPr>
          <w:rFonts w:hint="eastAsia" w:cs="宋体"/>
          <w:color w:val="auto"/>
          <w:szCs w:val="21"/>
          <w:highlight w:val="none"/>
        </w:rPr>
        <w:t>（6）项目负责人（按网上投标登记时选择拟投入本项目的项目负责人）</w:t>
      </w:r>
      <w:r>
        <w:rPr>
          <w:rFonts w:hint="eastAsia" w:cs="宋体"/>
          <w:color w:val="auto"/>
          <w:szCs w:val="21"/>
          <w:highlight w:val="none"/>
          <w:lang w:eastAsia="zh-CN"/>
        </w:rPr>
        <w:t>；</w:t>
      </w:r>
    </w:p>
    <w:p w14:paraId="232444F5">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（7）专职安全员（按网上投标登记时选择拟投入本项目的专职安全员）</w:t>
      </w:r>
      <w:r>
        <w:rPr>
          <w:rFonts w:hint="eastAsia" w:cs="宋体"/>
          <w:color w:val="auto"/>
          <w:szCs w:val="21"/>
          <w:highlight w:val="none"/>
          <w:lang w:eastAsia="zh-CN"/>
        </w:rPr>
        <w:t>；</w:t>
      </w:r>
    </w:p>
    <w:p w14:paraId="1A6874D0">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（8）拟委托技术负责人的相关证书、资料（具体要求由招标人明确）</w:t>
      </w:r>
      <w:r>
        <w:rPr>
          <w:rFonts w:hint="eastAsia" w:cs="宋体"/>
          <w:color w:val="auto"/>
          <w:szCs w:val="21"/>
          <w:highlight w:val="none"/>
          <w:lang w:eastAsia="zh-CN"/>
        </w:rPr>
        <w:t>；</w:t>
      </w:r>
    </w:p>
    <w:p w14:paraId="3CC28EF3">
      <w:pPr>
        <w:tabs>
          <w:tab w:val="left" w:pos="1125"/>
        </w:tabs>
        <w:spacing w:line="360" w:lineRule="auto"/>
        <w:ind w:firstLine="409" w:firstLineChars="195"/>
        <w:rPr>
          <w:rFonts w:hint="eastAsia" w:eastAsia="宋体" w:cs="宋体"/>
          <w:color w:val="auto"/>
          <w:szCs w:val="21"/>
          <w:highlight w:val="none"/>
          <w:lang w:eastAsia="zh-CN"/>
        </w:rPr>
      </w:pPr>
      <w:r>
        <w:rPr>
          <w:rFonts w:hint="eastAsia" w:cs="宋体"/>
          <w:color w:val="auto"/>
          <w:szCs w:val="21"/>
          <w:highlight w:val="none"/>
        </w:rPr>
        <w:t>（9）拟委派项目负责人的有效期内的建造师注册证书扫描件或电子证书；</w:t>
      </w:r>
    </w:p>
    <w:p w14:paraId="4CA395FF">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（10）项目负责人在有效期内的安全生产考核合格证书（B类）或建筑施工企业项目负责人安全生产考核合格证书扫描件或电子证书；</w:t>
      </w:r>
    </w:p>
    <w:p w14:paraId="129182CC">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（11）专职安全员须具有在有效期内的安全生产考核合格证书（C类）或建筑施工企业专职安全生产管理人员安全生产考核合格证书扫描件或电子证书；</w:t>
      </w:r>
    </w:p>
    <w:p w14:paraId="279A5F25">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（12）用于资格审查的业绩（设置业绩要求时选择此项，投标人须提供类似工程业绩的项目名称及项目编号，具体格式由招标人自定）；</w:t>
      </w:r>
    </w:p>
    <w:p w14:paraId="623000E2">
      <w:pPr>
        <w:tabs>
          <w:tab w:val="left" w:pos="1125"/>
        </w:tabs>
        <w:spacing w:line="360" w:lineRule="auto"/>
        <w:ind w:firstLine="409" w:firstLineChars="195"/>
        <w:rPr>
          <w:rFonts w:hint="eastAsia" w:eastAsia="宋体" w:cs="宋体"/>
          <w:color w:val="auto"/>
          <w:szCs w:val="21"/>
          <w:highlight w:val="none"/>
          <w:lang w:eastAsia="zh-CN"/>
        </w:rPr>
      </w:pPr>
      <w:r>
        <w:rPr>
          <w:rFonts w:hint="eastAsia" w:cs="宋体"/>
          <w:color w:val="auto"/>
          <w:szCs w:val="21"/>
          <w:highlight w:val="none"/>
        </w:rPr>
        <w:t>（13）列明主办单位的联合体工作协议（采用联合体投标时需递交，投标人拟任本工程项目负责人应为联合体主办方信用档案中的在册人员，联合体工作协议应明确约定各方拟承担的工作和责任）；</w:t>
      </w:r>
    </w:p>
    <w:p w14:paraId="3218D329">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729984B2">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注：1.相关电子证书按规定需打印后手写本人签名的，应按照规定手写本人签名后再扫描提交。</w:t>
      </w:r>
    </w:p>
    <w:p w14:paraId="1489AD6D">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11.2.3项目管理机构配备。</w:t>
      </w:r>
    </w:p>
    <w:p w14:paraId="6B1B9761">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（1）投标人应列出该项目工程的施工组织机构构成和画出机构框架图及其负责人；</w:t>
      </w:r>
    </w:p>
    <w:p w14:paraId="28D05989">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（2）投标人应详细列出该施工组织机构中主要成员的名单、简历资料、职务职称和</w:t>
      </w:r>
    </w:p>
    <w:p w14:paraId="08C2621A">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在本项目中拟担任的职务等资料，并附上有关证明材料扫描件；</w:t>
      </w:r>
    </w:p>
    <w:p w14:paraId="06910772">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（3）其他辅助说明资料。</w:t>
      </w:r>
    </w:p>
    <w:p w14:paraId="76E1DF8A">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11.2.4投标人在广州市可使用适合本工程的机械设备（附：机械设备为自有或租赁的说明；及承诺机械设备如属于租赁的，其租赁是不属于重复租赁）。</w:t>
      </w:r>
    </w:p>
    <w:p w14:paraId="108CD592">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11.2.5施工组织设计或施工方案。</w:t>
      </w:r>
    </w:p>
    <w:p w14:paraId="6F457B13">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（1）投标人在编制施工组织设计或施工方案时应按照招标人提出的施工现场建筑垃圾源头减量的具体要求以及建筑垃圾综合利用产品的使用要求提供相应措施。</w:t>
      </w:r>
    </w:p>
    <w:p w14:paraId="14C48672">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6101B2D1">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11.2.6按照招标文件要求填写的《参与编制技术标投标文件人员名单》。</w:t>
      </w:r>
    </w:p>
    <w:p w14:paraId="0144D5D9">
      <w:pPr>
        <w:spacing w:line="360" w:lineRule="auto"/>
        <w:ind w:firstLine="411" w:firstLineChars="195"/>
        <w:rPr>
          <w:rFonts w:cs="宋体"/>
          <w:bCs/>
          <w:color w:val="auto"/>
          <w:szCs w:val="21"/>
          <w:highlight w:val="none"/>
        </w:rPr>
      </w:pPr>
      <w:r>
        <w:rPr>
          <w:rFonts w:hint="eastAsia" w:cs="宋体"/>
          <w:b/>
          <w:color w:val="auto"/>
          <w:szCs w:val="21"/>
          <w:highlight w:val="none"/>
        </w:rPr>
        <w:t>现文：</w:t>
      </w:r>
      <w:r>
        <w:rPr>
          <w:rFonts w:hint="eastAsia" w:cs="宋体"/>
          <w:bCs/>
          <w:color w:val="auto"/>
          <w:szCs w:val="21"/>
          <w:highlight w:val="none"/>
        </w:rPr>
        <w:t>11.2投标文件技术标部分主要包括下列内容</w:t>
      </w:r>
      <w:r>
        <w:rPr>
          <w:rFonts w:hint="eastAsia" w:cs="宋体"/>
          <w:color w:val="auto"/>
          <w:szCs w:val="21"/>
          <w:highlight w:val="none"/>
          <w:u w:val="single"/>
        </w:rPr>
        <w:t>（除注明原件外，均为清晰扫描件即可）</w:t>
      </w:r>
      <w:r>
        <w:rPr>
          <w:rFonts w:hint="eastAsia" w:cs="宋体"/>
          <w:bCs/>
          <w:color w:val="auto"/>
          <w:szCs w:val="21"/>
          <w:highlight w:val="none"/>
        </w:rPr>
        <w:t>:</w:t>
      </w:r>
    </w:p>
    <w:p w14:paraId="5516758C">
      <w:pPr>
        <w:spacing w:line="360" w:lineRule="auto"/>
        <w:ind w:firstLine="409" w:firstLineChars="195"/>
        <w:rPr>
          <w:rFonts w:cs="宋体"/>
          <w:bCs/>
          <w:color w:val="auto"/>
          <w:szCs w:val="21"/>
          <w:highlight w:val="none"/>
        </w:rPr>
      </w:pPr>
      <w:r>
        <w:rPr>
          <w:rFonts w:hint="eastAsia" w:cs="宋体"/>
          <w:bCs/>
          <w:color w:val="auto"/>
          <w:szCs w:val="21"/>
          <w:highlight w:val="none"/>
        </w:rPr>
        <w:t>11.2.1技术投标文件(按招标文件的要求填写)；</w:t>
      </w:r>
    </w:p>
    <w:p w14:paraId="0656FCBE">
      <w:pPr>
        <w:spacing w:line="360" w:lineRule="auto"/>
        <w:ind w:firstLine="409" w:firstLineChars="195"/>
        <w:rPr>
          <w:rFonts w:cs="宋体"/>
          <w:bCs/>
          <w:color w:val="auto"/>
          <w:szCs w:val="21"/>
          <w:highlight w:val="none"/>
        </w:rPr>
      </w:pPr>
      <w:r>
        <w:rPr>
          <w:rFonts w:hint="eastAsia" w:cs="宋体"/>
          <w:bCs/>
          <w:color w:val="auto"/>
          <w:szCs w:val="21"/>
          <w:highlight w:val="none"/>
        </w:rPr>
        <w:t>11.2.2资格审查文件：</w:t>
      </w:r>
    </w:p>
    <w:p w14:paraId="0C2D663A">
      <w:pPr>
        <w:spacing w:line="360" w:lineRule="auto"/>
        <w:ind w:firstLine="409" w:firstLineChars="195"/>
        <w:rPr>
          <w:rFonts w:hint="eastAsia" w:eastAsia="宋体" w:cs="宋体"/>
          <w:color w:val="auto"/>
          <w:szCs w:val="21"/>
          <w:highlight w:val="none"/>
          <w:u w:val="single"/>
          <w:lang w:eastAsia="zh-CN"/>
        </w:rPr>
      </w:pPr>
      <w:r>
        <w:rPr>
          <w:rFonts w:hint="eastAsia" w:cs="宋体"/>
          <w:color w:val="auto"/>
          <w:szCs w:val="21"/>
          <w:highlight w:val="none"/>
          <w:u w:val="single"/>
        </w:rPr>
        <w:t>（1）投标人声明；</w:t>
      </w:r>
    </w:p>
    <w:p w14:paraId="30AC0AA7">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（2）法定代表人证明书、法定代表人签字或盖章的本投标文件授权委托证明书；</w:t>
      </w:r>
    </w:p>
    <w:p w14:paraId="0119E6B4">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（3）企业营业执照扫描件或电子证照；</w:t>
      </w:r>
    </w:p>
    <w:p w14:paraId="18FEC2FE">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（4）企业资质证书扫描件或电子证照；</w:t>
      </w:r>
    </w:p>
    <w:p w14:paraId="200AFD99">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（5）建筑施工企业安全生产许可证扫描件或电子证照；</w:t>
      </w:r>
    </w:p>
    <w:p w14:paraId="1EB5F304">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（6）项目负责人（按网上投标登记时选择拟投入本项目的项目负责人）</w:t>
      </w:r>
      <w:r>
        <w:rPr>
          <w:rFonts w:hint="eastAsia" w:cs="宋体"/>
          <w:color w:val="auto"/>
          <w:szCs w:val="21"/>
          <w:highlight w:val="none"/>
          <w:lang w:eastAsia="zh-CN"/>
        </w:rPr>
        <w:t>；</w:t>
      </w:r>
    </w:p>
    <w:p w14:paraId="2B059260">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（7）专职安全员（按网上投标登记时选择拟投入本项目的专职安全员）</w:t>
      </w:r>
      <w:r>
        <w:rPr>
          <w:rFonts w:hint="eastAsia" w:cs="宋体"/>
          <w:color w:val="auto"/>
          <w:szCs w:val="21"/>
          <w:highlight w:val="none"/>
          <w:lang w:eastAsia="zh-CN"/>
        </w:rPr>
        <w:t>；</w:t>
      </w:r>
    </w:p>
    <w:p w14:paraId="27750853">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（8）拟委托技术负责人的相关证书、资料（具体要求由招标人明确）</w:t>
      </w:r>
      <w:r>
        <w:rPr>
          <w:rFonts w:hint="eastAsia" w:cs="宋体"/>
          <w:color w:val="auto"/>
          <w:szCs w:val="21"/>
          <w:highlight w:val="none"/>
          <w:lang w:eastAsia="zh-CN"/>
        </w:rPr>
        <w:t>；</w:t>
      </w:r>
    </w:p>
    <w:p w14:paraId="0558FF8E">
      <w:pPr>
        <w:spacing w:line="360" w:lineRule="auto"/>
        <w:ind w:firstLine="409" w:firstLineChars="195"/>
        <w:rPr>
          <w:rFonts w:hint="eastAsia" w:eastAsia="宋体" w:cs="宋体"/>
          <w:color w:val="auto"/>
          <w:szCs w:val="21"/>
          <w:highlight w:val="none"/>
          <w:u w:val="single"/>
          <w:lang w:eastAsia="zh-CN"/>
        </w:rPr>
      </w:pPr>
      <w:r>
        <w:rPr>
          <w:rFonts w:hint="eastAsia" w:cs="宋体"/>
          <w:color w:val="auto"/>
          <w:szCs w:val="21"/>
          <w:highlight w:val="none"/>
          <w:u w:val="single"/>
        </w:rPr>
        <w:t>（9）拟委派项目负责人的有效期内的建造师注册证书扫描件或电子证书；</w:t>
      </w:r>
    </w:p>
    <w:p w14:paraId="43630831">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（10）项目负责人在有效期内的安全生产考核合格证书（B类）或建筑施工企业项目负责人安全生产考核合格证书扫描件或电子证书；</w:t>
      </w:r>
    </w:p>
    <w:p w14:paraId="466074D1">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（11）专职安全员须具有在有效期内的安全生产考核合格证书（C类）或建筑施工企业专职安全生产管理人员安全生产考核合格证书（C3类）扫描件或电子证书；</w:t>
      </w:r>
    </w:p>
    <w:p w14:paraId="763B0460">
      <w:pPr>
        <w:pStyle w:val="3"/>
        <w:jc w:val="left"/>
        <w:rPr>
          <w:rFonts w:hint="eastAsia"/>
          <w:color w:val="auto"/>
          <w:highlight w:val="none"/>
        </w:rPr>
      </w:pPr>
      <w:bookmarkStart w:id="3" w:name="_Toc20975"/>
      <w:r>
        <w:rPr>
          <w:rFonts w:hint="eastAsia"/>
          <w:color w:val="auto"/>
          <w:highlight w:val="none"/>
        </w:rPr>
        <w:t>注：1.相关电子证书按规定需打印后手写本人签名的，应按照规定手写本人签名后再扫描提交。</w:t>
      </w:r>
      <w:bookmarkEnd w:id="3"/>
    </w:p>
    <w:p w14:paraId="29477082">
      <w:pPr>
        <w:pStyle w:val="3"/>
        <w:jc w:val="left"/>
        <w:rPr>
          <w:rFonts w:hint="eastAsia"/>
          <w:color w:val="auto"/>
          <w:highlight w:val="none"/>
        </w:rPr>
      </w:pPr>
      <w:bookmarkStart w:id="4" w:name="_Toc30843"/>
      <w:r>
        <w:rPr>
          <w:rFonts w:hint="eastAsia"/>
          <w:color w:val="auto"/>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bookmarkEnd w:id="4"/>
    </w:p>
    <w:p w14:paraId="721FEB2A">
      <w:pPr>
        <w:spacing w:line="360" w:lineRule="auto"/>
        <w:ind w:firstLine="409" w:firstLineChars="195"/>
        <w:rPr>
          <w:color w:val="auto"/>
          <w:szCs w:val="21"/>
          <w:highlight w:val="none"/>
        </w:rPr>
      </w:pPr>
      <w:r>
        <w:rPr>
          <w:rFonts w:hint="eastAsia" w:cs="宋体"/>
          <w:color w:val="auto"/>
          <w:szCs w:val="21"/>
          <w:highlight w:val="none"/>
          <w:u w:val="single"/>
        </w:rPr>
        <w:t>11.2.3企业资信的证明材料（按附表四要求提交）。</w:t>
      </w:r>
    </w:p>
    <w:p w14:paraId="607B8D73">
      <w:pPr>
        <w:spacing w:line="360" w:lineRule="auto"/>
        <w:ind w:firstLine="409" w:firstLineChars="195"/>
        <w:rPr>
          <w:rFonts w:cs="宋体"/>
          <w:color w:val="auto"/>
          <w:szCs w:val="21"/>
          <w:highlight w:val="none"/>
          <w:u w:val="single"/>
        </w:rPr>
      </w:pPr>
      <w:r>
        <w:rPr>
          <w:rFonts w:hint="eastAsia" w:cs="宋体"/>
          <w:color w:val="auto"/>
          <w:szCs w:val="21"/>
          <w:highlight w:val="none"/>
          <w:u w:val="single"/>
        </w:rPr>
        <w:t>11.2.4项目管理机构配备。</w:t>
      </w:r>
    </w:p>
    <w:p w14:paraId="18CEB582">
      <w:pPr>
        <w:spacing w:line="360" w:lineRule="auto"/>
        <w:ind w:firstLine="409" w:firstLineChars="195"/>
        <w:rPr>
          <w:rFonts w:cs="宋体"/>
          <w:color w:val="auto"/>
          <w:szCs w:val="21"/>
          <w:highlight w:val="none"/>
          <w:u w:val="single"/>
        </w:rPr>
      </w:pPr>
      <w:r>
        <w:rPr>
          <w:rFonts w:hint="eastAsia" w:cs="宋体"/>
          <w:color w:val="auto"/>
          <w:szCs w:val="21"/>
          <w:highlight w:val="none"/>
          <w:u w:val="single"/>
        </w:rPr>
        <w:t>（1）投标人应列出该项目工程的施工组织机构构成和画出机构框架图及其负责人；</w:t>
      </w:r>
    </w:p>
    <w:p w14:paraId="49D60AEC">
      <w:pPr>
        <w:spacing w:line="360" w:lineRule="auto"/>
        <w:ind w:firstLine="409" w:firstLineChars="195"/>
        <w:rPr>
          <w:rFonts w:cs="宋体"/>
          <w:color w:val="auto"/>
          <w:szCs w:val="21"/>
          <w:highlight w:val="none"/>
          <w:u w:val="single"/>
        </w:rPr>
      </w:pPr>
      <w:r>
        <w:rPr>
          <w:rFonts w:hint="eastAsia" w:cs="宋体"/>
          <w:color w:val="auto"/>
          <w:szCs w:val="21"/>
          <w:highlight w:val="none"/>
          <w:u w:val="single"/>
        </w:rPr>
        <w:t>（2）投标人应详细列出该施工组织机构中主要成员的名单、职务职称和在本项目中拟担任的职务等资料，并附上有关证明材料扫描件及其他辅助说明资料。</w:t>
      </w:r>
    </w:p>
    <w:p w14:paraId="531CCD3E">
      <w:pPr>
        <w:adjustRightInd w:val="0"/>
        <w:spacing w:line="360" w:lineRule="auto"/>
        <w:ind w:firstLine="409" w:firstLineChars="195"/>
        <w:textAlignment w:val="baseline"/>
        <w:rPr>
          <w:rFonts w:cs="宋体"/>
          <w:color w:val="auto"/>
          <w:szCs w:val="21"/>
          <w:highlight w:val="none"/>
          <w:u w:val="single"/>
        </w:rPr>
      </w:pPr>
      <w:r>
        <w:rPr>
          <w:rFonts w:hint="eastAsia" w:cs="宋体"/>
          <w:color w:val="auto"/>
          <w:szCs w:val="21"/>
          <w:highlight w:val="none"/>
          <w:u w:val="single"/>
        </w:rPr>
        <w:t>11.2.5《危险性较大的分部分项工程清单及超过一定规模的危险性较大的分部分项工程清单》（格式见第四章）。</w:t>
      </w:r>
    </w:p>
    <w:p w14:paraId="1070D470">
      <w:pPr>
        <w:adjustRightInd w:val="0"/>
        <w:spacing w:line="360" w:lineRule="auto"/>
        <w:ind w:firstLine="409" w:firstLineChars="195"/>
        <w:textAlignment w:val="baseline"/>
        <w:rPr>
          <w:rFonts w:cs="宋体"/>
          <w:color w:val="auto"/>
          <w:szCs w:val="21"/>
          <w:highlight w:val="none"/>
          <w:u w:val="single"/>
        </w:rPr>
      </w:pPr>
      <w:r>
        <w:rPr>
          <w:rFonts w:hint="eastAsia" w:cs="宋体"/>
          <w:color w:val="auto"/>
          <w:szCs w:val="21"/>
          <w:highlight w:val="none"/>
          <w:u w:val="single"/>
        </w:rPr>
        <w:t>11.2.6《参与编制技术标投标文件人员名单》（格式见第四章）。</w:t>
      </w:r>
    </w:p>
    <w:p w14:paraId="257C1967">
      <w:pPr>
        <w:pBdr>
          <w:bottom w:val="single" w:color="auto" w:sz="6" w:space="1"/>
        </w:pBdr>
        <w:adjustRightInd w:val="0"/>
        <w:spacing w:line="360" w:lineRule="auto"/>
        <w:ind w:firstLine="409" w:firstLineChars="195"/>
        <w:textAlignment w:val="baseline"/>
        <w:rPr>
          <w:rFonts w:cs="宋体"/>
          <w:color w:val="auto"/>
          <w:szCs w:val="21"/>
          <w:highlight w:val="none"/>
          <w:u w:val="single"/>
        </w:rPr>
      </w:pPr>
      <w:r>
        <w:rPr>
          <w:rFonts w:hint="eastAsia" w:cs="宋体"/>
          <w:color w:val="auto"/>
          <w:szCs w:val="21"/>
          <w:highlight w:val="none"/>
          <w:u w:val="single"/>
        </w:rPr>
        <w:t>11.2.7</w:t>
      </w:r>
      <w:r>
        <w:rPr>
          <w:rFonts w:hint="eastAsia" w:cs="宋体"/>
          <w:bCs/>
          <w:color w:val="auto"/>
          <w:szCs w:val="21"/>
          <w:highlight w:val="none"/>
          <w:u w:val="single"/>
        </w:rPr>
        <w:t>投标人认为应提供的其他资料。</w:t>
      </w:r>
    </w:p>
    <w:p w14:paraId="6C8AA859">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条款号：11.3修改类型：修改</w:t>
      </w:r>
    </w:p>
    <w:p w14:paraId="710214DB">
      <w:pPr>
        <w:spacing w:line="360" w:lineRule="auto"/>
        <w:ind w:firstLine="411" w:firstLineChars="195"/>
        <w:rPr>
          <w:rFonts w:cs="宋体"/>
          <w:bCs/>
          <w:color w:val="auto"/>
          <w:szCs w:val="21"/>
          <w:highlight w:val="none"/>
        </w:rPr>
      </w:pPr>
      <w:r>
        <w:rPr>
          <w:rFonts w:hint="eastAsia" w:cs="宋体"/>
          <w:b/>
          <w:bCs/>
          <w:color w:val="auto"/>
          <w:szCs w:val="21"/>
          <w:highlight w:val="none"/>
        </w:rPr>
        <w:t>原文：</w:t>
      </w:r>
      <w:r>
        <w:rPr>
          <w:rFonts w:hint="eastAsia" w:cs="宋体"/>
          <w:bCs/>
          <w:color w:val="auto"/>
          <w:szCs w:val="21"/>
          <w:highlight w:val="none"/>
        </w:rPr>
        <w:t>11.3投标文件主要包括下列内容：</w:t>
      </w:r>
    </w:p>
    <w:p w14:paraId="37B8C719">
      <w:pPr>
        <w:spacing w:line="360" w:lineRule="auto"/>
        <w:ind w:firstLine="409" w:firstLineChars="195"/>
        <w:rPr>
          <w:rFonts w:cs="宋体"/>
          <w:color w:val="auto"/>
          <w:szCs w:val="21"/>
          <w:highlight w:val="none"/>
        </w:rPr>
      </w:pPr>
      <w:r>
        <w:rPr>
          <w:rFonts w:hint="eastAsia" w:cs="宋体"/>
          <w:color w:val="auto"/>
          <w:szCs w:val="21"/>
          <w:highlight w:val="none"/>
        </w:rPr>
        <w:t>11.3.1经济投标文件(按招标文件的要求填写)。</w:t>
      </w:r>
    </w:p>
    <w:p w14:paraId="08BC299C">
      <w:pPr>
        <w:spacing w:line="360" w:lineRule="auto"/>
        <w:ind w:firstLine="409" w:firstLineChars="195"/>
        <w:rPr>
          <w:rFonts w:hint="eastAsia" w:eastAsia="宋体" w:cs="宋体"/>
          <w:color w:val="auto"/>
          <w:szCs w:val="21"/>
          <w:highlight w:val="none"/>
          <w:lang w:eastAsia="zh-CN"/>
        </w:rPr>
      </w:pPr>
      <w:r>
        <w:rPr>
          <w:rFonts w:hint="eastAsia" w:cs="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3A8CD486">
      <w:pPr>
        <w:spacing w:line="360" w:lineRule="auto"/>
        <w:ind w:firstLine="409" w:firstLineChars="195"/>
        <w:rPr>
          <w:rFonts w:cs="宋体"/>
          <w:color w:val="auto"/>
          <w:szCs w:val="21"/>
          <w:highlight w:val="none"/>
        </w:rPr>
      </w:pPr>
      <w:r>
        <w:rPr>
          <w:rFonts w:hint="eastAsia" w:cs="宋体"/>
          <w:color w:val="auto"/>
          <w:szCs w:val="21"/>
          <w:highlight w:val="none"/>
        </w:rPr>
        <w:t>（1）投标总价封面、扉页；</w:t>
      </w:r>
    </w:p>
    <w:p w14:paraId="44B5405A">
      <w:pPr>
        <w:spacing w:line="360" w:lineRule="auto"/>
        <w:ind w:firstLine="409" w:firstLineChars="195"/>
        <w:rPr>
          <w:rFonts w:cs="宋体"/>
          <w:color w:val="auto"/>
          <w:szCs w:val="21"/>
          <w:highlight w:val="none"/>
        </w:rPr>
      </w:pPr>
      <w:r>
        <w:rPr>
          <w:rFonts w:hint="eastAsia" w:cs="宋体"/>
          <w:color w:val="auto"/>
          <w:szCs w:val="21"/>
          <w:highlight w:val="none"/>
        </w:rPr>
        <w:t>（2）总说明</w:t>
      </w:r>
    </w:p>
    <w:p w14:paraId="14264604">
      <w:pPr>
        <w:spacing w:line="360" w:lineRule="auto"/>
        <w:ind w:firstLine="409" w:firstLineChars="195"/>
        <w:rPr>
          <w:rFonts w:cs="宋体"/>
          <w:color w:val="auto"/>
          <w:szCs w:val="21"/>
          <w:highlight w:val="none"/>
        </w:rPr>
      </w:pPr>
      <w:r>
        <w:rPr>
          <w:rFonts w:hint="eastAsia" w:cs="宋体"/>
          <w:color w:val="auto"/>
          <w:szCs w:val="21"/>
          <w:highlight w:val="none"/>
        </w:rPr>
        <w:t>（3）工程项目投标报价汇总表；</w:t>
      </w:r>
    </w:p>
    <w:p w14:paraId="310ACBC4">
      <w:pPr>
        <w:spacing w:line="360" w:lineRule="auto"/>
        <w:ind w:firstLine="409" w:firstLineChars="195"/>
        <w:rPr>
          <w:rFonts w:cs="宋体"/>
          <w:color w:val="auto"/>
          <w:szCs w:val="21"/>
          <w:highlight w:val="none"/>
        </w:rPr>
      </w:pPr>
      <w:r>
        <w:rPr>
          <w:rFonts w:hint="eastAsia" w:cs="宋体"/>
          <w:color w:val="auto"/>
          <w:szCs w:val="21"/>
          <w:highlight w:val="none"/>
        </w:rPr>
        <w:t>（4）单项工程投标报价汇总表；</w:t>
      </w:r>
    </w:p>
    <w:p w14:paraId="07F17966">
      <w:pPr>
        <w:spacing w:line="360" w:lineRule="auto"/>
        <w:ind w:firstLine="409" w:firstLineChars="195"/>
        <w:rPr>
          <w:rFonts w:cs="宋体"/>
          <w:color w:val="auto"/>
          <w:szCs w:val="21"/>
          <w:highlight w:val="none"/>
        </w:rPr>
      </w:pPr>
      <w:r>
        <w:rPr>
          <w:rFonts w:hint="eastAsia" w:cs="宋体"/>
          <w:color w:val="auto"/>
          <w:szCs w:val="21"/>
          <w:highlight w:val="none"/>
        </w:rPr>
        <w:t>（5）单位工程投标报价汇总表；</w:t>
      </w:r>
    </w:p>
    <w:p w14:paraId="4F415EC6">
      <w:pPr>
        <w:spacing w:line="360" w:lineRule="auto"/>
        <w:ind w:firstLine="409" w:firstLineChars="195"/>
        <w:rPr>
          <w:rFonts w:cs="宋体"/>
          <w:color w:val="auto"/>
          <w:szCs w:val="21"/>
          <w:highlight w:val="none"/>
        </w:rPr>
      </w:pPr>
      <w:r>
        <w:rPr>
          <w:rFonts w:hint="eastAsia" w:cs="宋体"/>
          <w:color w:val="auto"/>
          <w:szCs w:val="21"/>
          <w:highlight w:val="none"/>
        </w:rPr>
        <w:t>（6）分部分项工程清单与计价表；</w:t>
      </w:r>
    </w:p>
    <w:p w14:paraId="7441FF24">
      <w:pPr>
        <w:spacing w:line="360" w:lineRule="auto"/>
        <w:ind w:firstLine="409" w:firstLineChars="195"/>
        <w:rPr>
          <w:rFonts w:cs="宋体"/>
          <w:color w:val="auto"/>
          <w:szCs w:val="21"/>
          <w:highlight w:val="none"/>
        </w:rPr>
      </w:pPr>
      <w:r>
        <w:rPr>
          <w:rFonts w:hint="eastAsia" w:cs="宋体"/>
          <w:color w:val="auto"/>
          <w:szCs w:val="21"/>
          <w:highlight w:val="none"/>
        </w:rPr>
        <w:t>（7）单价措施项目清单与计价表；</w:t>
      </w:r>
    </w:p>
    <w:p w14:paraId="1345B138">
      <w:pPr>
        <w:spacing w:line="360" w:lineRule="auto"/>
        <w:ind w:firstLine="409" w:firstLineChars="195"/>
        <w:rPr>
          <w:rFonts w:cs="宋体"/>
          <w:color w:val="auto"/>
          <w:szCs w:val="21"/>
          <w:highlight w:val="none"/>
        </w:rPr>
      </w:pPr>
      <w:r>
        <w:rPr>
          <w:rFonts w:hint="eastAsia" w:cs="宋体"/>
          <w:color w:val="auto"/>
          <w:szCs w:val="21"/>
          <w:highlight w:val="none"/>
        </w:rPr>
        <w:t>（8）总价措施项目清单与计价表；</w:t>
      </w:r>
    </w:p>
    <w:p w14:paraId="05B05DC3">
      <w:pPr>
        <w:spacing w:line="360" w:lineRule="auto"/>
        <w:ind w:firstLine="409" w:firstLineChars="195"/>
        <w:rPr>
          <w:rFonts w:cs="宋体"/>
          <w:color w:val="auto"/>
          <w:szCs w:val="21"/>
          <w:highlight w:val="none"/>
        </w:rPr>
      </w:pPr>
      <w:r>
        <w:rPr>
          <w:rFonts w:hint="eastAsia" w:cs="宋体"/>
          <w:color w:val="auto"/>
          <w:szCs w:val="21"/>
          <w:highlight w:val="none"/>
        </w:rPr>
        <w:t>（9）综合单价分析表；</w:t>
      </w:r>
    </w:p>
    <w:p w14:paraId="1B21AACF">
      <w:pPr>
        <w:spacing w:line="360" w:lineRule="auto"/>
        <w:ind w:firstLine="409" w:firstLineChars="195"/>
        <w:rPr>
          <w:rFonts w:cs="宋体"/>
          <w:color w:val="auto"/>
          <w:szCs w:val="21"/>
          <w:highlight w:val="none"/>
        </w:rPr>
      </w:pPr>
      <w:r>
        <w:rPr>
          <w:rFonts w:hint="eastAsia" w:cs="宋体"/>
          <w:color w:val="auto"/>
          <w:szCs w:val="21"/>
          <w:highlight w:val="none"/>
        </w:rPr>
        <w:t>（10）其他项目清单与计价汇总表；</w:t>
      </w:r>
    </w:p>
    <w:p w14:paraId="65CCC2B6">
      <w:pPr>
        <w:spacing w:line="360" w:lineRule="auto"/>
        <w:ind w:firstLine="409" w:firstLineChars="195"/>
        <w:rPr>
          <w:rFonts w:cs="宋体"/>
          <w:color w:val="auto"/>
          <w:szCs w:val="21"/>
          <w:highlight w:val="none"/>
        </w:rPr>
      </w:pPr>
      <w:r>
        <w:rPr>
          <w:rFonts w:hint="eastAsia" w:cs="宋体"/>
          <w:color w:val="auto"/>
          <w:szCs w:val="21"/>
          <w:highlight w:val="none"/>
        </w:rPr>
        <w:t>（11）暂列金额明细表；</w:t>
      </w:r>
    </w:p>
    <w:p w14:paraId="031BBFD6">
      <w:pPr>
        <w:spacing w:line="360" w:lineRule="auto"/>
        <w:ind w:firstLine="409" w:firstLineChars="195"/>
        <w:rPr>
          <w:rFonts w:cs="宋体"/>
          <w:color w:val="auto"/>
          <w:szCs w:val="21"/>
          <w:highlight w:val="none"/>
        </w:rPr>
      </w:pPr>
      <w:r>
        <w:rPr>
          <w:rFonts w:hint="eastAsia" w:cs="宋体"/>
          <w:color w:val="auto"/>
          <w:szCs w:val="21"/>
          <w:highlight w:val="none"/>
        </w:rPr>
        <w:t>（12）材料（工程设备）暂估价明细表；</w:t>
      </w:r>
    </w:p>
    <w:p w14:paraId="5D5C824F">
      <w:pPr>
        <w:spacing w:line="360" w:lineRule="auto"/>
        <w:ind w:firstLine="409" w:firstLineChars="195"/>
        <w:rPr>
          <w:rFonts w:cs="宋体"/>
          <w:color w:val="auto"/>
          <w:szCs w:val="21"/>
          <w:highlight w:val="none"/>
        </w:rPr>
      </w:pPr>
      <w:r>
        <w:rPr>
          <w:rFonts w:hint="eastAsia" w:cs="宋体"/>
          <w:color w:val="auto"/>
          <w:szCs w:val="21"/>
          <w:highlight w:val="none"/>
        </w:rPr>
        <w:t>（13）专业工程暂估价明细表；</w:t>
      </w:r>
    </w:p>
    <w:p w14:paraId="28F2F969">
      <w:pPr>
        <w:spacing w:line="360" w:lineRule="auto"/>
        <w:ind w:firstLine="409" w:firstLineChars="195"/>
        <w:rPr>
          <w:rFonts w:cs="宋体"/>
          <w:color w:val="auto"/>
          <w:szCs w:val="21"/>
          <w:highlight w:val="none"/>
        </w:rPr>
      </w:pPr>
      <w:r>
        <w:rPr>
          <w:rFonts w:hint="eastAsia" w:cs="宋体"/>
          <w:color w:val="auto"/>
          <w:szCs w:val="21"/>
          <w:highlight w:val="none"/>
        </w:rPr>
        <w:t>（14）计日工表；</w:t>
      </w:r>
    </w:p>
    <w:p w14:paraId="30F52CDB">
      <w:pPr>
        <w:spacing w:line="360" w:lineRule="auto"/>
        <w:ind w:firstLine="409" w:firstLineChars="195"/>
        <w:rPr>
          <w:rFonts w:cs="宋体"/>
          <w:color w:val="auto"/>
          <w:szCs w:val="21"/>
          <w:highlight w:val="none"/>
        </w:rPr>
      </w:pPr>
      <w:r>
        <w:rPr>
          <w:rFonts w:hint="eastAsia" w:cs="宋体"/>
          <w:color w:val="auto"/>
          <w:szCs w:val="21"/>
          <w:highlight w:val="none"/>
        </w:rPr>
        <w:t>（15）总承包服务计价表；</w:t>
      </w:r>
    </w:p>
    <w:p w14:paraId="12A3DD3A">
      <w:pPr>
        <w:spacing w:line="360" w:lineRule="auto"/>
        <w:ind w:firstLine="409" w:firstLineChars="195"/>
        <w:rPr>
          <w:rFonts w:cs="宋体"/>
          <w:color w:val="auto"/>
          <w:szCs w:val="21"/>
          <w:highlight w:val="none"/>
        </w:rPr>
      </w:pPr>
      <w:r>
        <w:rPr>
          <w:rFonts w:hint="eastAsia" w:cs="宋体"/>
          <w:color w:val="auto"/>
          <w:szCs w:val="21"/>
          <w:highlight w:val="none"/>
        </w:rPr>
        <w:t>（16）规费和税金项目计价表；</w:t>
      </w:r>
    </w:p>
    <w:p w14:paraId="7963871B">
      <w:pPr>
        <w:spacing w:line="360" w:lineRule="auto"/>
        <w:ind w:firstLine="409" w:firstLineChars="195"/>
        <w:rPr>
          <w:rFonts w:cs="宋体"/>
          <w:color w:val="auto"/>
          <w:szCs w:val="21"/>
          <w:highlight w:val="none"/>
        </w:rPr>
      </w:pPr>
      <w:r>
        <w:rPr>
          <w:rFonts w:hint="eastAsia" w:cs="宋体"/>
          <w:color w:val="auto"/>
          <w:szCs w:val="21"/>
          <w:highlight w:val="none"/>
        </w:rPr>
        <w:t>（17）人工、主要材料和设备一览表</w:t>
      </w:r>
    </w:p>
    <w:p w14:paraId="0F8589DA">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11.3.3按照</w:t>
      </w:r>
      <w:r>
        <w:rPr>
          <w:rFonts w:hint="eastAsia" w:cs="宋体"/>
          <w:bCs/>
          <w:color w:val="auto"/>
          <w:szCs w:val="21"/>
          <w:highlight w:val="none"/>
        </w:rPr>
        <w:t>招标文件要求</w:t>
      </w:r>
      <w:r>
        <w:rPr>
          <w:rFonts w:hint="eastAsia" w:cs="宋体"/>
          <w:color w:val="auto"/>
          <w:szCs w:val="21"/>
          <w:highlight w:val="none"/>
        </w:rPr>
        <w:t>填写的《参与编制经济标投标文件人员名单》。</w:t>
      </w:r>
    </w:p>
    <w:p w14:paraId="577C073C">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14:paraId="01BB9A4E">
      <w:pPr>
        <w:pBdr>
          <w:bottom w:val="single" w:color="auto" w:sz="6" w:space="1"/>
        </w:pBd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现文：</w:t>
      </w:r>
      <w:r>
        <w:rPr>
          <w:rFonts w:hint="eastAsia" w:cs="宋体"/>
          <w:bCs/>
          <w:color w:val="auto"/>
          <w:szCs w:val="21"/>
          <w:highlight w:val="none"/>
        </w:rPr>
        <w:t>11.3经济标投标文件主要包括下列内容：</w:t>
      </w:r>
    </w:p>
    <w:p w14:paraId="74A8F086">
      <w:pPr>
        <w:pBdr>
          <w:bottom w:val="single" w:color="auto" w:sz="6" w:space="1"/>
        </w:pBdr>
        <w:adjustRightInd w:val="0"/>
        <w:spacing w:line="360" w:lineRule="auto"/>
        <w:ind w:firstLine="409" w:firstLineChars="195"/>
        <w:textAlignment w:val="baseline"/>
        <w:rPr>
          <w:rFonts w:cs="宋体"/>
          <w:color w:val="auto"/>
          <w:szCs w:val="21"/>
          <w:highlight w:val="none"/>
        </w:rPr>
      </w:pPr>
      <w:r>
        <w:rPr>
          <w:rFonts w:hint="eastAsia" w:cs="宋体"/>
          <w:color w:val="auto"/>
          <w:szCs w:val="21"/>
          <w:highlight w:val="none"/>
        </w:rPr>
        <w:t>11.3.1</w:t>
      </w:r>
      <w:r>
        <w:rPr>
          <w:rFonts w:hint="eastAsia" w:cs="宋体"/>
          <w:color w:val="auto"/>
          <w:szCs w:val="21"/>
          <w:highlight w:val="none"/>
          <w:u w:val="single"/>
        </w:rPr>
        <w:t>广州建设工程施工招标投标书(需按招标文件第四章要求的格式填写，具体格式以《广州建设工程施工招标投标书（经济标）》为准；电子投标管理软件编制的“广州建设工程施工招标投标书”不作为否决投标的条件，投标人采用电子投标管理软件编制“广州建设工程施工招标投标书”时无法填写“项目编号”的可以不填写，没有填写“项目编号”也不作为否决投标的条件)；</w:t>
      </w:r>
    </w:p>
    <w:p w14:paraId="1C761355">
      <w:pPr>
        <w:pBdr>
          <w:bottom w:val="single" w:color="auto" w:sz="6" w:space="1"/>
        </w:pBdr>
        <w:adjustRightInd w:val="0"/>
        <w:spacing w:line="360" w:lineRule="auto"/>
        <w:ind w:firstLine="409" w:firstLineChars="195"/>
        <w:textAlignment w:val="baseline"/>
        <w:rPr>
          <w:rFonts w:cs="宋体"/>
          <w:color w:val="auto"/>
          <w:szCs w:val="21"/>
          <w:highlight w:val="none"/>
        </w:rPr>
      </w:pPr>
      <w:r>
        <w:rPr>
          <w:rFonts w:hint="eastAsia" w:cs="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企业定额、施工现场情况和投标时拟定的施工组织设计或者施工方案，结合企业成本、市场价格以及招标文件中载明的风险内容和范围等编制</w:t>
      </w:r>
      <w:r>
        <w:rPr>
          <w:rFonts w:hint="eastAsia"/>
          <w:color w:val="auto"/>
          <w:szCs w:val="21"/>
          <w:highlight w:val="none"/>
          <w:u w:val="single"/>
        </w:rPr>
        <w:t>（投标报价的工程量清单的组成、格式等按广州公共资源交易中心的投标文件管理软件自动生成）</w:t>
      </w:r>
      <w:r>
        <w:rPr>
          <w:rFonts w:hint="eastAsia" w:cs="宋体"/>
          <w:color w:val="auto"/>
          <w:szCs w:val="21"/>
          <w:highlight w:val="none"/>
        </w:rPr>
        <w:t>。其中包括如下：</w:t>
      </w:r>
    </w:p>
    <w:p w14:paraId="6A69108C">
      <w:pPr>
        <w:tabs>
          <w:tab w:val="left" w:pos="1125"/>
        </w:tabs>
        <w:spacing w:line="360" w:lineRule="auto"/>
        <w:ind w:firstLine="420" w:firstLineChars="200"/>
        <w:rPr>
          <w:color w:val="auto"/>
          <w:szCs w:val="21"/>
          <w:highlight w:val="none"/>
          <w:u w:val="single"/>
        </w:rPr>
      </w:pPr>
      <w:r>
        <w:rPr>
          <w:rFonts w:hint="eastAsia"/>
          <w:color w:val="auto"/>
          <w:szCs w:val="21"/>
          <w:highlight w:val="none"/>
          <w:u w:val="single"/>
        </w:rPr>
        <w:t>11.3.3按照</w:t>
      </w:r>
      <w:r>
        <w:rPr>
          <w:rFonts w:hint="eastAsia"/>
          <w:bCs/>
          <w:color w:val="auto"/>
          <w:szCs w:val="21"/>
          <w:highlight w:val="none"/>
          <w:u w:val="single"/>
        </w:rPr>
        <w:t>招标文件要求</w:t>
      </w:r>
      <w:r>
        <w:rPr>
          <w:rFonts w:hint="eastAsia"/>
          <w:color w:val="auto"/>
          <w:szCs w:val="21"/>
          <w:highlight w:val="none"/>
          <w:u w:val="single"/>
        </w:rPr>
        <w:t>填写的《参与编制经济标投标文件人员名单》。</w:t>
      </w:r>
    </w:p>
    <w:p w14:paraId="03131481">
      <w:pPr>
        <w:tabs>
          <w:tab w:val="left" w:pos="1125"/>
        </w:tabs>
        <w:spacing w:line="360" w:lineRule="auto"/>
        <w:ind w:firstLine="420" w:firstLineChars="200"/>
        <w:rPr>
          <w:bCs/>
          <w:color w:val="auto"/>
          <w:szCs w:val="21"/>
          <w:highlight w:val="none"/>
          <w:u w:val="single"/>
        </w:rPr>
      </w:pPr>
      <w:r>
        <w:rPr>
          <w:rFonts w:hint="eastAsia"/>
          <w:bCs/>
          <w:color w:val="auto"/>
          <w:szCs w:val="21"/>
          <w:highlight w:val="none"/>
          <w:u w:val="single"/>
        </w:rPr>
        <w:t>11.3.4《对投标文件编制的承诺》。</w:t>
      </w:r>
    </w:p>
    <w:p w14:paraId="566D5BB4">
      <w:pPr>
        <w:pBdr>
          <w:bottom w:val="single" w:color="auto" w:sz="6" w:space="1"/>
        </w:pBdr>
        <w:adjustRightInd w:val="0"/>
        <w:spacing w:line="360" w:lineRule="auto"/>
        <w:ind w:firstLine="409" w:firstLineChars="195"/>
        <w:textAlignment w:val="baseline"/>
        <w:rPr>
          <w:rFonts w:cs="宋体"/>
          <w:color w:val="auto"/>
          <w:szCs w:val="21"/>
          <w:highlight w:val="none"/>
        </w:rPr>
      </w:pPr>
      <w:r>
        <w:rPr>
          <w:rFonts w:hint="eastAsia" w:cs="宋体"/>
          <w:color w:val="auto"/>
          <w:szCs w:val="21"/>
          <w:highlight w:val="none"/>
        </w:rPr>
        <w:t>11.3.5若投标人的投标报价低于工程成本警戒价的，投标人还须提供详细的施工组织设计、单价、措施性费用、单价分析表、主要材料价格表、投标人成本分析供评标委员会评审。</w:t>
      </w:r>
    </w:p>
    <w:p w14:paraId="1F4F7517">
      <w:pPr>
        <w:pBdr>
          <w:bottom w:val="single" w:color="auto" w:sz="6" w:space="1"/>
        </w:pBdr>
        <w:adjustRightInd w:val="0"/>
        <w:spacing w:line="360" w:lineRule="auto"/>
        <w:ind w:firstLine="409" w:firstLineChars="195"/>
        <w:textAlignment w:val="baseline"/>
        <w:rPr>
          <w:rFonts w:cs="宋体"/>
          <w:color w:val="auto"/>
          <w:szCs w:val="21"/>
          <w:highlight w:val="none"/>
          <w:u w:val="single"/>
        </w:rPr>
      </w:pPr>
      <w:r>
        <w:rPr>
          <w:rFonts w:hint="eastAsia" w:cs="宋体"/>
          <w:color w:val="auto"/>
          <w:szCs w:val="21"/>
          <w:highlight w:val="none"/>
          <w:u w:val="single"/>
        </w:rPr>
        <w:t>11.3.6投标人认为应提供的其他资料。</w:t>
      </w:r>
    </w:p>
    <w:p w14:paraId="1B066430">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条款号：12.2修改类型：修改</w:t>
      </w:r>
    </w:p>
    <w:p w14:paraId="4EE4B3D3">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12.2投标文件全部采用电子文档，投标文件所附证书证件均为原件扫描件，并采用单位数字证书，按招标文件要求在相应位置加盖电子印章。</w:t>
      </w:r>
      <w:r>
        <w:rPr>
          <w:rFonts w:hint="eastAsia" w:cs="宋体"/>
          <w:b/>
          <w:color w:val="auto"/>
          <w:szCs w:val="21"/>
          <w:highlight w:val="none"/>
        </w:rPr>
        <w:t>投标文件中需个人签字或盖章的，应在线下完成后扫描上传</w:t>
      </w:r>
      <w:r>
        <w:rPr>
          <w:rFonts w:hint="eastAsia" w:cs="宋体"/>
          <w:color w:val="auto"/>
          <w:szCs w:val="21"/>
          <w:highlight w:val="none"/>
        </w:rPr>
        <w:t>。按照交易平台关于全流程电子化项目的相关指南进行操作。详见：。</w:t>
      </w:r>
    </w:p>
    <w:p w14:paraId="226E5E5D">
      <w:pPr>
        <w:pBdr>
          <w:bottom w:val="single" w:color="auto" w:sz="6" w:space="1"/>
        </w:pBdr>
        <w:adjustRightInd w:val="0"/>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12.2投标文件全部采用电子文档，投标文件所附证书证件均为原件扫描件，并采用单位数字证书，按招标文件要求在相应位置加盖电子印章。投标文件中需个人签字或盖章的，</w:t>
      </w:r>
      <w:r>
        <w:rPr>
          <w:rFonts w:hint="eastAsia" w:cs="宋体"/>
          <w:color w:val="auto"/>
          <w:szCs w:val="21"/>
          <w:highlight w:val="none"/>
          <w:u w:val="single"/>
        </w:rPr>
        <w:t>应加盖个人电子印章或在线下完成后扫描上传。</w:t>
      </w:r>
      <w:r>
        <w:rPr>
          <w:rFonts w:hint="eastAsia" w:cs="宋体"/>
          <w:color w:val="auto"/>
          <w:szCs w:val="21"/>
          <w:highlight w:val="none"/>
        </w:rPr>
        <w:t>按照交易平台关于全流程电子化项目的相关指南进行操作。详见：</w:t>
      </w:r>
      <w:r>
        <w:rPr>
          <w:rFonts w:hint="eastAsia" w:cs="宋体"/>
          <w:color w:val="auto"/>
          <w:szCs w:val="21"/>
          <w:highlight w:val="none"/>
          <w:u w:val="single"/>
        </w:rPr>
        <w:t>《房屋建筑和市政基础设施工程全流程电子化项目专章》</w:t>
      </w:r>
      <w:r>
        <w:rPr>
          <w:rFonts w:hint="eastAsia" w:cs="宋体"/>
          <w:color w:val="auto"/>
          <w:szCs w:val="21"/>
          <w:highlight w:val="none"/>
        </w:rPr>
        <w:t>。</w:t>
      </w:r>
    </w:p>
    <w:p w14:paraId="3F1B0428">
      <w:pPr>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条款号：12.3修改类型：修改</w:t>
      </w:r>
    </w:p>
    <w:p w14:paraId="2DA0D203">
      <w:pPr>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12.3投标文件应按照交易平台关于全流程电子化项目的相关指南进行编制，详见：。</w:t>
      </w:r>
    </w:p>
    <w:p w14:paraId="0ACDB4D8">
      <w:pPr>
        <w:spacing w:line="360" w:lineRule="auto"/>
        <w:ind w:firstLine="409" w:firstLineChars="195"/>
        <w:textAlignment w:val="baseline"/>
        <w:rPr>
          <w:rFonts w:cs="宋体"/>
          <w:b/>
          <w:color w:val="auto"/>
          <w:szCs w:val="21"/>
          <w:highlight w:val="none"/>
        </w:rPr>
      </w:pPr>
      <w:r>
        <w:rPr>
          <w:rFonts w:hint="eastAsia" w:cs="宋体"/>
          <w:bCs/>
          <w:color w:val="auto"/>
          <w:szCs w:val="21"/>
          <w:highlight w:val="none"/>
        </w:rPr>
        <w:t>如不按上述要求编制引起系统无法检索、读取相关信息的，其后果由投标人承担。</w:t>
      </w:r>
    </w:p>
    <w:p w14:paraId="4E9F9B37">
      <w:pPr>
        <w:pBdr>
          <w:bottom w:val="single" w:color="auto" w:sz="6" w:space="1"/>
        </w:pBdr>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12.3</w:t>
      </w:r>
      <w:r>
        <w:rPr>
          <w:rFonts w:hint="eastAsia" w:cs="宋体"/>
          <w:bCs/>
          <w:color w:val="auto"/>
          <w:szCs w:val="21"/>
          <w:highlight w:val="none"/>
        </w:rPr>
        <w:t>投标文件应按</w:t>
      </w:r>
      <w:r>
        <w:rPr>
          <w:rFonts w:hint="eastAsia" w:cs="宋体"/>
          <w:color w:val="auto"/>
          <w:szCs w:val="21"/>
          <w:highlight w:val="none"/>
        </w:rPr>
        <w:t>照</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交易平台关于全流程电子化项目的相关指南进行编制，详见：</w:t>
      </w:r>
      <w:r>
        <w:rPr>
          <w:rFonts w:hint="eastAsia" w:cs="宋体"/>
          <w:color w:val="auto"/>
          <w:szCs w:val="21"/>
          <w:highlight w:val="none"/>
          <w:u w:val="single"/>
        </w:rPr>
        <w:t>《房屋建筑和市政基础设施工程全流程电子化项目专章》</w:t>
      </w:r>
      <w:r>
        <w:rPr>
          <w:rFonts w:hint="eastAsia" w:cs="宋体"/>
          <w:color w:val="auto"/>
          <w:szCs w:val="21"/>
          <w:highlight w:val="none"/>
        </w:rPr>
        <w:t>。</w:t>
      </w:r>
    </w:p>
    <w:p w14:paraId="68695F82">
      <w:pPr>
        <w:pBdr>
          <w:bottom w:val="single" w:color="auto" w:sz="6" w:space="1"/>
        </w:pBdr>
        <w:spacing w:line="360" w:lineRule="auto"/>
        <w:ind w:firstLine="409" w:firstLineChars="195"/>
        <w:textAlignment w:val="baseline"/>
        <w:rPr>
          <w:rFonts w:cs="宋体"/>
          <w:b/>
          <w:color w:val="auto"/>
          <w:szCs w:val="21"/>
          <w:highlight w:val="none"/>
        </w:rPr>
      </w:pPr>
      <w:r>
        <w:rPr>
          <w:rFonts w:hint="eastAsia" w:cs="宋体"/>
          <w:bCs/>
          <w:color w:val="auto"/>
          <w:szCs w:val="21"/>
          <w:highlight w:val="none"/>
        </w:rPr>
        <w:t>如不按上述要求编制引起系统无法检索、读取相关信息的，其后果由投标人承担。</w:t>
      </w:r>
    </w:p>
    <w:p w14:paraId="53D9B8F9">
      <w:pPr>
        <w:spacing w:line="360" w:lineRule="auto"/>
        <w:ind w:firstLine="411" w:firstLineChars="195"/>
        <w:rPr>
          <w:rFonts w:cs="宋体"/>
          <w:b/>
          <w:color w:val="auto"/>
          <w:szCs w:val="21"/>
          <w:highlight w:val="none"/>
        </w:rPr>
      </w:pPr>
      <w:r>
        <w:rPr>
          <w:rFonts w:hint="eastAsia" w:cs="宋体"/>
          <w:b/>
          <w:color w:val="auto"/>
          <w:szCs w:val="21"/>
          <w:highlight w:val="none"/>
        </w:rPr>
        <w:t>条款号：13.1修改类型：修改</w:t>
      </w:r>
    </w:p>
    <w:p w14:paraId="1D785FAD">
      <w:pPr>
        <w:pBdr>
          <w:bottom w:val="single" w:color="auto" w:sz="6" w:space="1"/>
        </w:pBdr>
        <w:spacing w:line="360" w:lineRule="auto"/>
        <w:ind w:firstLine="411" w:firstLineChars="195"/>
        <w:rPr>
          <w:rFonts w:cs="宋体"/>
          <w:color w:val="auto"/>
          <w:szCs w:val="21"/>
          <w:highlight w:val="none"/>
          <w:u w:val="single"/>
        </w:rPr>
      </w:pPr>
      <w:r>
        <w:rPr>
          <w:rFonts w:hint="eastAsia" w:cs="宋体"/>
          <w:b/>
          <w:color w:val="auto"/>
          <w:szCs w:val="21"/>
          <w:highlight w:val="none"/>
        </w:rPr>
        <w:t>原文：</w:t>
      </w:r>
      <w:r>
        <w:rPr>
          <w:rFonts w:hint="eastAsia" w:cs="宋体"/>
          <w:color w:val="auto"/>
          <w:szCs w:val="21"/>
          <w:highlight w:val="none"/>
        </w:rPr>
        <w:t>13.1本工程的投标报价采用投标须知前附表第12项所规定的方式。投标报价（含单价及总价）精确到“分”。</w:t>
      </w:r>
    </w:p>
    <w:p w14:paraId="6C494879">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13.1本工程的投标报价采用投标须知前附表第12项所规定的方式。</w:t>
      </w:r>
      <w:r>
        <w:rPr>
          <w:rFonts w:hint="eastAsia" w:cs="宋体"/>
          <w:color w:val="auto"/>
          <w:szCs w:val="21"/>
          <w:highlight w:val="none"/>
          <w:u w:val="single"/>
        </w:rPr>
        <w:t>投标文件中的大写金额和小写金额不一致的，以大写金额为准。</w:t>
      </w:r>
      <w:r>
        <w:rPr>
          <w:rFonts w:hint="eastAsia" w:cs="宋体"/>
          <w:color w:val="auto"/>
          <w:szCs w:val="21"/>
          <w:highlight w:val="none"/>
        </w:rPr>
        <w:t>投标报价（含单价及总价）精确到“分”。</w:t>
      </w:r>
    </w:p>
    <w:p w14:paraId="06F4F784">
      <w:pPr>
        <w:spacing w:line="360" w:lineRule="auto"/>
        <w:ind w:firstLine="411" w:firstLineChars="195"/>
        <w:rPr>
          <w:rFonts w:cs="宋体"/>
          <w:b/>
          <w:color w:val="auto"/>
          <w:szCs w:val="21"/>
          <w:highlight w:val="none"/>
        </w:rPr>
      </w:pPr>
      <w:r>
        <w:rPr>
          <w:rFonts w:hint="eastAsia" w:cs="宋体"/>
          <w:b/>
          <w:color w:val="auto"/>
          <w:szCs w:val="21"/>
          <w:highlight w:val="none"/>
        </w:rPr>
        <w:t>条款号：13.3修改类型：修改</w:t>
      </w:r>
    </w:p>
    <w:p w14:paraId="3C4ECFF6">
      <w:pPr>
        <w:spacing w:line="360" w:lineRule="auto"/>
        <w:ind w:firstLine="411" w:firstLineChars="195"/>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70AD7AF1">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13.3投标人的投标报价，应是按照投标须知前附表第8项的工期要求，在投标须知前附表第3项的建设地点，完成投标须知前附表第7项的招标范围内已由招标人制定的工程量清单</w:t>
      </w:r>
      <w:r>
        <w:rPr>
          <w:rFonts w:hint="eastAsia" w:cs="宋体"/>
          <w:color w:val="auto"/>
          <w:szCs w:val="21"/>
          <w:highlight w:val="none"/>
          <w:u w:val="single"/>
        </w:rPr>
        <w:t>（含招标的相关资料）</w:t>
      </w:r>
      <w:r>
        <w:rPr>
          <w:rFonts w:hint="eastAsia" w:cs="宋体"/>
          <w:color w:val="auto"/>
          <w:szCs w:val="21"/>
          <w:highlight w:val="none"/>
        </w:rPr>
        <w:t>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w:t>
      </w:r>
      <w:r>
        <w:rPr>
          <w:rFonts w:hint="eastAsia" w:cs="宋体"/>
          <w:color w:val="auto"/>
          <w:szCs w:val="21"/>
          <w:highlight w:val="none"/>
          <w:lang w:val="en-US" w:eastAsia="zh-CN"/>
        </w:rPr>
        <w:t>安全生产措施费</w:t>
      </w:r>
      <w:r>
        <w:rPr>
          <w:rFonts w:hint="eastAsia" w:cs="宋体"/>
          <w:color w:val="auto"/>
          <w:szCs w:val="21"/>
          <w:highlight w:val="none"/>
        </w:rPr>
        <w:t>等非竞争性项目明列了单价或合价的金额的，投标人应按照明列的单价或合价的金额报价，未按照规定金额报价的，由评标委员会按照招标文件规定的金额进行修正。</w:t>
      </w:r>
    </w:p>
    <w:p w14:paraId="7EE0837E">
      <w:pPr>
        <w:spacing w:line="360" w:lineRule="auto"/>
        <w:ind w:firstLine="411" w:firstLineChars="195"/>
        <w:rPr>
          <w:rFonts w:cs="宋体"/>
          <w:b/>
          <w:color w:val="auto"/>
          <w:szCs w:val="21"/>
          <w:highlight w:val="none"/>
        </w:rPr>
      </w:pPr>
      <w:r>
        <w:rPr>
          <w:rFonts w:hint="eastAsia" w:cs="宋体"/>
          <w:b/>
          <w:color w:val="auto"/>
          <w:szCs w:val="21"/>
          <w:highlight w:val="none"/>
        </w:rPr>
        <w:t>条款号：13.4修改类型：修改</w:t>
      </w:r>
    </w:p>
    <w:p w14:paraId="6EBD5CD6">
      <w:pPr>
        <w:pStyle w:val="19"/>
        <w:spacing w:after="0" w:line="360" w:lineRule="auto"/>
        <w:ind w:firstLine="392"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 w:val="21"/>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0AEE36F6">
      <w:pPr>
        <w:pBdr>
          <w:bottom w:val="single" w:color="auto" w:sz="6" w:space="1"/>
        </w:pBdr>
        <w:spacing w:line="360" w:lineRule="auto"/>
        <w:ind w:firstLine="411" w:firstLineChars="195"/>
        <w:rPr>
          <w:rFonts w:cs="宋体"/>
          <w:color w:val="auto"/>
          <w:szCs w:val="21"/>
          <w:highlight w:val="none"/>
          <w:u w:val="single"/>
        </w:rPr>
      </w:pPr>
      <w:r>
        <w:rPr>
          <w:rFonts w:hint="eastAsia" w:cs="宋体"/>
          <w:b/>
          <w:color w:val="auto"/>
          <w:szCs w:val="21"/>
          <w:highlight w:val="none"/>
        </w:rPr>
        <w:t>现文：</w:t>
      </w:r>
      <w:r>
        <w:rPr>
          <w:rFonts w:hint="eastAsia" w:cs="宋体"/>
          <w:color w:val="auto"/>
          <w:szCs w:val="21"/>
          <w:highlight w:val="none"/>
        </w:rPr>
        <w:t>13.4投标人一旦中标，投标人对招标人提供的招标工程量清单中列出的工程项目所报出的综合单价</w:t>
      </w:r>
      <w:r>
        <w:rPr>
          <w:rFonts w:hint="eastAsia" w:cs="宋体"/>
          <w:color w:val="auto"/>
          <w:szCs w:val="21"/>
          <w:highlight w:val="none"/>
          <w:u w:val="single"/>
        </w:rPr>
        <w:t>和措施项目费在工程结算时，按合同条款相关约定调整。</w:t>
      </w:r>
    </w:p>
    <w:p w14:paraId="51A6785E">
      <w:pPr>
        <w:spacing w:line="360" w:lineRule="auto"/>
        <w:ind w:firstLine="422" w:firstLineChars="200"/>
        <w:rPr>
          <w:rFonts w:cs="宋体"/>
          <w:b/>
          <w:color w:val="auto"/>
          <w:szCs w:val="21"/>
          <w:highlight w:val="none"/>
        </w:rPr>
      </w:pPr>
      <w:r>
        <w:rPr>
          <w:rFonts w:hint="eastAsia" w:cs="宋体"/>
          <w:b/>
          <w:color w:val="auto"/>
          <w:szCs w:val="21"/>
          <w:highlight w:val="none"/>
        </w:rPr>
        <w:t>条款号：16.1-16.5修改类型：删除</w:t>
      </w:r>
    </w:p>
    <w:p w14:paraId="07A4AD42">
      <w:pPr>
        <w:spacing w:line="360" w:lineRule="auto"/>
        <w:ind w:firstLine="422" w:firstLineChars="200"/>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16.1投标人应按投标须知前附表第14项所述金额和时间递交投标保证金。招标人应当允许投标人自主选择现金、银行保函、保证保险、专业工程担保公司担保等方式缴纳投标保证金。</w:t>
      </w:r>
    </w:p>
    <w:p w14:paraId="3B457432">
      <w:pPr>
        <w:spacing w:line="360" w:lineRule="auto"/>
        <w:ind w:firstLine="420" w:firstLineChars="200"/>
        <w:rPr>
          <w:rFonts w:cs="宋体"/>
          <w:color w:val="auto"/>
          <w:szCs w:val="21"/>
          <w:highlight w:val="none"/>
        </w:rPr>
      </w:pPr>
      <w:r>
        <w:rPr>
          <w:rFonts w:hint="eastAsia" w:cs="宋体"/>
          <w:color w:val="auto"/>
          <w:szCs w:val="21"/>
          <w:highlight w:val="none"/>
        </w:rPr>
        <w:t>16.1.1采用现金或者支票形式提交的，投标保证金须从投标人的银行基本账户转出。</w:t>
      </w:r>
    </w:p>
    <w:p w14:paraId="498AC629">
      <w:pPr>
        <w:spacing w:line="360" w:lineRule="auto"/>
        <w:ind w:firstLine="420" w:firstLineChars="200"/>
        <w:rPr>
          <w:rFonts w:cs="宋体"/>
          <w:color w:val="auto"/>
          <w:szCs w:val="21"/>
          <w:highlight w:val="none"/>
        </w:rPr>
      </w:pPr>
      <w:r>
        <w:rPr>
          <w:rFonts w:hint="eastAsia" w:cs="宋体"/>
          <w:color w:val="auto"/>
          <w:szCs w:val="21"/>
          <w:highlight w:val="none"/>
        </w:rPr>
        <w:t>16.1.2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7C8C5F22">
      <w:pPr>
        <w:spacing w:line="360" w:lineRule="auto"/>
        <w:ind w:firstLine="420" w:firstLineChars="200"/>
        <w:rPr>
          <w:rFonts w:cs="宋体"/>
          <w:color w:val="auto"/>
          <w:szCs w:val="21"/>
          <w:highlight w:val="none"/>
        </w:rPr>
      </w:pPr>
      <w:r>
        <w:rPr>
          <w:rFonts w:hint="eastAsia" w:cs="宋体"/>
          <w:color w:val="auto"/>
          <w:szCs w:val="21"/>
          <w:highlight w:val="none"/>
        </w:rPr>
        <w:t>16.1.3采用电子形式的保函、担保或保证保险提交投标保证金的，应在招标文件中明确电子递交途径。</w:t>
      </w:r>
    </w:p>
    <w:p w14:paraId="04E1964A">
      <w:pPr>
        <w:spacing w:line="360" w:lineRule="auto"/>
        <w:ind w:firstLine="420" w:firstLineChars="200"/>
        <w:rPr>
          <w:rFonts w:cs="宋体"/>
          <w:color w:val="auto"/>
          <w:szCs w:val="21"/>
          <w:highlight w:val="none"/>
        </w:rPr>
      </w:pPr>
      <w:r>
        <w:rPr>
          <w:rFonts w:hint="eastAsia" w:cs="宋体"/>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5EB9D33D">
      <w:pPr>
        <w:spacing w:line="360" w:lineRule="auto"/>
        <w:ind w:firstLine="420" w:firstLineChars="200"/>
        <w:rPr>
          <w:rFonts w:cs="宋体"/>
          <w:color w:val="auto"/>
          <w:szCs w:val="21"/>
          <w:highlight w:val="none"/>
        </w:rPr>
      </w:pPr>
      <w:r>
        <w:rPr>
          <w:rFonts w:hint="eastAsia" w:cs="宋体"/>
          <w:color w:val="auto"/>
          <w:szCs w:val="21"/>
          <w:highlight w:val="none"/>
        </w:rPr>
        <w:t>16.3投标保证金应依据法律法规的相关规定退还。</w:t>
      </w:r>
    </w:p>
    <w:p w14:paraId="1F67EF62">
      <w:pPr>
        <w:spacing w:line="360" w:lineRule="auto"/>
        <w:ind w:firstLine="420" w:firstLineChars="200"/>
        <w:rPr>
          <w:rFonts w:cs="宋体"/>
          <w:color w:val="auto"/>
          <w:szCs w:val="21"/>
          <w:highlight w:val="none"/>
        </w:rPr>
      </w:pPr>
      <w:r>
        <w:rPr>
          <w:rFonts w:hint="eastAsia" w:cs="宋体"/>
          <w:color w:val="auto"/>
          <w:szCs w:val="21"/>
          <w:highlight w:val="none"/>
        </w:rPr>
        <w:t>16.4如有下列情况之一的，招标人可以不予退还投标保证金（是否退还投标保证金由招标人在招标文件中规定）：</w:t>
      </w:r>
    </w:p>
    <w:p w14:paraId="3590514A">
      <w:pPr>
        <w:spacing w:line="360" w:lineRule="auto"/>
        <w:ind w:firstLine="420" w:firstLineChars="200"/>
        <w:rPr>
          <w:rFonts w:cs="宋体"/>
          <w:color w:val="auto"/>
          <w:szCs w:val="21"/>
          <w:highlight w:val="none"/>
        </w:rPr>
      </w:pPr>
      <w:r>
        <w:rPr>
          <w:rFonts w:hint="eastAsia" w:cs="宋体"/>
          <w:color w:val="auto"/>
          <w:szCs w:val="21"/>
          <w:highlight w:val="none"/>
        </w:rPr>
        <w:t>16.4.1因投标人原因造成投标文件未解密的；</w:t>
      </w:r>
    </w:p>
    <w:p w14:paraId="25B2FD3B">
      <w:pPr>
        <w:spacing w:line="360" w:lineRule="auto"/>
        <w:ind w:firstLine="420" w:firstLineChars="200"/>
        <w:rPr>
          <w:rFonts w:cs="宋体"/>
          <w:color w:val="auto"/>
          <w:szCs w:val="21"/>
          <w:highlight w:val="none"/>
        </w:rPr>
      </w:pPr>
      <w:r>
        <w:rPr>
          <w:rFonts w:hint="eastAsia" w:cs="宋体"/>
          <w:color w:val="auto"/>
          <w:szCs w:val="21"/>
          <w:highlight w:val="none"/>
        </w:rPr>
        <w:t>16.4.2投标人在投标有效期内撤销投标文件；</w:t>
      </w:r>
    </w:p>
    <w:p w14:paraId="6A8FDC60">
      <w:pPr>
        <w:spacing w:line="360" w:lineRule="auto"/>
        <w:ind w:firstLine="420" w:firstLineChars="200"/>
        <w:rPr>
          <w:rFonts w:cs="宋体"/>
          <w:color w:val="auto"/>
          <w:szCs w:val="21"/>
          <w:highlight w:val="none"/>
        </w:rPr>
      </w:pPr>
      <w:r>
        <w:rPr>
          <w:rFonts w:hint="eastAsia" w:cs="宋体"/>
          <w:color w:val="auto"/>
          <w:szCs w:val="21"/>
          <w:highlight w:val="none"/>
        </w:rPr>
        <w:t>16.4.3中标人未能在规定期限内按要求提交履约担保；</w:t>
      </w:r>
    </w:p>
    <w:p w14:paraId="4F5018EC">
      <w:pPr>
        <w:spacing w:line="360" w:lineRule="auto"/>
        <w:ind w:firstLine="420" w:firstLineChars="200"/>
        <w:rPr>
          <w:rFonts w:cs="宋体"/>
          <w:color w:val="auto"/>
          <w:szCs w:val="21"/>
          <w:highlight w:val="none"/>
        </w:rPr>
      </w:pPr>
      <w:r>
        <w:rPr>
          <w:rFonts w:hint="eastAsia" w:cs="宋体"/>
          <w:color w:val="auto"/>
          <w:szCs w:val="21"/>
          <w:highlight w:val="none"/>
        </w:rPr>
        <w:t>16.4.4中标人未能在规定期限内签署合同协议。</w:t>
      </w:r>
    </w:p>
    <w:p w14:paraId="72E94EB9">
      <w:pPr>
        <w:spacing w:line="360" w:lineRule="auto"/>
        <w:ind w:firstLine="420" w:firstLineChars="200"/>
        <w:rPr>
          <w:rFonts w:cs="宋体"/>
          <w:color w:val="auto"/>
          <w:szCs w:val="21"/>
          <w:highlight w:val="none"/>
        </w:rPr>
      </w:pPr>
      <w:r>
        <w:rPr>
          <w:rFonts w:hint="eastAsia" w:cs="宋体"/>
          <w:color w:val="auto"/>
          <w:szCs w:val="21"/>
          <w:highlight w:val="none"/>
        </w:rPr>
        <w:t>16.5投标人如存在下列情况之一的，将被拒绝在一定时期内参与招标人后续工程投标（拒绝时限需在招标文件中明确）：</w:t>
      </w:r>
    </w:p>
    <w:p w14:paraId="7F562BF0">
      <w:pPr>
        <w:spacing w:line="360" w:lineRule="auto"/>
        <w:ind w:firstLine="420" w:firstLineChars="200"/>
        <w:rPr>
          <w:rFonts w:cs="宋体"/>
          <w:color w:val="auto"/>
          <w:szCs w:val="21"/>
          <w:highlight w:val="none"/>
        </w:rPr>
      </w:pPr>
      <w:r>
        <w:rPr>
          <w:rFonts w:hint="eastAsia" w:cs="宋体"/>
          <w:color w:val="auto"/>
          <w:szCs w:val="21"/>
          <w:highlight w:val="none"/>
        </w:rPr>
        <w:t>16.5.1投标人存在16.4条款所列情形且投标人提交的保函、担保或保证保险无法兑付的；</w:t>
      </w:r>
    </w:p>
    <w:p w14:paraId="2A4B2332">
      <w:pPr>
        <w:spacing w:line="360" w:lineRule="auto"/>
        <w:ind w:firstLine="420" w:firstLineChars="200"/>
        <w:rPr>
          <w:rFonts w:cs="宋体"/>
          <w:color w:val="auto"/>
          <w:szCs w:val="21"/>
          <w:highlight w:val="none"/>
        </w:rPr>
      </w:pPr>
      <w:r>
        <w:rPr>
          <w:rFonts w:hint="eastAsia" w:cs="宋体"/>
          <w:color w:val="auto"/>
          <w:szCs w:val="21"/>
          <w:highlight w:val="none"/>
        </w:rPr>
        <w:t>16.5.2采用非电子形式提交投标保证金的投标人存在16.4条款所列情形，且未按招标人要求补交银行保函、专业工程担保公司担保或保证保险原件的；</w:t>
      </w:r>
    </w:p>
    <w:p w14:paraId="2EB1465C">
      <w:pPr>
        <w:spacing w:line="360" w:lineRule="auto"/>
        <w:ind w:firstLine="420" w:firstLineChars="200"/>
        <w:rPr>
          <w:rFonts w:cs="宋体"/>
          <w:color w:val="auto"/>
          <w:szCs w:val="21"/>
          <w:highlight w:val="none"/>
        </w:rPr>
      </w:pPr>
      <w:r>
        <w:rPr>
          <w:rFonts w:hint="eastAsia" w:cs="宋体"/>
          <w:color w:val="auto"/>
          <w:szCs w:val="21"/>
          <w:highlight w:val="none"/>
        </w:rPr>
        <w:t>16.5.3按招标文件要求免于提供投标保证金的投标人存在16.4条款所列情形，且未按招标人要求补交投标保证金的；</w:t>
      </w:r>
    </w:p>
    <w:p w14:paraId="156F0692">
      <w:pPr>
        <w:spacing w:line="360" w:lineRule="auto"/>
        <w:ind w:firstLine="420" w:firstLineChars="200"/>
        <w:rPr>
          <w:rFonts w:cs="宋体"/>
          <w:color w:val="auto"/>
          <w:szCs w:val="21"/>
          <w:highlight w:val="none"/>
        </w:rPr>
      </w:pPr>
      <w:r>
        <w:rPr>
          <w:rFonts w:hint="eastAsia" w:cs="宋体"/>
          <w:color w:val="auto"/>
          <w:szCs w:val="21"/>
          <w:highlight w:val="none"/>
        </w:rPr>
        <w:t>16.5.3按招标文件要求免于提供投标保证金的投标人存在16.4条款所列情形的。</w:t>
      </w:r>
    </w:p>
    <w:p w14:paraId="10690BFB">
      <w:pPr>
        <w:pBdr>
          <w:bottom w:val="single" w:color="auto" w:sz="6" w:space="1"/>
        </w:pBdr>
        <w:spacing w:line="360" w:lineRule="auto"/>
        <w:ind w:firstLine="409" w:firstLineChars="195"/>
        <w:rPr>
          <w:rFonts w:cs="宋体"/>
          <w:color w:val="auto"/>
          <w:szCs w:val="21"/>
          <w:highlight w:val="none"/>
        </w:rPr>
      </w:pPr>
      <w:r>
        <w:rPr>
          <w:rFonts w:hint="eastAsia" w:cs="宋体"/>
          <w:color w:val="auto"/>
          <w:szCs w:val="21"/>
          <w:highlight w:val="none"/>
        </w:rPr>
        <w:t>注：16.5.3款由招标人二选一，需在招标文件中明确。</w:t>
      </w:r>
    </w:p>
    <w:p w14:paraId="7AD2986E">
      <w:pPr>
        <w:spacing w:line="360" w:lineRule="auto"/>
        <w:ind w:firstLine="411" w:firstLineChars="195"/>
        <w:rPr>
          <w:rFonts w:cs="宋体"/>
          <w:b/>
          <w:color w:val="auto"/>
          <w:szCs w:val="21"/>
          <w:highlight w:val="none"/>
        </w:rPr>
      </w:pPr>
      <w:r>
        <w:rPr>
          <w:rFonts w:hint="eastAsia" w:cs="宋体"/>
          <w:b/>
          <w:color w:val="auto"/>
          <w:szCs w:val="21"/>
          <w:highlight w:val="none"/>
        </w:rPr>
        <w:t>条款号：17.1修改类型：修改</w:t>
      </w:r>
    </w:p>
    <w:p w14:paraId="5BB1E268">
      <w:pP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17.1投标人应采用单位数字证书，按招标文件要求在相应位置加盖电子印章。</w:t>
      </w:r>
      <w:r>
        <w:rPr>
          <w:rFonts w:hint="eastAsia" w:cs="宋体"/>
          <w:b/>
          <w:color w:val="auto"/>
          <w:szCs w:val="21"/>
          <w:highlight w:val="none"/>
        </w:rPr>
        <w:t>投标文件中需个人签字或盖章的，应在线下完成后扫描上传</w:t>
      </w:r>
      <w:r>
        <w:rPr>
          <w:rFonts w:hint="eastAsia" w:cs="宋体"/>
          <w:color w:val="auto"/>
          <w:szCs w:val="21"/>
          <w:highlight w:val="none"/>
        </w:rPr>
        <w:t>。按照交易平台关于全流程电子化项目的相关指南进行操作。详见：。</w:t>
      </w:r>
    </w:p>
    <w:p w14:paraId="190DCC6E">
      <w:pPr>
        <w:pBdr>
          <w:bottom w:val="single" w:color="auto" w:sz="6" w:space="1"/>
        </w:pBdr>
        <w:spacing w:line="360" w:lineRule="auto"/>
        <w:ind w:firstLine="411" w:firstLineChars="195"/>
        <w:rPr>
          <w:rFonts w:cs="宋体"/>
          <w:b/>
          <w:color w:val="auto"/>
          <w:szCs w:val="21"/>
          <w:highlight w:val="none"/>
        </w:rPr>
      </w:pPr>
      <w:r>
        <w:rPr>
          <w:rFonts w:hint="eastAsia" w:cs="宋体"/>
          <w:b/>
          <w:color w:val="auto"/>
          <w:szCs w:val="21"/>
          <w:highlight w:val="none"/>
        </w:rPr>
        <w:t>现文：</w:t>
      </w:r>
      <w:r>
        <w:rPr>
          <w:rFonts w:hint="eastAsia" w:cs="宋体"/>
          <w:color w:val="auto"/>
          <w:szCs w:val="21"/>
          <w:highlight w:val="none"/>
        </w:rPr>
        <w:t>17.1投标人应采用单位数字证书，按招标文件要求在相应位置加盖电子印章。投标文件中需个人签字或盖章的，</w:t>
      </w:r>
      <w:r>
        <w:rPr>
          <w:rFonts w:hint="eastAsia" w:cs="宋体"/>
          <w:color w:val="auto"/>
          <w:szCs w:val="21"/>
          <w:highlight w:val="none"/>
          <w:u w:val="single"/>
        </w:rPr>
        <w:t>应加盖个人电子印章或在线下完成后扫描上传</w:t>
      </w:r>
      <w:r>
        <w:rPr>
          <w:rFonts w:hint="eastAsia" w:cs="宋体"/>
          <w:color w:val="auto"/>
          <w:szCs w:val="21"/>
          <w:highlight w:val="none"/>
        </w:rPr>
        <w:t>。按照交易平台关于全流程电子化项目的相关指南进行操作。详见：</w:t>
      </w:r>
      <w:r>
        <w:rPr>
          <w:rFonts w:hint="eastAsia" w:cs="宋体"/>
          <w:color w:val="auto"/>
          <w:szCs w:val="21"/>
          <w:highlight w:val="none"/>
          <w:u w:val="single"/>
        </w:rPr>
        <w:t>《房屋建筑和市政基础设施工程全流程电子化项目专章》</w:t>
      </w:r>
      <w:r>
        <w:rPr>
          <w:rFonts w:hint="eastAsia" w:cs="宋体"/>
          <w:color w:val="auto"/>
          <w:szCs w:val="21"/>
          <w:highlight w:val="none"/>
        </w:rPr>
        <w:t>。</w:t>
      </w:r>
    </w:p>
    <w:p w14:paraId="79823D2F">
      <w:pPr>
        <w:spacing w:line="360" w:lineRule="auto"/>
        <w:ind w:firstLine="411" w:firstLineChars="195"/>
        <w:rPr>
          <w:rFonts w:cs="宋体"/>
          <w:b/>
          <w:color w:val="auto"/>
          <w:szCs w:val="21"/>
          <w:highlight w:val="none"/>
        </w:rPr>
      </w:pPr>
      <w:r>
        <w:rPr>
          <w:rFonts w:hint="eastAsia" w:cs="宋体"/>
          <w:b/>
          <w:color w:val="auto"/>
          <w:szCs w:val="21"/>
          <w:highlight w:val="none"/>
        </w:rPr>
        <w:t>条款号：18.1修改类型：修改</w:t>
      </w:r>
    </w:p>
    <w:p w14:paraId="6F7512BA">
      <w:pPr>
        <w:spacing w:line="360" w:lineRule="auto"/>
        <w:ind w:firstLine="411" w:firstLineChars="195"/>
        <w:rPr>
          <w:rFonts w:cs="宋体"/>
          <w:bCs/>
          <w:color w:val="auto"/>
          <w:szCs w:val="21"/>
          <w:highlight w:val="none"/>
        </w:rPr>
      </w:pPr>
      <w:r>
        <w:rPr>
          <w:rFonts w:hint="eastAsia" w:cs="宋体"/>
          <w:b/>
          <w:color w:val="auto"/>
          <w:szCs w:val="21"/>
          <w:highlight w:val="none"/>
        </w:rPr>
        <w:t>原文：</w:t>
      </w:r>
      <w:r>
        <w:rPr>
          <w:rFonts w:hint="eastAsia" w:cs="宋体"/>
          <w:color w:val="auto"/>
          <w:szCs w:val="21"/>
          <w:highlight w:val="none"/>
        </w:rPr>
        <w:t>18.1</w:t>
      </w:r>
      <w:r>
        <w:rPr>
          <w:rFonts w:hint="eastAsia" w:cs="宋体"/>
          <w:bCs/>
          <w:color w:val="auto"/>
          <w:szCs w:val="21"/>
          <w:highlight w:val="none"/>
        </w:rPr>
        <w:t>递交的电子投标文件（不含备用光盘）必须进行加密。按照交易平台关于</w:t>
      </w:r>
      <w:r>
        <w:rPr>
          <w:rFonts w:hint="eastAsia" w:cs="宋体"/>
          <w:color w:val="auto"/>
          <w:szCs w:val="21"/>
          <w:highlight w:val="none"/>
        </w:rPr>
        <w:t>全流程电子化项目的相关指南进行操作。详见：。</w:t>
      </w:r>
    </w:p>
    <w:p w14:paraId="5F078EAB">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18.1</w:t>
      </w:r>
      <w:r>
        <w:rPr>
          <w:rFonts w:hint="eastAsia" w:cs="宋体"/>
          <w:bCs/>
          <w:color w:val="auto"/>
          <w:szCs w:val="21"/>
          <w:highlight w:val="none"/>
        </w:rPr>
        <w:t>递交的电子投标文件（不含备用光盘）必须进行加密。按照</w:t>
      </w:r>
      <w:r>
        <w:rPr>
          <w:rFonts w:hint="eastAsia" w:cs="宋体"/>
          <w:color w:val="auto"/>
          <w:szCs w:val="21"/>
          <w:highlight w:val="none"/>
          <w:u w:val="single"/>
        </w:rPr>
        <w:t>广州交易集团有限公司（广州公共资源交易中心）</w:t>
      </w:r>
      <w:r>
        <w:rPr>
          <w:rFonts w:hint="eastAsia" w:cs="宋体"/>
          <w:bCs/>
          <w:color w:val="auto"/>
          <w:szCs w:val="21"/>
          <w:highlight w:val="none"/>
        </w:rPr>
        <w:t>交易平台关于</w:t>
      </w:r>
      <w:r>
        <w:rPr>
          <w:rFonts w:hint="eastAsia" w:cs="宋体"/>
          <w:color w:val="auto"/>
          <w:szCs w:val="21"/>
          <w:highlight w:val="none"/>
        </w:rPr>
        <w:t>全流程电子化项目的相关指南进行操作。详见：</w:t>
      </w:r>
      <w:r>
        <w:rPr>
          <w:rFonts w:hint="eastAsia" w:cs="宋体"/>
          <w:color w:val="auto"/>
          <w:szCs w:val="21"/>
          <w:highlight w:val="none"/>
          <w:u w:val="single"/>
        </w:rPr>
        <w:t>《房屋建筑和市政基础设施工程全流程电子化项目专章》</w:t>
      </w:r>
      <w:r>
        <w:rPr>
          <w:rFonts w:hint="eastAsia" w:cs="宋体"/>
          <w:color w:val="auto"/>
          <w:szCs w:val="21"/>
          <w:highlight w:val="none"/>
        </w:rPr>
        <w:t>。</w:t>
      </w:r>
    </w:p>
    <w:p w14:paraId="69724C93">
      <w:pPr>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条款号：18.2修改类型：修改</w:t>
      </w:r>
    </w:p>
    <w:p w14:paraId="0F8314AE">
      <w:pPr>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18.2</w:t>
      </w:r>
      <w:r>
        <w:rPr>
          <w:rFonts w:hint="eastAsia" w:cs="宋体"/>
          <w:bCs/>
          <w:color w:val="auto"/>
          <w:szCs w:val="21"/>
          <w:highlight w:val="none"/>
        </w:rPr>
        <w:t>未按要求加密的投标文件，</w:t>
      </w:r>
      <w:r>
        <w:rPr>
          <w:rFonts w:hint="eastAsia" w:cs="宋体"/>
          <w:color w:val="auto"/>
          <w:szCs w:val="21"/>
          <w:highlight w:val="none"/>
        </w:rPr>
        <w:t>交易平台</w:t>
      </w:r>
      <w:r>
        <w:rPr>
          <w:rFonts w:hint="eastAsia" w:cs="宋体"/>
          <w:bCs/>
          <w:color w:val="auto"/>
          <w:szCs w:val="21"/>
          <w:highlight w:val="none"/>
        </w:rPr>
        <w:t>将予以拒收。</w:t>
      </w:r>
    </w:p>
    <w:p w14:paraId="4F59DA9D">
      <w:pPr>
        <w:pBdr>
          <w:bottom w:val="single" w:color="auto" w:sz="6" w:space="1"/>
        </w:pBdr>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18.2</w:t>
      </w:r>
      <w:r>
        <w:rPr>
          <w:rFonts w:hint="eastAsia" w:cs="宋体"/>
          <w:bCs/>
          <w:color w:val="auto"/>
          <w:szCs w:val="21"/>
          <w:highlight w:val="none"/>
        </w:rPr>
        <w:t>未按要求加密的投标文件，</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w:t>
      </w:r>
      <w:r>
        <w:rPr>
          <w:rFonts w:hint="eastAsia" w:cs="宋体"/>
          <w:bCs/>
          <w:color w:val="auto"/>
          <w:szCs w:val="21"/>
          <w:highlight w:val="none"/>
        </w:rPr>
        <w:t>将予以拒收。</w:t>
      </w:r>
    </w:p>
    <w:p w14:paraId="4FC5D98B">
      <w:pPr>
        <w:spacing w:line="360" w:lineRule="auto"/>
        <w:ind w:firstLine="411" w:firstLineChars="195"/>
        <w:rPr>
          <w:rFonts w:cs="宋体"/>
          <w:b/>
          <w:color w:val="auto"/>
          <w:szCs w:val="21"/>
          <w:highlight w:val="none"/>
        </w:rPr>
      </w:pPr>
      <w:r>
        <w:rPr>
          <w:rFonts w:hint="eastAsia" w:cs="宋体"/>
          <w:b/>
          <w:color w:val="auto"/>
          <w:szCs w:val="21"/>
          <w:highlight w:val="none"/>
        </w:rPr>
        <w:t>条款号：19修改类型：修改</w:t>
      </w:r>
    </w:p>
    <w:p w14:paraId="5951B833">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原文：19.投标文件的递交和接收</w:t>
      </w:r>
    </w:p>
    <w:p w14:paraId="4B224082">
      <w:pPr>
        <w:pBdr>
          <w:bottom w:val="single" w:color="auto" w:sz="6" w:space="1"/>
        </w:pBdr>
        <w:spacing w:line="360" w:lineRule="auto"/>
        <w:ind w:firstLine="411" w:firstLineChars="195"/>
        <w:rPr>
          <w:rFonts w:cs="宋体"/>
          <w:bCs/>
          <w:color w:val="auto"/>
          <w:szCs w:val="21"/>
          <w:highlight w:val="none"/>
        </w:rPr>
      </w:pPr>
      <w:r>
        <w:rPr>
          <w:rFonts w:hint="eastAsia" w:cs="宋体"/>
          <w:b/>
          <w:color w:val="auto"/>
          <w:szCs w:val="21"/>
          <w:highlight w:val="none"/>
        </w:rPr>
        <w:t>现文：19.</w:t>
      </w:r>
      <w:r>
        <w:rPr>
          <w:rFonts w:hint="eastAsia" w:cs="宋体"/>
          <w:b/>
          <w:color w:val="auto"/>
          <w:szCs w:val="21"/>
          <w:highlight w:val="none"/>
          <w:u w:val="single"/>
        </w:rPr>
        <w:t>投标登记和</w:t>
      </w:r>
      <w:r>
        <w:rPr>
          <w:rFonts w:hint="eastAsia" w:cs="宋体"/>
          <w:b/>
          <w:color w:val="auto"/>
          <w:szCs w:val="21"/>
          <w:highlight w:val="none"/>
        </w:rPr>
        <w:t>投标文件的递交和接收</w:t>
      </w:r>
    </w:p>
    <w:p w14:paraId="737F0FFF">
      <w:pPr>
        <w:spacing w:line="360" w:lineRule="auto"/>
        <w:ind w:firstLine="411" w:firstLineChars="195"/>
        <w:rPr>
          <w:rFonts w:cs="宋体"/>
          <w:b/>
          <w:color w:val="auto"/>
          <w:szCs w:val="21"/>
          <w:highlight w:val="none"/>
        </w:rPr>
      </w:pPr>
      <w:r>
        <w:rPr>
          <w:rFonts w:hint="eastAsia" w:cs="宋体"/>
          <w:b/>
          <w:color w:val="auto"/>
          <w:szCs w:val="21"/>
          <w:highlight w:val="none"/>
        </w:rPr>
        <w:t>条款号：19.1修改类型：修改</w:t>
      </w:r>
    </w:p>
    <w:p w14:paraId="1810B5E9">
      <w:pPr>
        <w:spacing w:line="360" w:lineRule="auto"/>
        <w:ind w:firstLine="411" w:firstLineChars="195"/>
        <w:rPr>
          <w:rFonts w:cs="宋体"/>
          <w:bCs/>
          <w:color w:val="auto"/>
          <w:szCs w:val="21"/>
          <w:highlight w:val="none"/>
        </w:rPr>
      </w:pPr>
      <w:r>
        <w:rPr>
          <w:rFonts w:hint="eastAsia" w:cs="宋体"/>
          <w:b/>
          <w:color w:val="auto"/>
          <w:szCs w:val="21"/>
          <w:highlight w:val="none"/>
        </w:rPr>
        <w:t>原文：</w:t>
      </w:r>
      <w:r>
        <w:rPr>
          <w:rFonts w:hint="eastAsia" w:cs="宋体"/>
          <w:color w:val="auto"/>
          <w:szCs w:val="21"/>
          <w:highlight w:val="none"/>
        </w:rPr>
        <w:t>19.1</w:t>
      </w:r>
      <w:r>
        <w:rPr>
          <w:rFonts w:hint="eastAsia" w:cs="宋体"/>
          <w:bCs/>
          <w:color w:val="auto"/>
          <w:szCs w:val="21"/>
          <w:highlight w:val="none"/>
        </w:rPr>
        <w:t>投标人通过</w:t>
      </w:r>
      <w:r>
        <w:rPr>
          <w:rFonts w:hint="eastAsia" w:cs="宋体"/>
          <w:color w:val="auto"/>
          <w:szCs w:val="21"/>
          <w:highlight w:val="none"/>
        </w:rPr>
        <w:t>交易平台递交电子投标文件。</w:t>
      </w:r>
    </w:p>
    <w:p w14:paraId="5FC74AE8">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19.1</w:t>
      </w:r>
      <w:r>
        <w:rPr>
          <w:rFonts w:hint="eastAsia" w:cs="宋体"/>
          <w:bCs/>
          <w:color w:val="auto"/>
          <w:szCs w:val="21"/>
          <w:highlight w:val="none"/>
        </w:rPr>
        <w:t>投标人通过</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交易平台递交电子投标文件。</w:t>
      </w:r>
    </w:p>
    <w:p w14:paraId="24175442">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条款号：19.2修改类型：修改</w:t>
      </w:r>
    </w:p>
    <w:p w14:paraId="6F997F8D">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19.2</w:t>
      </w:r>
      <w:r>
        <w:rPr>
          <w:rFonts w:hint="eastAsia" w:cs="宋体"/>
          <w:bCs/>
          <w:color w:val="auto"/>
          <w:szCs w:val="21"/>
          <w:highlight w:val="none"/>
        </w:rPr>
        <w:t>投标人完成电子</w:t>
      </w:r>
      <w:r>
        <w:rPr>
          <w:rFonts w:hint="eastAsia" w:cs="宋体"/>
          <w:color w:val="auto"/>
          <w:szCs w:val="21"/>
          <w:highlight w:val="none"/>
        </w:rPr>
        <w:t>投标文件</w:t>
      </w:r>
      <w:r>
        <w:rPr>
          <w:rFonts w:hint="eastAsia" w:cs="宋体"/>
          <w:bCs/>
          <w:color w:val="auto"/>
          <w:szCs w:val="21"/>
          <w:highlight w:val="none"/>
        </w:rPr>
        <w:t>上传后，</w:t>
      </w:r>
      <w:r>
        <w:rPr>
          <w:rFonts w:hint="eastAsia" w:cs="宋体"/>
          <w:color w:val="auto"/>
          <w:szCs w:val="21"/>
          <w:highlight w:val="none"/>
        </w:rPr>
        <w:t>交易平台即时向投标人发出递交回执通知。递交时间以递交回执通知载明的传输完成时间为准。</w:t>
      </w:r>
    </w:p>
    <w:p w14:paraId="52A30A4A">
      <w:pPr>
        <w:pBdr>
          <w:bottom w:val="single" w:color="auto" w:sz="6" w:space="1"/>
        </w:pBdr>
        <w:adjustRightInd w:val="0"/>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19.2</w:t>
      </w:r>
      <w:r>
        <w:rPr>
          <w:rFonts w:hint="eastAsia" w:cs="宋体"/>
          <w:bCs/>
          <w:color w:val="auto"/>
          <w:szCs w:val="21"/>
          <w:highlight w:val="none"/>
        </w:rPr>
        <w:t>投标人完成电子</w:t>
      </w:r>
      <w:r>
        <w:rPr>
          <w:rFonts w:hint="eastAsia" w:cs="宋体"/>
          <w:color w:val="auto"/>
          <w:szCs w:val="21"/>
          <w:highlight w:val="none"/>
        </w:rPr>
        <w:t>投标文件</w:t>
      </w:r>
      <w:r>
        <w:rPr>
          <w:rFonts w:hint="eastAsia" w:cs="宋体"/>
          <w:bCs/>
          <w:color w:val="auto"/>
          <w:szCs w:val="21"/>
          <w:highlight w:val="none"/>
        </w:rPr>
        <w:t>上传后，</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交易平台即时向投标人发出递交回执通知。递交时间以递交回执通知载明的传输完成时间为准。</w:t>
      </w:r>
    </w:p>
    <w:p w14:paraId="6CD37577">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条款号：19.3修改类型：修改</w:t>
      </w:r>
    </w:p>
    <w:p w14:paraId="411B7452">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19.3</w:t>
      </w:r>
      <w:r>
        <w:rPr>
          <w:rFonts w:hint="eastAsia" w:cs="宋体"/>
          <w:bCs/>
          <w:color w:val="auto"/>
          <w:szCs w:val="21"/>
          <w:highlight w:val="none"/>
        </w:rPr>
        <w:t>逾期送达的电子投标文件，</w:t>
      </w:r>
      <w:r>
        <w:rPr>
          <w:rFonts w:hint="eastAsia" w:cs="宋体"/>
          <w:color w:val="auto"/>
          <w:szCs w:val="21"/>
          <w:highlight w:val="none"/>
        </w:rPr>
        <w:t>交易平台将予以拒收。</w:t>
      </w:r>
    </w:p>
    <w:p w14:paraId="6FCEA080">
      <w:pPr>
        <w:pBdr>
          <w:bottom w:val="single" w:color="auto" w:sz="6" w:space="1"/>
        </w:pBdr>
        <w:adjustRightInd w:val="0"/>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19.3</w:t>
      </w:r>
      <w:r>
        <w:rPr>
          <w:rFonts w:hint="eastAsia" w:cs="宋体"/>
          <w:bCs/>
          <w:color w:val="auto"/>
          <w:szCs w:val="21"/>
          <w:highlight w:val="none"/>
        </w:rPr>
        <w:t>逾期送达的电子投标文件，</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交易平台将予以拒收。</w:t>
      </w:r>
    </w:p>
    <w:p w14:paraId="69C2F506">
      <w:pPr>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条款号：19.5修改类型：修改</w:t>
      </w:r>
    </w:p>
    <w:p w14:paraId="2DC8BE34">
      <w:pPr>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19.5如技术标和经济标先后分别开启，交易平台将按招标文件规定的时间分别开启技术标和经济标。</w:t>
      </w:r>
    </w:p>
    <w:p w14:paraId="6AAAC211">
      <w:pPr>
        <w:pBdr>
          <w:bottom w:val="single" w:color="auto" w:sz="6" w:space="1"/>
        </w:pBdr>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19.5</w:t>
      </w:r>
      <w:r>
        <w:rPr>
          <w:rFonts w:hint="eastAsia" w:cs="宋体"/>
          <w:color w:val="auto"/>
          <w:szCs w:val="21"/>
          <w:highlight w:val="none"/>
          <w:u w:val="single"/>
        </w:rPr>
        <w:t>广州交易集团有限公司（广州公共资源交易中心）交易平台将按招标文件规定的时间同时开启技术标（含资格审查文件）和经济标。</w:t>
      </w:r>
    </w:p>
    <w:p w14:paraId="447648D0">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条款号：19.6修改类型：删除</w:t>
      </w:r>
    </w:p>
    <w:p w14:paraId="545D34AD">
      <w:pPr>
        <w:pBdr>
          <w:bottom w:val="single" w:color="auto" w:sz="6" w:space="1"/>
        </w:pBdr>
        <w:adjustRightInd w:val="0"/>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14:paraId="6AFDC45F">
      <w:pPr>
        <w:spacing w:line="360" w:lineRule="auto"/>
        <w:ind w:firstLine="411" w:firstLineChars="195"/>
        <w:rPr>
          <w:rFonts w:cs="宋体"/>
          <w:b/>
          <w:color w:val="auto"/>
          <w:szCs w:val="21"/>
          <w:highlight w:val="none"/>
        </w:rPr>
      </w:pPr>
      <w:r>
        <w:rPr>
          <w:rFonts w:hint="eastAsia" w:cs="宋体"/>
          <w:b/>
          <w:color w:val="auto"/>
          <w:szCs w:val="21"/>
          <w:highlight w:val="none"/>
        </w:rPr>
        <w:t>条款号：20.3修改类型：修改</w:t>
      </w:r>
    </w:p>
    <w:p w14:paraId="4BDAB086">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20.3到投标截止时间止，招标人收到的投标文件少于3家的，招标人将重新组织招标（当N个标段同时招标且不允许兼中时，若有效投标人不足N+2家，则重新组织招标）。</w:t>
      </w:r>
    </w:p>
    <w:p w14:paraId="46890D75">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20.3</w:t>
      </w:r>
      <w:r>
        <w:rPr>
          <w:rFonts w:hint="eastAsia" w:cs="宋体"/>
          <w:color w:val="auto"/>
          <w:szCs w:val="21"/>
          <w:highlight w:val="none"/>
          <w:u w:val="single"/>
        </w:rPr>
        <w:t>到投标截止时间止，招标人收到的投标文件少于3家的，招标人将重新组织招标。</w:t>
      </w:r>
    </w:p>
    <w:p w14:paraId="70130E82">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条款号：21.1修改类型：修改</w:t>
      </w:r>
    </w:p>
    <w:p w14:paraId="4F0A79A9">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21.1本须知前附表第17项规定的投标截止时间</w:t>
      </w:r>
      <w:r>
        <w:rPr>
          <w:rFonts w:hint="eastAsia" w:cs="宋体"/>
          <w:bCs/>
          <w:color w:val="auto"/>
          <w:szCs w:val="21"/>
          <w:highlight w:val="none"/>
        </w:rPr>
        <w:t>后送达的电子投标文件，</w:t>
      </w:r>
      <w:r>
        <w:rPr>
          <w:rFonts w:hint="eastAsia" w:cs="宋体"/>
          <w:color w:val="auto"/>
          <w:szCs w:val="21"/>
          <w:highlight w:val="none"/>
        </w:rPr>
        <w:t>交易平台将予以拒收。</w:t>
      </w:r>
    </w:p>
    <w:p w14:paraId="43EE2F4D">
      <w:pPr>
        <w:pBdr>
          <w:bottom w:val="single" w:color="auto" w:sz="6" w:space="1"/>
        </w:pBdr>
        <w:adjustRightInd w:val="0"/>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21.1本须知前附表第17项规定的投标截止时间</w:t>
      </w:r>
      <w:r>
        <w:rPr>
          <w:rFonts w:hint="eastAsia" w:cs="宋体"/>
          <w:bCs/>
          <w:color w:val="auto"/>
          <w:szCs w:val="21"/>
          <w:highlight w:val="none"/>
        </w:rPr>
        <w:t>后送达的电子投标文件，</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交易平台将予以拒收。</w:t>
      </w:r>
    </w:p>
    <w:p w14:paraId="4A4229BD">
      <w:pPr>
        <w:spacing w:line="360" w:lineRule="auto"/>
        <w:ind w:firstLine="411" w:firstLineChars="195"/>
        <w:rPr>
          <w:rFonts w:cs="宋体"/>
          <w:b/>
          <w:color w:val="auto"/>
          <w:szCs w:val="21"/>
          <w:highlight w:val="none"/>
        </w:rPr>
      </w:pPr>
      <w:r>
        <w:rPr>
          <w:rFonts w:hint="eastAsia" w:cs="宋体"/>
          <w:b/>
          <w:color w:val="auto"/>
          <w:szCs w:val="21"/>
          <w:highlight w:val="none"/>
        </w:rPr>
        <w:t>条款号：27.1修改类型：修改</w:t>
      </w:r>
    </w:p>
    <w:p w14:paraId="5E31FE80">
      <w:pP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27.1招标人将在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2570E848">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27.1招标人将在</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28B320A7">
      <w:pPr>
        <w:spacing w:line="360" w:lineRule="auto"/>
        <w:ind w:firstLine="411" w:firstLineChars="195"/>
        <w:rPr>
          <w:rFonts w:cs="宋体"/>
          <w:b/>
          <w:color w:val="auto"/>
          <w:szCs w:val="21"/>
          <w:highlight w:val="none"/>
        </w:rPr>
      </w:pPr>
      <w:r>
        <w:rPr>
          <w:rFonts w:hint="eastAsia" w:cs="宋体"/>
          <w:b/>
          <w:color w:val="auto"/>
          <w:szCs w:val="21"/>
          <w:highlight w:val="none"/>
        </w:rPr>
        <w:t>条款号：27.4修改类型：修改</w:t>
      </w:r>
    </w:p>
    <w:p w14:paraId="540677F2">
      <w:pP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27.4在产生中标候选人后，招标人将中标候选人的投标文件商务部分文件的所有内容（包括报价清单、人员、业绩、奖项等资料）在交易平台和广东省招标投标监管网公开。</w:t>
      </w:r>
    </w:p>
    <w:p w14:paraId="0A8B036B">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27.4在产生中标候选人后，招标人将中标候选人的投标文件商务部分文件的所有内容（</w:t>
      </w:r>
      <w:r>
        <w:rPr>
          <w:rFonts w:hint="eastAsia" w:cs="宋体"/>
          <w:color w:val="auto"/>
          <w:szCs w:val="21"/>
          <w:highlight w:val="none"/>
          <w:u w:val="single"/>
        </w:rPr>
        <w:t>包括人员、业绩、奖项等资料</w:t>
      </w:r>
      <w:r>
        <w:rPr>
          <w:rFonts w:hint="eastAsia" w:cs="宋体"/>
          <w:color w:val="auto"/>
          <w:szCs w:val="21"/>
          <w:highlight w:val="none"/>
        </w:rPr>
        <w:t>）在</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交易平台和广东省招标投标监管网公开。</w:t>
      </w:r>
    </w:p>
    <w:p w14:paraId="26B3C012">
      <w:pPr>
        <w:spacing w:line="360" w:lineRule="auto"/>
        <w:ind w:firstLine="411" w:firstLineChars="195"/>
        <w:rPr>
          <w:rFonts w:cs="宋体"/>
          <w:b/>
          <w:color w:val="auto"/>
          <w:szCs w:val="21"/>
          <w:highlight w:val="none"/>
        </w:rPr>
      </w:pPr>
      <w:r>
        <w:rPr>
          <w:rFonts w:hint="eastAsia" w:cs="宋体"/>
          <w:b/>
          <w:color w:val="auto"/>
          <w:szCs w:val="21"/>
          <w:highlight w:val="none"/>
        </w:rPr>
        <w:t>条款号：28.3修改类型：修改</w:t>
      </w:r>
    </w:p>
    <w:p w14:paraId="2CD9845F">
      <w:pP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28.3非经招标人同意，中标人在投标过程中使用的银行名称及帐号至完成竣工结算不得变更，否则招标人有权停止工程款项的拔付及至解除合同，由此造成的一切责任由中标人承担。</w:t>
      </w:r>
    </w:p>
    <w:p w14:paraId="2E03E1E5">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28.3非经招标人同意，中标人在投标过程中使用的银行名称及帐号至完成竣工结算不得变更，否则招标人有权停止工程款项的</w:t>
      </w:r>
      <w:r>
        <w:rPr>
          <w:rFonts w:hint="eastAsia" w:cs="宋体"/>
          <w:color w:val="auto"/>
          <w:szCs w:val="21"/>
          <w:highlight w:val="none"/>
          <w:u w:val="single"/>
        </w:rPr>
        <w:t>拨付</w:t>
      </w:r>
      <w:r>
        <w:rPr>
          <w:rFonts w:hint="eastAsia" w:cs="宋体"/>
          <w:color w:val="auto"/>
          <w:szCs w:val="21"/>
          <w:highlight w:val="none"/>
        </w:rPr>
        <w:t>及至解除合同，由此造成的一切责任由中标人承担。</w:t>
      </w:r>
    </w:p>
    <w:p w14:paraId="1EF7F55B">
      <w:pPr>
        <w:spacing w:line="360" w:lineRule="auto"/>
        <w:ind w:firstLine="411" w:firstLineChars="195"/>
        <w:rPr>
          <w:rFonts w:cs="宋体"/>
          <w:b/>
          <w:color w:val="auto"/>
          <w:szCs w:val="21"/>
          <w:highlight w:val="none"/>
        </w:rPr>
      </w:pPr>
      <w:r>
        <w:rPr>
          <w:rFonts w:hint="eastAsia" w:cs="宋体"/>
          <w:b/>
          <w:color w:val="auto"/>
          <w:szCs w:val="21"/>
          <w:highlight w:val="none"/>
        </w:rPr>
        <w:t>条款号：29.</w:t>
      </w:r>
      <w:r>
        <w:rPr>
          <w:rFonts w:cs="宋体"/>
          <w:b/>
          <w:color w:val="auto"/>
          <w:szCs w:val="21"/>
          <w:highlight w:val="none"/>
        </w:rPr>
        <w:t>1</w:t>
      </w:r>
      <w:r>
        <w:rPr>
          <w:rFonts w:hint="eastAsia" w:cs="宋体"/>
          <w:b/>
          <w:color w:val="auto"/>
          <w:szCs w:val="21"/>
          <w:highlight w:val="none"/>
        </w:rPr>
        <w:t>修改类型：修改</w:t>
      </w:r>
    </w:p>
    <w:p w14:paraId="22EEBA73">
      <w:pP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29.</w:t>
      </w:r>
      <w:r>
        <w:rPr>
          <w:rFonts w:cs="宋体"/>
          <w:color w:val="auto"/>
          <w:szCs w:val="21"/>
          <w:highlight w:val="none"/>
        </w:rPr>
        <w:t>1</w:t>
      </w:r>
      <w:r>
        <w:rPr>
          <w:rFonts w:hint="eastAsia" w:cs="宋体"/>
          <w:color w:val="auto"/>
          <w:szCs w:val="21"/>
          <w:highlight w:val="none"/>
        </w:rPr>
        <w:t>在收到中标通知书后的</w:t>
      </w:r>
      <w:r>
        <w:rPr>
          <w:rFonts w:cs="宋体"/>
          <w:color w:val="auto"/>
          <w:szCs w:val="21"/>
          <w:highlight w:val="none"/>
        </w:rPr>
        <w:t>15</w:t>
      </w:r>
      <w:r>
        <w:rPr>
          <w:rFonts w:hint="eastAsia" w:cs="宋体"/>
          <w:color w:val="auto"/>
          <w:szCs w:val="21"/>
          <w:highlight w:val="none"/>
        </w:rPr>
        <w:t>日内，中标人应按本须知前附表第</w:t>
      </w:r>
      <w:r>
        <w:rPr>
          <w:rFonts w:cs="宋体"/>
          <w:color w:val="auto"/>
          <w:szCs w:val="21"/>
          <w:highlight w:val="none"/>
        </w:rPr>
        <w:t>2</w:t>
      </w:r>
      <w:r>
        <w:rPr>
          <w:rFonts w:hint="eastAsia" w:cs="宋体"/>
          <w:color w:val="auto"/>
          <w:szCs w:val="21"/>
          <w:highlight w:val="none"/>
        </w:rPr>
        <w:t>0项的规定向招标人提交履约担保；如果中标人的履约担保是以银行保函的形式提供，则该银行保函应由在中国注册且营业地点在广州行政辖区内的银行开具。</w:t>
      </w:r>
    </w:p>
    <w:p w14:paraId="55EA6E08">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：29.</w:t>
      </w:r>
      <w:r>
        <w:rPr>
          <w:rFonts w:cs="宋体"/>
          <w:color w:val="auto"/>
          <w:szCs w:val="21"/>
          <w:highlight w:val="none"/>
        </w:rPr>
        <w:t>1</w:t>
      </w:r>
      <w:r>
        <w:rPr>
          <w:rFonts w:hint="eastAsia" w:cs="宋体"/>
          <w:color w:val="auto"/>
          <w:szCs w:val="21"/>
          <w:highlight w:val="none"/>
          <w:u w:val="single"/>
        </w:rPr>
        <w:t>合同正式签订之日起</w:t>
      </w:r>
      <w:r>
        <w:rPr>
          <w:rFonts w:cs="宋体"/>
          <w:color w:val="auto"/>
          <w:szCs w:val="21"/>
          <w:highlight w:val="none"/>
          <w:u w:val="single"/>
        </w:rPr>
        <w:t>15</w:t>
      </w:r>
      <w:r>
        <w:rPr>
          <w:rFonts w:hint="eastAsia" w:cs="宋体"/>
          <w:color w:val="auto"/>
          <w:szCs w:val="21"/>
          <w:highlight w:val="none"/>
          <w:u w:val="single"/>
        </w:rPr>
        <w:t>日内</w:t>
      </w:r>
      <w:r>
        <w:rPr>
          <w:rFonts w:hint="eastAsia" w:cs="宋体"/>
          <w:color w:val="auto"/>
          <w:szCs w:val="21"/>
          <w:highlight w:val="none"/>
        </w:rPr>
        <w:t>，中标人应按本须知前附表第</w:t>
      </w:r>
      <w:r>
        <w:rPr>
          <w:rFonts w:cs="宋体"/>
          <w:color w:val="auto"/>
          <w:szCs w:val="21"/>
          <w:highlight w:val="none"/>
        </w:rPr>
        <w:t>2</w:t>
      </w:r>
      <w:r>
        <w:rPr>
          <w:rFonts w:hint="eastAsia" w:cs="宋体"/>
          <w:color w:val="auto"/>
          <w:szCs w:val="21"/>
          <w:highlight w:val="none"/>
        </w:rPr>
        <w:t>0项的规定向招标人提交</w:t>
      </w:r>
      <w:r>
        <w:rPr>
          <w:rFonts w:hint="eastAsia" w:cs="宋体"/>
          <w:color w:val="auto"/>
          <w:szCs w:val="21"/>
          <w:highlight w:val="none"/>
          <w:u w:val="single"/>
        </w:rPr>
        <w:t>由</w:t>
      </w:r>
      <w:r>
        <w:rPr>
          <w:rFonts w:hint="eastAsia" w:ascii="宋体" w:hAnsi="宋体" w:eastAsia="宋体" w:cs="宋体"/>
          <w:b w:val="0"/>
          <w:bCs w:val="0"/>
          <w:color w:val="auto"/>
          <w:kern w:val="2"/>
          <w:sz w:val="21"/>
          <w:szCs w:val="21"/>
          <w:highlight w:val="none"/>
          <w:u w:val="single"/>
          <w:lang w:eastAsia="zh-CN"/>
        </w:rPr>
        <w:t>广州市行政辖区内的商业</w:t>
      </w:r>
      <w:r>
        <w:rPr>
          <w:rFonts w:hint="eastAsia" w:cs="宋体"/>
          <w:color w:val="auto"/>
          <w:szCs w:val="21"/>
          <w:highlight w:val="none"/>
          <w:u w:val="single"/>
        </w:rPr>
        <w:t>银行开具的无条件不可撤销的</w:t>
      </w:r>
      <w:r>
        <w:rPr>
          <w:rFonts w:hint="eastAsia" w:cs="宋体"/>
          <w:color w:val="auto"/>
          <w:szCs w:val="21"/>
          <w:highlight w:val="none"/>
        </w:rPr>
        <w:t>履约担保；如果中标人的履约担保是以银行保函的形式提供，则该银行保函应由在中国注册且营业的</w:t>
      </w:r>
      <w:r>
        <w:rPr>
          <w:rFonts w:hint="eastAsia" w:cs="宋体"/>
          <w:color w:val="auto"/>
          <w:szCs w:val="21"/>
          <w:highlight w:val="none"/>
          <w:u w:val="single"/>
        </w:rPr>
        <w:t>分行级别或以上</w:t>
      </w:r>
      <w:r>
        <w:rPr>
          <w:rFonts w:hint="eastAsia" w:cs="宋体"/>
          <w:color w:val="auto"/>
          <w:szCs w:val="21"/>
          <w:highlight w:val="none"/>
        </w:rPr>
        <w:t>的银行开具。</w:t>
      </w:r>
    </w:p>
    <w:p w14:paraId="5553E81F">
      <w:pPr>
        <w:spacing w:line="360" w:lineRule="auto"/>
        <w:ind w:firstLine="411" w:firstLineChars="195"/>
        <w:rPr>
          <w:rFonts w:cs="宋体"/>
          <w:b/>
          <w:color w:val="auto"/>
          <w:szCs w:val="21"/>
          <w:highlight w:val="none"/>
        </w:rPr>
      </w:pPr>
      <w:r>
        <w:rPr>
          <w:rFonts w:hint="eastAsia" w:cs="宋体"/>
          <w:b/>
          <w:color w:val="auto"/>
          <w:szCs w:val="21"/>
          <w:highlight w:val="none"/>
        </w:rPr>
        <w:t>条款号：29.2修改类型：修改</w:t>
      </w:r>
    </w:p>
    <w:p w14:paraId="75C0782E">
      <w:pP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26CEB070">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：29.2</w:t>
      </w:r>
      <w:r>
        <w:rPr>
          <w:rFonts w:hint="eastAsia" w:cs="宋体"/>
          <w:color w:val="auto"/>
          <w:szCs w:val="21"/>
          <w:highlight w:val="none"/>
          <w:u w:val="single"/>
        </w:rPr>
        <w:t>合同正式签订之日起</w:t>
      </w:r>
      <w:r>
        <w:rPr>
          <w:rFonts w:cs="宋体"/>
          <w:color w:val="auto"/>
          <w:szCs w:val="21"/>
          <w:highlight w:val="none"/>
          <w:u w:val="single"/>
        </w:rPr>
        <w:t>15</w:t>
      </w:r>
      <w:r>
        <w:rPr>
          <w:rFonts w:hint="eastAsia" w:cs="宋体"/>
          <w:color w:val="auto"/>
          <w:szCs w:val="21"/>
          <w:highlight w:val="none"/>
          <w:u w:val="single"/>
        </w:rPr>
        <w:t>日内</w:t>
      </w:r>
      <w:r>
        <w:rPr>
          <w:rFonts w:hint="eastAsia" w:cs="宋体"/>
          <w:color w:val="auto"/>
          <w:szCs w:val="21"/>
          <w:highlight w:val="none"/>
        </w:rPr>
        <w:t>，中标人未按上款的规定递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17B31199">
      <w:pPr>
        <w:spacing w:line="360" w:lineRule="auto"/>
        <w:ind w:firstLine="411" w:firstLineChars="195"/>
        <w:rPr>
          <w:rFonts w:cs="宋体"/>
          <w:b/>
          <w:bCs/>
          <w:color w:val="auto"/>
          <w:szCs w:val="21"/>
          <w:highlight w:val="none"/>
        </w:rPr>
      </w:pPr>
      <w:r>
        <w:rPr>
          <w:rFonts w:hint="eastAsia" w:cs="宋体"/>
          <w:b/>
          <w:bCs/>
          <w:color w:val="auto"/>
          <w:szCs w:val="21"/>
          <w:highlight w:val="none"/>
        </w:rPr>
        <w:t>条款号：31修改类型：修改</w:t>
      </w:r>
    </w:p>
    <w:p w14:paraId="15802035">
      <w:pPr>
        <w:pBdr>
          <w:bottom w:val="single" w:color="auto" w:sz="6" w:space="1"/>
        </w:pBdr>
        <w:spacing w:line="360" w:lineRule="auto"/>
        <w:ind w:firstLine="411" w:firstLineChars="195"/>
        <w:rPr>
          <w:rFonts w:cs="宋体"/>
          <w:b/>
          <w:bCs/>
          <w:color w:val="auto"/>
          <w:szCs w:val="21"/>
          <w:highlight w:val="none"/>
        </w:rPr>
      </w:pPr>
      <w:r>
        <w:rPr>
          <w:rFonts w:hint="eastAsia" w:cs="宋体"/>
          <w:b/>
          <w:bCs/>
          <w:color w:val="auto"/>
          <w:szCs w:val="21"/>
          <w:highlight w:val="none"/>
        </w:rPr>
        <w:t>原文：31.其它费用</w:t>
      </w:r>
    </w:p>
    <w:p w14:paraId="538A7656">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w:t>
      </w:r>
      <w:r>
        <w:rPr>
          <w:rFonts w:hint="eastAsia" w:cs="宋体"/>
          <w:b/>
          <w:color w:val="auto"/>
          <w:szCs w:val="21"/>
          <w:highlight w:val="none"/>
        </w:rPr>
        <w:t>31.</w:t>
      </w:r>
      <w:r>
        <w:rPr>
          <w:rFonts w:hint="eastAsia" w:cs="宋体"/>
          <w:b/>
          <w:bCs/>
          <w:color w:val="auto"/>
          <w:szCs w:val="21"/>
          <w:highlight w:val="none"/>
        </w:rPr>
        <w:t>其它费用</w:t>
      </w:r>
    </w:p>
    <w:p w14:paraId="118B588F">
      <w:pPr>
        <w:pBdr>
          <w:bottom w:val="single" w:color="auto" w:sz="6" w:space="1"/>
        </w:pBdr>
        <w:spacing w:line="360" w:lineRule="auto"/>
        <w:ind w:firstLine="409" w:firstLineChars="195"/>
        <w:rPr>
          <w:rFonts w:hint="eastAsia" w:cs="宋体"/>
          <w:color w:val="auto"/>
          <w:szCs w:val="21"/>
          <w:highlight w:val="none"/>
          <w:u w:val="wave"/>
        </w:rPr>
      </w:pPr>
      <w:r>
        <w:rPr>
          <w:rFonts w:hint="eastAsia" w:cs="宋体"/>
          <w:color w:val="auto"/>
          <w:szCs w:val="21"/>
          <w:highlight w:val="none"/>
          <w:u w:val="single"/>
          <w:lang w:val="en-US" w:eastAsia="zh-CN"/>
        </w:rPr>
        <w:t>中标人</w:t>
      </w:r>
      <w:r>
        <w:rPr>
          <w:rFonts w:hint="eastAsia" w:cs="宋体"/>
          <w:color w:val="auto"/>
          <w:szCs w:val="21"/>
          <w:highlight w:val="none"/>
          <w:u w:val="single"/>
        </w:rPr>
        <w:t>缴纳广州交易集团有限公司（广州公共资源交易中心）的交易服务费</w:t>
      </w:r>
      <w:r>
        <w:rPr>
          <w:rFonts w:hint="eastAsia" w:cs="宋体"/>
          <w:color w:val="auto"/>
          <w:szCs w:val="21"/>
          <w:highlight w:val="none"/>
          <w:u w:val="single"/>
          <w:lang w:eastAsia="zh-CN"/>
        </w:rPr>
        <w:t>（平台交易服务费）</w:t>
      </w:r>
      <w:r>
        <w:rPr>
          <w:rFonts w:hint="eastAsia" w:cs="宋体"/>
          <w:color w:val="auto"/>
          <w:szCs w:val="21"/>
          <w:highlight w:val="none"/>
          <w:u w:val="single"/>
        </w:rPr>
        <w:t>，交易中心向</w:t>
      </w:r>
      <w:r>
        <w:rPr>
          <w:rFonts w:hint="eastAsia" w:cs="宋体"/>
          <w:color w:val="auto"/>
          <w:szCs w:val="21"/>
          <w:highlight w:val="none"/>
          <w:u w:val="single"/>
          <w:lang w:val="en-US" w:eastAsia="zh-CN"/>
        </w:rPr>
        <w:t>中</w:t>
      </w:r>
      <w:r>
        <w:rPr>
          <w:rFonts w:hint="eastAsia" w:cs="宋体"/>
          <w:color w:val="auto"/>
          <w:szCs w:val="21"/>
          <w:highlight w:val="none"/>
          <w:u w:val="single"/>
        </w:rPr>
        <w:t>标人开具</w:t>
      </w:r>
      <w:r>
        <w:rPr>
          <w:rFonts w:hint="eastAsia" w:cs="宋体"/>
          <w:strike w:val="0"/>
          <w:color w:val="auto"/>
          <w:szCs w:val="21"/>
          <w:highlight w:val="none"/>
          <w:u w:val="single"/>
        </w:rPr>
        <w:t>增值</w:t>
      </w:r>
      <w:r>
        <w:rPr>
          <w:rFonts w:hint="eastAsia" w:cs="宋体"/>
          <w:strike/>
          <w:color w:val="auto"/>
          <w:szCs w:val="21"/>
          <w:highlight w:val="none"/>
          <w:u w:val="single"/>
        </w:rPr>
        <w:t>税</w:t>
      </w:r>
      <w:r>
        <w:rPr>
          <w:rFonts w:hint="eastAsia" w:cs="宋体"/>
          <w:color w:val="auto"/>
          <w:szCs w:val="21"/>
          <w:highlight w:val="none"/>
          <w:u w:val="single"/>
        </w:rPr>
        <w:t>发票。</w:t>
      </w:r>
    </w:p>
    <w:p w14:paraId="4573B437">
      <w:pPr>
        <w:spacing w:line="360" w:lineRule="auto"/>
        <w:ind w:firstLine="411" w:firstLineChars="195"/>
        <w:rPr>
          <w:rFonts w:cs="宋体"/>
          <w:b/>
          <w:color w:val="auto"/>
          <w:szCs w:val="21"/>
          <w:highlight w:val="none"/>
        </w:rPr>
      </w:pPr>
      <w:r>
        <w:rPr>
          <w:rFonts w:hint="eastAsia" w:cs="宋体"/>
          <w:b/>
          <w:color w:val="auto"/>
          <w:szCs w:val="21"/>
          <w:highlight w:val="none"/>
        </w:rPr>
        <w:t>条款号：33修改类型：删除</w:t>
      </w:r>
    </w:p>
    <w:p w14:paraId="532DC741">
      <w:pPr>
        <w:spacing w:line="360" w:lineRule="auto"/>
        <w:ind w:firstLine="411" w:firstLineChars="195"/>
        <w:rPr>
          <w:b/>
          <w:color w:val="auto"/>
          <w:sz w:val="24"/>
          <w:highlight w:val="none"/>
        </w:rPr>
      </w:pPr>
      <w:r>
        <w:rPr>
          <w:rFonts w:hint="eastAsia" w:cs="宋体"/>
          <w:b/>
          <w:bCs/>
          <w:color w:val="auto"/>
          <w:szCs w:val="21"/>
          <w:highlight w:val="none"/>
        </w:rPr>
        <w:t>原文：</w:t>
      </w:r>
      <w:r>
        <w:rPr>
          <w:rFonts w:hint="eastAsia" w:cs="宋体"/>
          <w:b/>
          <w:color w:val="auto"/>
          <w:szCs w:val="21"/>
          <w:highlight w:val="none"/>
        </w:rPr>
        <w:t>33.</w:t>
      </w:r>
      <w:r>
        <w:rPr>
          <w:rFonts w:hint="eastAsia"/>
          <w:b/>
          <w:color w:val="auto"/>
          <w:sz w:val="24"/>
          <w:highlight w:val="none"/>
        </w:rPr>
        <w:t>投标人信誉的要求</w:t>
      </w:r>
    </w:p>
    <w:p w14:paraId="5D643E78">
      <w:pPr>
        <w:spacing w:line="360" w:lineRule="auto"/>
        <w:ind w:firstLine="409" w:firstLineChars="195"/>
        <w:rPr>
          <w:rFonts w:cs="宋体"/>
          <w:color w:val="auto"/>
          <w:szCs w:val="21"/>
          <w:highlight w:val="none"/>
        </w:rPr>
      </w:pPr>
      <w:r>
        <w:rPr>
          <w:rFonts w:hint="eastAsia" w:cs="宋体"/>
          <w:color w:val="auto"/>
          <w:szCs w:val="21"/>
          <w:highlight w:val="none"/>
        </w:rPr>
        <w:t>存在下列情形之一的，招标人可以限制其投标（需在招标文件中明确评定方法）</w:t>
      </w:r>
    </w:p>
    <w:p w14:paraId="5BDB9833">
      <w:pPr>
        <w:spacing w:line="360" w:lineRule="auto"/>
        <w:ind w:firstLine="409" w:firstLineChars="195"/>
        <w:rPr>
          <w:rFonts w:cs="宋体"/>
          <w:color w:val="auto"/>
          <w:szCs w:val="21"/>
          <w:highlight w:val="none"/>
          <w:u w:val="single"/>
        </w:rPr>
      </w:pPr>
      <w:r>
        <w:rPr>
          <w:rFonts w:hint="eastAsia" w:cs="宋体"/>
          <w:color w:val="auto"/>
          <w:szCs w:val="21"/>
          <w:highlight w:val="none"/>
          <w:u w:val="single"/>
        </w:rPr>
        <w:t>（1）被住房城乡建设行政主管部门在全国建筑市场监管一体化工作平台列入建筑市场主体“黑名单”；</w:t>
      </w:r>
    </w:p>
    <w:p w14:paraId="76CDC448">
      <w:pPr>
        <w:pBdr>
          <w:bottom w:val="single" w:color="auto" w:sz="4" w:space="1"/>
        </w:pBdr>
        <w:spacing w:line="360" w:lineRule="auto"/>
        <w:ind w:firstLine="409" w:firstLineChars="195"/>
        <w:rPr>
          <w:rFonts w:cs="宋体"/>
          <w:color w:val="auto"/>
          <w:szCs w:val="21"/>
          <w:highlight w:val="none"/>
        </w:rPr>
      </w:pPr>
      <w:r>
        <w:rPr>
          <w:rFonts w:hint="eastAsia" w:cs="宋体"/>
          <w:color w:val="auto"/>
          <w:szCs w:val="21"/>
          <w:highlight w:val="none"/>
          <w:u w:val="single"/>
        </w:rPr>
        <w:t>（2）被发改委、人力资源社会保障、质检总局等有关部门、单位在“信用中国”网站中列入联合惩戒失信黑名单</w:t>
      </w:r>
      <w:r>
        <w:rPr>
          <w:rFonts w:hint="eastAsia" w:cs="宋体"/>
          <w:color w:val="auto"/>
          <w:szCs w:val="21"/>
          <w:highlight w:val="none"/>
        </w:rPr>
        <w:t>。</w:t>
      </w:r>
    </w:p>
    <w:p w14:paraId="3032C3AF">
      <w:pPr>
        <w:spacing w:line="440" w:lineRule="exact"/>
        <w:ind w:firstLine="472" w:firstLineChars="224"/>
        <w:rPr>
          <w:b/>
          <w:color w:val="auto"/>
          <w:highlight w:val="none"/>
        </w:rPr>
      </w:pPr>
      <w:r>
        <w:rPr>
          <w:rFonts w:hint="eastAsia"/>
          <w:b/>
          <w:color w:val="auto"/>
          <w:highlight w:val="none"/>
        </w:rPr>
        <w:t>条款号：3</w:t>
      </w:r>
      <w:r>
        <w:rPr>
          <w:rFonts w:hint="eastAsia"/>
          <w:b/>
          <w:color w:val="auto"/>
          <w:highlight w:val="none"/>
          <w:lang w:val="en-US" w:eastAsia="zh-CN"/>
        </w:rPr>
        <w:t>3</w:t>
      </w:r>
      <w:r>
        <w:rPr>
          <w:rFonts w:hint="eastAsia"/>
          <w:b/>
          <w:color w:val="auto"/>
          <w:highlight w:val="none"/>
        </w:rPr>
        <w:t>修改类型：增加</w:t>
      </w:r>
    </w:p>
    <w:p w14:paraId="1580AD79">
      <w:pPr>
        <w:pBdr>
          <w:bottom w:val="single" w:color="auto" w:sz="6" w:space="1"/>
        </w:pBdr>
        <w:spacing w:line="360" w:lineRule="auto"/>
        <w:ind w:firstLine="422" w:firstLineChars="200"/>
        <w:jc w:val="left"/>
        <w:rPr>
          <w:color w:val="auto"/>
          <w:highlight w:val="none"/>
        </w:rPr>
      </w:pPr>
      <w:r>
        <w:rPr>
          <w:rFonts w:hint="eastAsia"/>
          <w:b/>
          <w:color w:val="auto"/>
          <w:highlight w:val="none"/>
        </w:rPr>
        <w:t>现文：</w:t>
      </w:r>
      <w:r>
        <w:rPr>
          <w:rFonts w:hint="eastAsia"/>
          <w:b/>
          <w:color w:val="auto"/>
          <w:highlight w:val="none"/>
          <w:u w:val="single"/>
        </w:rPr>
        <w:t>3</w:t>
      </w:r>
      <w:r>
        <w:rPr>
          <w:rFonts w:hint="eastAsia"/>
          <w:b/>
          <w:color w:val="auto"/>
          <w:highlight w:val="none"/>
          <w:u w:val="single"/>
          <w:lang w:val="en-US" w:eastAsia="zh-CN"/>
        </w:rPr>
        <w:t>3</w:t>
      </w:r>
      <w:r>
        <w:rPr>
          <w:rFonts w:hint="eastAsia"/>
          <w:b/>
          <w:color w:val="auto"/>
          <w:highlight w:val="none"/>
          <w:u w:val="single"/>
        </w:rPr>
        <w:t>.（1）</w:t>
      </w:r>
      <w:r>
        <w:rPr>
          <w:rFonts w:hint="eastAsia" w:cs="宋体"/>
          <w:color w:val="auto"/>
          <w:szCs w:val="21"/>
          <w:highlight w:val="none"/>
          <w:u w:val="single"/>
        </w:rPr>
        <w:t>中标人向广州交易集团有限公司自行支付公共资源交易服务费</w:t>
      </w:r>
      <w:r>
        <w:rPr>
          <w:rFonts w:hint="eastAsia" w:cs="宋体"/>
          <w:color w:val="auto"/>
          <w:szCs w:val="21"/>
          <w:highlight w:val="none"/>
          <w:u w:val="single"/>
          <w:lang w:eastAsia="zh-CN"/>
        </w:rPr>
        <w:t>（平台交易服务费）</w:t>
      </w:r>
      <w:r>
        <w:rPr>
          <w:rFonts w:hint="eastAsia" w:cs="宋体"/>
          <w:color w:val="auto"/>
          <w:szCs w:val="21"/>
          <w:highlight w:val="none"/>
          <w:u w:val="single"/>
        </w:rPr>
        <w:t>，收费标准及结算账户详见广州交易集团有限公司官网通知“关于公共资源交易服务费标准及相关指引的说明”。</w:t>
      </w:r>
    </w:p>
    <w:p w14:paraId="3D04DBC4">
      <w:pPr>
        <w:pBdr>
          <w:bottom w:val="single" w:color="auto" w:sz="6" w:space="1"/>
        </w:pBdr>
        <w:spacing w:line="360" w:lineRule="auto"/>
        <w:ind w:firstLine="422" w:firstLineChars="201"/>
        <w:rPr>
          <w:rFonts w:cs="宋体"/>
          <w:color w:val="auto"/>
          <w:szCs w:val="21"/>
          <w:highlight w:val="none"/>
          <w:u w:val="single"/>
        </w:rPr>
      </w:pPr>
      <w:r>
        <w:rPr>
          <w:rFonts w:hint="eastAsia"/>
          <w:color w:val="auto"/>
          <w:highlight w:val="none"/>
        </w:rPr>
        <w:t>（2）</w:t>
      </w:r>
      <w:r>
        <w:rPr>
          <w:rFonts w:hint="eastAsia"/>
          <w:color w:val="auto"/>
          <w:highlight w:val="none"/>
          <w:lang w:val="en-US" w:eastAsia="zh-CN"/>
        </w:rPr>
        <w:t>招标人</w:t>
      </w:r>
      <w:r>
        <w:rPr>
          <w:rFonts w:hint="eastAsia" w:cs="宋体"/>
          <w:color w:val="auto"/>
          <w:szCs w:val="21"/>
          <w:highlight w:val="none"/>
          <w:u w:val="single"/>
        </w:rPr>
        <w:t>向广州市政府采购中心自行支付公共资源交易服务费（招标代理服务费），以中标金额按差额定率累进法计算，收费标准详见下表：</w:t>
      </w:r>
    </w:p>
    <w:tbl>
      <w:tblPr>
        <w:tblStyle w:val="21"/>
        <w:tblW w:w="5000" w:type="pct"/>
        <w:tblInd w:w="0" w:type="dxa"/>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Layout w:type="fixed"/>
        <w:tblCellMar>
          <w:top w:w="0" w:type="dxa"/>
          <w:left w:w="108" w:type="dxa"/>
          <w:bottom w:w="0" w:type="dxa"/>
          <w:right w:w="108" w:type="dxa"/>
        </w:tblCellMar>
      </w:tblPr>
      <w:tblGrid>
        <w:gridCol w:w="4290"/>
        <w:gridCol w:w="1442"/>
        <w:gridCol w:w="1537"/>
        <w:gridCol w:w="1587"/>
      </w:tblGrid>
      <w:tr w14:paraId="0DFD3689">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4219" w:type="dxa"/>
            <w:tcBorders>
              <w:top w:val="single" w:color="auto" w:sz="4" w:space="0"/>
              <w:left w:val="single" w:color="auto" w:sz="4" w:space="0"/>
              <w:bottom w:val="single" w:color="auto" w:sz="4" w:space="0"/>
              <w:right w:val="single" w:color="auto" w:sz="4" w:space="0"/>
            </w:tcBorders>
            <w:vAlign w:val="center"/>
          </w:tcPr>
          <w:p w14:paraId="5ACA4E52">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中标金额</w:t>
            </w:r>
          </w:p>
        </w:tc>
        <w:tc>
          <w:tcPr>
            <w:tcW w:w="1418" w:type="dxa"/>
            <w:tcBorders>
              <w:top w:val="single" w:color="auto" w:sz="4" w:space="0"/>
              <w:left w:val="single" w:color="auto" w:sz="4" w:space="0"/>
              <w:bottom w:val="single" w:color="auto" w:sz="4" w:space="0"/>
              <w:right w:val="single" w:color="auto" w:sz="4" w:space="0"/>
            </w:tcBorders>
            <w:vAlign w:val="center"/>
          </w:tcPr>
          <w:p w14:paraId="4B92CFEF">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货物类</w:t>
            </w:r>
          </w:p>
        </w:tc>
        <w:tc>
          <w:tcPr>
            <w:tcW w:w="1511" w:type="dxa"/>
            <w:tcBorders>
              <w:top w:val="single" w:color="auto" w:sz="4" w:space="0"/>
              <w:left w:val="single" w:color="auto" w:sz="4" w:space="0"/>
              <w:bottom w:val="single" w:color="auto" w:sz="4" w:space="0"/>
              <w:right w:val="single" w:color="auto" w:sz="4" w:space="0"/>
            </w:tcBorders>
            <w:vAlign w:val="center"/>
          </w:tcPr>
          <w:p w14:paraId="59F33773">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服务类</w:t>
            </w:r>
          </w:p>
        </w:tc>
        <w:tc>
          <w:tcPr>
            <w:tcW w:w="1560" w:type="dxa"/>
            <w:tcBorders>
              <w:top w:val="single" w:color="auto" w:sz="4" w:space="0"/>
              <w:left w:val="single" w:color="auto" w:sz="4" w:space="0"/>
              <w:bottom w:val="single" w:color="auto" w:sz="4" w:space="0"/>
              <w:right w:val="single" w:color="auto" w:sz="4" w:space="0"/>
            </w:tcBorders>
            <w:vAlign w:val="center"/>
          </w:tcPr>
          <w:p w14:paraId="16DF6E30">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工程类</w:t>
            </w:r>
          </w:p>
        </w:tc>
      </w:tr>
      <w:tr w14:paraId="69A6DD6C">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19" w:type="dxa"/>
            <w:tcBorders>
              <w:top w:val="single" w:color="auto" w:sz="4" w:space="0"/>
              <w:left w:val="single" w:color="auto" w:sz="4" w:space="0"/>
              <w:bottom w:val="single" w:color="auto" w:sz="4" w:space="0"/>
              <w:right w:val="single" w:color="auto" w:sz="4" w:space="0"/>
            </w:tcBorders>
            <w:vAlign w:val="center"/>
          </w:tcPr>
          <w:p w14:paraId="49294F7A">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中标金额≤100万元</w:t>
            </w:r>
          </w:p>
        </w:tc>
        <w:tc>
          <w:tcPr>
            <w:tcW w:w="1418" w:type="dxa"/>
            <w:tcBorders>
              <w:top w:val="single" w:color="auto" w:sz="4" w:space="0"/>
              <w:left w:val="single" w:color="auto" w:sz="4" w:space="0"/>
              <w:bottom w:val="single" w:color="auto" w:sz="4" w:space="0"/>
              <w:right w:val="single" w:color="auto" w:sz="4" w:space="0"/>
            </w:tcBorders>
            <w:vAlign w:val="center"/>
          </w:tcPr>
          <w:p w14:paraId="135E7571">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1.5%</w:t>
            </w:r>
          </w:p>
        </w:tc>
        <w:tc>
          <w:tcPr>
            <w:tcW w:w="1511" w:type="dxa"/>
            <w:tcBorders>
              <w:top w:val="single" w:color="auto" w:sz="4" w:space="0"/>
              <w:left w:val="single" w:color="auto" w:sz="4" w:space="0"/>
              <w:bottom w:val="single" w:color="auto" w:sz="4" w:space="0"/>
              <w:right w:val="single" w:color="auto" w:sz="4" w:space="0"/>
            </w:tcBorders>
            <w:vAlign w:val="center"/>
          </w:tcPr>
          <w:p w14:paraId="0A77D117">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1.5%</w:t>
            </w:r>
          </w:p>
        </w:tc>
        <w:tc>
          <w:tcPr>
            <w:tcW w:w="1560" w:type="dxa"/>
            <w:tcBorders>
              <w:top w:val="single" w:color="auto" w:sz="4" w:space="0"/>
              <w:left w:val="single" w:color="auto" w:sz="4" w:space="0"/>
              <w:bottom w:val="single" w:color="auto" w:sz="4" w:space="0"/>
              <w:right w:val="single" w:color="auto" w:sz="4" w:space="0"/>
            </w:tcBorders>
            <w:vAlign w:val="center"/>
          </w:tcPr>
          <w:p w14:paraId="04B66F33">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1.0%</w:t>
            </w:r>
          </w:p>
        </w:tc>
      </w:tr>
      <w:tr w14:paraId="08636ADC">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4219" w:type="dxa"/>
            <w:tcBorders>
              <w:top w:val="single" w:color="auto" w:sz="4" w:space="0"/>
              <w:left w:val="single" w:color="auto" w:sz="4" w:space="0"/>
              <w:bottom w:val="single" w:color="auto" w:sz="4" w:space="0"/>
              <w:right w:val="single" w:color="auto" w:sz="4" w:space="0"/>
            </w:tcBorders>
            <w:vAlign w:val="center"/>
          </w:tcPr>
          <w:p w14:paraId="0E764A96">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100万元＜中标金额≤500万元</w:t>
            </w:r>
          </w:p>
        </w:tc>
        <w:tc>
          <w:tcPr>
            <w:tcW w:w="1418" w:type="dxa"/>
            <w:tcBorders>
              <w:top w:val="single" w:color="auto" w:sz="4" w:space="0"/>
              <w:left w:val="single" w:color="auto" w:sz="4" w:space="0"/>
              <w:bottom w:val="single" w:color="auto" w:sz="4" w:space="0"/>
              <w:right w:val="single" w:color="auto" w:sz="4" w:space="0"/>
            </w:tcBorders>
            <w:vAlign w:val="center"/>
          </w:tcPr>
          <w:p w14:paraId="7D3E67B1">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1.1%</w:t>
            </w:r>
          </w:p>
        </w:tc>
        <w:tc>
          <w:tcPr>
            <w:tcW w:w="1511" w:type="dxa"/>
            <w:tcBorders>
              <w:top w:val="single" w:color="auto" w:sz="4" w:space="0"/>
              <w:left w:val="single" w:color="auto" w:sz="4" w:space="0"/>
              <w:bottom w:val="single" w:color="auto" w:sz="4" w:space="0"/>
              <w:right w:val="single" w:color="auto" w:sz="4" w:space="0"/>
            </w:tcBorders>
            <w:vAlign w:val="center"/>
          </w:tcPr>
          <w:p w14:paraId="32E25BE0">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0.8%</w:t>
            </w:r>
          </w:p>
        </w:tc>
        <w:tc>
          <w:tcPr>
            <w:tcW w:w="1560" w:type="dxa"/>
            <w:tcBorders>
              <w:top w:val="single" w:color="auto" w:sz="4" w:space="0"/>
              <w:left w:val="single" w:color="auto" w:sz="4" w:space="0"/>
              <w:bottom w:val="single" w:color="auto" w:sz="4" w:space="0"/>
              <w:right w:val="single" w:color="auto" w:sz="4" w:space="0"/>
            </w:tcBorders>
            <w:vAlign w:val="center"/>
          </w:tcPr>
          <w:p w14:paraId="60FD6731">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0.7%</w:t>
            </w:r>
          </w:p>
        </w:tc>
      </w:tr>
      <w:tr w14:paraId="228D045D">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vAlign w:val="center"/>
          </w:tcPr>
          <w:p w14:paraId="080753F9">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500万元＜中标金额≤1000万元</w:t>
            </w:r>
          </w:p>
        </w:tc>
        <w:tc>
          <w:tcPr>
            <w:tcW w:w="1418" w:type="dxa"/>
            <w:tcBorders>
              <w:top w:val="single" w:color="auto" w:sz="4" w:space="0"/>
              <w:left w:val="single" w:color="auto" w:sz="4" w:space="0"/>
              <w:bottom w:val="single" w:color="auto" w:sz="4" w:space="0"/>
              <w:right w:val="single" w:color="auto" w:sz="4" w:space="0"/>
            </w:tcBorders>
            <w:vAlign w:val="center"/>
          </w:tcPr>
          <w:p w14:paraId="75C06CDA">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0.8%</w:t>
            </w:r>
          </w:p>
        </w:tc>
        <w:tc>
          <w:tcPr>
            <w:tcW w:w="1511" w:type="dxa"/>
            <w:tcBorders>
              <w:top w:val="single" w:color="auto" w:sz="4" w:space="0"/>
              <w:left w:val="single" w:color="auto" w:sz="4" w:space="0"/>
              <w:bottom w:val="single" w:color="auto" w:sz="4" w:space="0"/>
              <w:right w:val="single" w:color="auto" w:sz="4" w:space="0"/>
            </w:tcBorders>
            <w:vAlign w:val="center"/>
          </w:tcPr>
          <w:p w14:paraId="7890FB8A">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0.45%</w:t>
            </w:r>
          </w:p>
        </w:tc>
        <w:tc>
          <w:tcPr>
            <w:tcW w:w="1560" w:type="dxa"/>
            <w:tcBorders>
              <w:top w:val="single" w:color="auto" w:sz="4" w:space="0"/>
              <w:left w:val="single" w:color="auto" w:sz="4" w:space="0"/>
              <w:bottom w:val="single" w:color="auto" w:sz="4" w:space="0"/>
              <w:right w:val="single" w:color="auto" w:sz="4" w:space="0"/>
            </w:tcBorders>
            <w:vAlign w:val="center"/>
          </w:tcPr>
          <w:p w14:paraId="3B5D7007">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0.55%</w:t>
            </w:r>
          </w:p>
        </w:tc>
      </w:tr>
      <w:tr w14:paraId="27F2BAD9">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vAlign w:val="center"/>
          </w:tcPr>
          <w:p w14:paraId="1D1751C7">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1000万元＜中标金额≤5000万元</w:t>
            </w:r>
          </w:p>
        </w:tc>
        <w:tc>
          <w:tcPr>
            <w:tcW w:w="1418" w:type="dxa"/>
            <w:tcBorders>
              <w:top w:val="single" w:color="auto" w:sz="4" w:space="0"/>
              <w:left w:val="single" w:color="auto" w:sz="4" w:space="0"/>
              <w:bottom w:val="single" w:color="auto" w:sz="4" w:space="0"/>
              <w:right w:val="single" w:color="auto" w:sz="4" w:space="0"/>
            </w:tcBorders>
            <w:vAlign w:val="center"/>
          </w:tcPr>
          <w:p w14:paraId="79C1EC27">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0.5%</w:t>
            </w:r>
          </w:p>
        </w:tc>
        <w:tc>
          <w:tcPr>
            <w:tcW w:w="1511" w:type="dxa"/>
            <w:tcBorders>
              <w:top w:val="single" w:color="auto" w:sz="4" w:space="0"/>
              <w:left w:val="single" w:color="auto" w:sz="4" w:space="0"/>
              <w:bottom w:val="single" w:color="auto" w:sz="4" w:space="0"/>
              <w:right w:val="single" w:color="auto" w:sz="4" w:space="0"/>
            </w:tcBorders>
            <w:vAlign w:val="center"/>
          </w:tcPr>
          <w:p w14:paraId="7491A508">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0.25%</w:t>
            </w:r>
          </w:p>
        </w:tc>
        <w:tc>
          <w:tcPr>
            <w:tcW w:w="1560" w:type="dxa"/>
            <w:tcBorders>
              <w:top w:val="single" w:color="auto" w:sz="4" w:space="0"/>
              <w:left w:val="single" w:color="auto" w:sz="4" w:space="0"/>
              <w:bottom w:val="single" w:color="auto" w:sz="4" w:space="0"/>
              <w:right w:val="single" w:color="auto" w:sz="4" w:space="0"/>
            </w:tcBorders>
            <w:vAlign w:val="center"/>
          </w:tcPr>
          <w:p w14:paraId="1FDC30D5">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0.35%</w:t>
            </w:r>
          </w:p>
        </w:tc>
      </w:tr>
      <w:tr w14:paraId="00875786">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vAlign w:val="center"/>
          </w:tcPr>
          <w:p w14:paraId="3590931E">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5000万元＜中标金额≤1亿元</w:t>
            </w:r>
          </w:p>
        </w:tc>
        <w:tc>
          <w:tcPr>
            <w:tcW w:w="1418" w:type="dxa"/>
            <w:tcBorders>
              <w:top w:val="single" w:color="auto" w:sz="4" w:space="0"/>
              <w:left w:val="single" w:color="auto" w:sz="4" w:space="0"/>
              <w:bottom w:val="single" w:color="auto" w:sz="4" w:space="0"/>
              <w:right w:val="single" w:color="auto" w:sz="4" w:space="0"/>
            </w:tcBorders>
            <w:vAlign w:val="center"/>
          </w:tcPr>
          <w:p w14:paraId="105575B6">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0.25%</w:t>
            </w:r>
          </w:p>
        </w:tc>
        <w:tc>
          <w:tcPr>
            <w:tcW w:w="1511" w:type="dxa"/>
            <w:tcBorders>
              <w:top w:val="single" w:color="auto" w:sz="4" w:space="0"/>
              <w:left w:val="single" w:color="auto" w:sz="4" w:space="0"/>
              <w:bottom w:val="single" w:color="auto" w:sz="4" w:space="0"/>
              <w:right w:val="single" w:color="auto" w:sz="4" w:space="0"/>
            </w:tcBorders>
            <w:vAlign w:val="center"/>
          </w:tcPr>
          <w:p w14:paraId="41CCA811">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0.1%</w:t>
            </w:r>
          </w:p>
        </w:tc>
        <w:tc>
          <w:tcPr>
            <w:tcW w:w="1560" w:type="dxa"/>
            <w:tcBorders>
              <w:top w:val="single" w:color="auto" w:sz="4" w:space="0"/>
              <w:left w:val="single" w:color="auto" w:sz="4" w:space="0"/>
              <w:bottom w:val="single" w:color="auto" w:sz="4" w:space="0"/>
              <w:right w:val="single" w:color="auto" w:sz="4" w:space="0"/>
            </w:tcBorders>
            <w:vAlign w:val="center"/>
          </w:tcPr>
          <w:p w14:paraId="7554C17B">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0.2%</w:t>
            </w:r>
          </w:p>
        </w:tc>
      </w:tr>
      <w:tr w14:paraId="61DFFF97">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vAlign w:val="center"/>
          </w:tcPr>
          <w:p w14:paraId="0B944422">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1亿元＜中标金额≤5亿元</w:t>
            </w:r>
          </w:p>
        </w:tc>
        <w:tc>
          <w:tcPr>
            <w:tcW w:w="1418" w:type="dxa"/>
            <w:tcBorders>
              <w:top w:val="single" w:color="auto" w:sz="4" w:space="0"/>
              <w:left w:val="single" w:color="auto" w:sz="4" w:space="0"/>
              <w:bottom w:val="single" w:color="auto" w:sz="4" w:space="0"/>
              <w:right w:val="single" w:color="auto" w:sz="4" w:space="0"/>
            </w:tcBorders>
            <w:vAlign w:val="center"/>
          </w:tcPr>
          <w:p w14:paraId="20176CFC">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0.05%</w:t>
            </w:r>
          </w:p>
        </w:tc>
        <w:tc>
          <w:tcPr>
            <w:tcW w:w="1511" w:type="dxa"/>
            <w:tcBorders>
              <w:top w:val="single" w:color="auto" w:sz="4" w:space="0"/>
              <w:left w:val="single" w:color="auto" w:sz="4" w:space="0"/>
              <w:bottom w:val="single" w:color="auto" w:sz="4" w:space="0"/>
              <w:right w:val="single" w:color="auto" w:sz="4" w:space="0"/>
            </w:tcBorders>
            <w:vAlign w:val="center"/>
          </w:tcPr>
          <w:p w14:paraId="581DE449">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0.05%</w:t>
            </w:r>
          </w:p>
        </w:tc>
        <w:tc>
          <w:tcPr>
            <w:tcW w:w="1560" w:type="dxa"/>
            <w:tcBorders>
              <w:top w:val="single" w:color="auto" w:sz="4" w:space="0"/>
              <w:left w:val="single" w:color="auto" w:sz="4" w:space="0"/>
              <w:bottom w:val="single" w:color="auto" w:sz="4" w:space="0"/>
              <w:right w:val="single" w:color="auto" w:sz="4" w:space="0"/>
            </w:tcBorders>
            <w:vAlign w:val="center"/>
          </w:tcPr>
          <w:p w14:paraId="5CBB101E">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0.05%</w:t>
            </w:r>
          </w:p>
        </w:tc>
      </w:tr>
      <w:tr w14:paraId="5B6A5E1E">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vAlign w:val="center"/>
          </w:tcPr>
          <w:p w14:paraId="129EC5EF">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5亿元＜中标金额≤10亿元</w:t>
            </w:r>
          </w:p>
        </w:tc>
        <w:tc>
          <w:tcPr>
            <w:tcW w:w="1418" w:type="dxa"/>
            <w:tcBorders>
              <w:top w:val="single" w:color="auto" w:sz="4" w:space="0"/>
              <w:left w:val="single" w:color="auto" w:sz="4" w:space="0"/>
              <w:bottom w:val="single" w:color="auto" w:sz="4" w:space="0"/>
              <w:right w:val="single" w:color="auto" w:sz="4" w:space="0"/>
            </w:tcBorders>
            <w:vAlign w:val="center"/>
          </w:tcPr>
          <w:p w14:paraId="632E522D">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0.035%</w:t>
            </w:r>
          </w:p>
        </w:tc>
        <w:tc>
          <w:tcPr>
            <w:tcW w:w="1511" w:type="dxa"/>
            <w:tcBorders>
              <w:top w:val="single" w:color="auto" w:sz="4" w:space="0"/>
              <w:left w:val="single" w:color="auto" w:sz="4" w:space="0"/>
              <w:bottom w:val="single" w:color="auto" w:sz="4" w:space="0"/>
              <w:right w:val="single" w:color="auto" w:sz="4" w:space="0"/>
            </w:tcBorders>
            <w:vAlign w:val="center"/>
          </w:tcPr>
          <w:p w14:paraId="3CB8B625">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0.035%</w:t>
            </w:r>
          </w:p>
        </w:tc>
        <w:tc>
          <w:tcPr>
            <w:tcW w:w="1560" w:type="dxa"/>
            <w:tcBorders>
              <w:top w:val="single" w:color="auto" w:sz="4" w:space="0"/>
              <w:left w:val="single" w:color="auto" w:sz="4" w:space="0"/>
              <w:bottom w:val="single" w:color="auto" w:sz="4" w:space="0"/>
              <w:right w:val="single" w:color="auto" w:sz="4" w:space="0"/>
            </w:tcBorders>
            <w:vAlign w:val="center"/>
          </w:tcPr>
          <w:p w14:paraId="4B36E86C">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0.035%</w:t>
            </w:r>
          </w:p>
        </w:tc>
      </w:tr>
      <w:tr w14:paraId="2486F265">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vAlign w:val="center"/>
          </w:tcPr>
          <w:p w14:paraId="0E6C4699">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10亿元＜中标金额≤50亿元</w:t>
            </w:r>
          </w:p>
        </w:tc>
        <w:tc>
          <w:tcPr>
            <w:tcW w:w="1418" w:type="dxa"/>
            <w:tcBorders>
              <w:top w:val="single" w:color="auto" w:sz="4" w:space="0"/>
              <w:left w:val="single" w:color="auto" w:sz="4" w:space="0"/>
              <w:bottom w:val="single" w:color="auto" w:sz="4" w:space="0"/>
              <w:right w:val="single" w:color="auto" w:sz="4" w:space="0"/>
            </w:tcBorders>
            <w:vAlign w:val="center"/>
          </w:tcPr>
          <w:p w14:paraId="1D64015B">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0.0008%</w:t>
            </w:r>
          </w:p>
        </w:tc>
        <w:tc>
          <w:tcPr>
            <w:tcW w:w="1511" w:type="dxa"/>
            <w:tcBorders>
              <w:top w:val="single" w:color="auto" w:sz="4" w:space="0"/>
              <w:left w:val="single" w:color="auto" w:sz="4" w:space="0"/>
              <w:bottom w:val="single" w:color="auto" w:sz="4" w:space="0"/>
              <w:right w:val="single" w:color="auto" w:sz="4" w:space="0"/>
            </w:tcBorders>
            <w:vAlign w:val="center"/>
          </w:tcPr>
          <w:p w14:paraId="516766A6">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0.0008%</w:t>
            </w:r>
          </w:p>
        </w:tc>
        <w:tc>
          <w:tcPr>
            <w:tcW w:w="1560" w:type="dxa"/>
            <w:tcBorders>
              <w:top w:val="single" w:color="auto" w:sz="4" w:space="0"/>
              <w:left w:val="single" w:color="auto" w:sz="4" w:space="0"/>
              <w:bottom w:val="single" w:color="auto" w:sz="4" w:space="0"/>
              <w:right w:val="single" w:color="auto" w:sz="4" w:space="0"/>
            </w:tcBorders>
            <w:vAlign w:val="center"/>
          </w:tcPr>
          <w:p w14:paraId="551BCFEA">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0.0008%</w:t>
            </w:r>
          </w:p>
        </w:tc>
      </w:tr>
      <w:tr w14:paraId="543C6DAD">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vAlign w:val="center"/>
          </w:tcPr>
          <w:p w14:paraId="6106DC9A">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50亿元＜中标金额≤100亿元</w:t>
            </w:r>
          </w:p>
        </w:tc>
        <w:tc>
          <w:tcPr>
            <w:tcW w:w="1418" w:type="dxa"/>
            <w:tcBorders>
              <w:top w:val="single" w:color="auto" w:sz="4" w:space="0"/>
              <w:left w:val="single" w:color="auto" w:sz="4" w:space="0"/>
              <w:bottom w:val="single" w:color="auto" w:sz="4" w:space="0"/>
              <w:right w:val="single" w:color="auto" w:sz="4" w:space="0"/>
            </w:tcBorders>
            <w:vAlign w:val="center"/>
          </w:tcPr>
          <w:p w14:paraId="7CF24EEB">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0.0006%</w:t>
            </w:r>
          </w:p>
        </w:tc>
        <w:tc>
          <w:tcPr>
            <w:tcW w:w="1511" w:type="dxa"/>
            <w:tcBorders>
              <w:top w:val="single" w:color="auto" w:sz="4" w:space="0"/>
              <w:left w:val="single" w:color="auto" w:sz="4" w:space="0"/>
              <w:bottom w:val="single" w:color="auto" w:sz="4" w:space="0"/>
              <w:right w:val="single" w:color="auto" w:sz="4" w:space="0"/>
            </w:tcBorders>
            <w:vAlign w:val="center"/>
          </w:tcPr>
          <w:p w14:paraId="23B69930">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0.0006%</w:t>
            </w:r>
          </w:p>
        </w:tc>
        <w:tc>
          <w:tcPr>
            <w:tcW w:w="1560" w:type="dxa"/>
            <w:tcBorders>
              <w:top w:val="single" w:color="auto" w:sz="4" w:space="0"/>
              <w:left w:val="single" w:color="auto" w:sz="4" w:space="0"/>
              <w:bottom w:val="single" w:color="auto" w:sz="4" w:space="0"/>
              <w:right w:val="single" w:color="auto" w:sz="4" w:space="0"/>
            </w:tcBorders>
            <w:vAlign w:val="center"/>
          </w:tcPr>
          <w:p w14:paraId="7DCE5788">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0.0006%</w:t>
            </w:r>
          </w:p>
        </w:tc>
      </w:tr>
      <w:tr w14:paraId="73A23762">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vAlign w:val="center"/>
          </w:tcPr>
          <w:p w14:paraId="7D7EC15D">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中标金额&gt;100亿元</w:t>
            </w:r>
          </w:p>
        </w:tc>
        <w:tc>
          <w:tcPr>
            <w:tcW w:w="1418" w:type="dxa"/>
            <w:tcBorders>
              <w:top w:val="single" w:color="auto" w:sz="4" w:space="0"/>
              <w:left w:val="single" w:color="auto" w:sz="4" w:space="0"/>
              <w:bottom w:val="single" w:color="auto" w:sz="4" w:space="0"/>
              <w:right w:val="single" w:color="auto" w:sz="4" w:space="0"/>
            </w:tcBorders>
            <w:vAlign w:val="center"/>
          </w:tcPr>
          <w:p w14:paraId="449B8724">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0.0004%</w:t>
            </w:r>
          </w:p>
        </w:tc>
        <w:tc>
          <w:tcPr>
            <w:tcW w:w="1511" w:type="dxa"/>
            <w:tcBorders>
              <w:top w:val="single" w:color="auto" w:sz="4" w:space="0"/>
              <w:left w:val="single" w:color="auto" w:sz="4" w:space="0"/>
              <w:bottom w:val="single" w:color="auto" w:sz="4" w:space="0"/>
              <w:right w:val="single" w:color="auto" w:sz="4" w:space="0"/>
            </w:tcBorders>
            <w:vAlign w:val="center"/>
          </w:tcPr>
          <w:p w14:paraId="7E015C7B">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0.0004%</w:t>
            </w:r>
          </w:p>
        </w:tc>
        <w:tc>
          <w:tcPr>
            <w:tcW w:w="1560" w:type="dxa"/>
            <w:tcBorders>
              <w:top w:val="single" w:color="auto" w:sz="4" w:space="0"/>
              <w:left w:val="single" w:color="auto" w:sz="4" w:space="0"/>
              <w:bottom w:val="single" w:color="auto" w:sz="4" w:space="0"/>
              <w:right w:val="single" w:color="auto" w:sz="4" w:space="0"/>
            </w:tcBorders>
            <w:vAlign w:val="center"/>
          </w:tcPr>
          <w:p w14:paraId="3FEAEDB1">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0.0004%</w:t>
            </w:r>
          </w:p>
        </w:tc>
      </w:tr>
    </w:tbl>
    <w:p w14:paraId="702E26BB">
      <w:pPr>
        <w:pBdr>
          <w:bottom w:val="single" w:color="auto" w:sz="6" w:space="1"/>
        </w:pBdr>
        <w:spacing w:line="360" w:lineRule="auto"/>
        <w:ind w:firstLine="422" w:firstLineChars="201"/>
        <w:rPr>
          <w:color w:val="auto"/>
          <w:szCs w:val="21"/>
          <w:highlight w:val="none"/>
          <w:u w:val="single"/>
        </w:rPr>
      </w:pPr>
      <w:r>
        <w:rPr>
          <w:rFonts w:hint="eastAsia"/>
          <w:color w:val="auto"/>
          <w:szCs w:val="21"/>
          <w:highlight w:val="none"/>
          <w:u w:val="single"/>
        </w:rPr>
        <w:t>广州市政府采购中心结算账户：</w:t>
      </w:r>
    </w:p>
    <w:p w14:paraId="7082F021">
      <w:pPr>
        <w:pBdr>
          <w:bottom w:val="single" w:color="auto" w:sz="6" w:space="1"/>
        </w:pBdr>
        <w:spacing w:line="360" w:lineRule="auto"/>
        <w:ind w:firstLine="422" w:firstLineChars="201"/>
        <w:rPr>
          <w:color w:val="auto"/>
          <w:szCs w:val="21"/>
          <w:highlight w:val="none"/>
          <w:u w:val="single"/>
        </w:rPr>
      </w:pPr>
      <w:r>
        <w:rPr>
          <w:rFonts w:hint="eastAsia"/>
          <w:color w:val="auto"/>
          <w:szCs w:val="21"/>
          <w:highlight w:val="none"/>
          <w:u w:val="single"/>
        </w:rPr>
        <w:t>收款单位：广州市政府采购中心</w:t>
      </w:r>
    </w:p>
    <w:p w14:paraId="4012528D">
      <w:pPr>
        <w:pBdr>
          <w:bottom w:val="single" w:color="auto" w:sz="6" w:space="1"/>
        </w:pBdr>
        <w:spacing w:line="360" w:lineRule="auto"/>
        <w:ind w:firstLine="422" w:firstLineChars="201"/>
        <w:rPr>
          <w:color w:val="auto"/>
          <w:szCs w:val="21"/>
          <w:highlight w:val="none"/>
          <w:u w:val="single"/>
        </w:rPr>
      </w:pPr>
      <w:r>
        <w:rPr>
          <w:rFonts w:hint="eastAsia"/>
          <w:color w:val="auto"/>
          <w:szCs w:val="21"/>
          <w:highlight w:val="none"/>
          <w:u w:val="single"/>
        </w:rPr>
        <w:t>开户行:中国建设银行广州天润路支行</w:t>
      </w:r>
    </w:p>
    <w:p w14:paraId="55DF092C">
      <w:pPr>
        <w:pBdr>
          <w:bottom w:val="single" w:color="auto" w:sz="6" w:space="1"/>
        </w:pBdr>
        <w:spacing w:line="360" w:lineRule="auto"/>
        <w:ind w:firstLine="420" w:firstLineChars="200"/>
        <w:jc w:val="left"/>
        <w:rPr>
          <w:color w:val="auto"/>
          <w:highlight w:val="none"/>
        </w:rPr>
      </w:pPr>
      <w:r>
        <w:rPr>
          <w:rFonts w:hint="eastAsia"/>
          <w:color w:val="auto"/>
          <w:szCs w:val="21"/>
          <w:highlight w:val="none"/>
          <w:u w:val="single"/>
        </w:rPr>
        <w:t>银行账号：44050158340409202288</w:t>
      </w:r>
    </w:p>
    <w:p w14:paraId="597BE7DB">
      <w:pPr>
        <w:spacing w:line="360" w:lineRule="auto"/>
        <w:rPr>
          <w:rFonts w:cs="宋体"/>
          <w:b/>
          <w:color w:val="auto"/>
          <w:szCs w:val="21"/>
          <w:highlight w:val="none"/>
        </w:rPr>
      </w:pPr>
    </w:p>
    <w:p w14:paraId="44BCF3DF">
      <w:pPr>
        <w:spacing w:line="360" w:lineRule="auto"/>
        <w:rPr>
          <w:rFonts w:cs="宋体"/>
          <w:b/>
          <w:color w:val="auto"/>
          <w:szCs w:val="21"/>
          <w:highlight w:val="none"/>
        </w:rPr>
      </w:pPr>
      <w:r>
        <w:rPr>
          <w:rFonts w:hint="eastAsia" w:cs="宋体"/>
          <w:b/>
          <w:color w:val="auto"/>
          <w:szCs w:val="21"/>
          <w:highlight w:val="none"/>
        </w:rPr>
        <w:t>注：以上修改，仅限于本范本中有可供选择条款的情形。</w:t>
      </w:r>
    </w:p>
    <w:p w14:paraId="1A21D6A3">
      <w:pPr>
        <w:spacing w:line="360" w:lineRule="auto"/>
        <w:rPr>
          <w:rFonts w:cs="宋体"/>
          <w:color w:val="auto"/>
          <w:highlight w:val="none"/>
        </w:rPr>
      </w:pPr>
      <w:r>
        <w:rPr>
          <w:rFonts w:hint="eastAsia" w:cs="宋体"/>
          <w:b/>
          <w:color w:val="auto"/>
          <w:szCs w:val="21"/>
          <w:highlight w:val="none"/>
        </w:rPr>
        <w:t>（以下无正文）</w:t>
      </w:r>
    </w:p>
    <w:p w14:paraId="5337B0C7">
      <w:pPr>
        <w:pStyle w:val="3"/>
        <w:rPr>
          <w:color w:val="auto"/>
          <w:highlight w:val="none"/>
        </w:rPr>
      </w:pPr>
      <w:r>
        <w:rPr>
          <w:color w:val="auto"/>
          <w:highlight w:val="none"/>
        </w:rPr>
        <w:br w:type="page"/>
      </w:r>
      <w:bookmarkStart w:id="5" w:name="_Toc28734"/>
      <w:r>
        <w:rPr>
          <w:rFonts w:hint="eastAsia"/>
          <w:color w:val="auto"/>
          <w:highlight w:val="none"/>
        </w:rPr>
        <w:t>三、投标须知通用条款</w:t>
      </w:r>
      <w:bookmarkEnd w:id="5"/>
    </w:p>
    <w:p w14:paraId="422228D4">
      <w:pPr>
        <w:pStyle w:val="4"/>
        <w:spacing w:before="156" w:after="156"/>
        <w:jc w:val="center"/>
        <w:rPr>
          <w:color w:val="auto"/>
          <w:highlight w:val="none"/>
        </w:rPr>
      </w:pPr>
      <w:bookmarkStart w:id="6" w:name="_Toc6896"/>
      <w:r>
        <w:rPr>
          <w:rFonts w:hint="eastAsia"/>
          <w:color w:val="auto"/>
          <w:highlight w:val="none"/>
        </w:rPr>
        <w:t>（一）总则</w:t>
      </w:r>
      <w:bookmarkEnd w:id="6"/>
    </w:p>
    <w:p w14:paraId="3D0C1CB9">
      <w:pPr>
        <w:pStyle w:val="19"/>
        <w:spacing w:after="0" w:line="360" w:lineRule="auto"/>
        <w:ind w:firstLine="482" w:firstLineChars="200"/>
        <w:rPr>
          <w:rFonts w:ascii="宋体"/>
          <w:b/>
          <w:bCs/>
          <w:color w:val="auto"/>
          <w:sz w:val="24"/>
          <w:highlight w:val="none"/>
        </w:rPr>
      </w:pPr>
      <w:r>
        <w:rPr>
          <w:rFonts w:ascii="宋体" w:hAnsi="宋体"/>
          <w:b/>
          <w:bCs/>
          <w:color w:val="auto"/>
          <w:sz w:val="24"/>
          <w:highlight w:val="none"/>
        </w:rPr>
        <w:t>1</w:t>
      </w:r>
      <w:r>
        <w:rPr>
          <w:rFonts w:hint="eastAsia" w:ascii="宋体" w:hAnsi="宋体"/>
          <w:b/>
          <w:bCs/>
          <w:color w:val="auto"/>
          <w:sz w:val="24"/>
          <w:highlight w:val="none"/>
        </w:rPr>
        <w:t>、定义</w:t>
      </w:r>
    </w:p>
    <w:p w14:paraId="0344430B">
      <w:pPr>
        <w:pStyle w:val="19"/>
        <w:spacing w:after="0" w:line="360" w:lineRule="auto"/>
        <w:ind w:firstLine="480" w:firstLineChars="200"/>
        <w:rPr>
          <w:rFonts w:ascii="宋体"/>
          <w:b/>
          <w:bCs/>
          <w:color w:val="auto"/>
          <w:sz w:val="24"/>
          <w:highlight w:val="none"/>
        </w:rPr>
      </w:pPr>
      <w:r>
        <w:rPr>
          <w:rFonts w:hint="eastAsia" w:ascii="宋体" w:hAnsi="宋体"/>
          <w:color w:val="auto"/>
          <w:sz w:val="24"/>
          <w:highlight w:val="none"/>
        </w:rPr>
        <w:t>本招标文件使用的下列词语具有如下规定的意义：</w:t>
      </w:r>
    </w:p>
    <w:p w14:paraId="760BDC12">
      <w:pPr>
        <w:pStyle w:val="19"/>
        <w:spacing w:after="0" w:line="360" w:lineRule="auto"/>
        <w:ind w:firstLine="480" w:firstLineChars="200"/>
        <w:rPr>
          <w:rFonts w:ascii="宋体"/>
          <w:b/>
          <w:bCs/>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）“招标人”（即发包人）、“项目建设管理单位</w:t>
      </w:r>
      <w:r>
        <w:rPr>
          <w:rFonts w:hint="eastAsia" w:ascii="宋体"/>
          <w:color w:val="auto"/>
          <w:sz w:val="24"/>
          <w:highlight w:val="none"/>
        </w:rPr>
        <w:t>”</w:t>
      </w:r>
      <w:r>
        <w:rPr>
          <w:rFonts w:hint="eastAsia" w:ascii="宋体" w:hAnsi="宋体"/>
          <w:color w:val="auto"/>
          <w:sz w:val="24"/>
          <w:highlight w:val="none"/>
        </w:rPr>
        <w:t>（或称“项目代建单位”）、“招标代理”、“设计单位”、“监理单位”均已在投标须知前附表中列明。</w:t>
      </w:r>
    </w:p>
    <w:p w14:paraId="57C72DDB">
      <w:pPr>
        <w:pStyle w:val="19"/>
        <w:spacing w:after="0" w:line="360" w:lineRule="auto"/>
        <w:ind w:firstLine="480" w:firstLineChars="200"/>
        <w:rPr>
          <w:rFonts w:hint="eastAsia" w:ascii="宋体" w:eastAsia="宋体"/>
          <w:color w:val="auto"/>
          <w:sz w:val="24"/>
          <w:highlight w:val="none"/>
          <w:u w:val="single"/>
          <w:lang w:eastAsia="zh-CN"/>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）“投标人”指向招标人提交投标文件的当事人。</w:t>
      </w:r>
    </w:p>
    <w:p w14:paraId="2FF378E1">
      <w:pPr>
        <w:pStyle w:val="19"/>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）“承包人”指其投标被招标人接受并与其签订承包合同的当事人。</w:t>
      </w:r>
    </w:p>
    <w:p w14:paraId="074D9127">
      <w:pPr>
        <w:pStyle w:val="19"/>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）“招标文件”指由招标代理发出的本文件（包括全部章节、附件）及招标答疑会会议纪要和</w:t>
      </w:r>
      <w:r>
        <w:rPr>
          <w:rFonts w:hint="eastAsia" w:ascii="宋体" w:hAnsi="宋体"/>
          <w:bCs/>
          <w:color w:val="auto"/>
          <w:sz w:val="24"/>
          <w:highlight w:val="none"/>
        </w:rPr>
        <w:t>招标文件的澄清与修改</w:t>
      </w:r>
      <w:r>
        <w:rPr>
          <w:rFonts w:hint="eastAsia" w:ascii="宋体" w:hAnsi="宋体"/>
          <w:color w:val="auto"/>
          <w:sz w:val="24"/>
          <w:highlight w:val="none"/>
        </w:rPr>
        <w:t>文件。</w:t>
      </w:r>
    </w:p>
    <w:p w14:paraId="6098162D">
      <w:pPr>
        <w:pStyle w:val="19"/>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）“投标文件”指投标人根据本项目招标文件向招标人提交的全部文件。</w:t>
      </w:r>
    </w:p>
    <w:p w14:paraId="7D0A79BD">
      <w:pPr>
        <w:pStyle w:val="19"/>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）“书面形式”指打字或印刷的文件和数据电文（包括电报、电传、传真、电子数据交换和电子邮件）。</w:t>
      </w:r>
    </w:p>
    <w:p w14:paraId="67FDFA9A">
      <w:pPr>
        <w:spacing w:line="360" w:lineRule="auto"/>
        <w:ind w:firstLine="482" w:firstLineChars="200"/>
        <w:rPr>
          <w:b/>
          <w:color w:val="auto"/>
          <w:sz w:val="24"/>
          <w:highlight w:val="none"/>
        </w:rPr>
      </w:pPr>
      <w:r>
        <w:rPr>
          <w:b/>
          <w:color w:val="auto"/>
          <w:sz w:val="24"/>
          <w:highlight w:val="none"/>
        </w:rPr>
        <w:t>2</w:t>
      </w:r>
      <w:r>
        <w:rPr>
          <w:rFonts w:hint="eastAsia"/>
          <w:b/>
          <w:color w:val="auto"/>
          <w:sz w:val="24"/>
          <w:highlight w:val="none"/>
        </w:rPr>
        <w:t>、招标说明</w:t>
      </w:r>
    </w:p>
    <w:p w14:paraId="40AA5ED5">
      <w:pPr>
        <w:spacing w:line="360" w:lineRule="auto"/>
        <w:ind w:firstLine="480" w:firstLineChars="200"/>
        <w:rPr>
          <w:bCs/>
          <w:color w:val="auto"/>
          <w:sz w:val="24"/>
          <w:highlight w:val="none"/>
        </w:rPr>
      </w:pPr>
      <w:r>
        <w:rPr>
          <w:bCs/>
          <w:color w:val="auto"/>
          <w:sz w:val="24"/>
          <w:highlight w:val="none"/>
        </w:rPr>
        <w:t>2.1</w:t>
      </w:r>
      <w:r>
        <w:rPr>
          <w:rFonts w:hint="eastAsia"/>
          <w:bCs/>
          <w:color w:val="auto"/>
          <w:sz w:val="24"/>
          <w:highlight w:val="none"/>
        </w:rPr>
        <w:t>本招标工程项目按照《中华人民共和国招标投标法》等有关法律、行政法规、规章和规范性文件，通过招标方式选定承包人。</w:t>
      </w:r>
    </w:p>
    <w:p w14:paraId="395B2617">
      <w:pPr>
        <w:spacing w:line="360" w:lineRule="auto"/>
        <w:ind w:firstLine="480" w:firstLineChars="200"/>
        <w:rPr>
          <w:bCs/>
          <w:color w:val="auto"/>
          <w:sz w:val="24"/>
          <w:highlight w:val="none"/>
        </w:rPr>
      </w:pPr>
      <w:r>
        <w:rPr>
          <w:bCs/>
          <w:color w:val="auto"/>
          <w:sz w:val="24"/>
          <w:highlight w:val="none"/>
        </w:rPr>
        <w:t>2.2</w:t>
      </w:r>
      <w:r>
        <w:rPr>
          <w:rFonts w:hint="eastAsia"/>
          <w:bCs/>
          <w:color w:val="auto"/>
          <w:sz w:val="24"/>
          <w:highlight w:val="none"/>
        </w:rPr>
        <w:t>工程名称、建设地点、建设规模、承包方式、质量标准、招标范围、工期要求等均在投标须知前附表中列明。</w:t>
      </w:r>
    </w:p>
    <w:p w14:paraId="22CCC6E0">
      <w:pPr>
        <w:spacing w:line="360" w:lineRule="auto"/>
        <w:ind w:firstLine="480" w:firstLineChars="200"/>
        <w:rPr>
          <w:bCs/>
          <w:color w:val="auto"/>
          <w:sz w:val="24"/>
          <w:highlight w:val="none"/>
        </w:rPr>
      </w:pPr>
      <w:r>
        <w:rPr>
          <w:bCs/>
          <w:color w:val="auto"/>
          <w:sz w:val="24"/>
          <w:highlight w:val="none"/>
        </w:rPr>
        <w:t>2.3</w:t>
      </w:r>
      <w:r>
        <w:rPr>
          <w:rFonts w:hint="eastAsia"/>
          <w:bCs/>
          <w:color w:val="auto"/>
          <w:sz w:val="24"/>
          <w:highlight w:val="none"/>
        </w:rPr>
        <w:t>设计说明：详见招标图纸。</w:t>
      </w:r>
    </w:p>
    <w:p w14:paraId="1A5CE876">
      <w:pPr>
        <w:spacing w:line="360" w:lineRule="auto"/>
        <w:ind w:firstLine="480" w:firstLineChars="200"/>
        <w:rPr>
          <w:bCs/>
          <w:color w:val="auto"/>
          <w:sz w:val="24"/>
          <w:highlight w:val="none"/>
        </w:rPr>
      </w:pPr>
      <w:r>
        <w:rPr>
          <w:bCs/>
          <w:color w:val="auto"/>
          <w:sz w:val="24"/>
          <w:highlight w:val="none"/>
        </w:rPr>
        <w:t>2.4</w:t>
      </w:r>
      <w:r>
        <w:rPr>
          <w:rFonts w:hint="eastAsia"/>
          <w:bCs/>
          <w:color w:val="auto"/>
          <w:sz w:val="24"/>
          <w:highlight w:val="none"/>
        </w:rPr>
        <w:t>工程施工特点：详见招标图纸。</w:t>
      </w:r>
    </w:p>
    <w:p w14:paraId="33AEF108">
      <w:pPr>
        <w:tabs>
          <w:tab w:val="left" w:pos="105"/>
        </w:tabs>
        <w:spacing w:line="360" w:lineRule="auto"/>
        <w:ind w:firstLine="482" w:firstLineChars="200"/>
        <w:rPr>
          <w:b/>
          <w:color w:val="auto"/>
          <w:sz w:val="24"/>
          <w:highlight w:val="none"/>
        </w:rPr>
      </w:pPr>
      <w:r>
        <w:rPr>
          <w:b/>
          <w:color w:val="auto"/>
          <w:sz w:val="24"/>
          <w:highlight w:val="none"/>
        </w:rPr>
        <w:t>3</w:t>
      </w:r>
      <w:r>
        <w:rPr>
          <w:rFonts w:hint="eastAsia"/>
          <w:b/>
          <w:color w:val="auto"/>
          <w:sz w:val="24"/>
          <w:highlight w:val="none"/>
        </w:rPr>
        <w:t>．资金来源</w:t>
      </w:r>
    </w:p>
    <w:p w14:paraId="2E5C41A1">
      <w:pPr>
        <w:spacing w:line="360" w:lineRule="auto"/>
        <w:ind w:firstLine="480" w:firstLineChars="200"/>
        <w:rPr>
          <w:bCs/>
          <w:color w:val="auto"/>
          <w:sz w:val="24"/>
          <w:highlight w:val="none"/>
        </w:rPr>
      </w:pPr>
      <w:r>
        <w:rPr>
          <w:bCs/>
          <w:color w:val="auto"/>
          <w:sz w:val="24"/>
          <w:highlight w:val="none"/>
        </w:rPr>
        <w:t>3.1</w:t>
      </w:r>
      <w:r>
        <w:rPr>
          <w:rFonts w:hint="eastAsia"/>
          <w:bCs/>
          <w:color w:val="auto"/>
          <w:sz w:val="24"/>
          <w:highlight w:val="none"/>
        </w:rPr>
        <w:t>本招标工程项目资金来源见投标须知前附表第</w:t>
      </w:r>
      <w:r>
        <w:rPr>
          <w:bCs/>
          <w:color w:val="auto"/>
          <w:sz w:val="24"/>
          <w:highlight w:val="none"/>
        </w:rPr>
        <w:t>9</w:t>
      </w:r>
      <w:r>
        <w:rPr>
          <w:rFonts w:hint="eastAsia"/>
          <w:bCs/>
          <w:color w:val="auto"/>
          <w:sz w:val="24"/>
          <w:highlight w:val="none"/>
        </w:rPr>
        <w:t>项</w:t>
      </w:r>
    </w:p>
    <w:p w14:paraId="3889A371">
      <w:pPr>
        <w:tabs>
          <w:tab w:val="left" w:pos="105"/>
        </w:tabs>
        <w:spacing w:line="360" w:lineRule="auto"/>
        <w:ind w:firstLine="482" w:firstLineChars="200"/>
        <w:rPr>
          <w:b/>
          <w:color w:val="auto"/>
          <w:sz w:val="24"/>
          <w:highlight w:val="none"/>
        </w:rPr>
      </w:pPr>
      <w:r>
        <w:rPr>
          <w:b/>
          <w:color w:val="auto"/>
          <w:sz w:val="24"/>
          <w:highlight w:val="none"/>
        </w:rPr>
        <w:t>4</w:t>
      </w:r>
      <w:r>
        <w:rPr>
          <w:rFonts w:hint="eastAsia"/>
          <w:b/>
          <w:color w:val="auto"/>
          <w:sz w:val="24"/>
          <w:highlight w:val="none"/>
        </w:rPr>
        <w:t>．合格投标人的条件</w:t>
      </w:r>
    </w:p>
    <w:p w14:paraId="36F56371">
      <w:pPr>
        <w:spacing w:line="360" w:lineRule="auto"/>
        <w:ind w:firstLine="480" w:firstLineChars="200"/>
        <w:rPr>
          <w:bCs/>
          <w:color w:val="auto"/>
          <w:sz w:val="24"/>
          <w:highlight w:val="none"/>
        </w:rPr>
      </w:pPr>
      <w:r>
        <w:rPr>
          <w:bCs/>
          <w:color w:val="auto"/>
          <w:sz w:val="24"/>
          <w:highlight w:val="none"/>
        </w:rPr>
        <w:t>4.1</w:t>
      </w:r>
      <w:r>
        <w:rPr>
          <w:rFonts w:hint="eastAsia"/>
          <w:bCs/>
          <w:color w:val="auto"/>
          <w:sz w:val="24"/>
          <w:highlight w:val="none"/>
        </w:rPr>
        <w:t>详见本项目招标公告</w:t>
      </w:r>
    </w:p>
    <w:p w14:paraId="7AD84E00">
      <w:pPr>
        <w:tabs>
          <w:tab w:val="left" w:pos="105"/>
        </w:tabs>
        <w:spacing w:line="360" w:lineRule="auto"/>
        <w:ind w:firstLine="482" w:firstLineChars="200"/>
        <w:rPr>
          <w:b/>
          <w:color w:val="auto"/>
          <w:sz w:val="24"/>
          <w:highlight w:val="none"/>
        </w:rPr>
      </w:pPr>
      <w:r>
        <w:rPr>
          <w:b/>
          <w:color w:val="auto"/>
          <w:sz w:val="24"/>
          <w:highlight w:val="none"/>
        </w:rPr>
        <w:t>5</w:t>
      </w:r>
      <w:r>
        <w:rPr>
          <w:rFonts w:hint="eastAsia"/>
          <w:b/>
          <w:color w:val="auto"/>
          <w:sz w:val="24"/>
          <w:highlight w:val="none"/>
        </w:rPr>
        <w:t>．踏勘现场</w:t>
      </w:r>
    </w:p>
    <w:p w14:paraId="50CCE5E0">
      <w:pPr>
        <w:spacing w:line="360" w:lineRule="auto"/>
        <w:ind w:firstLine="480" w:firstLineChars="200"/>
        <w:rPr>
          <w:bCs/>
          <w:color w:val="auto"/>
          <w:sz w:val="24"/>
          <w:highlight w:val="none"/>
          <w:u w:val="single"/>
        </w:rPr>
      </w:pPr>
      <w:r>
        <w:rPr>
          <w:bCs/>
          <w:color w:val="auto"/>
          <w:sz w:val="24"/>
          <w:highlight w:val="none"/>
        </w:rPr>
        <w:t>5.1</w:t>
      </w:r>
      <w:r>
        <w:rPr>
          <w:rFonts w:hint="eastAsia"/>
          <w:bCs/>
          <w:color w:val="auto"/>
          <w:sz w:val="24"/>
          <w:highlight w:val="none"/>
        </w:rPr>
        <w:t>投标人应按本投标须知前附表第</w:t>
      </w:r>
      <w:r>
        <w:rPr>
          <w:bCs/>
          <w:color w:val="auto"/>
          <w:sz w:val="24"/>
          <w:highlight w:val="none"/>
        </w:rPr>
        <w:t>15</w:t>
      </w:r>
      <w:r>
        <w:rPr>
          <w:rFonts w:hint="eastAsia"/>
          <w:bCs/>
          <w:color w:val="auto"/>
          <w:sz w:val="24"/>
          <w:highlight w:val="none"/>
        </w:rPr>
        <w:t>项所述时间和要求对工程现场及周围环境进行踏勘，</w:t>
      </w:r>
      <w:r>
        <w:rPr>
          <w:rFonts w:hint="eastAsia"/>
          <w:color w:val="auto"/>
          <w:sz w:val="24"/>
          <w:highlight w:val="none"/>
        </w:rPr>
        <w:t>投标人应充分重视和仔细地进行这种考察，</w:t>
      </w:r>
      <w:r>
        <w:rPr>
          <w:rFonts w:hint="eastAsia"/>
          <w:bCs/>
          <w:color w:val="auto"/>
          <w:sz w:val="24"/>
          <w:highlight w:val="none"/>
        </w:rPr>
        <w:t>以便投标人获取</w:t>
      </w:r>
      <w:r>
        <w:rPr>
          <w:rFonts w:hint="eastAsia"/>
          <w:color w:val="auto"/>
          <w:sz w:val="24"/>
          <w:highlight w:val="none"/>
        </w:rPr>
        <w:t>那些须投标人自己负责的</w:t>
      </w:r>
      <w:r>
        <w:rPr>
          <w:rFonts w:hint="eastAsia"/>
          <w:bCs/>
          <w:color w:val="auto"/>
          <w:sz w:val="24"/>
          <w:highlight w:val="none"/>
        </w:rPr>
        <w:t>有关编制投标文件和签署合同所涉及现场所有的资料。</w:t>
      </w:r>
      <w:r>
        <w:rPr>
          <w:rFonts w:hint="eastAsia"/>
          <w:color w:val="auto"/>
          <w:sz w:val="24"/>
          <w:highlight w:val="none"/>
        </w:rPr>
        <w:t>一旦中标，这种考察即被认为其结果已在中标文件中得到充分反映。考察现场的费用由投标人自己承担。</w:t>
      </w:r>
    </w:p>
    <w:p w14:paraId="21387C06">
      <w:pPr>
        <w:tabs>
          <w:tab w:val="left" w:pos="105"/>
        </w:tabs>
        <w:spacing w:line="360" w:lineRule="auto"/>
        <w:ind w:firstLine="480" w:firstLineChars="200"/>
        <w:rPr>
          <w:bCs/>
          <w:color w:val="auto"/>
          <w:sz w:val="24"/>
          <w:highlight w:val="none"/>
        </w:rPr>
      </w:pPr>
      <w:r>
        <w:rPr>
          <w:bCs/>
          <w:color w:val="auto"/>
          <w:sz w:val="24"/>
          <w:highlight w:val="none"/>
        </w:rPr>
        <w:t>5.2</w:t>
      </w:r>
      <w:r>
        <w:rPr>
          <w:rFonts w:hint="eastAsia"/>
          <w:bCs/>
          <w:color w:val="auto"/>
          <w:sz w:val="24"/>
          <w:highlight w:val="none"/>
        </w:rPr>
        <w:t>招标人向投标人提供的有关现场的数据和资料，是招标人现有的能被投标人利用的资料，招标人对投标人做出的任何推论、理解和结论均不负责任。</w:t>
      </w:r>
    </w:p>
    <w:p w14:paraId="43E8F066">
      <w:pPr>
        <w:spacing w:line="360" w:lineRule="auto"/>
        <w:ind w:firstLine="480" w:firstLineChars="200"/>
        <w:rPr>
          <w:bCs/>
          <w:color w:val="auto"/>
          <w:sz w:val="24"/>
          <w:highlight w:val="none"/>
        </w:rPr>
      </w:pPr>
      <w:r>
        <w:rPr>
          <w:bCs/>
          <w:color w:val="auto"/>
          <w:sz w:val="24"/>
          <w:highlight w:val="none"/>
        </w:rPr>
        <w:t>5.3</w:t>
      </w:r>
      <w:r>
        <w:rPr>
          <w:rFonts w:hint="eastAsia"/>
          <w:bCs/>
          <w:color w:val="auto"/>
          <w:sz w:val="24"/>
          <w:highlight w:val="none"/>
        </w:rPr>
        <w:t>经招标人允许，投标人可为踏勘目的进入招标人的项目现场。</w:t>
      </w:r>
      <w:r>
        <w:rPr>
          <w:rFonts w:hint="eastAsia"/>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bCs/>
          <w:color w:val="auto"/>
          <w:sz w:val="24"/>
          <w:highlight w:val="none"/>
        </w:rPr>
        <w:t>投标人不得因此使招标人承担有关的责任和蒙受损失。</w:t>
      </w:r>
    </w:p>
    <w:p w14:paraId="7F0EE091">
      <w:pPr>
        <w:tabs>
          <w:tab w:val="left" w:pos="105"/>
        </w:tabs>
        <w:spacing w:line="360" w:lineRule="auto"/>
        <w:ind w:firstLine="482" w:firstLineChars="200"/>
        <w:rPr>
          <w:b/>
          <w:color w:val="auto"/>
          <w:sz w:val="24"/>
          <w:highlight w:val="none"/>
        </w:rPr>
      </w:pPr>
      <w:r>
        <w:rPr>
          <w:b/>
          <w:color w:val="auto"/>
          <w:sz w:val="24"/>
          <w:highlight w:val="none"/>
        </w:rPr>
        <w:t>6</w:t>
      </w:r>
      <w:r>
        <w:rPr>
          <w:rFonts w:hint="eastAsia"/>
          <w:b/>
          <w:color w:val="auto"/>
          <w:sz w:val="24"/>
          <w:highlight w:val="none"/>
        </w:rPr>
        <w:t>．投标费用</w:t>
      </w:r>
    </w:p>
    <w:p w14:paraId="6A3B6732">
      <w:pPr>
        <w:tabs>
          <w:tab w:val="left" w:pos="105"/>
        </w:tabs>
        <w:spacing w:line="360" w:lineRule="auto"/>
        <w:ind w:firstLine="480" w:firstLineChars="200"/>
        <w:rPr>
          <w:bCs/>
          <w:color w:val="auto"/>
          <w:sz w:val="24"/>
          <w:highlight w:val="none"/>
        </w:rPr>
      </w:pPr>
      <w:r>
        <w:rPr>
          <w:bCs/>
          <w:color w:val="auto"/>
          <w:sz w:val="24"/>
          <w:highlight w:val="none"/>
        </w:rPr>
        <w:t>6.1</w:t>
      </w:r>
      <w:r>
        <w:rPr>
          <w:rFonts w:hint="eastAsia"/>
          <w:color w:val="auto"/>
          <w:sz w:val="24"/>
          <w:highlight w:val="none"/>
        </w:rPr>
        <w:t>不论投标结果如何，投标人应承担</w:t>
      </w:r>
      <w:r>
        <w:rPr>
          <w:rFonts w:hint="eastAsia"/>
          <w:bCs/>
          <w:color w:val="auto"/>
          <w:sz w:val="24"/>
          <w:highlight w:val="none"/>
        </w:rPr>
        <w:t>自身</w:t>
      </w:r>
      <w:r>
        <w:rPr>
          <w:rFonts w:hint="eastAsia"/>
          <w:color w:val="auto"/>
          <w:sz w:val="24"/>
          <w:highlight w:val="none"/>
        </w:rPr>
        <w:t>因投标文件编制、递交及其他</w:t>
      </w:r>
      <w:r>
        <w:rPr>
          <w:rFonts w:hint="eastAsia"/>
          <w:bCs/>
          <w:color w:val="auto"/>
          <w:sz w:val="24"/>
          <w:highlight w:val="none"/>
        </w:rPr>
        <w:t>参加本招标活动</w:t>
      </w:r>
      <w:r>
        <w:rPr>
          <w:rFonts w:hint="eastAsia"/>
          <w:color w:val="auto"/>
          <w:sz w:val="24"/>
          <w:highlight w:val="none"/>
        </w:rPr>
        <w:t>所涉及的一切费用，招标人对上述费用不负任何责任。</w:t>
      </w:r>
    </w:p>
    <w:p w14:paraId="2F832607">
      <w:pPr>
        <w:pStyle w:val="4"/>
        <w:spacing w:before="156" w:after="156"/>
        <w:rPr>
          <w:color w:val="auto"/>
          <w:highlight w:val="none"/>
        </w:rPr>
      </w:pPr>
      <w:bookmarkStart w:id="7" w:name="_Toc10331"/>
      <w:r>
        <w:rPr>
          <w:rFonts w:hint="eastAsia"/>
          <w:color w:val="auto"/>
          <w:highlight w:val="none"/>
        </w:rPr>
        <w:t>（二）招标文件</w:t>
      </w:r>
      <w:bookmarkEnd w:id="7"/>
    </w:p>
    <w:p w14:paraId="75BED16E">
      <w:pPr>
        <w:tabs>
          <w:tab w:val="left" w:pos="105"/>
        </w:tabs>
        <w:spacing w:line="360" w:lineRule="auto"/>
        <w:ind w:firstLine="482" w:firstLineChars="200"/>
        <w:rPr>
          <w:b/>
          <w:color w:val="auto"/>
          <w:sz w:val="24"/>
          <w:highlight w:val="none"/>
        </w:rPr>
      </w:pPr>
      <w:r>
        <w:rPr>
          <w:b/>
          <w:color w:val="auto"/>
          <w:sz w:val="24"/>
          <w:highlight w:val="none"/>
        </w:rPr>
        <w:t>7.</w:t>
      </w:r>
      <w:r>
        <w:rPr>
          <w:rFonts w:hint="eastAsia"/>
          <w:b/>
          <w:color w:val="auto"/>
          <w:sz w:val="24"/>
          <w:highlight w:val="none"/>
        </w:rPr>
        <w:t>招标文件的组成</w:t>
      </w:r>
    </w:p>
    <w:p w14:paraId="4598CA56">
      <w:pPr>
        <w:pStyle w:val="19"/>
        <w:spacing w:after="0" w:line="360" w:lineRule="auto"/>
        <w:ind w:firstLine="480" w:firstLineChars="200"/>
        <w:rPr>
          <w:bCs/>
          <w:color w:val="auto"/>
          <w:sz w:val="24"/>
          <w:highlight w:val="none"/>
        </w:rPr>
      </w:pPr>
      <w:r>
        <w:rPr>
          <w:bCs/>
          <w:color w:val="auto"/>
          <w:sz w:val="24"/>
          <w:highlight w:val="none"/>
        </w:rPr>
        <w:t>7.1本招标文件包括下列文件，以及所有按本须知第8条发出的招标答疑会会议纪要和按本须知第9条发出的澄清或修改：</w:t>
      </w:r>
    </w:p>
    <w:p w14:paraId="53D85B6E">
      <w:pPr>
        <w:pStyle w:val="19"/>
        <w:spacing w:after="0" w:line="360" w:lineRule="auto"/>
        <w:ind w:firstLine="480" w:firstLineChars="200"/>
        <w:rPr>
          <w:bCs/>
          <w:color w:val="auto"/>
          <w:sz w:val="24"/>
          <w:highlight w:val="none"/>
        </w:rPr>
      </w:pPr>
      <w:r>
        <w:rPr>
          <w:rFonts w:hint="eastAsia"/>
          <w:bCs/>
          <w:color w:val="auto"/>
          <w:sz w:val="24"/>
          <w:highlight w:val="none"/>
        </w:rPr>
        <w:t>第一章</w:t>
      </w:r>
      <w:r>
        <w:rPr>
          <w:bCs/>
          <w:color w:val="auto"/>
          <w:sz w:val="24"/>
          <w:highlight w:val="none"/>
        </w:rPr>
        <w:t>投标须知</w:t>
      </w:r>
    </w:p>
    <w:p w14:paraId="5F70FF3C">
      <w:pPr>
        <w:pStyle w:val="19"/>
        <w:spacing w:after="0" w:line="360" w:lineRule="auto"/>
        <w:ind w:firstLine="480" w:firstLineChars="200"/>
        <w:rPr>
          <w:bCs/>
          <w:color w:val="auto"/>
          <w:sz w:val="24"/>
          <w:highlight w:val="none"/>
        </w:rPr>
      </w:pPr>
      <w:r>
        <w:rPr>
          <w:rFonts w:hint="eastAsia"/>
          <w:bCs/>
          <w:color w:val="auto"/>
          <w:sz w:val="24"/>
          <w:highlight w:val="none"/>
        </w:rPr>
        <w:t>第二章</w:t>
      </w:r>
      <w:r>
        <w:rPr>
          <w:bCs/>
          <w:color w:val="auto"/>
          <w:sz w:val="24"/>
          <w:highlight w:val="none"/>
        </w:rPr>
        <w:t>开标、评标及定标办法</w:t>
      </w:r>
    </w:p>
    <w:p w14:paraId="7E0693D2">
      <w:pPr>
        <w:pStyle w:val="19"/>
        <w:spacing w:after="0" w:line="360" w:lineRule="auto"/>
        <w:ind w:firstLine="480" w:firstLineChars="200"/>
        <w:rPr>
          <w:bCs/>
          <w:color w:val="auto"/>
          <w:sz w:val="24"/>
          <w:highlight w:val="none"/>
        </w:rPr>
      </w:pPr>
      <w:r>
        <w:rPr>
          <w:rFonts w:hint="eastAsia"/>
          <w:bCs/>
          <w:color w:val="auto"/>
          <w:sz w:val="24"/>
          <w:highlight w:val="none"/>
        </w:rPr>
        <w:t>第三章</w:t>
      </w:r>
      <w:r>
        <w:rPr>
          <w:bCs/>
          <w:color w:val="auto"/>
          <w:sz w:val="24"/>
          <w:highlight w:val="none"/>
        </w:rPr>
        <w:t>合同条款</w:t>
      </w:r>
    </w:p>
    <w:p w14:paraId="24626232">
      <w:pPr>
        <w:pStyle w:val="19"/>
        <w:spacing w:after="0" w:line="360" w:lineRule="auto"/>
        <w:ind w:firstLine="480" w:firstLineChars="200"/>
        <w:rPr>
          <w:bCs/>
          <w:color w:val="auto"/>
          <w:sz w:val="24"/>
          <w:highlight w:val="none"/>
        </w:rPr>
      </w:pPr>
      <w:r>
        <w:rPr>
          <w:rFonts w:hint="eastAsia"/>
          <w:bCs/>
          <w:color w:val="auto"/>
          <w:sz w:val="24"/>
          <w:highlight w:val="none"/>
        </w:rPr>
        <w:t>第四章</w:t>
      </w:r>
      <w:r>
        <w:rPr>
          <w:bCs/>
          <w:color w:val="auto"/>
          <w:sz w:val="24"/>
          <w:highlight w:val="none"/>
        </w:rPr>
        <w:t>投标文件格式</w:t>
      </w:r>
    </w:p>
    <w:p w14:paraId="0FB0CA35">
      <w:pPr>
        <w:pStyle w:val="19"/>
        <w:spacing w:after="0" w:line="360" w:lineRule="auto"/>
        <w:ind w:firstLine="480" w:firstLineChars="200"/>
        <w:rPr>
          <w:bCs/>
          <w:color w:val="auto"/>
          <w:sz w:val="24"/>
          <w:highlight w:val="none"/>
        </w:rPr>
      </w:pPr>
      <w:r>
        <w:rPr>
          <w:rFonts w:hint="eastAsia"/>
          <w:bCs/>
          <w:color w:val="auto"/>
          <w:sz w:val="24"/>
          <w:highlight w:val="none"/>
        </w:rPr>
        <w:t>第五章</w:t>
      </w:r>
      <w:r>
        <w:rPr>
          <w:bCs/>
          <w:color w:val="auto"/>
          <w:sz w:val="24"/>
          <w:highlight w:val="none"/>
        </w:rPr>
        <w:t>技术条件（工程建设标准）（另册）</w:t>
      </w:r>
    </w:p>
    <w:p w14:paraId="47EAEB29">
      <w:pPr>
        <w:pStyle w:val="19"/>
        <w:spacing w:after="0" w:line="360" w:lineRule="auto"/>
        <w:ind w:firstLine="480" w:firstLineChars="200"/>
        <w:rPr>
          <w:bCs/>
          <w:color w:val="auto"/>
          <w:sz w:val="24"/>
          <w:highlight w:val="none"/>
        </w:rPr>
      </w:pPr>
      <w:r>
        <w:rPr>
          <w:rFonts w:hint="eastAsia"/>
          <w:bCs/>
          <w:color w:val="auto"/>
          <w:sz w:val="24"/>
          <w:highlight w:val="none"/>
        </w:rPr>
        <w:t>第六章</w:t>
      </w:r>
      <w:r>
        <w:rPr>
          <w:bCs/>
          <w:color w:val="auto"/>
          <w:sz w:val="24"/>
          <w:highlight w:val="none"/>
        </w:rPr>
        <w:t>图纸及勘察资料（另册）</w:t>
      </w:r>
    </w:p>
    <w:p w14:paraId="70EFFBF1">
      <w:pPr>
        <w:pStyle w:val="19"/>
        <w:spacing w:after="0" w:line="360" w:lineRule="auto"/>
        <w:ind w:firstLine="480" w:firstLineChars="200"/>
        <w:rPr>
          <w:bCs/>
          <w:color w:val="auto"/>
          <w:sz w:val="24"/>
          <w:highlight w:val="none"/>
        </w:rPr>
      </w:pPr>
      <w:r>
        <w:rPr>
          <w:rFonts w:hint="eastAsia"/>
          <w:bCs/>
          <w:color w:val="auto"/>
          <w:sz w:val="24"/>
          <w:highlight w:val="none"/>
        </w:rPr>
        <w:t>第七章</w:t>
      </w:r>
      <w:r>
        <w:rPr>
          <w:bCs/>
          <w:color w:val="auto"/>
          <w:sz w:val="24"/>
          <w:highlight w:val="none"/>
        </w:rPr>
        <w:t>招标工程量清单（另册）</w:t>
      </w:r>
    </w:p>
    <w:p w14:paraId="6B8EB2D4">
      <w:pPr>
        <w:pStyle w:val="19"/>
        <w:spacing w:after="0" w:line="360" w:lineRule="auto"/>
        <w:ind w:firstLine="480" w:firstLineChars="200"/>
        <w:rPr>
          <w:bCs/>
          <w:color w:val="auto"/>
          <w:sz w:val="24"/>
          <w:highlight w:val="none"/>
        </w:rPr>
      </w:pPr>
      <w:r>
        <w:rPr>
          <w:rFonts w:hint="eastAsia"/>
          <w:bCs/>
          <w:color w:val="auto"/>
          <w:sz w:val="24"/>
          <w:highlight w:val="none"/>
        </w:rPr>
        <w:t>第八章</w:t>
      </w:r>
      <w:r>
        <w:rPr>
          <w:bCs/>
          <w:color w:val="auto"/>
          <w:sz w:val="24"/>
          <w:highlight w:val="none"/>
        </w:rPr>
        <w:t>最高投标限价</w:t>
      </w:r>
    </w:p>
    <w:p w14:paraId="7C611B6E">
      <w:pPr>
        <w:pStyle w:val="19"/>
        <w:spacing w:after="0" w:line="360" w:lineRule="auto"/>
        <w:ind w:firstLine="480" w:firstLineChars="200"/>
        <w:rPr>
          <w:rFonts w:ascii="宋体"/>
          <w:color w:val="auto"/>
          <w:sz w:val="24"/>
          <w:highlight w:val="none"/>
        </w:rPr>
      </w:pPr>
      <w:r>
        <w:rPr>
          <w:rFonts w:hint="eastAsia"/>
          <w:bCs/>
          <w:color w:val="auto"/>
          <w:sz w:val="24"/>
          <w:highlight w:val="none"/>
        </w:rPr>
        <w:t>注：</w:t>
      </w:r>
      <w:r>
        <w:rPr>
          <w:bCs/>
          <w:color w:val="auto"/>
          <w:sz w:val="24"/>
          <w:highlight w:val="none"/>
        </w:rPr>
        <w:fldChar w:fldCharType="begin"/>
      </w:r>
      <w:r>
        <w:rPr>
          <w:bCs/>
          <w:color w:val="auto"/>
          <w:sz w:val="24"/>
          <w:highlight w:val="none"/>
        </w:rPr>
        <w:instrText xml:space="preserve"> </w:instrText>
      </w:r>
      <w:r>
        <w:rPr>
          <w:rFonts w:hint="eastAsia"/>
          <w:bCs/>
          <w:color w:val="auto"/>
          <w:sz w:val="24"/>
          <w:highlight w:val="none"/>
        </w:rPr>
        <w:instrText xml:space="preserve">= 1 \* GB3</w:instrText>
      </w:r>
      <w:r>
        <w:rPr>
          <w:bCs/>
          <w:color w:val="auto"/>
          <w:sz w:val="24"/>
          <w:highlight w:val="none"/>
        </w:rPr>
        <w:instrText xml:space="preserve"> </w:instrText>
      </w:r>
      <w:r>
        <w:rPr>
          <w:bCs/>
          <w:color w:val="auto"/>
          <w:sz w:val="24"/>
          <w:highlight w:val="none"/>
        </w:rPr>
        <w:fldChar w:fldCharType="separate"/>
      </w:r>
      <w:r>
        <w:rPr>
          <w:rFonts w:hint="eastAsia"/>
          <w:bCs/>
          <w:color w:val="auto"/>
          <w:sz w:val="24"/>
          <w:highlight w:val="none"/>
        </w:rPr>
        <w:t>①</w:t>
      </w:r>
      <w:r>
        <w:rPr>
          <w:bCs/>
          <w:color w:val="auto"/>
          <w:sz w:val="24"/>
          <w:highlight w:val="none"/>
        </w:rPr>
        <w:fldChar w:fldCharType="end"/>
      </w:r>
      <w:r>
        <w:rPr>
          <w:rFonts w:hint="eastAsia"/>
          <w:bCs/>
          <w:color w:val="auto"/>
          <w:sz w:val="24"/>
          <w:highlight w:val="none"/>
        </w:rPr>
        <w:t>招标人应在技术条件（工程建设标准）中提出</w:t>
      </w:r>
      <w:r>
        <w:rPr>
          <w:bCs/>
          <w:color w:val="auto"/>
          <w:sz w:val="24"/>
          <w:highlight w:val="none"/>
        </w:rPr>
        <w:t>本项目对</w:t>
      </w:r>
      <w:r>
        <w:rPr>
          <w:rFonts w:hint="eastAsia"/>
          <w:bCs/>
          <w:color w:val="auto"/>
          <w:sz w:val="24"/>
          <w:highlight w:val="none"/>
        </w:rPr>
        <w:t>关键技术、工艺、重点、难点，以及拟在本项目采用的智能建造和新型建筑工业化相关技术的具体要求，</w:t>
      </w:r>
      <w:r>
        <w:rPr>
          <w:bCs/>
          <w:color w:val="auto"/>
          <w:sz w:val="24"/>
          <w:highlight w:val="none"/>
        </w:rPr>
        <w:t>明确</w:t>
      </w:r>
      <w:r>
        <w:rPr>
          <w:rFonts w:hint="eastAsia"/>
          <w:bCs/>
          <w:color w:val="auto"/>
          <w:sz w:val="24"/>
          <w:highlight w:val="none"/>
        </w:rPr>
        <w:t>本项目采购绿色建材和对原材料、生产制造工艺的环保、节能、低碳的要求，明确施工现场建筑垃圾源头减量的具体要求以及建筑垃圾综合利用产品的使用要求。</w:t>
      </w:r>
      <w:r>
        <w:rPr>
          <w:bCs/>
          <w:color w:val="auto"/>
          <w:sz w:val="24"/>
          <w:highlight w:val="none"/>
        </w:rPr>
        <w:fldChar w:fldCharType="begin"/>
      </w:r>
      <w:r>
        <w:rPr>
          <w:bCs/>
          <w:color w:val="auto"/>
          <w:sz w:val="24"/>
          <w:highlight w:val="none"/>
        </w:rPr>
        <w:instrText xml:space="preserve"> = 2 \* GB3 </w:instrText>
      </w:r>
      <w:r>
        <w:rPr>
          <w:bCs/>
          <w:color w:val="auto"/>
          <w:sz w:val="24"/>
          <w:highlight w:val="none"/>
        </w:rPr>
        <w:fldChar w:fldCharType="separate"/>
      </w:r>
      <w:r>
        <w:rPr>
          <w:rFonts w:hint="eastAsia"/>
          <w:bCs/>
          <w:color w:val="auto"/>
          <w:sz w:val="24"/>
          <w:highlight w:val="none"/>
        </w:rPr>
        <w:t>②</w:t>
      </w:r>
      <w:r>
        <w:rPr>
          <w:bCs/>
          <w:color w:val="auto"/>
          <w:sz w:val="24"/>
          <w:highlight w:val="none"/>
        </w:rPr>
        <w:fldChar w:fldCharType="end"/>
      </w:r>
      <w:r>
        <w:rPr>
          <w:rFonts w:hint="eastAsia"/>
          <w:bCs/>
          <w:color w:val="auto"/>
          <w:sz w:val="24"/>
          <w:highlight w:val="none"/>
        </w:rPr>
        <w:t>鼓励招标人对施工组织设计或施工方案实行隐藏投标人信息的暗标评审。</w:t>
      </w:r>
      <w:r>
        <w:rPr>
          <w:rFonts w:ascii="宋体" w:hAnsi="宋体"/>
          <w:color w:val="auto"/>
          <w:sz w:val="24"/>
          <w:highlight w:val="none"/>
        </w:rPr>
        <w:t>7.2</w:t>
      </w:r>
      <w:r>
        <w:rPr>
          <w:rFonts w:hint="eastAsia" w:ascii="宋体" w:hAnsi="宋体"/>
          <w:color w:val="auto"/>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06075999">
      <w:pPr>
        <w:pStyle w:val="19"/>
        <w:spacing w:after="0" w:line="360" w:lineRule="auto"/>
        <w:ind w:firstLine="480" w:firstLineChars="200"/>
        <w:rPr>
          <w:rFonts w:ascii="宋体"/>
          <w:color w:val="auto"/>
          <w:sz w:val="24"/>
          <w:highlight w:val="none"/>
        </w:rPr>
      </w:pPr>
      <w:r>
        <w:rPr>
          <w:rFonts w:ascii="宋体" w:hAnsi="宋体"/>
          <w:color w:val="auto"/>
          <w:sz w:val="24"/>
          <w:highlight w:val="none"/>
        </w:rPr>
        <w:t>7.3</w:t>
      </w:r>
      <w:r>
        <w:rPr>
          <w:rFonts w:hint="eastAsia" w:ascii="宋体" w:hAnsi="宋体"/>
          <w:color w:val="auto"/>
          <w:sz w:val="24"/>
          <w:highlight w:val="none"/>
        </w:rPr>
        <w:t>投标人一旦中标，招标文件的内容对招标人和中标人双方均有约束力。</w:t>
      </w:r>
    </w:p>
    <w:p w14:paraId="41C1E264">
      <w:pPr>
        <w:pStyle w:val="19"/>
        <w:spacing w:after="0" w:line="360" w:lineRule="auto"/>
        <w:ind w:firstLine="482" w:firstLineChars="200"/>
        <w:rPr>
          <w:rFonts w:ascii="宋体"/>
          <w:b/>
          <w:bCs/>
          <w:color w:val="auto"/>
          <w:sz w:val="24"/>
          <w:highlight w:val="none"/>
        </w:rPr>
      </w:pPr>
      <w:r>
        <w:rPr>
          <w:rFonts w:ascii="宋体" w:hAnsi="宋体"/>
          <w:b/>
          <w:bCs/>
          <w:color w:val="auto"/>
          <w:sz w:val="24"/>
          <w:highlight w:val="none"/>
        </w:rPr>
        <w:t>8</w:t>
      </w:r>
      <w:r>
        <w:rPr>
          <w:rFonts w:hint="eastAsia" w:ascii="宋体" w:hAnsi="宋体"/>
          <w:b/>
          <w:bCs/>
          <w:color w:val="auto"/>
          <w:sz w:val="24"/>
          <w:highlight w:val="none"/>
        </w:rPr>
        <w:t>．招标答疑</w:t>
      </w:r>
    </w:p>
    <w:p w14:paraId="50187F08">
      <w:pPr>
        <w:pStyle w:val="19"/>
        <w:spacing w:after="0" w:line="360" w:lineRule="auto"/>
        <w:ind w:firstLine="480" w:firstLineChars="200"/>
        <w:rPr>
          <w:rFonts w:ascii="宋体"/>
          <w:color w:val="auto"/>
          <w:sz w:val="24"/>
          <w:highlight w:val="none"/>
        </w:rPr>
      </w:pPr>
      <w:r>
        <w:rPr>
          <w:rFonts w:ascii="宋体" w:hAnsi="宋体"/>
          <w:color w:val="auto"/>
          <w:sz w:val="24"/>
          <w:highlight w:val="none"/>
        </w:rPr>
        <w:t>8.1</w:t>
      </w:r>
      <w:r>
        <w:rPr>
          <w:rFonts w:hint="eastAsia" w:ascii="宋体" w:hAnsi="宋体"/>
          <w:color w:val="auto"/>
          <w:sz w:val="24"/>
          <w:highlight w:val="none"/>
        </w:rPr>
        <w:t>投标人若对招标文件（包括招标图纸）中有疑问，可以书面形式</w:t>
      </w:r>
      <w:r>
        <w:rPr>
          <w:rFonts w:hint="eastAsia"/>
          <w:color w:val="auto"/>
          <w:sz w:val="24"/>
          <w:szCs w:val="24"/>
          <w:highlight w:val="none"/>
        </w:rPr>
        <w:t>通过</w:t>
      </w:r>
      <w:r>
        <w:rPr>
          <w:rFonts w:hint="eastAsia" w:ascii="宋体" w:hAnsi="宋体"/>
          <w:color w:val="auto"/>
          <w:sz w:val="24"/>
          <w:szCs w:val="24"/>
          <w:highlight w:val="none"/>
        </w:rPr>
        <w:t>交易平台</w:t>
      </w:r>
      <w:r>
        <w:rPr>
          <w:rFonts w:hint="eastAsia"/>
          <w:color w:val="auto"/>
          <w:sz w:val="24"/>
          <w:szCs w:val="24"/>
          <w:highlight w:val="none"/>
        </w:rPr>
        <w:t>提交</w:t>
      </w:r>
      <w:r>
        <w:rPr>
          <w:rFonts w:hint="eastAsia" w:ascii="宋体" w:hAnsi="宋体"/>
          <w:color w:val="auto"/>
          <w:sz w:val="24"/>
          <w:highlight w:val="none"/>
        </w:rPr>
        <w:t>给招标人或招标代理人，提交形式见本须知前附表第</w:t>
      </w:r>
      <w:r>
        <w:rPr>
          <w:rFonts w:ascii="宋体" w:hAnsi="宋体"/>
          <w:color w:val="auto"/>
          <w:sz w:val="24"/>
          <w:highlight w:val="none"/>
        </w:rPr>
        <w:t>16</w:t>
      </w:r>
      <w:r>
        <w:rPr>
          <w:rFonts w:hint="eastAsia" w:ascii="宋体" w:hAnsi="宋体"/>
          <w:color w:val="auto"/>
          <w:sz w:val="24"/>
          <w:highlight w:val="none"/>
        </w:rPr>
        <w:t>项。</w:t>
      </w:r>
    </w:p>
    <w:p w14:paraId="7C8BA7C0">
      <w:pPr>
        <w:pStyle w:val="19"/>
        <w:spacing w:after="0" w:line="360" w:lineRule="auto"/>
        <w:ind w:firstLine="480" w:firstLineChars="200"/>
        <w:rPr>
          <w:rFonts w:ascii="宋体"/>
          <w:color w:val="auto"/>
          <w:sz w:val="24"/>
          <w:highlight w:val="none"/>
        </w:rPr>
      </w:pPr>
      <w:r>
        <w:rPr>
          <w:rFonts w:ascii="宋体" w:hAnsi="宋体"/>
          <w:color w:val="auto"/>
          <w:sz w:val="24"/>
          <w:highlight w:val="none"/>
        </w:rPr>
        <w:t>8.2</w:t>
      </w:r>
      <w:r>
        <w:rPr>
          <w:rFonts w:hint="eastAsia" w:ascii="宋体"/>
          <w:color w:val="auto"/>
          <w:sz w:val="24"/>
          <w:highlight w:val="none"/>
        </w:rPr>
        <w:t>招标答疑会会议纪要将在提交投标文件截止时间15日前在</w:t>
      </w:r>
      <w:r>
        <w:rPr>
          <w:rFonts w:hint="eastAsia" w:ascii="宋体" w:hAnsi="宋体"/>
          <w:color w:val="auto"/>
          <w:sz w:val="24"/>
          <w:szCs w:val="24"/>
          <w:highlight w:val="none"/>
        </w:rPr>
        <w:t>交易平台</w:t>
      </w:r>
      <w:r>
        <w:rPr>
          <w:rFonts w:hint="eastAsia" w:ascii="宋体"/>
          <w:color w:val="auto"/>
          <w:sz w:val="24"/>
          <w:highlight w:val="none"/>
        </w:rPr>
        <w:t>“项目答疑纪要”专区公开发布。答疑纪要一经在</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w:t>
      </w:r>
    </w:p>
    <w:p w14:paraId="17D67D8C">
      <w:pPr>
        <w:pStyle w:val="19"/>
        <w:spacing w:after="0" w:line="360" w:lineRule="auto"/>
        <w:ind w:firstLine="480" w:firstLineChars="200"/>
        <w:rPr>
          <w:rFonts w:ascii="宋体"/>
          <w:color w:val="auto"/>
          <w:sz w:val="24"/>
          <w:highlight w:val="none"/>
        </w:rPr>
      </w:pPr>
      <w:r>
        <w:rPr>
          <w:rFonts w:ascii="宋体" w:hAnsi="宋体"/>
          <w:color w:val="auto"/>
          <w:sz w:val="24"/>
          <w:highlight w:val="none"/>
        </w:rPr>
        <w:t>8.3</w:t>
      </w:r>
      <w:r>
        <w:rPr>
          <w:rFonts w:hint="eastAsia" w:ascii="宋体" w:hAnsi="宋体"/>
          <w:color w:val="auto"/>
          <w:sz w:val="24"/>
          <w:highlight w:val="none"/>
        </w:rPr>
        <w:t>答疑会会议纪要为招标文件的一部分。</w:t>
      </w:r>
    </w:p>
    <w:p w14:paraId="5F4A6FE5">
      <w:pPr>
        <w:pStyle w:val="19"/>
        <w:spacing w:after="0" w:line="360" w:lineRule="auto"/>
        <w:ind w:firstLine="480" w:firstLineChars="200"/>
        <w:rPr>
          <w:rFonts w:ascii="宋体"/>
          <w:color w:val="auto"/>
          <w:sz w:val="24"/>
          <w:highlight w:val="none"/>
        </w:rPr>
      </w:pPr>
      <w:r>
        <w:rPr>
          <w:rFonts w:ascii="宋体" w:hAnsi="宋体"/>
          <w:color w:val="auto"/>
          <w:sz w:val="24"/>
          <w:highlight w:val="none"/>
        </w:rPr>
        <w:t>8.4</w:t>
      </w:r>
      <w:r>
        <w:rPr>
          <w:rFonts w:hint="eastAsia" w:ascii="宋体" w:hAnsi="宋体"/>
          <w:color w:val="auto"/>
          <w:sz w:val="24"/>
          <w:highlight w:val="none"/>
        </w:rPr>
        <w:t>若招标答疑会会议纪要与招标文件有矛盾，以答疑会议纪要最后发出的书面形式的文件为准。</w:t>
      </w:r>
    </w:p>
    <w:p w14:paraId="765E3D96">
      <w:pPr>
        <w:pStyle w:val="19"/>
        <w:spacing w:after="0" w:line="360" w:lineRule="auto"/>
        <w:ind w:firstLine="482" w:firstLineChars="200"/>
        <w:rPr>
          <w:rFonts w:ascii="宋体"/>
          <w:b/>
          <w:bCs/>
          <w:color w:val="auto"/>
          <w:sz w:val="24"/>
          <w:highlight w:val="none"/>
        </w:rPr>
      </w:pPr>
      <w:r>
        <w:rPr>
          <w:rFonts w:ascii="宋体" w:hAnsi="宋体"/>
          <w:b/>
          <w:bCs/>
          <w:color w:val="auto"/>
          <w:sz w:val="24"/>
          <w:highlight w:val="none"/>
        </w:rPr>
        <w:t>9.</w:t>
      </w:r>
      <w:r>
        <w:rPr>
          <w:rFonts w:hint="eastAsia" w:ascii="宋体" w:hAnsi="宋体"/>
          <w:b/>
          <w:bCs/>
          <w:color w:val="auto"/>
          <w:sz w:val="24"/>
          <w:highlight w:val="none"/>
        </w:rPr>
        <w:t>招标文件的澄清与修改</w:t>
      </w:r>
    </w:p>
    <w:p w14:paraId="29AC0728">
      <w:pPr>
        <w:pStyle w:val="19"/>
        <w:spacing w:after="0" w:line="360" w:lineRule="auto"/>
        <w:ind w:firstLine="480" w:firstLineChars="200"/>
        <w:rPr>
          <w:rFonts w:ascii="宋体"/>
          <w:color w:val="auto"/>
          <w:sz w:val="24"/>
          <w:highlight w:val="none"/>
        </w:rPr>
      </w:pPr>
      <w:r>
        <w:rPr>
          <w:rFonts w:ascii="宋体" w:hAnsi="宋体"/>
          <w:color w:val="auto"/>
          <w:sz w:val="24"/>
          <w:highlight w:val="none"/>
        </w:rPr>
        <w:t>9.1</w:t>
      </w:r>
      <w:r>
        <w:rPr>
          <w:rFonts w:hint="eastAsia" w:ascii="宋体" w:hAnsi="宋体"/>
          <w:color w:val="auto"/>
          <w:sz w:val="24"/>
          <w:highlight w:val="none"/>
        </w:rPr>
        <w:t>招标文件发出后</w:t>
      </w:r>
      <w:r>
        <w:rPr>
          <w:rFonts w:ascii="宋体"/>
          <w:color w:val="auto"/>
          <w:sz w:val="24"/>
          <w:highlight w:val="none"/>
        </w:rPr>
        <w:t>,</w:t>
      </w:r>
      <w:r>
        <w:rPr>
          <w:rFonts w:hint="eastAsia" w:ascii="宋体" w:hAnsi="宋体"/>
          <w:color w:val="auto"/>
          <w:sz w:val="24"/>
          <w:highlight w:val="none"/>
        </w:rPr>
        <w:t>在提交投标文件截止时间15日前，招标人可对招标文件进行必要的澄清或修改。</w:t>
      </w:r>
    </w:p>
    <w:p w14:paraId="616AE272">
      <w:pPr>
        <w:pStyle w:val="19"/>
        <w:spacing w:after="0" w:line="360" w:lineRule="auto"/>
        <w:ind w:firstLine="480" w:firstLineChars="200"/>
        <w:rPr>
          <w:rFonts w:ascii="宋体"/>
          <w:color w:val="auto"/>
          <w:sz w:val="24"/>
          <w:highlight w:val="none"/>
        </w:rPr>
      </w:pPr>
      <w:r>
        <w:rPr>
          <w:rFonts w:ascii="宋体" w:hAnsi="宋体"/>
          <w:color w:val="auto"/>
          <w:sz w:val="24"/>
          <w:highlight w:val="none"/>
        </w:rPr>
        <w:t>9.2</w:t>
      </w:r>
      <w:r>
        <w:rPr>
          <w:rFonts w:hint="eastAsia" w:ascii="宋体"/>
          <w:color w:val="auto"/>
          <w:sz w:val="24"/>
          <w:highlight w:val="none"/>
        </w:rPr>
        <w:t>招标文件的澄清或修改将在</w:t>
      </w:r>
      <w:r>
        <w:rPr>
          <w:rFonts w:hint="eastAsia" w:ascii="宋体" w:hAnsi="宋体"/>
          <w:color w:val="auto"/>
          <w:sz w:val="24"/>
          <w:szCs w:val="24"/>
          <w:highlight w:val="none"/>
        </w:rPr>
        <w:t>交易平台</w:t>
      </w:r>
      <w:r>
        <w:rPr>
          <w:rFonts w:hint="eastAsia" w:ascii="宋体"/>
          <w:color w:val="auto"/>
          <w:sz w:val="24"/>
          <w:highlight w:val="none"/>
        </w:rPr>
        <w:t>“项目答疑纪要”专区公开发布。答疑纪要一经在</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发布，视作已发放给所有投标人，以</w:t>
      </w:r>
      <w:r>
        <w:rPr>
          <w:rFonts w:hint="eastAsia" w:ascii="宋体" w:hAnsi="宋体"/>
          <w:color w:val="auto"/>
          <w:sz w:val="24"/>
          <w:szCs w:val="24"/>
          <w:highlight w:val="none"/>
        </w:rPr>
        <w:t>交易平台</w:t>
      </w:r>
      <w:r>
        <w:rPr>
          <w:rFonts w:hint="eastAsia" w:ascii="宋体"/>
          <w:color w:val="auto"/>
          <w:sz w:val="24"/>
          <w:highlight w:val="none"/>
        </w:rPr>
        <w:t>上网发布时间作为送达时间。</w:t>
      </w:r>
    </w:p>
    <w:p w14:paraId="5E2093BB">
      <w:pPr>
        <w:pStyle w:val="19"/>
        <w:spacing w:after="0" w:line="360" w:lineRule="auto"/>
        <w:ind w:firstLine="480" w:firstLineChars="200"/>
        <w:rPr>
          <w:rFonts w:ascii="宋体"/>
          <w:color w:val="auto"/>
          <w:sz w:val="24"/>
          <w:highlight w:val="none"/>
        </w:rPr>
      </w:pPr>
      <w:r>
        <w:rPr>
          <w:rFonts w:ascii="宋体" w:hAnsi="宋体"/>
          <w:color w:val="auto"/>
          <w:sz w:val="24"/>
          <w:highlight w:val="none"/>
        </w:rPr>
        <w:t>9.3</w:t>
      </w:r>
      <w:r>
        <w:rPr>
          <w:rFonts w:hint="eastAsia" w:ascii="宋体" w:hAnsi="宋体"/>
          <w:color w:val="auto"/>
          <w:sz w:val="24"/>
          <w:highlight w:val="none"/>
        </w:rPr>
        <w:t>招标文件的修改内容为招标文件的组成部分。</w:t>
      </w:r>
    </w:p>
    <w:p w14:paraId="7B241D6D">
      <w:pPr>
        <w:pStyle w:val="19"/>
        <w:spacing w:after="0" w:line="360" w:lineRule="auto"/>
        <w:ind w:firstLine="480" w:firstLineChars="200"/>
        <w:rPr>
          <w:rFonts w:ascii="宋体"/>
          <w:color w:val="auto"/>
          <w:sz w:val="24"/>
          <w:highlight w:val="none"/>
        </w:rPr>
      </w:pPr>
      <w:r>
        <w:rPr>
          <w:rFonts w:ascii="宋体" w:hAnsi="宋体"/>
          <w:color w:val="auto"/>
          <w:sz w:val="24"/>
          <w:highlight w:val="none"/>
        </w:rPr>
        <w:t>9.4</w:t>
      </w:r>
      <w:r>
        <w:rPr>
          <w:rFonts w:hint="eastAsia" w:ascii="宋体" w:hAnsi="宋体"/>
          <w:color w:val="auto"/>
          <w:sz w:val="24"/>
          <w:highlight w:val="none"/>
        </w:rPr>
        <w:t>招标文件的澄清或修改均以书面形式明确的内容为准。当招标文件的澄清、修改、补充等在同一内容的表述不一致时，以最后发出的书面形式的文件为准。</w:t>
      </w:r>
    </w:p>
    <w:p w14:paraId="644A5E8E">
      <w:pPr>
        <w:pStyle w:val="19"/>
        <w:spacing w:after="0" w:line="360" w:lineRule="auto"/>
        <w:ind w:firstLine="480" w:firstLineChars="200"/>
        <w:rPr>
          <w:rFonts w:ascii="宋体"/>
          <w:color w:val="auto"/>
          <w:sz w:val="24"/>
          <w:highlight w:val="none"/>
        </w:rPr>
      </w:pPr>
      <w:r>
        <w:rPr>
          <w:rFonts w:ascii="宋体" w:hAnsi="宋体"/>
          <w:color w:val="auto"/>
          <w:sz w:val="24"/>
          <w:highlight w:val="none"/>
        </w:rPr>
        <w:t>9.5</w:t>
      </w:r>
      <w:r>
        <w:rPr>
          <w:rFonts w:hint="eastAsia" w:ascii="宋体" w:hAnsi="宋体"/>
          <w:color w:val="auto"/>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3CE9D8DD">
      <w:pPr>
        <w:pStyle w:val="4"/>
        <w:spacing w:before="156" w:after="156"/>
        <w:rPr>
          <w:color w:val="auto"/>
          <w:highlight w:val="none"/>
        </w:rPr>
      </w:pPr>
      <w:bookmarkStart w:id="8" w:name="_Toc19781"/>
      <w:r>
        <w:rPr>
          <w:rFonts w:hint="eastAsia"/>
          <w:color w:val="auto"/>
          <w:highlight w:val="none"/>
        </w:rPr>
        <w:t>（三）投标文件的编制</w:t>
      </w:r>
      <w:bookmarkEnd w:id="8"/>
    </w:p>
    <w:p w14:paraId="69374FD5">
      <w:pPr>
        <w:pStyle w:val="19"/>
        <w:spacing w:after="0" w:line="360" w:lineRule="auto"/>
        <w:ind w:firstLine="482" w:firstLineChars="200"/>
        <w:rPr>
          <w:rFonts w:ascii="宋体"/>
          <w:b/>
          <w:bCs/>
          <w:color w:val="auto"/>
          <w:sz w:val="24"/>
          <w:highlight w:val="none"/>
        </w:rPr>
      </w:pPr>
      <w:r>
        <w:rPr>
          <w:rFonts w:ascii="宋体" w:hAnsi="宋体"/>
          <w:b/>
          <w:bCs/>
          <w:color w:val="auto"/>
          <w:sz w:val="24"/>
          <w:highlight w:val="none"/>
        </w:rPr>
        <w:t>10</w:t>
      </w:r>
      <w:r>
        <w:rPr>
          <w:rFonts w:hint="eastAsia" w:ascii="宋体" w:hAnsi="宋体"/>
          <w:b/>
          <w:bCs/>
          <w:color w:val="auto"/>
          <w:sz w:val="24"/>
          <w:highlight w:val="none"/>
        </w:rPr>
        <w:t>．投标文件的语言及度量衡单位</w:t>
      </w:r>
    </w:p>
    <w:p w14:paraId="5B81F5BA">
      <w:pPr>
        <w:pStyle w:val="19"/>
        <w:spacing w:after="0" w:line="360" w:lineRule="auto"/>
        <w:ind w:firstLine="480" w:firstLineChars="200"/>
        <w:rPr>
          <w:rFonts w:ascii="宋体"/>
          <w:color w:val="auto"/>
          <w:sz w:val="24"/>
          <w:highlight w:val="none"/>
        </w:rPr>
      </w:pPr>
      <w:r>
        <w:rPr>
          <w:rFonts w:ascii="宋体" w:hAnsi="宋体"/>
          <w:color w:val="auto"/>
          <w:sz w:val="24"/>
          <w:highlight w:val="none"/>
        </w:rPr>
        <w:t>10.1</w:t>
      </w:r>
      <w:r>
        <w:rPr>
          <w:rFonts w:hint="eastAsia" w:ascii="宋体" w:hAnsi="宋体"/>
          <w:color w:val="auto"/>
          <w:sz w:val="24"/>
          <w:highlight w:val="none"/>
        </w:rPr>
        <w:t>投标文件和与投标有关的所有文件均应使用中文。</w:t>
      </w:r>
    </w:p>
    <w:p w14:paraId="5366D23D">
      <w:pPr>
        <w:pStyle w:val="19"/>
        <w:spacing w:after="0" w:line="360" w:lineRule="auto"/>
        <w:ind w:firstLine="480" w:firstLineChars="200"/>
        <w:rPr>
          <w:rFonts w:ascii="宋体"/>
          <w:color w:val="auto"/>
          <w:sz w:val="24"/>
          <w:highlight w:val="none"/>
        </w:rPr>
      </w:pPr>
      <w:r>
        <w:rPr>
          <w:rFonts w:ascii="宋体" w:hAnsi="宋体"/>
          <w:color w:val="auto"/>
          <w:sz w:val="24"/>
          <w:highlight w:val="none"/>
        </w:rPr>
        <w:t>10.2</w:t>
      </w:r>
      <w:r>
        <w:rPr>
          <w:rFonts w:hint="eastAsia" w:ascii="宋体" w:hAnsi="宋体"/>
          <w:color w:val="auto"/>
          <w:sz w:val="24"/>
          <w:highlight w:val="none"/>
        </w:rPr>
        <w:t>除工程规范另有规定外，投标文件使用的度量衡单位，均采用中华人民共和国法定计量单位。</w:t>
      </w:r>
    </w:p>
    <w:p w14:paraId="5DE021EF">
      <w:pPr>
        <w:pStyle w:val="19"/>
        <w:spacing w:after="0" w:line="360" w:lineRule="auto"/>
        <w:ind w:firstLine="482" w:firstLineChars="200"/>
        <w:rPr>
          <w:rFonts w:ascii="宋体"/>
          <w:b/>
          <w:bCs/>
          <w:color w:val="auto"/>
          <w:sz w:val="24"/>
          <w:highlight w:val="none"/>
        </w:rPr>
      </w:pPr>
      <w:r>
        <w:rPr>
          <w:rFonts w:ascii="宋体" w:hAnsi="宋体"/>
          <w:b/>
          <w:bCs/>
          <w:color w:val="auto"/>
          <w:sz w:val="24"/>
          <w:highlight w:val="none"/>
        </w:rPr>
        <w:t>11</w:t>
      </w:r>
      <w:r>
        <w:rPr>
          <w:rFonts w:hint="eastAsia" w:ascii="宋体" w:hAnsi="宋体"/>
          <w:b/>
          <w:bCs/>
          <w:color w:val="auto"/>
          <w:sz w:val="24"/>
          <w:highlight w:val="none"/>
        </w:rPr>
        <w:t>．投标文件的组成</w:t>
      </w:r>
    </w:p>
    <w:p w14:paraId="3B6DDC67">
      <w:pPr>
        <w:pStyle w:val="19"/>
        <w:spacing w:after="0" w:line="360" w:lineRule="auto"/>
        <w:ind w:firstLine="480" w:firstLineChars="200"/>
        <w:rPr>
          <w:rFonts w:ascii="宋体"/>
          <w:b/>
          <w:color w:val="auto"/>
          <w:sz w:val="24"/>
          <w:highlight w:val="none"/>
        </w:rPr>
      </w:pPr>
      <w:r>
        <w:rPr>
          <w:rFonts w:ascii="宋体" w:hAnsi="宋体"/>
          <w:color w:val="auto"/>
          <w:sz w:val="24"/>
          <w:highlight w:val="none"/>
        </w:rPr>
        <w:t>11.1</w:t>
      </w:r>
      <w:r>
        <w:rPr>
          <w:rFonts w:hint="eastAsia" w:ascii="宋体" w:hAnsi="宋体"/>
          <w:color w:val="auto"/>
          <w:sz w:val="24"/>
          <w:highlight w:val="none"/>
        </w:rPr>
        <w:t>投标文件由技术部分（含资格审查文件）和经济部分两部分投标文件组成</w:t>
      </w:r>
      <w:r>
        <w:rPr>
          <w:rFonts w:hint="eastAsia" w:ascii="宋体" w:hAnsi="宋体"/>
          <w:b/>
          <w:color w:val="auto"/>
          <w:sz w:val="24"/>
          <w:highlight w:val="none"/>
        </w:rPr>
        <w:t>。</w:t>
      </w:r>
    </w:p>
    <w:p w14:paraId="351C7B1E">
      <w:pPr>
        <w:spacing w:line="360" w:lineRule="auto"/>
        <w:ind w:firstLine="480" w:firstLineChars="200"/>
        <w:rPr>
          <w:bCs/>
          <w:color w:val="auto"/>
          <w:sz w:val="24"/>
          <w:highlight w:val="none"/>
        </w:rPr>
      </w:pPr>
      <w:r>
        <w:rPr>
          <w:bCs/>
          <w:color w:val="auto"/>
          <w:sz w:val="24"/>
          <w:highlight w:val="none"/>
        </w:rPr>
        <w:t>11.2</w:t>
      </w:r>
      <w:r>
        <w:rPr>
          <w:rFonts w:hint="eastAsia"/>
          <w:bCs/>
          <w:color w:val="auto"/>
          <w:sz w:val="24"/>
          <w:highlight w:val="none"/>
        </w:rPr>
        <w:t>投标文件技术标部分主要包括下列内容</w:t>
      </w:r>
      <w:r>
        <w:rPr>
          <w:bCs/>
          <w:color w:val="auto"/>
          <w:sz w:val="24"/>
          <w:highlight w:val="none"/>
        </w:rPr>
        <w:t>:</w:t>
      </w:r>
    </w:p>
    <w:p w14:paraId="7C773C84">
      <w:pPr>
        <w:spacing w:line="360" w:lineRule="auto"/>
        <w:ind w:firstLine="480" w:firstLineChars="200"/>
        <w:rPr>
          <w:bCs/>
          <w:color w:val="auto"/>
          <w:sz w:val="24"/>
          <w:highlight w:val="none"/>
        </w:rPr>
      </w:pPr>
      <w:r>
        <w:rPr>
          <w:rFonts w:hint="eastAsia"/>
          <w:bCs/>
          <w:color w:val="auto"/>
          <w:sz w:val="24"/>
          <w:highlight w:val="none"/>
        </w:rPr>
        <w:t>11.2.1技术投标文件</w:t>
      </w:r>
      <w:r>
        <w:rPr>
          <w:color w:val="auto"/>
          <w:sz w:val="24"/>
          <w:highlight w:val="none"/>
        </w:rPr>
        <w:t>(</w:t>
      </w:r>
      <w:r>
        <w:rPr>
          <w:rFonts w:hint="eastAsia"/>
          <w:color w:val="auto"/>
          <w:sz w:val="24"/>
          <w:highlight w:val="none"/>
        </w:rPr>
        <w:t>按招标文件的要求填写</w:t>
      </w:r>
      <w:r>
        <w:rPr>
          <w:color w:val="auto"/>
          <w:sz w:val="24"/>
          <w:highlight w:val="none"/>
        </w:rPr>
        <w:t>)</w:t>
      </w:r>
      <w:r>
        <w:rPr>
          <w:rFonts w:hint="eastAsia"/>
          <w:bCs/>
          <w:color w:val="auto"/>
          <w:sz w:val="24"/>
          <w:highlight w:val="none"/>
        </w:rPr>
        <w:t>；</w:t>
      </w:r>
    </w:p>
    <w:p w14:paraId="777D7C7D">
      <w:pPr>
        <w:spacing w:line="360" w:lineRule="auto"/>
        <w:ind w:firstLine="480" w:firstLineChars="200"/>
        <w:rPr>
          <w:rFonts w:hint="eastAsia"/>
          <w:bCs/>
          <w:color w:val="auto"/>
          <w:sz w:val="24"/>
          <w:highlight w:val="none"/>
        </w:rPr>
      </w:pPr>
      <w:r>
        <w:rPr>
          <w:rFonts w:hint="eastAsia"/>
          <w:bCs/>
          <w:color w:val="auto"/>
          <w:sz w:val="24"/>
          <w:highlight w:val="none"/>
        </w:rPr>
        <w:t>11.2.2资格审查文件：</w:t>
      </w:r>
    </w:p>
    <w:p w14:paraId="21185E8D">
      <w:pPr>
        <w:spacing w:line="360" w:lineRule="auto"/>
        <w:ind w:firstLine="480" w:firstLineChars="200"/>
        <w:rPr>
          <w:rFonts w:hint="eastAsia" w:eastAsia="宋体"/>
          <w:bCs/>
          <w:color w:val="auto"/>
          <w:sz w:val="24"/>
          <w:highlight w:val="none"/>
          <w:lang w:eastAsia="zh-CN"/>
        </w:rPr>
      </w:pPr>
      <w:r>
        <w:rPr>
          <w:rFonts w:hint="eastAsia"/>
          <w:bCs/>
          <w:color w:val="auto"/>
          <w:sz w:val="24"/>
          <w:highlight w:val="none"/>
        </w:rPr>
        <w:t>（1）投标人声明；</w:t>
      </w:r>
    </w:p>
    <w:p w14:paraId="366AB308">
      <w:pPr>
        <w:spacing w:line="360" w:lineRule="auto"/>
        <w:ind w:firstLine="480" w:firstLineChars="200"/>
        <w:rPr>
          <w:rFonts w:hint="eastAsia"/>
          <w:bCs/>
          <w:color w:val="auto"/>
          <w:sz w:val="24"/>
          <w:highlight w:val="none"/>
        </w:rPr>
      </w:pPr>
      <w:r>
        <w:rPr>
          <w:rFonts w:hint="eastAsia"/>
          <w:bCs/>
          <w:color w:val="auto"/>
          <w:sz w:val="24"/>
          <w:highlight w:val="none"/>
        </w:rPr>
        <w:t>（2）法定代表人证明书、法定代表人签字或盖章的本投标文件授权委托证明书；</w:t>
      </w:r>
    </w:p>
    <w:p w14:paraId="7B77B5CB">
      <w:pPr>
        <w:spacing w:line="360" w:lineRule="auto"/>
        <w:ind w:firstLine="480" w:firstLineChars="200"/>
        <w:rPr>
          <w:rFonts w:hint="eastAsia"/>
          <w:bCs/>
          <w:color w:val="auto"/>
          <w:sz w:val="24"/>
          <w:highlight w:val="none"/>
        </w:rPr>
      </w:pPr>
      <w:r>
        <w:rPr>
          <w:rFonts w:hint="eastAsia"/>
          <w:bCs/>
          <w:color w:val="auto"/>
          <w:sz w:val="24"/>
          <w:highlight w:val="none"/>
        </w:rPr>
        <w:t>（3）企业营业执照扫描件或电子证照；</w:t>
      </w:r>
    </w:p>
    <w:p w14:paraId="2023DAF4">
      <w:pPr>
        <w:spacing w:line="360" w:lineRule="auto"/>
        <w:ind w:firstLine="480" w:firstLineChars="200"/>
        <w:rPr>
          <w:rFonts w:hint="eastAsia"/>
          <w:bCs/>
          <w:color w:val="auto"/>
          <w:sz w:val="24"/>
          <w:highlight w:val="none"/>
        </w:rPr>
      </w:pPr>
      <w:r>
        <w:rPr>
          <w:rFonts w:hint="eastAsia"/>
          <w:bCs/>
          <w:color w:val="auto"/>
          <w:sz w:val="24"/>
          <w:highlight w:val="none"/>
        </w:rPr>
        <w:t>（4）企业资质证书扫描件或电子证照；</w:t>
      </w:r>
    </w:p>
    <w:p w14:paraId="4CBDA0CC">
      <w:pPr>
        <w:spacing w:line="360" w:lineRule="auto"/>
        <w:ind w:firstLine="480" w:firstLineChars="200"/>
        <w:rPr>
          <w:rFonts w:hint="eastAsia"/>
          <w:bCs/>
          <w:color w:val="auto"/>
          <w:sz w:val="24"/>
          <w:highlight w:val="none"/>
        </w:rPr>
      </w:pPr>
      <w:r>
        <w:rPr>
          <w:rFonts w:hint="eastAsia"/>
          <w:bCs/>
          <w:color w:val="auto"/>
          <w:sz w:val="24"/>
          <w:highlight w:val="none"/>
        </w:rPr>
        <w:t>（5）建筑施工企业安全生产许可证扫描件或电子证照；</w:t>
      </w:r>
    </w:p>
    <w:p w14:paraId="1BDBC169">
      <w:pPr>
        <w:spacing w:line="360" w:lineRule="auto"/>
        <w:ind w:firstLine="480" w:firstLineChars="200"/>
        <w:rPr>
          <w:rFonts w:hint="eastAsia"/>
          <w:bCs/>
          <w:color w:val="auto"/>
          <w:sz w:val="24"/>
          <w:highlight w:val="none"/>
        </w:rPr>
      </w:pPr>
      <w:r>
        <w:rPr>
          <w:rFonts w:hint="eastAsia"/>
          <w:bCs/>
          <w:color w:val="auto"/>
          <w:sz w:val="24"/>
          <w:highlight w:val="none"/>
        </w:rPr>
        <w:t>（6）项目负责人（按网上投标登记时选择拟投入本项目的项目负责人）</w:t>
      </w:r>
    </w:p>
    <w:p w14:paraId="2E23050B">
      <w:pPr>
        <w:spacing w:line="360" w:lineRule="auto"/>
        <w:ind w:firstLine="480" w:firstLineChars="200"/>
        <w:rPr>
          <w:rFonts w:hint="eastAsia"/>
          <w:bCs/>
          <w:color w:val="auto"/>
          <w:sz w:val="24"/>
          <w:highlight w:val="none"/>
        </w:rPr>
      </w:pPr>
      <w:r>
        <w:rPr>
          <w:rFonts w:hint="eastAsia"/>
          <w:bCs/>
          <w:color w:val="auto"/>
          <w:sz w:val="24"/>
          <w:highlight w:val="none"/>
        </w:rPr>
        <w:t>（7）专职安全员（按网上投标登记时选择拟投入本项目的专职安全员）</w:t>
      </w:r>
    </w:p>
    <w:p w14:paraId="5C0B58E3">
      <w:pPr>
        <w:spacing w:line="360" w:lineRule="auto"/>
        <w:ind w:firstLine="480" w:firstLineChars="200"/>
        <w:rPr>
          <w:rFonts w:hint="eastAsia"/>
          <w:bCs/>
          <w:color w:val="auto"/>
          <w:sz w:val="24"/>
          <w:highlight w:val="none"/>
        </w:rPr>
      </w:pPr>
      <w:r>
        <w:rPr>
          <w:rFonts w:hint="eastAsia"/>
          <w:bCs/>
          <w:color w:val="auto"/>
          <w:sz w:val="24"/>
          <w:highlight w:val="none"/>
        </w:rPr>
        <w:t>（8）拟委托技术负责人的相关证书、资料（具体要求由招标人明确）</w:t>
      </w:r>
    </w:p>
    <w:p w14:paraId="12C3EB8B">
      <w:pPr>
        <w:spacing w:line="360" w:lineRule="auto"/>
        <w:ind w:firstLine="480" w:firstLineChars="200"/>
        <w:rPr>
          <w:rFonts w:hint="eastAsia" w:eastAsia="宋体"/>
          <w:bCs/>
          <w:color w:val="auto"/>
          <w:sz w:val="24"/>
          <w:highlight w:val="none"/>
          <w:lang w:eastAsia="zh-CN"/>
        </w:rPr>
      </w:pPr>
      <w:r>
        <w:rPr>
          <w:rFonts w:hint="eastAsia"/>
          <w:bCs/>
          <w:color w:val="auto"/>
          <w:sz w:val="24"/>
          <w:highlight w:val="none"/>
        </w:rPr>
        <w:t>（9）拟委派项目负责人的有效期内的建造师注册证书扫描件或电子证书；</w:t>
      </w:r>
    </w:p>
    <w:p w14:paraId="28EDB1C1">
      <w:pPr>
        <w:spacing w:line="360" w:lineRule="auto"/>
        <w:ind w:firstLine="480" w:firstLineChars="200"/>
        <w:rPr>
          <w:rFonts w:hint="eastAsia"/>
          <w:bCs/>
          <w:color w:val="auto"/>
          <w:sz w:val="24"/>
          <w:highlight w:val="none"/>
        </w:rPr>
      </w:pPr>
      <w:r>
        <w:rPr>
          <w:rFonts w:hint="eastAsia"/>
          <w:bCs/>
          <w:color w:val="auto"/>
          <w:sz w:val="24"/>
          <w:highlight w:val="none"/>
        </w:rPr>
        <w:t>（10）项目负责人在有效期内的安全生产考核合格证书（B类）或建筑施工企业项目负责人安全生产考核合格证书扫描件或电子证书；</w:t>
      </w:r>
    </w:p>
    <w:p w14:paraId="2A42F1EB">
      <w:pPr>
        <w:spacing w:line="360" w:lineRule="auto"/>
        <w:ind w:firstLine="480" w:firstLineChars="200"/>
        <w:rPr>
          <w:rFonts w:hint="eastAsia"/>
          <w:bCs/>
          <w:color w:val="auto"/>
          <w:sz w:val="24"/>
          <w:highlight w:val="none"/>
        </w:rPr>
      </w:pPr>
      <w:r>
        <w:rPr>
          <w:rFonts w:hint="eastAsia"/>
          <w:bCs/>
          <w:color w:val="auto"/>
          <w:sz w:val="24"/>
          <w:highlight w:val="none"/>
        </w:rPr>
        <w:t>（11）专职安全员须具有在有效期内的安全生产考核合格证书（C类）或建筑施工企业专职安全生产管理人员安全生产考核合格证书（C3类）扫描件或电子证书；</w:t>
      </w:r>
    </w:p>
    <w:p w14:paraId="264656C9">
      <w:pPr>
        <w:spacing w:line="360" w:lineRule="auto"/>
        <w:ind w:firstLine="480" w:firstLineChars="200"/>
        <w:rPr>
          <w:rFonts w:hint="eastAsia"/>
          <w:bCs/>
          <w:color w:val="auto"/>
          <w:sz w:val="24"/>
          <w:highlight w:val="none"/>
        </w:rPr>
      </w:pPr>
      <w:r>
        <w:rPr>
          <w:rFonts w:hint="eastAsia"/>
          <w:bCs/>
          <w:color w:val="auto"/>
          <w:sz w:val="24"/>
          <w:highlight w:val="none"/>
        </w:rPr>
        <w:t>（12）用于资格审查的业绩（设置业绩要求时选择此项，投标人须提供类似工程业绩的项目名称及项目编号，具体格式由招标人自定）；</w:t>
      </w:r>
    </w:p>
    <w:p w14:paraId="5BC54A63">
      <w:pPr>
        <w:spacing w:line="360" w:lineRule="auto"/>
        <w:ind w:firstLine="480" w:firstLineChars="200"/>
        <w:rPr>
          <w:rFonts w:hint="eastAsia" w:eastAsia="宋体"/>
          <w:bCs/>
          <w:color w:val="auto"/>
          <w:sz w:val="24"/>
          <w:highlight w:val="none"/>
          <w:lang w:eastAsia="zh-CN"/>
        </w:rPr>
      </w:pPr>
      <w:r>
        <w:rPr>
          <w:rFonts w:hint="eastAsia"/>
          <w:bCs/>
          <w:color w:val="auto"/>
          <w:sz w:val="24"/>
          <w:highlight w:val="none"/>
        </w:rPr>
        <w:t>（13）列明主办单位的联合体工作协议（采用联合体投标时需递交，投标人拟任本工程项目负责人应为联合体主办方信用档案中的在册人员，联合体工作协议应明确约定各方拟承担的工作和责任）；</w:t>
      </w:r>
    </w:p>
    <w:p w14:paraId="65014468">
      <w:pPr>
        <w:spacing w:line="360" w:lineRule="auto"/>
        <w:ind w:firstLine="480" w:firstLineChars="200"/>
        <w:rPr>
          <w:rFonts w:hint="eastAsia"/>
          <w:bCs/>
          <w:color w:val="auto"/>
          <w:sz w:val="24"/>
          <w:highlight w:val="none"/>
        </w:rPr>
      </w:pPr>
      <w:r>
        <w:rPr>
          <w:rFonts w:hint="eastAsia"/>
          <w:bCs/>
          <w:color w:val="auto"/>
          <w:sz w:val="24"/>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2B53FC73">
      <w:pPr>
        <w:spacing w:line="360" w:lineRule="auto"/>
        <w:ind w:firstLine="480" w:firstLineChars="200"/>
        <w:rPr>
          <w:rFonts w:hint="eastAsia"/>
          <w:bCs/>
          <w:color w:val="auto"/>
          <w:sz w:val="24"/>
          <w:highlight w:val="none"/>
        </w:rPr>
      </w:pPr>
      <w:r>
        <w:rPr>
          <w:rFonts w:hint="eastAsia"/>
          <w:bCs/>
          <w:color w:val="auto"/>
          <w:sz w:val="24"/>
          <w:highlight w:val="none"/>
        </w:rPr>
        <w:t>注：1.相关电子证书按规定需打印后手写本人签名的，应按照规定手写本人签名后再扫描提交。</w:t>
      </w:r>
    </w:p>
    <w:p w14:paraId="4381CEE0">
      <w:pPr>
        <w:spacing w:line="360" w:lineRule="auto"/>
        <w:ind w:firstLine="480" w:firstLineChars="200"/>
        <w:rPr>
          <w:bCs/>
          <w:color w:val="auto"/>
          <w:sz w:val="24"/>
          <w:highlight w:val="none"/>
        </w:rPr>
      </w:pPr>
      <w:r>
        <w:rPr>
          <w:rFonts w:hint="eastAsia"/>
          <w:bCs/>
          <w:color w:val="auto"/>
          <w:sz w:val="24"/>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6504D405">
      <w:pPr>
        <w:spacing w:line="360" w:lineRule="auto"/>
        <w:ind w:firstLine="480" w:firstLineChars="200"/>
        <w:rPr>
          <w:color w:val="auto"/>
          <w:sz w:val="24"/>
          <w:highlight w:val="none"/>
        </w:rPr>
      </w:pPr>
      <w:r>
        <w:rPr>
          <w:color w:val="auto"/>
          <w:sz w:val="24"/>
          <w:highlight w:val="none"/>
        </w:rPr>
        <w:t>11.2.3</w:t>
      </w:r>
      <w:r>
        <w:rPr>
          <w:rFonts w:hint="eastAsia"/>
          <w:color w:val="auto"/>
          <w:sz w:val="24"/>
          <w:highlight w:val="none"/>
        </w:rPr>
        <w:t>项目管理机构配备。</w:t>
      </w:r>
    </w:p>
    <w:p w14:paraId="3A3E9714">
      <w:pPr>
        <w:spacing w:line="360" w:lineRule="auto"/>
        <w:ind w:firstLine="480" w:firstLineChars="200"/>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）投标人应列出该项目工程的施工组织机构构成和画出机构框架图及其负责人；</w:t>
      </w:r>
    </w:p>
    <w:p w14:paraId="6667D02F">
      <w:pPr>
        <w:spacing w:line="360" w:lineRule="auto"/>
        <w:ind w:firstLine="480" w:firstLineChars="200"/>
        <w:rPr>
          <w:color w:val="auto"/>
          <w:sz w:val="24"/>
          <w:highlight w:val="none"/>
        </w:rPr>
      </w:pPr>
      <w:r>
        <w:rPr>
          <w:rFonts w:hint="eastAsia"/>
          <w:color w:val="auto"/>
          <w:sz w:val="24"/>
          <w:highlight w:val="none"/>
        </w:rPr>
        <w:t>（</w:t>
      </w:r>
      <w:r>
        <w:rPr>
          <w:color w:val="auto"/>
          <w:sz w:val="24"/>
          <w:highlight w:val="none"/>
        </w:rPr>
        <w:t>2</w:t>
      </w:r>
      <w:r>
        <w:rPr>
          <w:rFonts w:hint="eastAsia"/>
          <w:color w:val="auto"/>
          <w:sz w:val="24"/>
          <w:highlight w:val="none"/>
        </w:rPr>
        <w:t>）投标人应详细列出该施工组织机构中主要成员的名单、简历资料、职务职称和在本项目中拟担任的职务等资料，并附上有关证明材料扫描件；</w:t>
      </w:r>
    </w:p>
    <w:p w14:paraId="582F22DB">
      <w:pPr>
        <w:spacing w:line="360" w:lineRule="auto"/>
        <w:ind w:firstLine="480" w:firstLineChars="200"/>
        <w:rPr>
          <w:color w:val="auto"/>
          <w:sz w:val="24"/>
          <w:highlight w:val="none"/>
        </w:rPr>
      </w:pPr>
      <w:r>
        <w:rPr>
          <w:rFonts w:hint="eastAsia"/>
          <w:color w:val="auto"/>
          <w:sz w:val="24"/>
          <w:highlight w:val="none"/>
        </w:rPr>
        <w:t>（</w:t>
      </w:r>
      <w:r>
        <w:rPr>
          <w:color w:val="auto"/>
          <w:sz w:val="24"/>
          <w:highlight w:val="none"/>
        </w:rPr>
        <w:t>3</w:t>
      </w:r>
      <w:r>
        <w:rPr>
          <w:rFonts w:hint="eastAsia"/>
          <w:color w:val="auto"/>
          <w:sz w:val="24"/>
          <w:highlight w:val="none"/>
        </w:rPr>
        <w:t>）其他辅助说明资料。</w:t>
      </w:r>
    </w:p>
    <w:p w14:paraId="4F0C441E">
      <w:pPr>
        <w:spacing w:line="360" w:lineRule="auto"/>
        <w:ind w:firstLine="480" w:firstLineChars="200"/>
        <w:rPr>
          <w:color w:val="auto"/>
          <w:sz w:val="24"/>
          <w:highlight w:val="none"/>
        </w:rPr>
      </w:pPr>
      <w:r>
        <w:rPr>
          <w:color w:val="auto"/>
          <w:sz w:val="24"/>
          <w:highlight w:val="none"/>
        </w:rPr>
        <w:t>11.2.4</w:t>
      </w:r>
      <w:r>
        <w:rPr>
          <w:rFonts w:hint="eastAsia"/>
          <w:color w:val="auto"/>
          <w:sz w:val="24"/>
          <w:highlight w:val="none"/>
        </w:rPr>
        <w:t>投标人在广州市可使用适合本工程的机械设备（附：机械设备为自有或租赁的说明；及承诺机械设备如属于租赁的，其租赁是不属于重复租赁）。</w:t>
      </w:r>
    </w:p>
    <w:p w14:paraId="55171CFA">
      <w:pPr>
        <w:tabs>
          <w:tab w:val="left" w:pos="1125"/>
        </w:tabs>
        <w:spacing w:line="360" w:lineRule="auto"/>
        <w:ind w:firstLine="480" w:firstLineChars="200"/>
        <w:rPr>
          <w:color w:val="auto"/>
          <w:sz w:val="24"/>
          <w:highlight w:val="none"/>
        </w:rPr>
      </w:pPr>
      <w:r>
        <w:rPr>
          <w:color w:val="auto"/>
          <w:sz w:val="24"/>
          <w:highlight w:val="none"/>
        </w:rPr>
        <w:t>11.2.5施工组织设计或施工方案。</w:t>
      </w:r>
    </w:p>
    <w:p w14:paraId="4C85183A">
      <w:pPr>
        <w:tabs>
          <w:tab w:val="left" w:pos="1125"/>
        </w:tabs>
        <w:spacing w:line="360" w:lineRule="auto"/>
        <w:ind w:firstLine="480" w:firstLineChars="200"/>
        <w:rPr>
          <w:color w:val="auto"/>
          <w:sz w:val="24"/>
          <w:highlight w:val="none"/>
        </w:rPr>
      </w:pPr>
      <w:r>
        <w:rPr>
          <w:rFonts w:hint="eastAsia"/>
          <w:color w:val="auto"/>
          <w:sz w:val="24"/>
          <w:highlight w:val="none"/>
        </w:rPr>
        <w:t>（1）</w:t>
      </w:r>
      <w:r>
        <w:rPr>
          <w:color w:val="auto"/>
          <w:sz w:val="24"/>
          <w:highlight w:val="none"/>
        </w:rPr>
        <w:t>投标人在编制施工组织设计或施工方案时应按照招标人提出的施工现场建筑垃圾源头减量的具体要求以及建筑垃圾综合利用产品的使用要求提供相应措施。</w:t>
      </w:r>
    </w:p>
    <w:p w14:paraId="4F2D5A32">
      <w:pPr>
        <w:tabs>
          <w:tab w:val="left" w:pos="1125"/>
        </w:tabs>
        <w:spacing w:line="360" w:lineRule="auto"/>
        <w:ind w:firstLine="480" w:firstLineChars="200"/>
        <w:rPr>
          <w:color w:val="auto"/>
          <w:sz w:val="24"/>
          <w:highlight w:val="none"/>
        </w:rPr>
      </w:pPr>
      <w:r>
        <w:rPr>
          <w:rFonts w:hint="eastAsia"/>
          <w:color w:val="auto"/>
          <w:sz w:val="24"/>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w:t>
      </w:r>
      <w:r>
        <w:rPr>
          <w:color w:val="auto"/>
          <w:sz w:val="24"/>
          <w:highlight w:val="none"/>
        </w:rPr>
        <w:t>150页；对于技术特别复杂，施工工艺超出国家标准的项目，施工组织设计的篇幅要求可适当放宽，但不宜超过200页。</w:t>
      </w:r>
      <w:r>
        <w:rPr>
          <w:rFonts w:hint="eastAsia"/>
          <w:color w:val="auto"/>
          <w:sz w:val="24"/>
          <w:highlight w:val="none"/>
        </w:rPr>
        <w:t>超过部分不予评审。</w:t>
      </w:r>
    </w:p>
    <w:p w14:paraId="47ED5633">
      <w:pPr>
        <w:tabs>
          <w:tab w:val="left" w:pos="1125"/>
        </w:tabs>
        <w:spacing w:line="360" w:lineRule="auto"/>
        <w:ind w:firstLine="480" w:firstLineChars="200"/>
        <w:rPr>
          <w:color w:val="auto"/>
          <w:sz w:val="24"/>
          <w:highlight w:val="none"/>
        </w:rPr>
      </w:pPr>
      <w:r>
        <w:rPr>
          <w:color w:val="auto"/>
          <w:sz w:val="24"/>
          <w:highlight w:val="none"/>
        </w:rPr>
        <w:t>11.2.</w:t>
      </w:r>
      <w:r>
        <w:rPr>
          <w:rFonts w:hint="eastAsia"/>
          <w:color w:val="auto"/>
          <w:sz w:val="24"/>
          <w:highlight w:val="none"/>
        </w:rPr>
        <w:t>6按照</w:t>
      </w:r>
      <w:r>
        <w:rPr>
          <w:rFonts w:hint="eastAsia"/>
          <w:bCs/>
          <w:color w:val="auto"/>
          <w:sz w:val="24"/>
          <w:highlight w:val="none"/>
        </w:rPr>
        <w:t>招标文件要求</w:t>
      </w:r>
      <w:r>
        <w:rPr>
          <w:rFonts w:hint="eastAsia"/>
          <w:color w:val="auto"/>
          <w:sz w:val="24"/>
          <w:highlight w:val="none"/>
        </w:rPr>
        <w:t>填写的《参与编制技术标投标文件人员名单》。</w:t>
      </w:r>
    </w:p>
    <w:p w14:paraId="087A4991">
      <w:pPr>
        <w:spacing w:line="360" w:lineRule="auto"/>
        <w:ind w:firstLine="480" w:firstLineChars="200"/>
        <w:rPr>
          <w:bCs/>
          <w:color w:val="auto"/>
          <w:sz w:val="24"/>
          <w:highlight w:val="none"/>
        </w:rPr>
      </w:pPr>
      <w:r>
        <w:rPr>
          <w:bCs/>
          <w:color w:val="auto"/>
          <w:sz w:val="24"/>
          <w:highlight w:val="none"/>
        </w:rPr>
        <w:t>11.3</w:t>
      </w:r>
      <w:r>
        <w:rPr>
          <w:rFonts w:hint="eastAsia"/>
          <w:bCs/>
          <w:color w:val="auto"/>
          <w:sz w:val="24"/>
          <w:highlight w:val="none"/>
        </w:rPr>
        <w:t>经济部分投标文件主要包括下列内容：</w:t>
      </w:r>
    </w:p>
    <w:p w14:paraId="4D6B1DAA">
      <w:pPr>
        <w:spacing w:line="360" w:lineRule="auto"/>
        <w:ind w:firstLine="480" w:firstLineChars="200"/>
        <w:rPr>
          <w:color w:val="auto"/>
          <w:sz w:val="24"/>
          <w:highlight w:val="none"/>
        </w:rPr>
      </w:pPr>
      <w:r>
        <w:rPr>
          <w:color w:val="auto"/>
          <w:sz w:val="24"/>
          <w:highlight w:val="none"/>
        </w:rPr>
        <w:t>11.3.1</w:t>
      </w:r>
      <w:r>
        <w:rPr>
          <w:rFonts w:hint="eastAsia"/>
          <w:color w:val="auto"/>
          <w:sz w:val="24"/>
          <w:highlight w:val="none"/>
        </w:rPr>
        <w:t>经济投标文件</w:t>
      </w:r>
      <w:r>
        <w:rPr>
          <w:color w:val="auto"/>
          <w:sz w:val="24"/>
          <w:highlight w:val="none"/>
        </w:rPr>
        <w:t>(</w:t>
      </w:r>
      <w:r>
        <w:rPr>
          <w:rFonts w:hint="eastAsia"/>
          <w:color w:val="auto"/>
          <w:sz w:val="24"/>
          <w:highlight w:val="none"/>
        </w:rPr>
        <w:t>按招标文件的要求填写</w:t>
      </w:r>
      <w:r>
        <w:rPr>
          <w:color w:val="auto"/>
          <w:sz w:val="24"/>
          <w:highlight w:val="none"/>
        </w:rPr>
        <w:t>)</w:t>
      </w:r>
      <w:r>
        <w:rPr>
          <w:rFonts w:hint="eastAsia"/>
          <w:color w:val="auto"/>
          <w:sz w:val="24"/>
          <w:highlight w:val="none"/>
        </w:rPr>
        <w:t>。</w:t>
      </w:r>
    </w:p>
    <w:p w14:paraId="2EBCAE55">
      <w:pPr>
        <w:spacing w:line="360" w:lineRule="auto"/>
        <w:ind w:firstLine="480" w:firstLineChars="200"/>
        <w:rPr>
          <w:rFonts w:hint="eastAsia" w:eastAsia="宋体"/>
          <w:color w:val="auto"/>
          <w:sz w:val="24"/>
          <w:highlight w:val="none"/>
          <w:lang w:eastAsia="zh-CN"/>
        </w:rPr>
      </w:pPr>
      <w:r>
        <w:rPr>
          <w:color w:val="auto"/>
          <w:sz w:val="24"/>
          <w:highlight w:val="none"/>
        </w:rPr>
        <w:t>11.3.2</w:t>
      </w:r>
      <w:r>
        <w:rPr>
          <w:rFonts w:hint="eastAsia"/>
          <w:color w:val="auto"/>
          <w:sz w:val="24"/>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color w:val="auto"/>
          <w:sz w:val="24"/>
          <w:szCs w:val="24"/>
          <w:highlight w:val="none"/>
        </w:rPr>
        <w:t>其中包括如下：</w:t>
      </w:r>
    </w:p>
    <w:p w14:paraId="3EC8BE01">
      <w:pPr>
        <w:spacing w:line="360" w:lineRule="auto"/>
        <w:ind w:firstLine="566" w:firstLineChars="236"/>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）投标总价封面、扉页；</w:t>
      </w:r>
    </w:p>
    <w:p w14:paraId="039A597F">
      <w:pPr>
        <w:spacing w:line="360" w:lineRule="auto"/>
        <w:ind w:firstLine="566" w:firstLineChars="236"/>
        <w:rPr>
          <w:color w:val="auto"/>
          <w:sz w:val="24"/>
          <w:szCs w:val="24"/>
          <w:highlight w:val="none"/>
        </w:rPr>
      </w:pPr>
      <w:r>
        <w:rPr>
          <w:rFonts w:hint="eastAsia"/>
          <w:color w:val="auto"/>
          <w:sz w:val="24"/>
          <w:szCs w:val="24"/>
          <w:highlight w:val="none"/>
        </w:rPr>
        <w:t>（</w:t>
      </w:r>
      <w:r>
        <w:rPr>
          <w:color w:val="auto"/>
          <w:sz w:val="24"/>
          <w:szCs w:val="24"/>
          <w:highlight w:val="none"/>
        </w:rPr>
        <w:t>2</w:t>
      </w:r>
      <w:r>
        <w:rPr>
          <w:rFonts w:hint="eastAsia"/>
          <w:color w:val="auto"/>
          <w:sz w:val="24"/>
          <w:szCs w:val="24"/>
          <w:highlight w:val="none"/>
        </w:rPr>
        <w:t>）总说明</w:t>
      </w:r>
    </w:p>
    <w:p w14:paraId="15E2D9BB">
      <w:pPr>
        <w:spacing w:line="360" w:lineRule="auto"/>
        <w:ind w:firstLine="566" w:firstLineChars="236"/>
        <w:rPr>
          <w:color w:val="auto"/>
          <w:sz w:val="24"/>
          <w:szCs w:val="24"/>
          <w:highlight w:val="none"/>
        </w:rPr>
      </w:pPr>
      <w:r>
        <w:rPr>
          <w:rFonts w:hint="eastAsia"/>
          <w:color w:val="auto"/>
          <w:sz w:val="24"/>
          <w:szCs w:val="24"/>
          <w:highlight w:val="none"/>
        </w:rPr>
        <w:t>（3）工程项目投标报价汇总表；</w:t>
      </w:r>
    </w:p>
    <w:p w14:paraId="5CCC0CEE">
      <w:pPr>
        <w:spacing w:line="360" w:lineRule="auto"/>
        <w:ind w:firstLine="566" w:firstLineChars="236"/>
        <w:rPr>
          <w:color w:val="auto"/>
          <w:sz w:val="24"/>
          <w:szCs w:val="24"/>
          <w:highlight w:val="none"/>
        </w:rPr>
      </w:pPr>
      <w:r>
        <w:rPr>
          <w:rFonts w:hint="eastAsia"/>
          <w:color w:val="auto"/>
          <w:sz w:val="24"/>
          <w:szCs w:val="24"/>
          <w:highlight w:val="none"/>
        </w:rPr>
        <w:t>（4）单项工程投标报价汇总表；</w:t>
      </w:r>
    </w:p>
    <w:p w14:paraId="19955C59">
      <w:pPr>
        <w:spacing w:line="360" w:lineRule="auto"/>
        <w:ind w:firstLine="566" w:firstLineChars="236"/>
        <w:rPr>
          <w:color w:val="auto"/>
          <w:sz w:val="24"/>
          <w:szCs w:val="24"/>
          <w:highlight w:val="none"/>
        </w:rPr>
      </w:pPr>
      <w:r>
        <w:rPr>
          <w:rFonts w:hint="eastAsia"/>
          <w:color w:val="auto"/>
          <w:sz w:val="24"/>
          <w:szCs w:val="24"/>
          <w:highlight w:val="none"/>
        </w:rPr>
        <w:t>（5）单位工程投标报价汇总表；</w:t>
      </w:r>
    </w:p>
    <w:p w14:paraId="583EF511">
      <w:pPr>
        <w:spacing w:line="360" w:lineRule="auto"/>
        <w:ind w:firstLine="566" w:firstLineChars="236"/>
        <w:rPr>
          <w:color w:val="auto"/>
          <w:sz w:val="24"/>
          <w:szCs w:val="24"/>
          <w:highlight w:val="none"/>
        </w:rPr>
      </w:pPr>
      <w:r>
        <w:rPr>
          <w:rFonts w:hint="eastAsia"/>
          <w:color w:val="auto"/>
          <w:sz w:val="24"/>
          <w:szCs w:val="24"/>
          <w:highlight w:val="none"/>
        </w:rPr>
        <w:t>（6）分部分项工程清单与计价表；</w:t>
      </w:r>
    </w:p>
    <w:p w14:paraId="211391A6">
      <w:pPr>
        <w:spacing w:line="360" w:lineRule="auto"/>
        <w:ind w:firstLine="566" w:firstLineChars="236"/>
        <w:rPr>
          <w:color w:val="auto"/>
          <w:sz w:val="24"/>
          <w:szCs w:val="24"/>
          <w:highlight w:val="none"/>
        </w:rPr>
      </w:pPr>
      <w:r>
        <w:rPr>
          <w:rFonts w:hint="eastAsia"/>
          <w:color w:val="auto"/>
          <w:sz w:val="24"/>
          <w:szCs w:val="24"/>
          <w:highlight w:val="none"/>
        </w:rPr>
        <w:t>（7）单价措施项目清单与计价表；</w:t>
      </w:r>
    </w:p>
    <w:p w14:paraId="3BD77C35">
      <w:pPr>
        <w:spacing w:line="360" w:lineRule="auto"/>
        <w:ind w:firstLine="566" w:firstLineChars="236"/>
        <w:rPr>
          <w:color w:val="auto"/>
          <w:sz w:val="24"/>
          <w:szCs w:val="24"/>
          <w:highlight w:val="none"/>
        </w:rPr>
      </w:pPr>
      <w:r>
        <w:rPr>
          <w:rFonts w:hint="eastAsia"/>
          <w:color w:val="auto"/>
          <w:sz w:val="24"/>
          <w:szCs w:val="24"/>
          <w:highlight w:val="none"/>
        </w:rPr>
        <w:t>（8）总价措施项目清单与计价表；</w:t>
      </w:r>
    </w:p>
    <w:p w14:paraId="5926E35C">
      <w:pPr>
        <w:spacing w:line="360" w:lineRule="auto"/>
        <w:ind w:firstLine="566" w:firstLineChars="236"/>
        <w:rPr>
          <w:color w:val="auto"/>
          <w:sz w:val="24"/>
          <w:szCs w:val="24"/>
          <w:highlight w:val="none"/>
        </w:rPr>
      </w:pPr>
      <w:r>
        <w:rPr>
          <w:rFonts w:hint="eastAsia"/>
          <w:color w:val="auto"/>
          <w:sz w:val="24"/>
          <w:szCs w:val="24"/>
          <w:highlight w:val="none"/>
        </w:rPr>
        <w:t>（9）综合单价分析表；</w:t>
      </w:r>
    </w:p>
    <w:p w14:paraId="4B9BBFA3">
      <w:pPr>
        <w:spacing w:line="360" w:lineRule="auto"/>
        <w:ind w:firstLine="566" w:firstLineChars="236"/>
        <w:rPr>
          <w:color w:val="auto"/>
          <w:sz w:val="24"/>
          <w:szCs w:val="24"/>
          <w:highlight w:val="none"/>
        </w:rPr>
      </w:pPr>
      <w:r>
        <w:rPr>
          <w:rFonts w:hint="eastAsia"/>
          <w:color w:val="auto"/>
          <w:sz w:val="24"/>
          <w:szCs w:val="24"/>
          <w:highlight w:val="none"/>
        </w:rPr>
        <w:t>（10）其他项目清单与计价汇总表；</w:t>
      </w:r>
    </w:p>
    <w:p w14:paraId="5C6ADCE0">
      <w:pPr>
        <w:spacing w:line="360" w:lineRule="auto"/>
        <w:ind w:firstLine="566" w:firstLineChars="236"/>
        <w:rPr>
          <w:color w:val="auto"/>
          <w:sz w:val="24"/>
          <w:szCs w:val="24"/>
          <w:highlight w:val="none"/>
        </w:rPr>
      </w:pPr>
      <w:r>
        <w:rPr>
          <w:rFonts w:hint="eastAsia"/>
          <w:color w:val="auto"/>
          <w:sz w:val="24"/>
          <w:szCs w:val="24"/>
          <w:highlight w:val="none"/>
        </w:rPr>
        <w:t>（11）暂列金额明细表；</w:t>
      </w:r>
    </w:p>
    <w:p w14:paraId="5674AD93">
      <w:pPr>
        <w:spacing w:line="360" w:lineRule="auto"/>
        <w:ind w:firstLine="566" w:firstLineChars="236"/>
        <w:rPr>
          <w:color w:val="auto"/>
          <w:sz w:val="24"/>
          <w:szCs w:val="24"/>
          <w:highlight w:val="none"/>
        </w:rPr>
      </w:pPr>
      <w:r>
        <w:rPr>
          <w:rFonts w:hint="eastAsia"/>
          <w:color w:val="auto"/>
          <w:sz w:val="24"/>
          <w:szCs w:val="24"/>
          <w:highlight w:val="none"/>
        </w:rPr>
        <w:t>（12）材料（工程设备）暂估价明细表；</w:t>
      </w:r>
    </w:p>
    <w:p w14:paraId="392430A1">
      <w:pPr>
        <w:spacing w:line="360" w:lineRule="auto"/>
        <w:ind w:firstLine="566" w:firstLineChars="236"/>
        <w:rPr>
          <w:color w:val="auto"/>
          <w:sz w:val="24"/>
          <w:szCs w:val="24"/>
          <w:highlight w:val="none"/>
        </w:rPr>
      </w:pPr>
      <w:r>
        <w:rPr>
          <w:rFonts w:hint="eastAsia"/>
          <w:color w:val="auto"/>
          <w:sz w:val="24"/>
          <w:szCs w:val="24"/>
          <w:highlight w:val="none"/>
        </w:rPr>
        <w:t>（13）专业工程暂估价明细表；</w:t>
      </w:r>
    </w:p>
    <w:p w14:paraId="2B0ECA05">
      <w:pPr>
        <w:spacing w:line="360" w:lineRule="auto"/>
        <w:ind w:firstLine="566" w:firstLineChars="236"/>
        <w:rPr>
          <w:color w:val="auto"/>
          <w:sz w:val="24"/>
          <w:szCs w:val="24"/>
          <w:highlight w:val="none"/>
        </w:rPr>
      </w:pPr>
      <w:r>
        <w:rPr>
          <w:rFonts w:hint="eastAsia"/>
          <w:color w:val="auto"/>
          <w:sz w:val="24"/>
          <w:szCs w:val="24"/>
          <w:highlight w:val="none"/>
        </w:rPr>
        <w:t>（14）计日工表；</w:t>
      </w:r>
    </w:p>
    <w:p w14:paraId="46AB74B7">
      <w:pPr>
        <w:spacing w:line="360" w:lineRule="auto"/>
        <w:ind w:firstLine="566" w:firstLineChars="236"/>
        <w:rPr>
          <w:color w:val="auto"/>
          <w:sz w:val="24"/>
          <w:szCs w:val="24"/>
          <w:highlight w:val="none"/>
        </w:rPr>
      </w:pPr>
      <w:r>
        <w:rPr>
          <w:rFonts w:hint="eastAsia"/>
          <w:color w:val="auto"/>
          <w:sz w:val="24"/>
          <w:szCs w:val="24"/>
          <w:highlight w:val="none"/>
        </w:rPr>
        <w:t>（15）总承包服务计价表；</w:t>
      </w:r>
    </w:p>
    <w:p w14:paraId="7FBBED35">
      <w:pPr>
        <w:spacing w:line="360" w:lineRule="auto"/>
        <w:ind w:firstLine="566" w:firstLineChars="236"/>
        <w:rPr>
          <w:color w:val="auto"/>
          <w:sz w:val="24"/>
          <w:szCs w:val="24"/>
          <w:highlight w:val="none"/>
        </w:rPr>
      </w:pPr>
      <w:r>
        <w:rPr>
          <w:rFonts w:hint="eastAsia"/>
          <w:color w:val="auto"/>
          <w:sz w:val="24"/>
          <w:szCs w:val="24"/>
          <w:highlight w:val="none"/>
        </w:rPr>
        <w:t>（16）规费和税金项目计价表；</w:t>
      </w:r>
    </w:p>
    <w:p w14:paraId="1A0898FE">
      <w:pPr>
        <w:spacing w:line="360" w:lineRule="auto"/>
        <w:ind w:firstLine="480" w:firstLineChars="200"/>
        <w:rPr>
          <w:color w:val="auto"/>
          <w:sz w:val="24"/>
          <w:highlight w:val="none"/>
        </w:rPr>
      </w:pPr>
      <w:r>
        <w:rPr>
          <w:rFonts w:hint="eastAsia"/>
          <w:color w:val="auto"/>
          <w:sz w:val="24"/>
          <w:szCs w:val="24"/>
          <w:highlight w:val="none"/>
        </w:rPr>
        <w:t>（17）人工、主要材料和设备一览表</w:t>
      </w:r>
    </w:p>
    <w:p w14:paraId="2FE2B203">
      <w:pPr>
        <w:tabs>
          <w:tab w:val="left" w:pos="1125"/>
        </w:tabs>
        <w:spacing w:line="360" w:lineRule="auto"/>
        <w:ind w:firstLine="480" w:firstLineChars="200"/>
        <w:rPr>
          <w:color w:val="auto"/>
          <w:sz w:val="24"/>
          <w:highlight w:val="none"/>
        </w:rPr>
      </w:pPr>
      <w:r>
        <w:rPr>
          <w:color w:val="auto"/>
          <w:sz w:val="24"/>
          <w:highlight w:val="none"/>
        </w:rPr>
        <w:t>11.3.</w:t>
      </w:r>
      <w:r>
        <w:rPr>
          <w:rFonts w:hint="eastAsia"/>
          <w:color w:val="auto"/>
          <w:sz w:val="24"/>
          <w:highlight w:val="none"/>
        </w:rPr>
        <w:t>3按照</w:t>
      </w:r>
      <w:r>
        <w:rPr>
          <w:rFonts w:hint="eastAsia"/>
          <w:bCs/>
          <w:color w:val="auto"/>
          <w:sz w:val="24"/>
          <w:highlight w:val="none"/>
        </w:rPr>
        <w:t>招标文件要求</w:t>
      </w:r>
      <w:r>
        <w:rPr>
          <w:rFonts w:hint="eastAsia"/>
          <w:color w:val="auto"/>
          <w:sz w:val="24"/>
          <w:highlight w:val="none"/>
        </w:rPr>
        <w:t>填写的《参与编制经济标投标文件人员名单》。</w:t>
      </w:r>
    </w:p>
    <w:p w14:paraId="0CE55C96">
      <w:pPr>
        <w:tabs>
          <w:tab w:val="left" w:pos="1125"/>
        </w:tabs>
        <w:spacing w:line="360" w:lineRule="auto"/>
        <w:ind w:firstLine="480" w:firstLineChars="200"/>
        <w:rPr>
          <w:color w:val="auto"/>
          <w:sz w:val="24"/>
          <w:highlight w:val="none"/>
        </w:rPr>
      </w:pPr>
      <w:r>
        <w:rPr>
          <w:rFonts w:hint="eastAsia"/>
          <w:color w:val="auto"/>
          <w:sz w:val="24"/>
          <w:highlight w:val="none"/>
        </w:rPr>
        <w:t>11.3.4若投标人的投标报价低于工程成本警戒价的，投标人还须提供详细的施工组织设计、单价、措施性费用、单价分析表、主要材料价格表、投标人成本分析供评标委员会评审。</w:t>
      </w:r>
    </w:p>
    <w:p w14:paraId="33DD83CB">
      <w:pPr>
        <w:pStyle w:val="19"/>
        <w:spacing w:after="0" w:line="360" w:lineRule="auto"/>
        <w:ind w:firstLine="482" w:firstLineChars="200"/>
        <w:rPr>
          <w:rFonts w:ascii="宋体"/>
          <w:b/>
          <w:bCs/>
          <w:color w:val="auto"/>
          <w:sz w:val="24"/>
          <w:highlight w:val="none"/>
        </w:rPr>
      </w:pPr>
      <w:r>
        <w:rPr>
          <w:rFonts w:ascii="宋体" w:hAnsi="宋体"/>
          <w:b/>
          <w:bCs/>
          <w:color w:val="auto"/>
          <w:sz w:val="24"/>
          <w:highlight w:val="none"/>
        </w:rPr>
        <w:t>12</w:t>
      </w:r>
      <w:r>
        <w:rPr>
          <w:rFonts w:hint="eastAsia" w:ascii="宋体" w:hAnsi="宋体"/>
          <w:b/>
          <w:bCs/>
          <w:color w:val="auto"/>
          <w:sz w:val="24"/>
          <w:highlight w:val="none"/>
        </w:rPr>
        <w:t>．投标文件格式</w:t>
      </w:r>
    </w:p>
    <w:p w14:paraId="36C8AB98">
      <w:pPr>
        <w:pStyle w:val="19"/>
        <w:spacing w:after="0" w:line="360" w:lineRule="auto"/>
        <w:ind w:firstLine="480" w:firstLineChars="200"/>
        <w:rPr>
          <w:rFonts w:ascii="宋体" w:hAnsi="宋体"/>
          <w:color w:val="auto"/>
          <w:sz w:val="24"/>
          <w:highlight w:val="none"/>
        </w:rPr>
      </w:pPr>
      <w:r>
        <w:rPr>
          <w:rFonts w:ascii="宋体" w:hAnsi="宋体"/>
          <w:color w:val="auto"/>
          <w:sz w:val="24"/>
          <w:highlight w:val="none"/>
        </w:rPr>
        <w:t>12.1</w:t>
      </w:r>
      <w:r>
        <w:rPr>
          <w:rFonts w:hint="eastAsia" w:ascii="宋体" w:hAnsi="宋体"/>
          <w:color w:val="auto"/>
          <w:sz w:val="24"/>
          <w:highlight w:val="none"/>
        </w:rPr>
        <w:t>投标文件包括本须知第</w:t>
      </w:r>
      <w:r>
        <w:rPr>
          <w:rFonts w:ascii="宋体" w:hAnsi="宋体"/>
          <w:color w:val="auto"/>
          <w:sz w:val="24"/>
          <w:highlight w:val="none"/>
        </w:rPr>
        <w:t>11</w:t>
      </w:r>
      <w:r>
        <w:rPr>
          <w:rFonts w:hint="eastAsia" w:ascii="宋体" w:hAnsi="宋体"/>
          <w:color w:val="auto"/>
          <w:sz w:val="24"/>
          <w:highlight w:val="none"/>
        </w:rPr>
        <w:t>条中规定的内容，投标人提交的投标文件应当使用招标文件所提供的投标文件全部格式（表格可以按同样格式扩展）。</w:t>
      </w:r>
    </w:p>
    <w:p w14:paraId="1E0B2762">
      <w:pPr>
        <w:pStyle w:val="19"/>
        <w:spacing w:after="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12.2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广州交易集团有限公司（广州公共资源交易中心）网站。</w:t>
      </w:r>
    </w:p>
    <w:p w14:paraId="087FBC8B">
      <w:pPr>
        <w:pStyle w:val="19"/>
        <w:spacing w:after="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注：投标文件电子文档需要投标人单位盖章的材料，投标人加盖电子印章即可，不得将投标人未对电子文档加盖实物印章作为否决投标的情形。</w:t>
      </w:r>
    </w:p>
    <w:p w14:paraId="08E5B586">
      <w:pPr>
        <w:pStyle w:val="19"/>
        <w:spacing w:after="0"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12.3</w:t>
      </w:r>
      <w:r>
        <w:rPr>
          <w:rFonts w:hint="eastAsia" w:ascii="宋体" w:hAnsi="宋体"/>
          <w:bCs/>
          <w:color w:val="auto"/>
          <w:sz w:val="24"/>
          <w:szCs w:val="24"/>
          <w:highlight w:val="none"/>
        </w:rPr>
        <w:t>投标文件应按</w:t>
      </w:r>
      <w:r>
        <w:rPr>
          <w:rFonts w:hint="eastAsia" w:ascii="宋体" w:hAnsi="宋体"/>
          <w:color w:val="auto"/>
          <w:sz w:val="24"/>
          <w:highlight w:val="none"/>
        </w:rPr>
        <w:t>照交易平台关于全流程电子化项目的相关指南进行编制，详见：。</w:t>
      </w:r>
    </w:p>
    <w:p w14:paraId="2DA2C277">
      <w:pPr>
        <w:pStyle w:val="19"/>
        <w:spacing w:after="0" w:line="360" w:lineRule="auto"/>
        <w:ind w:firstLine="0"/>
        <w:rPr>
          <w:rFonts w:ascii="宋体" w:hAnsi="宋体"/>
          <w:color w:val="auto"/>
          <w:sz w:val="24"/>
          <w:highlight w:val="none"/>
        </w:rPr>
      </w:pPr>
      <w:r>
        <w:rPr>
          <w:rFonts w:hint="eastAsia" w:ascii="宋体" w:hAnsi="宋体"/>
          <w:bCs/>
          <w:color w:val="auto"/>
          <w:sz w:val="24"/>
          <w:szCs w:val="24"/>
          <w:highlight w:val="none"/>
        </w:rPr>
        <w:t>如不按上述要求编制引起系统无法检索、读取相关信息的，其后果由投标人承担。</w:t>
      </w:r>
    </w:p>
    <w:p w14:paraId="3F5F70D9">
      <w:pPr>
        <w:pStyle w:val="19"/>
        <w:spacing w:after="0" w:line="360" w:lineRule="auto"/>
        <w:ind w:firstLine="482" w:firstLineChars="200"/>
        <w:rPr>
          <w:rFonts w:ascii="宋体"/>
          <w:b/>
          <w:bCs/>
          <w:color w:val="auto"/>
          <w:sz w:val="24"/>
          <w:highlight w:val="none"/>
        </w:rPr>
      </w:pPr>
      <w:r>
        <w:rPr>
          <w:rFonts w:ascii="宋体" w:hAnsi="宋体"/>
          <w:b/>
          <w:bCs/>
          <w:color w:val="auto"/>
          <w:sz w:val="24"/>
          <w:highlight w:val="none"/>
        </w:rPr>
        <w:t>13</w:t>
      </w:r>
      <w:r>
        <w:rPr>
          <w:rFonts w:hint="eastAsia" w:ascii="宋体" w:hAnsi="宋体"/>
          <w:b/>
          <w:bCs/>
          <w:color w:val="auto"/>
          <w:sz w:val="24"/>
          <w:highlight w:val="none"/>
        </w:rPr>
        <w:t>．投标报价及造价承包和变更结算方式</w:t>
      </w:r>
    </w:p>
    <w:p w14:paraId="43425260">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13.1</w:t>
      </w:r>
      <w:r>
        <w:rPr>
          <w:rFonts w:hint="eastAsia" w:ascii="宋体" w:hAnsi="宋体"/>
          <w:color w:val="auto"/>
          <w:sz w:val="24"/>
          <w:highlight w:val="none"/>
        </w:rPr>
        <w:t>本工程的投标报价采用投标须知前附表第</w:t>
      </w:r>
      <w:r>
        <w:rPr>
          <w:rFonts w:ascii="宋体" w:hAnsi="宋体"/>
          <w:color w:val="auto"/>
          <w:sz w:val="24"/>
          <w:highlight w:val="none"/>
        </w:rPr>
        <w:t>12</w:t>
      </w:r>
      <w:r>
        <w:rPr>
          <w:rFonts w:hint="eastAsia" w:ascii="宋体" w:hAnsi="宋体"/>
          <w:color w:val="auto"/>
          <w:sz w:val="24"/>
          <w:highlight w:val="none"/>
        </w:rPr>
        <w:t>项所规定的方式。投标报价（含单价及总价）精确到“分”。</w:t>
      </w:r>
    </w:p>
    <w:p w14:paraId="73222524">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13.2</w:t>
      </w:r>
      <w:r>
        <w:rPr>
          <w:rFonts w:hint="eastAsia" w:ascii="宋体" w:hAnsi="宋体"/>
          <w:color w:val="auto"/>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29FCB5FA">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13.3</w:t>
      </w:r>
      <w:r>
        <w:rPr>
          <w:rFonts w:hint="eastAsia" w:ascii="宋体" w:hAnsi="宋体"/>
          <w:color w:val="auto"/>
          <w:sz w:val="24"/>
          <w:highlight w:val="none"/>
        </w:rPr>
        <w:t>投标人的投标报价，应是按照投标须知前附表第</w:t>
      </w:r>
      <w:r>
        <w:rPr>
          <w:rFonts w:ascii="宋体" w:hAnsi="宋体"/>
          <w:color w:val="auto"/>
          <w:sz w:val="24"/>
          <w:highlight w:val="none"/>
        </w:rPr>
        <w:t>8</w:t>
      </w:r>
      <w:r>
        <w:rPr>
          <w:rFonts w:hint="eastAsia" w:ascii="宋体" w:hAnsi="宋体"/>
          <w:color w:val="auto"/>
          <w:sz w:val="24"/>
          <w:highlight w:val="none"/>
        </w:rPr>
        <w:t>项的工期要求，在投标须知前附表第</w:t>
      </w:r>
      <w:r>
        <w:rPr>
          <w:rFonts w:ascii="宋体" w:hAnsi="宋体"/>
          <w:color w:val="auto"/>
          <w:sz w:val="24"/>
          <w:highlight w:val="none"/>
        </w:rPr>
        <w:t>3</w:t>
      </w:r>
      <w:r>
        <w:rPr>
          <w:rFonts w:hint="eastAsia" w:ascii="宋体" w:hAnsi="宋体"/>
          <w:color w:val="auto"/>
          <w:sz w:val="24"/>
          <w:highlight w:val="none"/>
        </w:rPr>
        <w:t>项的建设地点，完成投标须知前附表第</w:t>
      </w:r>
      <w:r>
        <w:rPr>
          <w:rFonts w:ascii="宋体" w:hAnsi="宋体"/>
          <w:color w:val="auto"/>
          <w:sz w:val="24"/>
          <w:highlight w:val="none"/>
        </w:rPr>
        <w:t>7</w:t>
      </w:r>
      <w:r>
        <w:rPr>
          <w:rFonts w:hint="eastAsia" w:ascii="宋体" w:hAnsi="宋体"/>
          <w:color w:val="auto"/>
          <w:sz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7885B7A6">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13.4</w:t>
      </w:r>
      <w:r>
        <w:rPr>
          <w:rFonts w:hint="eastAsia" w:ascii="宋体" w:hAnsi="宋体"/>
          <w:color w:val="auto"/>
          <w:sz w:val="24"/>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2522983B">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13.5</w:t>
      </w:r>
      <w:r>
        <w:rPr>
          <w:rFonts w:hint="eastAsia" w:ascii="宋体" w:hAnsi="宋体"/>
          <w:color w:val="auto"/>
          <w:sz w:val="24"/>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14:paraId="106ADE30">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13.5.1</w:t>
      </w:r>
      <w:r>
        <w:rPr>
          <w:rFonts w:hint="eastAsia" w:ascii="宋体" w:hAnsi="宋体"/>
          <w:color w:val="auto"/>
          <w:sz w:val="24"/>
          <w:highlight w:val="none"/>
        </w:rPr>
        <w:t>中标的投标文件工程量清单中已有相同项目的适用综合单价，则沿用；</w:t>
      </w:r>
    </w:p>
    <w:p w14:paraId="6233B44C">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13.5.2</w:t>
      </w:r>
      <w:r>
        <w:rPr>
          <w:rFonts w:hint="eastAsia" w:ascii="宋体" w:hAnsi="宋体"/>
          <w:color w:val="auto"/>
          <w:sz w:val="24"/>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77480F59">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13.5.3</w:t>
      </w:r>
      <w:r>
        <w:rPr>
          <w:rFonts w:hint="eastAsia" w:ascii="宋体" w:hAnsi="宋体"/>
          <w:color w:val="auto"/>
          <w:sz w:val="24"/>
          <w:highlight w:val="none"/>
        </w:rPr>
        <w:t>中标的投标文件工程量清单中没有相同项目或类似项目的，如可套取相关定额，则以相关定额为基数下浮计算单价</w:t>
      </w:r>
      <w:r>
        <w:rPr>
          <w:rFonts w:ascii="宋体"/>
          <w:color w:val="auto"/>
          <w:sz w:val="24"/>
          <w:highlight w:val="none"/>
        </w:rPr>
        <w:t>,</w:t>
      </w:r>
      <w:r>
        <w:rPr>
          <w:rFonts w:hint="eastAsia" w:ascii="宋体" w:hAnsi="宋体"/>
          <w:color w:val="auto"/>
          <w:sz w:val="24"/>
          <w:highlight w:val="none"/>
        </w:rPr>
        <w:t>下浮率为中标价</w:t>
      </w:r>
      <w:r>
        <w:rPr>
          <w:rFonts w:hint="eastAsia" w:ascii="宋体" w:hAnsi="宋体"/>
          <w:color w:val="auto"/>
          <w:sz w:val="24"/>
          <w:szCs w:val="24"/>
          <w:highlight w:val="none"/>
        </w:rPr>
        <w:t>相对于最高投标限价的下</w:t>
      </w:r>
      <w:r>
        <w:rPr>
          <w:rFonts w:hint="eastAsia" w:ascii="宋体" w:hAnsi="宋体"/>
          <w:color w:val="auto"/>
          <w:sz w:val="24"/>
          <w:highlight w:val="none"/>
        </w:rPr>
        <w:t>浮率（下浮率</w:t>
      </w:r>
      <w:r>
        <w:rPr>
          <w:rFonts w:ascii="宋体" w:hAnsi="宋体"/>
          <w:color w:val="auto"/>
          <w:sz w:val="24"/>
          <w:highlight w:val="none"/>
        </w:rPr>
        <w:t>=(</w:t>
      </w:r>
      <w:r>
        <w:rPr>
          <w:rFonts w:hint="eastAsia" w:ascii="宋体" w:hAnsi="宋体"/>
          <w:color w:val="auto"/>
          <w:sz w:val="24"/>
          <w:szCs w:val="24"/>
          <w:highlight w:val="none"/>
        </w:rPr>
        <w:t>最高投标限价</w:t>
      </w:r>
      <w:r>
        <w:rPr>
          <w:rFonts w:ascii="宋体"/>
          <w:color w:val="auto"/>
          <w:sz w:val="24"/>
          <w:highlight w:val="none"/>
        </w:rPr>
        <w:t>-</w:t>
      </w:r>
      <w:r>
        <w:rPr>
          <w:rFonts w:hint="eastAsia" w:ascii="宋体" w:hAnsi="宋体"/>
          <w:color w:val="auto"/>
          <w:sz w:val="24"/>
          <w:highlight w:val="none"/>
        </w:rPr>
        <w:t>中标价</w:t>
      </w:r>
      <w:r>
        <w:rPr>
          <w:rFonts w:ascii="宋体" w:hAnsi="宋体"/>
          <w:color w:val="auto"/>
          <w:sz w:val="24"/>
          <w:highlight w:val="none"/>
        </w:rPr>
        <w:t>)/</w:t>
      </w:r>
      <w:r>
        <w:rPr>
          <w:rFonts w:hint="eastAsia" w:ascii="宋体" w:hAnsi="宋体"/>
          <w:color w:val="auto"/>
          <w:sz w:val="24"/>
          <w:szCs w:val="24"/>
          <w:highlight w:val="none"/>
        </w:rPr>
        <w:t>最高投标限价</w:t>
      </w:r>
      <w:r>
        <w:rPr>
          <w:rFonts w:hint="eastAsia" w:ascii="宋体" w:hAnsi="宋体"/>
          <w:color w:val="auto"/>
          <w:sz w:val="24"/>
          <w:highlight w:val="none"/>
        </w:rPr>
        <w:t>）。</w:t>
      </w:r>
    </w:p>
    <w:p w14:paraId="67FC483F">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13.5.4</w:t>
      </w:r>
      <w:r>
        <w:rPr>
          <w:rFonts w:hint="eastAsia" w:ascii="宋体" w:hAnsi="宋体"/>
          <w:color w:val="auto"/>
          <w:sz w:val="24"/>
          <w:highlight w:val="none"/>
        </w:rPr>
        <w:t>如相关定额没有相应子目的，其计价方式由招标人在本招标文件第三章中另行规定。未规定的，中标后双方协商约定。</w:t>
      </w:r>
    </w:p>
    <w:p w14:paraId="568C4FD9">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13.6</w:t>
      </w:r>
      <w:r>
        <w:rPr>
          <w:rFonts w:hint="eastAsia" w:ascii="宋体" w:hAnsi="宋体"/>
          <w:color w:val="auto"/>
          <w:sz w:val="24"/>
          <w:highlight w:val="none"/>
        </w:rPr>
        <w:t>暂列金额、暂估价</w:t>
      </w:r>
    </w:p>
    <w:p w14:paraId="355F8789">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13.6.1</w:t>
      </w:r>
      <w:r>
        <w:rPr>
          <w:rFonts w:hint="eastAsia" w:ascii="宋体" w:hAnsi="宋体"/>
          <w:color w:val="auto"/>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0C7DC1A8">
      <w:pPr>
        <w:pStyle w:val="19"/>
        <w:spacing w:after="0" w:line="360" w:lineRule="auto"/>
        <w:ind w:firstLine="480" w:firstLineChars="200"/>
        <w:rPr>
          <w:rFonts w:ascii="宋体"/>
          <w:color w:val="auto"/>
          <w:sz w:val="24"/>
          <w:highlight w:val="none"/>
        </w:rPr>
      </w:pPr>
      <w:r>
        <w:rPr>
          <w:rFonts w:hint="eastAsia" w:ascii="宋体" w:hAnsi="宋体"/>
          <w:color w:val="auto"/>
          <w:sz w:val="24"/>
          <w:highlight w:val="none"/>
        </w:rPr>
        <w:t>暂估价是指招标人在工程量清单中提供的用于支付必然发生但暂时不能确定价格的材料的单价以及专业工程的金额。</w:t>
      </w:r>
    </w:p>
    <w:p w14:paraId="2D1434B7">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13.6.2</w:t>
      </w:r>
      <w:r>
        <w:rPr>
          <w:rFonts w:hint="eastAsia" w:ascii="宋体" w:hAnsi="宋体"/>
          <w:color w:val="auto"/>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5C8779FF">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13.6.3</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630DC9B3">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13.6.4</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sz w:val="24"/>
          <w:highlight w:val="none"/>
        </w:rPr>
        <w:t>13.5</w:t>
      </w:r>
      <w:r>
        <w:rPr>
          <w:rFonts w:hint="eastAsia" w:ascii="宋体" w:hAnsi="宋体"/>
          <w:color w:val="auto"/>
          <w:sz w:val="24"/>
          <w:highlight w:val="none"/>
        </w:rPr>
        <w:t>款规定确定。</w:t>
      </w:r>
    </w:p>
    <w:p w14:paraId="7CA96DFA">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13.6.5</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2F8E8370">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13.6.6</w:t>
      </w:r>
      <w:r>
        <w:rPr>
          <w:rFonts w:hint="eastAsia" w:ascii="宋体" w:hAnsi="宋体"/>
          <w:color w:val="auto"/>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2030508F">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13.7</w:t>
      </w:r>
      <w:r>
        <w:rPr>
          <w:rFonts w:hint="eastAsia" w:ascii="宋体" w:hAnsi="宋体"/>
          <w:color w:val="auto"/>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14:paraId="00D32BE3">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13.8</w:t>
      </w:r>
      <w:r>
        <w:rPr>
          <w:rFonts w:hint="eastAsia" w:ascii="宋体" w:hAnsi="宋体"/>
          <w:color w:val="auto"/>
          <w:sz w:val="24"/>
          <w:highlight w:val="none"/>
        </w:rPr>
        <w:t>属于承包人自行采购的主要材料、设备，招标人应当在招标文件中提出材料、设备的技术标准或者质量要求，或者提出不少于</w:t>
      </w:r>
      <w:r>
        <w:rPr>
          <w:rFonts w:ascii="宋体" w:hAnsi="宋体"/>
          <w:color w:val="auto"/>
          <w:sz w:val="24"/>
          <w:highlight w:val="none"/>
        </w:rPr>
        <w:t>3</w:t>
      </w:r>
      <w:r>
        <w:rPr>
          <w:rFonts w:hint="eastAsia" w:ascii="宋体" w:hAnsi="宋体"/>
          <w:color w:val="auto"/>
          <w:sz w:val="24"/>
          <w:highlight w:val="none"/>
        </w:rPr>
        <w:t>个同等档次品牌或分包商供投标人报价时选择</w:t>
      </w:r>
      <w:r>
        <w:rPr>
          <w:rFonts w:ascii="宋体"/>
          <w:color w:val="auto"/>
          <w:sz w:val="24"/>
          <w:highlight w:val="none"/>
        </w:rPr>
        <w:t>,</w:t>
      </w:r>
      <w:r>
        <w:rPr>
          <w:rFonts w:hint="eastAsia" w:ascii="宋体" w:hAnsi="宋体"/>
          <w:color w:val="auto"/>
          <w:sz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14:paraId="7909AA96">
      <w:pPr>
        <w:pStyle w:val="19"/>
        <w:spacing w:after="0" w:line="360" w:lineRule="auto"/>
        <w:ind w:firstLine="480" w:firstLineChars="200"/>
        <w:rPr>
          <w:rFonts w:ascii="宋体"/>
          <w:color w:val="auto"/>
          <w:sz w:val="24"/>
          <w:szCs w:val="24"/>
          <w:highlight w:val="none"/>
        </w:rPr>
      </w:pPr>
      <w:r>
        <w:rPr>
          <w:rFonts w:ascii="宋体" w:hAnsi="宋体"/>
          <w:color w:val="auto"/>
          <w:sz w:val="24"/>
          <w:highlight w:val="none"/>
        </w:rPr>
        <w:t>13.9</w:t>
      </w:r>
      <w:r>
        <w:rPr>
          <w:rFonts w:hint="eastAsia" w:ascii="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327B76C9">
      <w:pPr>
        <w:pStyle w:val="19"/>
        <w:spacing w:after="0" w:line="360" w:lineRule="auto"/>
        <w:ind w:firstLine="482" w:firstLineChars="200"/>
        <w:rPr>
          <w:rFonts w:ascii="宋体"/>
          <w:b/>
          <w:bCs/>
          <w:color w:val="auto"/>
          <w:sz w:val="24"/>
          <w:highlight w:val="none"/>
        </w:rPr>
      </w:pPr>
      <w:r>
        <w:rPr>
          <w:rFonts w:ascii="宋体" w:hAnsi="宋体"/>
          <w:b/>
          <w:bCs/>
          <w:color w:val="auto"/>
          <w:sz w:val="24"/>
          <w:highlight w:val="none"/>
        </w:rPr>
        <w:t>14</w:t>
      </w:r>
      <w:r>
        <w:rPr>
          <w:rFonts w:hint="eastAsia" w:ascii="宋体" w:hAnsi="宋体"/>
          <w:b/>
          <w:bCs/>
          <w:color w:val="auto"/>
          <w:sz w:val="24"/>
          <w:highlight w:val="none"/>
        </w:rPr>
        <w:t>．投标货币</w:t>
      </w:r>
    </w:p>
    <w:p w14:paraId="222D2ACA">
      <w:pPr>
        <w:pStyle w:val="19"/>
        <w:spacing w:after="0" w:line="360" w:lineRule="auto"/>
        <w:ind w:firstLine="480" w:firstLineChars="200"/>
        <w:rPr>
          <w:rFonts w:ascii="宋体"/>
          <w:color w:val="auto"/>
          <w:sz w:val="24"/>
          <w:highlight w:val="none"/>
        </w:rPr>
      </w:pPr>
      <w:r>
        <w:rPr>
          <w:rFonts w:ascii="宋体" w:hAnsi="宋体"/>
          <w:color w:val="auto"/>
          <w:sz w:val="24"/>
          <w:highlight w:val="none"/>
        </w:rPr>
        <w:t>14.1</w:t>
      </w:r>
      <w:r>
        <w:rPr>
          <w:rFonts w:hint="eastAsia" w:ascii="宋体" w:hAnsi="宋体"/>
          <w:color w:val="auto"/>
          <w:sz w:val="24"/>
          <w:highlight w:val="none"/>
        </w:rPr>
        <w:t>本工程投标报价采用的币种为人民币。</w:t>
      </w:r>
    </w:p>
    <w:p w14:paraId="43957E28">
      <w:pPr>
        <w:pStyle w:val="19"/>
        <w:spacing w:after="0" w:line="360" w:lineRule="auto"/>
        <w:ind w:firstLine="482" w:firstLineChars="200"/>
        <w:rPr>
          <w:rFonts w:ascii="宋体"/>
          <w:color w:val="auto"/>
          <w:sz w:val="24"/>
          <w:highlight w:val="none"/>
        </w:rPr>
      </w:pPr>
      <w:r>
        <w:rPr>
          <w:rFonts w:ascii="宋体" w:hAnsi="宋体"/>
          <w:b/>
          <w:bCs/>
          <w:color w:val="auto"/>
          <w:sz w:val="24"/>
          <w:highlight w:val="none"/>
        </w:rPr>
        <w:t>15</w:t>
      </w:r>
      <w:r>
        <w:rPr>
          <w:rFonts w:hint="eastAsia" w:ascii="宋体" w:hAnsi="宋体"/>
          <w:b/>
          <w:bCs/>
          <w:color w:val="auto"/>
          <w:sz w:val="24"/>
          <w:highlight w:val="none"/>
        </w:rPr>
        <w:t>．投标有效期</w:t>
      </w:r>
    </w:p>
    <w:p w14:paraId="6C148F62">
      <w:pPr>
        <w:pStyle w:val="19"/>
        <w:spacing w:after="0" w:line="360" w:lineRule="auto"/>
        <w:ind w:firstLine="480" w:firstLineChars="200"/>
        <w:rPr>
          <w:rFonts w:ascii="宋体"/>
          <w:color w:val="auto"/>
          <w:sz w:val="24"/>
          <w:highlight w:val="none"/>
        </w:rPr>
      </w:pPr>
      <w:r>
        <w:rPr>
          <w:rFonts w:ascii="宋体" w:hAnsi="宋体"/>
          <w:color w:val="auto"/>
          <w:sz w:val="24"/>
          <w:highlight w:val="none"/>
        </w:rPr>
        <w:t>15.1</w:t>
      </w:r>
      <w:r>
        <w:rPr>
          <w:rFonts w:hint="eastAsia" w:ascii="宋体" w:hAnsi="宋体"/>
          <w:color w:val="auto"/>
          <w:sz w:val="24"/>
          <w:highlight w:val="none"/>
        </w:rPr>
        <w:t>投标有效期见投标须知前附表第</w:t>
      </w:r>
      <w:r>
        <w:rPr>
          <w:rFonts w:ascii="宋体" w:hAnsi="宋体"/>
          <w:color w:val="auto"/>
          <w:sz w:val="24"/>
          <w:highlight w:val="none"/>
        </w:rPr>
        <w:t>13</w:t>
      </w:r>
      <w:r>
        <w:rPr>
          <w:rFonts w:hint="eastAsia" w:ascii="宋体" w:hAnsi="宋体"/>
          <w:color w:val="auto"/>
          <w:sz w:val="24"/>
          <w:highlight w:val="none"/>
        </w:rPr>
        <w:t>项所规定的期限，在此期限内，凡符合本招标文件要求的投标文件均保持有效。</w:t>
      </w:r>
    </w:p>
    <w:p w14:paraId="03730D33">
      <w:pPr>
        <w:pStyle w:val="19"/>
        <w:spacing w:after="0" w:line="360" w:lineRule="auto"/>
        <w:ind w:firstLine="480" w:firstLineChars="200"/>
        <w:rPr>
          <w:rFonts w:ascii="宋体"/>
          <w:color w:val="auto"/>
          <w:sz w:val="24"/>
          <w:highlight w:val="none"/>
        </w:rPr>
      </w:pPr>
      <w:r>
        <w:rPr>
          <w:rFonts w:ascii="宋体" w:hAnsi="宋体"/>
          <w:color w:val="auto"/>
          <w:sz w:val="24"/>
          <w:highlight w:val="none"/>
        </w:rPr>
        <w:t>15.2</w:t>
      </w:r>
      <w:r>
        <w:rPr>
          <w:rFonts w:hint="eastAsia" w:ascii="宋体" w:hAnsi="宋体"/>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auto"/>
          <w:sz w:val="24"/>
          <w:highlight w:val="none"/>
        </w:rPr>
        <w:t>16</w:t>
      </w:r>
      <w:r>
        <w:rPr>
          <w:rFonts w:hint="eastAsia" w:ascii="宋体" w:hAnsi="宋体"/>
          <w:color w:val="auto"/>
          <w:sz w:val="24"/>
          <w:highlight w:val="none"/>
        </w:rPr>
        <w:t>条关于投标保证金的退还与不予退还的规定仍然适用。</w:t>
      </w:r>
    </w:p>
    <w:p w14:paraId="47936EBC">
      <w:pPr>
        <w:pStyle w:val="19"/>
        <w:spacing w:after="0" w:line="360" w:lineRule="auto"/>
        <w:ind w:firstLine="482" w:firstLineChars="200"/>
        <w:rPr>
          <w:rFonts w:ascii="宋体"/>
          <w:b/>
          <w:bCs/>
          <w:color w:val="auto"/>
          <w:sz w:val="24"/>
          <w:highlight w:val="none"/>
        </w:rPr>
      </w:pPr>
      <w:r>
        <w:rPr>
          <w:rFonts w:ascii="宋体" w:hAnsi="宋体"/>
          <w:b/>
          <w:bCs/>
          <w:color w:val="auto"/>
          <w:sz w:val="24"/>
          <w:highlight w:val="none"/>
        </w:rPr>
        <w:t>16</w:t>
      </w:r>
      <w:r>
        <w:rPr>
          <w:rFonts w:hint="eastAsia" w:ascii="宋体" w:hAnsi="宋体"/>
          <w:b/>
          <w:bCs/>
          <w:color w:val="auto"/>
          <w:sz w:val="24"/>
          <w:highlight w:val="none"/>
        </w:rPr>
        <w:t>．投标保证金</w:t>
      </w:r>
    </w:p>
    <w:p w14:paraId="211FB815">
      <w:pPr>
        <w:spacing w:line="360" w:lineRule="auto"/>
        <w:ind w:firstLine="480" w:firstLineChars="200"/>
        <w:rPr>
          <w:color w:val="auto"/>
          <w:sz w:val="24"/>
          <w:highlight w:val="none"/>
        </w:rPr>
      </w:pPr>
      <w:r>
        <w:rPr>
          <w:color w:val="auto"/>
          <w:sz w:val="24"/>
          <w:highlight w:val="none"/>
        </w:rPr>
        <w:t>16.1</w:t>
      </w:r>
      <w:r>
        <w:rPr>
          <w:rFonts w:hint="eastAsia"/>
          <w:color w:val="auto"/>
          <w:sz w:val="24"/>
          <w:highlight w:val="none"/>
        </w:rPr>
        <w:t>投标人应按投标须知前附表第</w:t>
      </w:r>
      <w:r>
        <w:rPr>
          <w:color w:val="auto"/>
          <w:sz w:val="24"/>
          <w:highlight w:val="none"/>
        </w:rPr>
        <w:t>14</w:t>
      </w:r>
      <w:r>
        <w:rPr>
          <w:rFonts w:hint="eastAsia"/>
          <w:color w:val="auto"/>
          <w:sz w:val="24"/>
          <w:highlight w:val="none"/>
        </w:rPr>
        <w:t>项所述金额和时间递交</w:t>
      </w:r>
      <w:r>
        <w:rPr>
          <w:rFonts w:hint="eastAsia"/>
          <w:bCs/>
          <w:color w:val="auto"/>
          <w:sz w:val="24"/>
          <w:highlight w:val="none"/>
        </w:rPr>
        <w:t>投标保证金</w:t>
      </w:r>
      <w:r>
        <w:rPr>
          <w:rFonts w:hint="eastAsia"/>
          <w:color w:val="auto"/>
          <w:sz w:val="24"/>
          <w:highlight w:val="none"/>
        </w:rPr>
        <w:t>。招标人应当允许投标人自主选择现金、银行保函、保证保险、专业工程担保公司担保等方式缴纳投标保证金。</w:t>
      </w:r>
    </w:p>
    <w:p w14:paraId="71FB1A48">
      <w:pPr>
        <w:spacing w:line="360" w:lineRule="auto"/>
        <w:ind w:firstLine="480" w:firstLineChars="200"/>
        <w:rPr>
          <w:color w:val="auto"/>
          <w:sz w:val="24"/>
          <w:highlight w:val="none"/>
        </w:rPr>
      </w:pPr>
      <w:r>
        <w:rPr>
          <w:rFonts w:hint="eastAsia"/>
          <w:color w:val="auto"/>
          <w:sz w:val="24"/>
          <w:highlight w:val="none"/>
        </w:rPr>
        <w:t>16.1.1采用现金或者支票形式提交的，投标保证金须从投标人的银行基本账户转出。</w:t>
      </w:r>
    </w:p>
    <w:p w14:paraId="6918CBEE">
      <w:pPr>
        <w:spacing w:line="360" w:lineRule="auto"/>
        <w:ind w:firstLine="480" w:firstLineChars="200"/>
        <w:rPr>
          <w:color w:val="auto"/>
          <w:sz w:val="24"/>
          <w:highlight w:val="none"/>
        </w:rPr>
      </w:pPr>
      <w:r>
        <w:rPr>
          <w:rFonts w:hint="eastAsia"/>
          <w:color w:val="auto"/>
          <w:sz w:val="24"/>
          <w:highlight w:val="none"/>
        </w:rPr>
        <w:t>16.1.2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55E605B5">
      <w:pPr>
        <w:spacing w:line="360" w:lineRule="auto"/>
        <w:ind w:firstLine="480" w:firstLineChars="200"/>
        <w:rPr>
          <w:color w:val="auto"/>
          <w:sz w:val="24"/>
          <w:highlight w:val="none"/>
        </w:rPr>
      </w:pPr>
      <w:r>
        <w:rPr>
          <w:rFonts w:hint="eastAsia"/>
          <w:color w:val="auto"/>
          <w:sz w:val="24"/>
          <w:highlight w:val="none"/>
        </w:rPr>
        <w:t>16.1.3采用电子形式的保函、担保或保证保险提交投标保证金的，应在招标文件中明确电子递交途径。</w:t>
      </w:r>
    </w:p>
    <w:p w14:paraId="5A2E18FE">
      <w:pPr>
        <w:spacing w:line="360" w:lineRule="auto"/>
        <w:ind w:firstLine="480" w:firstLineChars="200"/>
        <w:rPr>
          <w:color w:val="auto"/>
          <w:sz w:val="24"/>
          <w:highlight w:val="none"/>
        </w:rPr>
      </w:pPr>
      <w:r>
        <w:rPr>
          <w:rFonts w:hint="eastAsia"/>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6A65DF71">
      <w:pPr>
        <w:spacing w:line="360" w:lineRule="auto"/>
        <w:ind w:firstLine="480" w:firstLineChars="200"/>
        <w:rPr>
          <w:color w:val="auto"/>
          <w:sz w:val="24"/>
          <w:highlight w:val="none"/>
        </w:rPr>
      </w:pPr>
      <w:r>
        <w:rPr>
          <w:rFonts w:hint="eastAsia"/>
          <w:color w:val="auto"/>
          <w:sz w:val="24"/>
          <w:highlight w:val="none"/>
        </w:rPr>
        <w:t>16.3投标保证金应依据法律法规的相关规定退还。</w:t>
      </w:r>
    </w:p>
    <w:p w14:paraId="70C88DDB">
      <w:pPr>
        <w:spacing w:line="360" w:lineRule="auto"/>
        <w:ind w:firstLine="480" w:firstLineChars="200"/>
        <w:rPr>
          <w:color w:val="auto"/>
          <w:sz w:val="24"/>
          <w:highlight w:val="none"/>
        </w:rPr>
      </w:pPr>
      <w:r>
        <w:rPr>
          <w:rFonts w:hint="eastAsia"/>
          <w:color w:val="auto"/>
          <w:sz w:val="24"/>
          <w:highlight w:val="none"/>
        </w:rPr>
        <w:t>16.4如有下列情况之一的，招标人可以不予退还投标保证金（是否退还投标保证金由招标人在招标文件中规定）：</w:t>
      </w:r>
    </w:p>
    <w:p w14:paraId="2C5A3D68">
      <w:pPr>
        <w:spacing w:line="360" w:lineRule="auto"/>
        <w:ind w:firstLine="480" w:firstLineChars="200"/>
        <w:rPr>
          <w:color w:val="auto"/>
          <w:sz w:val="24"/>
          <w:highlight w:val="none"/>
        </w:rPr>
      </w:pPr>
      <w:r>
        <w:rPr>
          <w:rFonts w:hint="eastAsia"/>
          <w:color w:val="auto"/>
          <w:sz w:val="24"/>
          <w:highlight w:val="none"/>
        </w:rPr>
        <w:t>16.4.1因投标人原因造成投标文件未解密的；</w:t>
      </w:r>
    </w:p>
    <w:p w14:paraId="7912269E">
      <w:pPr>
        <w:spacing w:line="360" w:lineRule="auto"/>
        <w:ind w:firstLine="480" w:firstLineChars="200"/>
        <w:rPr>
          <w:color w:val="auto"/>
          <w:sz w:val="24"/>
          <w:highlight w:val="none"/>
        </w:rPr>
      </w:pPr>
      <w:r>
        <w:rPr>
          <w:rFonts w:hint="eastAsia"/>
          <w:color w:val="auto"/>
          <w:sz w:val="24"/>
          <w:highlight w:val="none"/>
        </w:rPr>
        <w:t>16.4.2投标人在投标有效期内撤销投标文件；</w:t>
      </w:r>
    </w:p>
    <w:p w14:paraId="5CF768A0">
      <w:pPr>
        <w:spacing w:line="360" w:lineRule="auto"/>
        <w:ind w:firstLine="480" w:firstLineChars="200"/>
        <w:rPr>
          <w:color w:val="auto"/>
          <w:sz w:val="24"/>
          <w:highlight w:val="none"/>
        </w:rPr>
      </w:pPr>
      <w:r>
        <w:rPr>
          <w:rFonts w:hint="eastAsia"/>
          <w:color w:val="auto"/>
          <w:sz w:val="24"/>
          <w:highlight w:val="none"/>
        </w:rPr>
        <w:t>16.4.3中标人未能在规定期限内按要求提交履约担保；</w:t>
      </w:r>
    </w:p>
    <w:p w14:paraId="3D771C37">
      <w:pPr>
        <w:spacing w:line="360" w:lineRule="auto"/>
        <w:ind w:firstLine="480" w:firstLineChars="200"/>
        <w:rPr>
          <w:color w:val="auto"/>
          <w:sz w:val="24"/>
          <w:highlight w:val="none"/>
        </w:rPr>
      </w:pPr>
      <w:r>
        <w:rPr>
          <w:rFonts w:hint="eastAsia"/>
          <w:color w:val="auto"/>
          <w:sz w:val="24"/>
          <w:highlight w:val="none"/>
        </w:rPr>
        <w:t>16.4.4中标人未能在规定期限内签署合同协议。</w:t>
      </w:r>
    </w:p>
    <w:p w14:paraId="3C282378">
      <w:pPr>
        <w:spacing w:line="360" w:lineRule="auto"/>
        <w:ind w:firstLine="480" w:firstLineChars="200"/>
        <w:rPr>
          <w:color w:val="auto"/>
          <w:sz w:val="24"/>
          <w:highlight w:val="none"/>
        </w:rPr>
      </w:pPr>
      <w:r>
        <w:rPr>
          <w:rFonts w:hint="eastAsia"/>
          <w:color w:val="auto"/>
          <w:sz w:val="24"/>
          <w:highlight w:val="none"/>
        </w:rPr>
        <w:t>16.5投标人如存在下列情况之一的，将被拒绝在一定时期内参与招标人后续工程投标（拒绝时限需在招标文件中明确）：</w:t>
      </w:r>
    </w:p>
    <w:p w14:paraId="60B84ADD">
      <w:pPr>
        <w:spacing w:line="360" w:lineRule="auto"/>
        <w:ind w:firstLine="480" w:firstLineChars="200"/>
        <w:rPr>
          <w:color w:val="auto"/>
          <w:sz w:val="24"/>
          <w:highlight w:val="none"/>
        </w:rPr>
      </w:pPr>
      <w:r>
        <w:rPr>
          <w:rFonts w:hint="eastAsia"/>
          <w:color w:val="auto"/>
          <w:sz w:val="24"/>
          <w:highlight w:val="none"/>
        </w:rPr>
        <w:t>16.5.1投标人存在16.4条款所列情形且投标人提交的保函、担保或保证保险无法兑付的；</w:t>
      </w:r>
    </w:p>
    <w:p w14:paraId="207B7A65">
      <w:pPr>
        <w:spacing w:line="360" w:lineRule="auto"/>
        <w:ind w:firstLine="480" w:firstLineChars="200"/>
        <w:rPr>
          <w:color w:val="auto"/>
          <w:sz w:val="24"/>
          <w:highlight w:val="none"/>
        </w:rPr>
      </w:pPr>
      <w:r>
        <w:rPr>
          <w:rFonts w:hint="eastAsia"/>
          <w:color w:val="auto"/>
          <w:sz w:val="24"/>
          <w:highlight w:val="none"/>
        </w:rPr>
        <w:t>16.5.2采用非电子形式提交投标保证金的投标人存在16.4条款所列情形，且未按招标人要求补交银行保函、专业工程担保公司担保或保证保险原件的；</w:t>
      </w:r>
    </w:p>
    <w:p w14:paraId="661DA320">
      <w:pPr>
        <w:spacing w:line="360" w:lineRule="auto"/>
        <w:ind w:firstLine="480" w:firstLineChars="200"/>
        <w:rPr>
          <w:color w:val="auto"/>
          <w:sz w:val="24"/>
          <w:highlight w:val="none"/>
        </w:rPr>
      </w:pPr>
      <w:r>
        <w:rPr>
          <w:rFonts w:hint="eastAsia"/>
          <w:color w:val="auto"/>
          <w:sz w:val="24"/>
          <w:highlight w:val="none"/>
        </w:rPr>
        <w:t>16.5.3按招标文件要求免于提供投标保证金的投标人存在16.4条款所列情形，且未按招标人要求补交投标保证金的；</w:t>
      </w:r>
    </w:p>
    <w:p w14:paraId="64DC154E">
      <w:pPr>
        <w:spacing w:line="360" w:lineRule="auto"/>
        <w:ind w:firstLine="480" w:firstLineChars="200"/>
        <w:rPr>
          <w:color w:val="auto"/>
          <w:sz w:val="24"/>
          <w:highlight w:val="none"/>
        </w:rPr>
      </w:pPr>
      <w:r>
        <w:rPr>
          <w:rFonts w:hint="eastAsia"/>
          <w:color w:val="auto"/>
          <w:sz w:val="24"/>
          <w:highlight w:val="none"/>
        </w:rPr>
        <w:t>16.5.3按招标文件要求免于提供投标保证金的投标人存在16.4条款所列情形的。</w:t>
      </w:r>
    </w:p>
    <w:p w14:paraId="28D1668C">
      <w:pPr>
        <w:spacing w:line="360" w:lineRule="auto"/>
        <w:ind w:firstLine="480" w:firstLineChars="200"/>
        <w:rPr>
          <w:color w:val="auto"/>
          <w:sz w:val="24"/>
          <w:highlight w:val="none"/>
        </w:rPr>
      </w:pPr>
      <w:r>
        <w:rPr>
          <w:rFonts w:hint="eastAsia"/>
          <w:color w:val="auto"/>
          <w:sz w:val="24"/>
          <w:highlight w:val="none"/>
        </w:rPr>
        <w:t>注：16.5.3款由招标人二选一，需在招标文件中明确。</w:t>
      </w:r>
    </w:p>
    <w:p w14:paraId="7431730D">
      <w:pPr>
        <w:pStyle w:val="19"/>
        <w:spacing w:after="0" w:line="360" w:lineRule="auto"/>
        <w:ind w:firstLine="482" w:firstLineChars="200"/>
        <w:rPr>
          <w:rFonts w:ascii="宋体"/>
          <w:b/>
          <w:bCs/>
          <w:color w:val="auto"/>
          <w:sz w:val="24"/>
          <w:highlight w:val="none"/>
        </w:rPr>
      </w:pPr>
      <w:r>
        <w:rPr>
          <w:rFonts w:ascii="宋体" w:hAnsi="宋体"/>
          <w:b/>
          <w:bCs/>
          <w:color w:val="auto"/>
          <w:sz w:val="24"/>
          <w:highlight w:val="none"/>
        </w:rPr>
        <w:t>17</w:t>
      </w:r>
      <w:r>
        <w:rPr>
          <w:rFonts w:hint="eastAsia" w:ascii="宋体" w:hAnsi="宋体"/>
          <w:b/>
          <w:bCs/>
          <w:color w:val="auto"/>
          <w:sz w:val="24"/>
          <w:highlight w:val="none"/>
        </w:rPr>
        <w:t>．投标文件的签署</w:t>
      </w:r>
    </w:p>
    <w:p w14:paraId="4FFAF423">
      <w:pPr>
        <w:spacing w:line="360" w:lineRule="auto"/>
        <w:ind w:firstLine="480" w:firstLineChars="200"/>
        <w:rPr>
          <w:rFonts w:hint="eastAsia"/>
          <w:color w:val="auto"/>
          <w:sz w:val="24"/>
          <w:highlight w:val="none"/>
        </w:rPr>
      </w:pPr>
      <w:r>
        <w:rPr>
          <w:rFonts w:hint="eastAsia"/>
          <w:color w:val="auto"/>
          <w:sz w:val="24"/>
          <w:highlight w:val="none"/>
        </w:rPr>
        <w:t>17.1投标人应采用单位数字证书，对投标文件加盖电子印章。投标文件中需个人签字或盖章的，应加盖个人电子印章或在线下完成后扫描上传。按照交易平台关于全流程电子化项目的相关指南进行操作。详见：广州交易集团有限公司（广州公共资源交易中心）网站。</w:t>
      </w:r>
    </w:p>
    <w:p w14:paraId="72B75EE2">
      <w:pPr>
        <w:pStyle w:val="4"/>
        <w:spacing w:before="156" w:after="156"/>
        <w:rPr>
          <w:color w:val="auto"/>
          <w:highlight w:val="none"/>
        </w:rPr>
      </w:pPr>
      <w:bookmarkStart w:id="9" w:name="_Toc22006"/>
      <w:r>
        <w:rPr>
          <w:rFonts w:hint="eastAsia"/>
          <w:color w:val="auto"/>
          <w:highlight w:val="none"/>
        </w:rPr>
        <w:t>（四）投标文件的提交</w:t>
      </w:r>
      <w:bookmarkEnd w:id="9"/>
    </w:p>
    <w:p w14:paraId="5F9F69CB">
      <w:pPr>
        <w:pStyle w:val="19"/>
        <w:spacing w:after="0" w:line="360" w:lineRule="auto"/>
        <w:ind w:firstLine="482" w:firstLineChars="200"/>
        <w:rPr>
          <w:rFonts w:ascii="宋体"/>
          <w:b/>
          <w:bCs/>
          <w:color w:val="auto"/>
          <w:sz w:val="24"/>
          <w:highlight w:val="none"/>
        </w:rPr>
      </w:pPr>
      <w:r>
        <w:rPr>
          <w:rFonts w:ascii="宋体" w:hAnsi="宋体"/>
          <w:b/>
          <w:bCs/>
          <w:color w:val="auto"/>
          <w:sz w:val="24"/>
          <w:highlight w:val="none"/>
        </w:rPr>
        <w:t>18</w:t>
      </w:r>
      <w:r>
        <w:rPr>
          <w:rFonts w:hint="eastAsia" w:ascii="宋体" w:hAnsi="宋体"/>
          <w:b/>
          <w:bCs/>
          <w:color w:val="auto"/>
          <w:sz w:val="24"/>
          <w:highlight w:val="none"/>
        </w:rPr>
        <w:t>．</w:t>
      </w:r>
      <w:r>
        <w:rPr>
          <w:rFonts w:hint="eastAsia"/>
          <w:b/>
          <w:color w:val="auto"/>
          <w:sz w:val="24"/>
          <w:szCs w:val="24"/>
          <w:highlight w:val="none"/>
        </w:rPr>
        <w:t>投标文件的密封和标记</w:t>
      </w:r>
    </w:p>
    <w:p w14:paraId="49593213">
      <w:pPr>
        <w:spacing w:line="360" w:lineRule="auto"/>
        <w:ind w:firstLine="480" w:firstLineChars="200"/>
        <w:rPr>
          <w:bCs/>
          <w:color w:val="auto"/>
          <w:sz w:val="24"/>
          <w:highlight w:val="none"/>
        </w:rPr>
      </w:pPr>
      <w:r>
        <w:rPr>
          <w:bCs/>
          <w:color w:val="auto"/>
          <w:sz w:val="24"/>
          <w:highlight w:val="none"/>
        </w:rPr>
        <w:t>1</w:t>
      </w:r>
      <w:r>
        <w:rPr>
          <w:rFonts w:hint="eastAsia"/>
          <w:bCs/>
          <w:color w:val="auto"/>
          <w:sz w:val="24"/>
          <w:highlight w:val="none"/>
        </w:rPr>
        <w:t>8</w:t>
      </w:r>
      <w:r>
        <w:rPr>
          <w:bCs/>
          <w:color w:val="auto"/>
          <w:sz w:val="24"/>
          <w:highlight w:val="none"/>
        </w:rPr>
        <w:t>.1</w:t>
      </w:r>
      <w:r>
        <w:rPr>
          <w:rFonts w:hint="eastAsia"/>
          <w:bCs/>
          <w:color w:val="auto"/>
          <w:sz w:val="24"/>
          <w:highlight w:val="none"/>
        </w:rPr>
        <w:t>递交的电子投标文件（不含备用光盘）必须进行加密。按照交易平台关于</w:t>
      </w:r>
      <w:r>
        <w:rPr>
          <w:rFonts w:hint="eastAsia"/>
          <w:color w:val="auto"/>
          <w:sz w:val="24"/>
          <w:szCs w:val="24"/>
          <w:highlight w:val="none"/>
        </w:rPr>
        <w:t>全流程电子化项目的相关指南进行操作。详见：。</w:t>
      </w:r>
    </w:p>
    <w:p w14:paraId="0A1B4320">
      <w:pPr>
        <w:spacing w:line="360" w:lineRule="auto"/>
        <w:ind w:firstLine="480" w:firstLineChars="200"/>
        <w:rPr>
          <w:bCs/>
          <w:color w:val="auto"/>
          <w:sz w:val="24"/>
          <w:highlight w:val="none"/>
        </w:rPr>
      </w:pPr>
      <w:r>
        <w:rPr>
          <w:bCs/>
          <w:color w:val="auto"/>
          <w:sz w:val="24"/>
          <w:highlight w:val="none"/>
        </w:rPr>
        <w:t>1</w:t>
      </w:r>
      <w:r>
        <w:rPr>
          <w:rFonts w:hint="eastAsia"/>
          <w:bCs/>
          <w:color w:val="auto"/>
          <w:sz w:val="24"/>
          <w:highlight w:val="none"/>
        </w:rPr>
        <w:t>8</w:t>
      </w:r>
      <w:r>
        <w:rPr>
          <w:bCs/>
          <w:color w:val="auto"/>
          <w:sz w:val="24"/>
          <w:highlight w:val="none"/>
        </w:rPr>
        <w:t>.2</w:t>
      </w:r>
      <w:r>
        <w:rPr>
          <w:rFonts w:hint="eastAsia"/>
          <w:bCs/>
          <w:color w:val="auto"/>
          <w:sz w:val="24"/>
          <w:highlight w:val="none"/>
        </w:rPr>
        <w:t>未按要求加密的投标文件，</w:t>
      </w:r>
      <w:r>
        <w:rPr>
          <w:rFonts w:hint="eastAsia"/>
          <w:color w:val="auto"/>
          <w:sz w:val="24"/>
          <w:szCs w:val="24"/>
          <w:highlight w:val="none"/>
        </w:rPr>
        <w:t>交易平台</w:t>
      </w:r>
      <w:r>
        <w:rPr>
          <w:rFonts w:hint="eastAsia"/>
          <w:bCs/>
          <w:color w:val="auto"/>
          <w:sz w:val="24"/>
          <w:highlight w:val="none"/>
        </w:rPr>
        <w:t>将予以拒收。</w:t>
      </w:r>
    </w:p>
    <w:p w14:paraId="4F201456">
      <w:pPr>
        <w:spacing w:line="360" w:lineRule="auto"/>
        <w:ind w:firstLine="482" w:firstLineChars="200"/>
        <w:rPr>
          <w:b/>
          <w:bCs/>
          <w:color w:val="auto"/>
          <w:sz w:val="24"/>
          <w:highlight w:val="none"/>
        </w:rPr>
      </w:pPr>
      <w:r>
        <w:rPr>
          <w:b/>
          <w:bCs/>
          <w:color w:val="auto"/>
          <w:sz w:val="24"/>
          <w:highlight w:val="none"/>
        </w:rPr>
        <w:t>19</w:t>
      </w:r>
      <w:r>
        <w:rPr>
          <w:rFonts w:hint="eastAsia"/>
          <w:b/>
          <w:bCs/>
          <w:color w:val="auto"/>
          <w:sz w:val="24"/>
          <w:highlight w:val="none"/>
        </w:rPr>
        <w:t>．投标文件的递交和接收</w:t>
      </w:r>
    </w:p>
    <w:p w14:paraId="5940E04B">
      <w:pPr>
        <w:spacing w:line="360" w:lineRule="auto"/>
        <w:ind w:firstLine="480" w:firstLineChars="200"/>
        <w:rPr>
          <w:bCs/>
          <w:color w:val="auto"/>
          <w:sz w:val="24"/>
          <w:highlight w:val="none"/>
        </w:rPr>
      </w:pPr>
      <w:r>
        <w:rPr>
          <w:bCs/>
          <w:color w:val="auto"/>
          <w:sz w:val="24"/>
          <w:highlight w:val="none"/>
        </w:rPr>
        <w:t>1</w:t>
      </w:r>
      <w:r>
        <w:rPr>
          <w:rFonts w:hint="eastAsia"/>
          <w:bCs/>
          <w:color w:val="auto"/>
          <w:sz w:val="24"/>
          <w:highlight w:val="none"/>
        </w:rPr>
        <w:t>9</w:t>
      </w:r>
      <w:r>
        <w:rPr>
          <w:bCs/>
          <w:color w:val="auto"/>
          <w:sz w:val="24"/>
          <w:highlight w:val="none"/>
        </w:rPr>
        <w:t>.</w:t>
      </w:r>
      <w:r>
        <w:rPr>
          <w:rFonts w:hint="eastAsia"/>
          <w:bCs/>
          <w:color w:val="auto"/>
          <w:sz w:val="24"/>
          <w:highlight w:val="none"/>
        </w:rPr>
        <w:t>1投标人通过</w:t>
      </w:r>
      <w:r>
        <w:rPr>
          <w:rFonts w:hint="eastAsia"/>
          <w:color w:val="auto"/>
          <w:sz w:val="24"/>
          <w:szCs w:val="24"/>
          <w:highlight w:val="none"/>
        </w:rPr>
        <w:t>交易平台</w:t>
      </w:r>
      <w:r>
        <w:rPr>
          <w:rFonts w:hint="eastAsia"/>
          <w:color w:val="auto"/>
          <w:sz w:val="24"/>
          <w:highlight w:val="none"/>
        </w:rPr>
        <w:t>递交电子投标文件。</w:t>
      </w:r>
    </w:p>
    <w:p w14:paraId="7D0CB6FD">
      <w:pPr>
        <w:spacing w:line="360" w:lineRule="auto"/>
        <w:ind w:firstLine="480" w:firstLineChars="200"/>
        <w:rPr>
          <w:bCs/>
          <w:color w:val="auto"/>
          <w:sz w:val="24"/>
          <w:highlight w:val="none"/>
        </w:rPr>
      </w:pPr>
      <w:r>
        <w:rPr>
          <w:bCs/>
          <w:color w:val="auto"/>
          <w:sz w:val="24"/>
          <w:highlight w:val="none"/>
        </w:rPr>
        <w:t>1</w:t>
      </w:r>
      <w:r>
        <w:rPr>
          <w:rFonts w:hint="eastAsia"/>
          <w:bCs/>
          <w:color w:val="auto"/>
          <w:sz w:val="24"/>
          <w:highlight w:val="none"/>
        </w:rPr>
        <w:t>9</w:t>
      </w:r>
      <w:r>
        <w:rPr>
          <w:bCs/>
          <w:color w:val="auto"/>
          <w:sz w:val="24"/>
          <w:highlight w:val="none"/>
        </w:rPr>
        <w:t>.</w:t>
      </w:r>
      <w:r>
        <w:rPr>
          <w:rFonts w:hint="eastAsia"/>
          <w:bCs/>
          <w:color w:val="auto"/>
          <w:sz w:val="24"/>
          <w:highlight w:val="none"/>
        </w:rPr>
        <w:t>2投标人完成电子</w:t>
      </w:r>
      <w:r>
        <w:rPr>
          <w:rFonts w:hint="eastAsia"/>
          <w:color w:val="auto"/>
          <w:sz w:val="24"/>
          <w:highlight w:val="none"/>
        </w:rPr>
        <w:t>投标文件</w:t>
      </w:r>
      <w:r>
        <w:rPr>
          <w:rFonts w:hint="eastAsia"/>
          <w:bCs/>
          <w:color w:val="auto"/>
          <w:sz w:val="24"/>
          <w:highlight w:val="none"/>
        </w:rPr>
        <w:t>上传后，</w:t>
      </w:r>
      <w:r>
        <w:rPr>
          <w:rFonts w:hint="eastAsia"/>
          <w:color w:val="auto"/>
          <w:sz w:val="24"/>
          <w:szCs w:val="24"/>
          <w:highlight w:val="none"/>
        </w:rPr>
        <w:t>交易平台</w:t>
      </w:r>
      <w:r>
        <w:rPr>
          <w:rFonts w:hint="eastAsia"/>
          <w:color w:val="auto"/>
          <w:sz w:val="24"/>
          <w:highlight w:val="none"/>
        </w:rPr>
        <w:t>即时向投标人发出递交回执通知。递交时间以递交回执通知载明的传输完成时间为准。</w:t>
      </w:r>
    </w:p>
    <w:p w14:paraId="1A15F356">
      <w:pPr>
        <w:spacing w:line="360" w:lineRule="auto"/>
        <w:ind w:firstLine="480" w:firstLineChars="200"/>
        <w:rPr>
          <w:color w:val="auto"/>
          <w:sz w:val="24"/>
          <w:highlight w:val="none"/>
        </w:rPr>
      </w:pPr>
      <w:r>
        <w:rPr>
          <w:bCs/>
          <w:color w:val="auto"/>
          <w:sz w:val="24"/>
          <w:highlight w:val="none"/>
        </w:rPr>
        <w:t>1</w:t>
      </w:r>
      <w:r>
        <w:rPr>
          <w:rFonts w:hint="eastAsia"/>
          <w:bCs/>
          <w:color w:val="auto"/>
          <w:sz w:val="24"/>
          <w:highlight w:val="none"/>
        </w:rPr>
        <w:t>9</w:t>
      </w:r>
      <w:r>
        <w:rPr>
          <w:bCs/>
          <w:color w:val="auto"/>
          <w:sz w:val="24"/>
          <w:highlight w:val="none"/>
        </w:rPr>
        <w:t>.</w:t>
      </w:r>
      <w:r>
        <w:rPr>
          <w:rFonts w:hint="eastAsia"/>
          <w:bCs/>
          <w:color w:val="auto"/>
          <w:sz w:val="24"/>
          <w:highlight w:val="none"/>
        </w:rPr>
        <w:t>3</w:t>
      </w:r>
      <w:r>
        <w:rPr>
          <w:rFonts w:hint="eastAsia"/>
          <w:bCs/>
          <w:color w:val="auto"/>
          <w:sz w:val="24"/>
          <w:szCs w:val="24"/>
          <w:highlight w:val="none"/>
        </w:rPr>
        <w:t>逾期送达的</w:t>
      </w:r>
      <w:r>
        <w:rPr>
          <w:rFonts w:hint="eastAsia"/>
          <w:bCs/>
          <w:color w:val="auto"/>
          <w:sz w:val="24"/>
          <w:highlight w:val="none"/>
        </w:rPr>
        <w:t>电子投标文件，</w:t>
      </w:r>
      <w:r>
        <w:rPr>
          <w:rFonts w:hint="eastAsia"/>
          <w:color w:val="auto"/>
          <w:sz w:val="24"/>
          <w:szCs w:val="24"/>
          <w:highlight w:val="none"/>
        </w:rPr>
        <w:t>交易平台</w:t>
      </w:r>
      <w:r>
        <w:rPr>
          <w:rFonts w:hint="eastAsia"/>
          <w:color w:val="auto"/>
          <w:sz w:val="24"/>
          <w:highlight w:val="none"/>
        </w:rPr>
        <w:t>将予以拒收。</w:t>
      </w:r>
    </w:p>
    <w:p w14:paraId="6F40D7EB">
      <w:pPr>
        <w:spacing w:line="360" w:lineRule="auto"/>
        <w:ind w:firstLine="480" w:firstLineChars="200"/>
        <w:rPr>
          <w:color w:val="auto"/>
          <w:sz w:val="24"/>
          <w:highlight w:val="none"/>
        </w:rPr>
      </w:pPr>
      <w:r>
        <w:rPr>
          <w:color w:val="auto"/>
          <w:sz w:val="24"/>
          <w:highlight w:val="none"/>
        </w:rPr>
        <w:t>19.</w:t>
      </w:r>
      <w:r>
        <w:rPr>
          <w:rFonts w:hint="eastAsia"/>
          <w:color w:val="auto"/>
          <w:sz w:val="24"/>
          <w:highlight w:val="none"/>
        </w:rPr>
        <w:t>4</w:t>
      </w:r>
      <w:r>
        <w:rPr>
          <w:rFonts w:hint="eastAsia"/>
          <w:color w:val="auto"/>
          <w:sz w:val="24"/>
          <w:szCs w:val="24"/>
          <w:highlight w:val="none"/>
        </w:rPr>
        <w:t>投标截止前，招标人拒绝接收符合条件的投标文件，投标人可向招标投标监督机构投诉。</w:t>
      </w:r>
    </w:p>
    <w:p w14:paraId="092B21A0">
      <w:pPr>
        <w:spacing w:line="360" w:lineRule="auto"/>
        <w:ind w:firstLine="480" w:firstLineChars="200"/>
        <w:rPr>
          <w:color w:val="auto"/>
          <w:sz w:val="24"/>
          <w:highlight w:val="none"/>
        </w:rPr>
      </w:pPr>
      <w:r>
        <w:rPr>
          <w:color w:val="auto"/>
          <w:sz w:val="24"/>
          <w:highlight w:val="none"/>
        </w:rPr>
        <w:t>19.</w:t>
      </w:r>
      <w:r>
        <w:rPr>
          <w:rFonts w:hint="eastAsia"/>
          <w:color w:val="auto"/>
          <w:sz w:val="24"/>
          <w:highlight w:val="none"/>
        </w:rPr>
        <w:t>5如技术标和经济标先后分别开启，</w:t>
      </w:r>
      <w:r>
        <w:rPr>
          <w:rFonts w:hint="eastAsia"/>
          <w:color w:val="auto"/>
          <w:sz w:val="24"/>
          <w:szCs w:val="24"/>
          <w:highlight w:val="none"/>
        </w:rPr>
        <w:t>交易平台</w:t>
      </w:r>
      <w:r>
        <w:rPr>
          <w:rFonts w:hint="eastAsia"/>
          <w:color w:val="auto"/>
          <w:sz w:val="24"/>
          <w:highlight w:val="none"/>
        </w:rPr>
        <w:t>将按招标文件规定的时间分别开启技术标和经济标。</w:t>
      </w:r>
    </w:p>
    <w:p w14:paraId="5E0C9AE6">
      <w:pPr>
        <w:spacing w:line="360" w:lineRule="auto"/>
        <w:ind w:firstLine="480" w:firstLineChars="200"/>
        <w:rPr>
          <w:color w:val="auto"/>
          <w:sz w:val="24"/>
          <w:highlight w:val="none"/>
        </w:rPr>
      </w:pPr>
      <w:r>
        <w:rPr>
          <w:color w:val="auto"/>
          <w:sz w:val="24"/>
          <w:szCs w:val="24"/>
          <w:highlight w:val="none"/>
        </w:rPr>
        <w:t>19.6</w:t>
      </w:r>
      <w:r>
        <w:rPr>
          <w:rFonts w:hint="eastAsia"/>
          <w:color w:val="auto"/>
          <w:sz w:val="24"/>
          <w:szCs w:val="24"/>
          <w:highlight w:val="none"/>
        </w:rPr>
        <w:t>在规定的时间内，项目负责人须到自助签到。按照交易平台有关项目负责人自助签到流程进行操作。项目负责人凡未凭身份证按时到达指定地点签到的，</w:t>
      </w:r>
      <w:r>
        <w:rPr>
          <w:rFonts w:hint="eastAsia"/>
          <w:color w:val="auto"/>
          <w:sz w:val="24"/>
          <w:highlight w:val="none"/>
        </w:rPr>
        <w:t>该投标文件将不能参与资格审查和评标</w:t>
      </w:r>
      <w:r>
        <w:rPr>
          <w:rFonts w:hint="eastAsia"/>
          <w:color w:val="auto"/>
          <w:sz w:val="24"/>
          <w:szCs w:val="24"/>
          <w:highlight w:val="none"/>
        </w:rPr>
        <w:t>（选择性条款）。</w:t>
      </w:r>
    </w:p>
    <w:p w14:paraId="32DAC36B">
      <w:pPr>
        <w:spacing w:line="360" w:lineRule="auto"/>
        <w:ind w:firstLine="482" w:firstLineChars="200"/>
        <w:rPr>
          <w:b/>
          <w:bCs/>
          <w:color w:val="auto"/>
          <w:sz w:val="24"/>
          <w:highlight w:val="none"/>
        </w:rPr>
      </w:pPr>
      <w:r>
        <w:rPr>
          <w:b/>
          <w:bCs/>
          <w:color w:val="auto"/>
          <w:sz w:val="24"/>
          <w:highlight w:val="none"/>
        </w:rPr>
        <w:t>20</w:t>
      </w:r>
      <w:r>
        <w:rPr>
          <w:rFonts w:hint="eastAsia"/>
          <w:b/>
          <w:bCs/>
          <w:color w:val="auto"/>
          <w:sz w:val="24"/>
          <w:highlight w:val="none"/>
        </w:rPr>
        <w:t>．投标文件提交的截止时间</w:t>
      </w:r>
    </w:p>
    <w:p w14:paraId="373AD3EA">
      <w:pPr>
        <w:spacing w:line="360" w:lineRule="auto"/>
        <w:ind w:firstLine="480" w:firstLineChars="200"/>
        <w:rPr>
          <w:b/>
          <w:bCs/>
          <w:color w:val="auto"/>
          <w:sz w:val="24"/>
          <w:highlight w:val="none"/>
        </w:rPr>
      </w:pPr>
      <w:r>
        <w:rPr>
          <w:color w:val="auto"/>
          <w:sz w:val="24"/>
          <w:highlight w:val="none"/>
        </w:rPr>
        <w:t>20.1</w:t>
      </w:r>
      <w:r>
        <w:rPr>
          <w:rFonts w:hint="eastAsia"/>
          <w:color w:val="auto"/>
          <w:sz w:val="24"/>
          <w:highlight w:val="none"/>
        </w:rPr>
        <w:t>投标人应在投标须知前附表第17项所述的时间前提交投标文件。</w:t>
      </w:r>
    </w:p>
    <w:p w14:paraId="23646B99">
      <w:pPr>
        <w:spacing w:line="360" w:lineRule="auto"/>
        <w:ind w:firstLine="480" w:firstLineChars="200"/>
        <w:rPr>
          <w:color w:val="auto"/>
          <w:sz w:val="24"/>
          <w:highlight w:val="none"/>
        </w:rPr>
      </w:pPr>
      <w:r>
        <w:rPr>
          <w:color w:val="auto"/>
          <w:sz w:val="24"/>
          <w:highlight w:val="none"/>
        </w:rPr>
        <w:t>20.2</w:t>
      </w:r>
      <w:r>
        <w:rPr>
          <w:rFonts w:hint="eastAsia"/>
          <w:color w:val="auto"/>
          <w:sz w:val="24"/>
          <w:highlight w:val="none"/>
        </w:rPr>
        <w:t>招标人可按本须知第</w:t>
      </w:r>
      <w:r>
        <w:rPr>
          <w:color w:val="auto"/>
          <w:sz w:val="24"/>
          <w:highlight w:val="none"/>
        </w:rPr>
        <w:t>9</w:t>
      </w:r>
      <w:r>
        <w:rPr>
          <w:rFonts w:hint="eastAsia"/>
          <w:color w:val="auto"/>
          <w:sz w:val="24"/>
          <w:highlight w:val="none"/>
        </w:rPr>
        <w:t>条规定以招标文件修改的方式，酌情延长提交投标文件的截止时间。在此情况下，投标人的所有权利和义务以及投标人受制约的截止时间，均以延长后新的投标截止时间为准。</w:t>
      </w:r>
    </w:p>
    <w:p w14:paraId="39C91211">
      <w:pPr>
        <w:spacing w:line="360" w:lineRule="auto"/>
        <w:ind w:firstLine="480" w:firstLineChars="200"/>
        <w:rPr>
          <w:color w:val="auto"/>
          <w:sz w:val="24"/>
          <w:highlight w:val="none"/>
        </w:rPr>
      </w:pPr>
      <w:r>
        <w:rPr>
          <w:color w:val="auto"/>
          <w:sz w:val="24"/>
          <w:highlight w:val="none"/>
        </w:rPr>
        <w:t>20.3</w:t>
      </w:r>
      <w:r>
        <w:rPr>
          <w:rFonts w:hint="eastAsia"/>
          <w:color w:val="auto"/>
          <w:sz w:val="24"/>
          <w:highlight w:val="none"/>
        </w:rPr>
        <w:t>到投标截止时间止，招标人收到的投标文件少于3家的，招标人将重新组织招标</w:t>
      </w:r>
      <w:r>
        <w:rPr>
          <w:rFonts w:hint="eastAsia"/>
          <w:color w:val="auto"/>
          <w:sz w:val="24"/>
          <w:szCs w:val="24"/>
          <w:highlight w:val="none"/>
        </w:rPr>
        <w:t>（当</w:t>
      </w:r>
      <w:r>
        <w:rPr>
          <w:color w:val="auto"/>
          <w:sz w:val="24"/>
          <w:szCs w:val="24"/>
          <w:highlight w:val="none"/>
        </w:rPr>
        <w:t>N</w:t>
      </w:r>
      <w:r>
        <w:rPr>
          <w:rFonts w:hint="eastAsia"/>
          <w:color w:val="auto"/>
          <w:sz w:val="24"/>
          <w:szCs w:val="24"/>
          <w:highlight w:val="none"/>
        </w:rPr>
        <w:t>个标段同时招标且不允许兼中时，若有效投标人不足</w:t>
      </w:r>
      <w:r>
        <w:rPr>
          <w:color w:val="auto"/>
          <w:sz w:val="24"/>
          <w:szCs w:val="24"/>
          <w:highlight w:val="none"/>
        </w:rPr>
        <w:t>N+</w:t>
      </w:r>
      <w:r>
        <w:rPr>
          <w:rFonts w:hint="eastAsia"/>
          <w:color w:val="auto"/>
          <w:sz w:val="24"/>
          <w:szCs w:val="24"/>
          <w:highlight w:val="none"/>
        </w:rPr>
        <w:t>2家，则重新组织招标）</w:t>
      </w:r>
      <w:r>
        <w:rPr>
          <w:rFonts w:hint="eastAsia"/>
          <w:color w:val="auto"/>
          <w:sz w:val="24"/>
          <w:highlight w:val="none"/>
        </w:rPr>
        <w:t>。</w:t>
      </w:r>
    </w:p>
    <w:p w14:paraId="33BF5B73">
      <w:pPr>
        <w:spacing w:line="360" w:lineRule="auto"/>
        <w:ind w:firstLine="482" w:firstLineChars="200"/>
        <w:rPr>
          <w:b/>
          <w:bCs/>
          <w:color w:val="auto"/>
          <w:sz w:val="24"/>
          <w:highlight w:val="none"/>
        </w:rPr>
      </w:pPr>
      <w:r>
        <w:rPr>
          <w:b/>
          <w:bCs/>
          <w:color w:val="auto"/>
          <w:sz w:val="24"/>
          <w:highlight w:val="none"/>
        </w:rPr>
        <w:t>21</w:t>
      </w:r>
      <w:r>
        <w:rPr>
          <w:rFonts w:hint="eastAsia"/>
          <w:b/>
          <w:bCs/>
          <w:color w:val="auto"/>
          <w:sz w:val="24"/>
          <w:highlight w:val="none"/>
        </w:rPr>
        <w:t>．迟交的投标文件</w:t>
      </w:r>
    </w:p>
    <w:p w14:paraId="451E2A2A">
      <w:pPr>
        <w:spacing w:line="360" w:lineRule="auto"/>
        <w:ind w:firstLine="480" w:firstLineChars="200"/>
        <w:rPr>
          <w:color w:val="auto"/>
          <w:sz w:val="24"/>
          <w:highlight w:val="none"/>
        </w:rPr>
      </w:pPr>
      <w:r>
        <w:rPr>
          <w:color w:val="auto"/>
          <w:sz w:val="24"/>
          <w:highlight w:val="none"/>
        </w:rPr>
        <w:t>21.1</w:t>
      </w:r>
      <w:r>
        <w:rPr>
          <w:rFonts w:hint="eastAsia"/>
          <w:color w:val="auto"/>
          <w:sz w:val="24"/>
          <w:highlight w:val="none"/>
        </w:rPr>
        <w:t>本须知前附表第</w:t>
      </w:r>
      <w:r>
        <w:rPr>
          <w:color w:val="auto"/>
          <w:sz w:val="24"/>
          <w:highlight w:val="none"/>
        </w:rPr>
        <w:t>1</w:t>
      </w:r>
      <w:r>
        <w:rPr>
          <w:rFonts w:hint="eastAsia"/>
          <w:color w:val="auto"/>
          <w:sz w:val="24"/>
          <w:highlight w:val="none"/>
        </w:rPr>
        <w:t>7项规定的投标截止时间</w:t>
      </w:r>
      <w:r>
        <w:rPr>
          <w:rFonts w:hint="eastAsia"/>
          <w:bCs/>
          <w:color w:val="auto"/>
          <w:sz w:val="24"/>
          <w:szCs w:val="24"/>
          <w:highlight w:val="none"/>
        </w:rPr>
        <w:t>后送达的</w:t>
      </w:r>
      <w:r>
        <w:rPr>
          <w:rFonts w:hint="eastAsia"/>
          <w:bCs/>
          <w:color w:val="auto"/>
          <w:sz w:val="24"/>
          <w:highlight w:val="none"/>
        </w:rPr>
        <w:t>电子投标文件，</w:t>
      </w:r>
      <w:r>
        <w:rPr>
          <w:rFonts w:hint="eastAsia"/>
          <w:color w:val="auto"/>
          <w:sz w:val="24"/>
          <w:szCs w:val="24"/>
          <w:highlight w:val="none"/>
        </w:rPr>
        <w:t>交易平台</w:t>
      </w:r>
      <w:r>
        <w:rPr>
          <w:rFonts w:hint="eastAsia"/>
          <w:color w:val="auto"/>
          <w:sz w:val="24"/>
          <w:highlight w:val="none"/>
        </w:rPr>
        <w:t>将予以拒收。</w:t>
      </w:r>
    </w:p>
    <w:p w14:paraId="56C1B75F">
      <w:pPr>
        <w:spacing w:line="360" w:lineRule="auto"/>
        <w:ind w:firstLine="482" w:firstLineChars="200"/>
        <w:rPr>
          <w:b/>
          <w:bCs/>
          <w:color w:val="auto"/>
          <w:sz w:val="24"/>
          <w:highlight w:val="none"/>
        </w:rPr>
      </w:pPr>
      <w:r>
        <w:rPr>
          <w:b/>
          <w:bCs/>
          <w:color w:val="auto"/>
          <w:sz w:val="24"/>
          <w:highlight w:val="none"/>
        </w:rPr>
        <w:t>22</w:t>
      </w:r>
      <w:r>
        <w:rPr>
          <w:rFonts w:hint="eastAsia"/>
          <w:b/>
          <w:bCs/>
          <w:color w:val="auto"/>
          <w:sz w:val="24"/>
          <w:highlight w:val="none"/>
        </w:rPr>
        <w:t>．投标文件的修改与撤回</w:t>
      </w:r>
    </w:p>
    <w:p w14:paraId="3C480F46">
      <w:pPr>
        <w:spacing w:line="360" w:lineRule="auto"/>
        <w:ind w:firstLine="480" w:firstLineChars="200"/>
        <w:rPr>
          <w:color w:val="auto"/>
          <w:sz w:val="24"/>
          <w:highlight w:val="none"/>
        </w:rPr>
      </w:pPr>
      <w:r>
        <w:rPr>
          <w:color w:val="auto"/>
          <w:sz w:val="24"/>
          <w:highlight w:val="none"/>
        </w:rPr>
        <w:t>22.1</w:t>
      </w:r>
      <w:r>
        <w:rPr>
          <w:rFonts w:hint="eastAsia"/>
          <w:color w:val="auto"/>
          <w:sz w:val="24"/>
          <w:highlight w:val="none"/>
        </w:rPr>
        <w:t>在规定的投标截止时间前，投标人可以修改或撤回已递交的投标文件，但应以书面形式通知招标人。</w:t>
      </w:r>
    </w:p>
    <w:p w14:paraId="6843062C">
      <w:pPr>
        <w:spacing w:line="360" w:lineRule="auto"/>
        <w:ind w:firstLine="480" w:firstLineChars="200"/>
        <w:rPr>
          <w:color w:val="auto"/>
          <w:sz w:val="24"/>
          <w:szCs w:val="24"/>
          <w:highlight w:val="none"/>
        </w:rPr>
      </w:pPr>
      <w:r>
        <w:rPr>
          <w:color w:val="auto"/>
          <w:sz w:val="24"/>
          <w:szCs w:val="24"/>
          <w:highlight w:val="none"/>
        </w:rPr>
        <w:t>22.2投标人修改或撤回已递交</w:t>
      </w:r>
      <w:r>
        <w:rPr>
          <w:rFonts w:hint="eastAsia"/>
          <w:color w:val="auto"/>
          <w:sz w:val="24"/>
          <w:szCs w:val="24"/>
          <w:highlight w:val="none"/>
        </w:rPr>
        <w:t>的</w:t>
      </w:r>
      <w:r>
        <w:rPr>
          <w:color w:val="auto"/>
          <w:sz w:val="24"/>
          <w:szCs w:val="24"/>
          <w:highlight w:val="none"/>
        </w:rPr>
        <w:t>投标文件</w:t>
      </w:r>
      <w:r>
        <w:rPr>
          <w:rFonts w:hint="eastAsia"/>
          <w:color w:val="auto"/>
          <w:sz w:val="24"/>
          <w:szCs w:val="24"/>
          <w:highlight w:val="none"/>
        </w:rPr>
        <w:t>，需在</w:t>
      </w:r>
      <w:r>
        <w:rPr>
          <w:rFonts w:hint="eastAsia"/>
          <w:color w:val="auto"/>
          <w:sz w:val="24"/>
          <w:highlight w:val="none"/>
        </w:rPr>
        <w:t>交易平台发出修改或撤回</w:t>
      </w:r>
      <w:r>
        <w:rPr>
          <w:color w:val="auto"/>
          <w:sz w:val="24"/>
          <w:szCs w:val="24"/>
          <w:highlight w:val="none"/>
        </w:rPr>
        <w:t>通知，</w:t>
      </w:r>
      <w:r>
        <w:rPr>
          <w:rFonts w:hint="eastAsia"/>
          <w:color w:val="auto"/>
          <w:sz w:val="24"/>
          <w:szCs w:val="24"/>
          <w:highlight w:val="none"/>
        </w:rPr>
        <w:t>并按</w:t>
      </w:r>
      <w:r>
        <w:rPr>
          <w:color w:val="auto"/>
          <w:sz w:val="24"/>
          <w:szCs w:val="24"/>
          <w:highlight w:val="none"/>
        </w:rPr>
        <w:t>要求加盖电子印章。</w:t>
      </w:r>
      <w:r>
        <w:rPr>
          <w:bCs/>
          <w:iCs/>
          <w:color w:val="auto"/>
          <w:sz w:val="24"/>
          <w:szCs w:val="24"/>
          <w:highlight w:val="none"/>
        </w:rPr>
        <w:t>电子招标投标交易平台收到通知后，</w:t>
      </w:r>
      <w:r>
        <w:rPr>
          <w:color w:val="auto"/>
          <w:sz w:val="24"/>
          <w:szCs w:val="24"/>
          <w:highlight w:val="none"/>
        </w:rPr>
        <w:t>即时向投标人发出确认回执通知。</w:t>
      </w:r>
    </w:p>
    <w:p w14:paraId="1996BD28">
      <w:pPr>
        <w:spacing w:line="360" w:lineRule="auto"/>
        <w:ind w:firstLine="480" w:firstLineChars="200"/>
        <w:rPr>
          <w:color w:val="auto"/>
          <w:sz w:val="24"/>
          <w:szCs w:val="24"/>
          <w:highlight w:val="none"/>
        </w:rPr>
      </w:pPr>
      <w:r>
        <w:rPr>
          <w:rFonts w:hint="eastAsia"/>
          <w:color w:val="auto"/>
          <w:sz w:val="24"/>
          <w:szCs w:val="24"/>
          <w:highlight w:val="none"/>
        </w:rPr>
        <w:t>22.3修改后再次递交的，按19点的规定执行。</w:t>
      </w:r>
    </w:p>
    <w:p w14:paraId="35F063DB">
      <w:pPr>
        <w:spacing w:line="360" w:lineRule="auto"/>
        <w:ind w:firstLine="480" w:firstLineChars="200"/>
        <w:rPr>
          <w:color w:val="auto"/>
          <w:sz w:val="24"/>
          <w:highlight w:val="none"/>
        </w:rPr>
      </w:pPr>
      <w:r>
        <w:rPr>
          <w:color w:val="auto"/>
          <w:sz w:val="24"/>
          <w:highlight w:val="none"/>
        </w:rPr>
        <w:t>22.</w:t>
      </w:r>
      <w:r>
        <w:rPr>
          <w:rFonts w:hint="eastAsia"/>
          <w:color w:val="auto"/>
          <w:sz w:val="24"/>
          <w:highlight w:val="none"/>
        </w:rPr>
        <w:t>4在投标截止时间之后，投标人不得补充、修改和更换投标文件。</w:t>
      </w:r>
    </w:p>
    <w:p w14:paraId="5770C44F">
      <w:pPr>
        <w:pStyle w:val="4"/>
        <w:spacing w:before="156" w:after="156"/>
        <w:rPr>
          <w:color w:val="auto"/>
          <w:highlight w:val="none"/>
        </w:rPr>
      </w:pPr>
      <w:bookmarkStart w:id="10" w:name="_Toc30918"/>
      <w:r>
        <w:rPr>
          <w:rFonts w:hint="eastAsia"/>
          <w:color w:val="auto"/>
          <w:highlight w:val="none"/>
        </w:rPr>
        <w:t>（五）开标、评标、定标及合同签定</w:t>
      </w:r>
      <w:bookmarkEnd w:id="10"/>
    </w:p>
    <w:p w14:paraId="1E46C95B">
      <w:pPr>
        <w:spacing w:line="360" w:lineRule="auto"/>
        <w:ind w:firstLine="482" w:firstLineChars="200"/>
        <w:rPr>
          <w:b/>
          <w:bCs/>
          <w:color w:val="auto"/>
          <w:sz w:val="24"/>
          <w:highlight w:val="none"/>
        </w:rPr>
      </w:pPr>
      <w:r>
        <w:rPr>
          <w:b/>
          <w:bCs/>
          <w:color w:val="auto"/>
          <w:sz w:val="24"/>
          <w:highlight w:val="none"/>
        </w:rPr>
        <w:t>23</w:t>
      </w:r>
      <w:r>
        <w:rPr>
          <w:rFonts w:hint="eastAsia"/>
          <w:b/>
          <w:bCs/>
          <w:color w:val="auto"/>
          <w:sz w:val="24"/>
          <w:highlight w:val="none"/>
        </w:rPr>
        <w:t>、开标。</w:t>
      </w:r>
    </w:p>
    <w:p w14:paraId="11274112">
      <w:pPr>
        <w:spacing w:line="360" w:lineRule="auto"/>
        <w:ind w:firstLine="480" w:firstLineChars="200"/>
        <w:rPr>
          <w:color w:val="auto"/>
          <w:sz w:val="24"/>
          <w:highlight w:val="none"/>
        </w:rPr>
      </w:pPr>
      <w:r>
        <w:rPr>
          <w:rFonts w:hint="eastAsia"/>
          <w:color w:val="auto"/>
          <w:sz w:val="24"/>
          <w:highlight w:val="none"/>
        </w:rPr>
        <w:t>详见第二章开标、评标及定标办法</w:t>
      </w:r>
    </w:p>
    <w:p w14:paraId="58B23C10">
      <w:pPr>
        <w:spacing w:line="360" w:lineRule="auto"/>
        <w:ind w:firstLine="482" w:firstLineChars="200"/>
        <w:rPr>
          <w:b/>
          <w:bCs/>
          <w:color w:val="auto"/>
          <w:sz w:val="24"/>
          <w:highlight w:val="none"/>
        </w:rPr>
      </w:pPr>
      <w:r>
        <w:rPr>
          <w:b/>
          <w:bCs/>
          <w:color w:val="auto"/>
          <w:sz w:val="24"/>
          <w:highlight w:val="none"/>
        </w:rPr>
        <w:t>24</w:t>
      </w:r>
      <w:r>
        <w:rPr>
          <w:rFonts w:hint="eastAsia"/>
          <w:b/>
          <w:bCs/>
          <w:color w:val="auto"/>
          <w:sz w:val="24"/>
          <w:highlight w:val="none"/>
        </w:rPr>
        <w:t>．评标过程的保密</w:t>
      </w:r>
    </w:p>
    <w:p w14:paraId="2C0D5D97">
      <w:pPr>
        <w:spacing w:line="360" w:lineRule="auto"/>
        <w:ind w:firstLine="480" w:firstLineChars="200"/>
        <w:rPr>
          <w:color w:val="auto"/>
          <w:sz w:val="24"/>
          <w:highlight w:val="none"/>
        </w:rPr>
      </w:pPr>
      <w:r>
        <w:rPr>
          <w:color w:val="auto"/>
          <w:sz w:val="24"/>
          <w:highlight w:val="none"/>
        </w:rPr>
        <w:t>24.1</w:t>
      </w:r>
      <w:r>
        <w:rPr>
          <w:rFonts w:hint="eastAsia"/>
          <w:color w:val="auto"/>
          <w:sz w:val="24"/>
          <w:highlight w:val="none"/>
        </w:rPr>
        <w:t>开标后，直至中标公示为止，凡属于对投标文件的审查、澄清、评价和比较有关的资料以及中标候选人的推荐情况，与评标有关的其他任何情况均严格保密。</w:t>
      </w:r>
    </w:p>
    <w:p w14:paraId="3A869EE5">
      <w:pPr>
        <w:spacing w:line="360" w:lineRule="auto"/>
        <w:ind w:firstLine="480" w:firstLineChars="200"/>
        <w:rPr>
          <w:color w:val="auto"/>
          <w:sz w:val="24"/>
          <w:highlight w:val="none"/>
        </w:rPr>
      </w:pPr>
      <w:r>
        <w:rPr>
          <w:color w:val="auto"/>
          <w:sz w:val="24"/>
          <w:highlight w:val="none"/>
        </w:rPr>
        <w:t>24.2</w:t>
      </w:r>
      <w:r>
        <w:rPr>
          <w:rFonts w:hint="eastAsia"/>
          <w:color w:val="auto"/>
          <w:sz w:val="24"/>
          <w:highlight w:val="none"/>
        </w:rPr>
        <w:t>在投标文件的评审和比较、中标候选人推荐以及授予合同的过程中，投标人向招标人和评标委员会施加不公正影响的任何行为，都将会导致其投标被拒绝。</w:t>
      </w:r>
    </w:p>
    <w:p w14:paraId="12959E1F">
      <w:pPr>
        <w:spacing w:line="360" w:lineRule="auto"/>
        <w:ind w:firstLine="482" w:firstLineChars="200"/>
        <w:rPr>
          <w:b/>
          <w:bCs/>
          <w:color w:val="auto"/>
          <w:sz w:val="24"/>
          <w:highlight w:val="none"/>
        </w:rPr>
      </w:pPr>
      <w:r>
        <w:rPr>
          <w:b/>
          <w:bCs/>
          <w:color w:val="auto"/>
          <w:sz w:val="24"/>
          <w:highlight w:val="none"/>
        </w:rPr>
        <w:t>25</w:t>
      </w:r>
      <w:r>
        <w:rPr>
          <w:rFonts w:hint="eastAsia"/>
          <w:b/>
          <w:bCs/>
          <w:color w:val="auto"/>
          <w:sz w:val="24"/>
          <w:highlight w:val="none"/>
        </w:rPr>
        <w:t>．投标文件的澄清，计算错误的修正</w:t>
      </w:r>
    </w:p>
    <w:p w14:paraId="1CC975EC">
      <w:pPr>
        <w:spacing w:line="360" w:lineRule="auto"/>
        <w:ind w:firstLine="480" w:firstLineChars="200"/>
        <w:rPr>
          <w:color w:val="auto"/>
          <w:sz w:val="24"/>
          <w:highlight w:val="none"/>
        </w:rPr>
      </w:pPr>
      <w:r>
        <w:rPr>
          <w:rFonts w:hint="eastAsia"/>
          <w:color w:val="auto"/>
          <w:sz w:val="24"/>
          <w:highlight w:val="none"/>
        </w:rPr>
        <w:t>详见招标文件第二章开标、评标及定标办法</w:t>
      </w:r>
    </w:p>
    <w:p w14:paraId="7D19EF67">
      <w:pPr>
        <w:spacing w:line="360" w:lineRule="auto"/>
        <w:ind w:firstLine="482" w:firstLineChars="200"/>
        <w:rPr>
          <w:b/>
          <w:bCs/>
          <w:color w:val="auto"/>
          <w:sz w:val="24"/>
          <w:highlight w:val="none"/>
        </w:rPr>
      </w:pPr>
      <w:r>
        <w:rPr>
          <w:b/>
          <w:bCs/>
          <w:color w:val="auto"/>
          <w:sz w:val="24"/>
          <w:highlight w:val="none"/>
        </w:rPr>
        <w:t>26</w:t>
      </w:r>
      <w:r>
        <w:rPr>
          <w:rFonts w:hint="eastAsia"/>
          <w:b/>
          <w:bCs/>
          <w:color w:val="auto"/>
          <w:sz w:val="24"/>
          <w:highlight w:val="none"/>
        </w:rPr>
        <w:t>．投标文件的评审、比较和否决</w:t>
      </w:r>
    </w:p>
    <w:p w14:paraId="59A3B167">
      <w:pPr>
        <w:spacing w:line="360" w:lineRule="auto"/>
        <w:ind w:firstLine="480" w:firstLineChars="200"/>
        <w:rPr>
          <w:bCs/>
          <w:color w:val="auto"/>
          <w:sz w:val="24"/>
          <w:szCs w:val="24"/>
          <w:highlight w:val="none"/>
        </w:rPr>
      </w:pPr>
      <w:r>
        <w:rPr>
          <w:rFonts w:hint="eastAsia"/>
          <w:color w:val="auto"/>
          <w:sz w:val="24"/>
          <w:highlight w:val="none"/>
        </w:rPr>
        <w:t>详见招标文件第二章开标、评标及定标办法。</w:t>
      </w:r>
    </w:p>
    <w:p w14:paraId="76FD1C1C">
      <w:pPr>
        <w:spacing w:line="360" w:lineRule="auto"/>
        <w:ind w:firstLine="482" w:firstLineChars="200"/>
        <w:rPr>
          <w:b/>
          <w:bCs/>
          <w:color w:val="auto"/>
          <w:sz w:val="24"/>
          <w:highlight w:val="none"/>
        </w:rPr>
      </w:pPr>
      <w:r>
        <w:rPr>
          <w:b/>
          <w:bCs/>
          <w:color w:val="auto"/>
          <w:sz w:val="24"/>
          <w:highlight w:val="none"/>
        </w:rPr>
        <w:t>27</w:t>
      </w:r>
      <w:r>
        <w:rPr>
          <w:rFonts w:hint="eastAsia"/>
          <w:b/>
          <w:bCs/>
          <w:color w:val="auto"/>
          <w:sz w:val="24"/>
          <w:highlight w:val="none"/>
        </w:rPr>
        <w:t>．中标通知书</w:t>
      </w:r>
    </w:p>
    <w:p w14:paraId="74B67B55">
      <w:pPr>
        <w:spacing w:line="360" w:lineRule="auto"/>
        <w:ind w:firstLine="480" w:firstLineChars="200"/>
        <w:rPr>
          <w:color w:val="auto"/>
          <w:sz w:val="24"/>
          <w:highlight w:val="none"/>
        </w:rPr>
      </w:pPr>
      <w:r>
        <w:rPr>
          <w:color w:val="auto"/>
          <w:sz w:val="24"/>
          <w:highlight w:val="none"/>
        </w:rPr>
        <w:t>27.1</w:t>
      </w:r>
      <w:r>
        <w:rPr>
          <w:rFonts w:hint="eastAsia"/>
          <w:color w:val="auto"/>
          <w:sz w:val="24"/>
          <w:highlight w:val="none"/>
        </w:rPr>
        <w:t>招标人将在</w:t>
      </w:r>
      <w:r>
        <w:rPr>
          <w:rFonts w:hint="eastAsia"/>
          <w:color w:val="auto"/>
          <w:sz w:val="24"/>
          <w:szCs w:val="24"/>
          <w:highlight w:val="none"/>
        </w:rPr>
        <w:t>交易平台</w:t>
      </w:r>
      <w:r>
        <w:rPr>
          <w:rFonts w:hint="eastAsia"/>
          <w:color w:val="auto"/>
          <w:sz w:val="24"/>
          <w:highlight w:val="none"/>
        </w:rPr>
        <w:t>、广东省招标投标监管网和中国招标投标公共服务平台公示中标候选人，公示期为三天。</w:t>
      </w:r>
    </w:p>
    <w:p w14:paraId="117B8713">
      <w:pPr>
        <w:spacing w:line="360" w:lineRule="auto"/>
        <w:ind w:firstLine="480" w:firstLineChars="200"/>
        <w:rPr>
          <w:rFonts w:ascii="仿宋_GB2312" w:eastAsia="仿宋_GB2312"/>
          <w:color w:val="auto"/>
          <w:sz w:val="24"/>
          <w:highlight w:val="none"/>
        </w:rPr>
      </w:pPr>
      <w:r>
        <w:rPr>
          <w:color w:val="auto"/>
          <w:sz w:val="24"/>
          <w:highlight w:val="none"/>
        </w:rPr>
        <w:t>27.2</w:t>
      </w:r>
      <w:r>
        <w:rPr>
          <w:rFonts w:hint="eastAsia"/>
          <w:color w:val="auto"/>
          <w:sz w:val="24"/>
          <w:highlight w:val="none"/>
        </w:rPr>
        <w:t>招标人应当自确定中标人后，向招标投标监管机构提交招标投标情况的书面报告；经招投标监管机构备案后，方可发出中标通知书。</w:t>
      </w:r>
    </w:p>
    <w:p w14:paraId="5C667CB9">
      <w:pPr>
        <w:spacing w:line="360" w:lineRule="auto"/>
        <w:ind w:firstLine="480" w:firstLineChars="200"/>
        <w:rPr>
          <w:color w:val="auto"/>
          <w:sz w:val="24"/>
          <w:highlight w:val="none"/>
        </w:rPr>
      </w:pPr>
      <w:r>
        <w:rPr>
          <w:color w:val="auto"/>
          <w:sz w:val="24"/>
          <w:highlight w:val="none"/>
        </w:rPr>
        <w:t>27.3</w:t>
      </w:r>
      <w:r>
        <w:rPr>
          <w:rFonts w:hint="eastAsia"/>
          <w:color w:val="auto"/>
          <w:sz w:val="24"/>
          <w:highlight w:val="none"/>
        </w:rPr>
        <w:t>中标人必须在收到中标通知书后</w:t>
      </w:r>
      <w:r>
        <w:rPr>
          <w:color w:val="auto"/>
          <w:sz w:val="24"/>
          <w:highlight w:val="none"/>
        </w:rPr>
        <w:t>24</w:t>
      </w:r>
      <w:r>
        <w:rPr>
          <w:rFonts w:hint="eastAsia"/>
          <w:color w:val="auto"/>
          <w:sz w:val="24"/>
          <w:highlight w:val="none"/>
        </w:rPr>
        <w:t>小时之内以书面形式回复招标人，确认收到。</w:t>
      </w:r>
    </w:p>
    <w:p w14:paraId="59632BA9">
      <w:pPr>
        <w:spacing w:line="360" w:lineRule="auto"/>
        <w:ind w:firstLine="480" w:firstLineChars="200"/>
        <w:rPr>
          <w:color w:val="auto"/>
          <w:sz w:val="24"/>
          <w:highlight w:val="none"/>
        </w:rPr>
      </w:pPr>
      <w:r>
        <w:rPr>
          <w:rFonts w:hint="eastAsia"/>
          <w:color w:val="auto"/>
          <w:sz w:val="24"/>
          <w:highlight w:val="none"/>
        </w:rPr>
        <w:t>27.4在产生中标候选人后，招标人将中标候选人的投标文件商务部分文件的所有内容（包括人员、业绩、奖项等资料）在</w:t>
      </w:r>
      <w:r>
        <w:rPr>
          <w:rFonts w:hint="eastAsia"/>
          <w:color w:val="auto"/>
          <w:sz w:val="24"/>
          <w:szCs w:val="24"/>
          <w:highlight w:val="none"/>
        </w:rPr>
        <w:t>交易平台和广东省招标投标监管网</w:t>
      </w:r>
      <w:r>
        <w:rPr>
          <w:rFonts w:hint="eastAsia"/>
          <w:color w:val="auto"/>
          <w:sz w:val="24"/>
          <w:highlight w:val="none"/>
        </w:rPr>
        <w:t>公开。</w:t>
      </w:r>
    </w:p>
    <w:p w14:paraId="5CE17378">
      <w:pPr>
        <w:spacing w:line="360" w:lineRule="auto"/>
        <w:ind w:firstLine="482" w:firstLineChars="200"/>
        <w:rPr>
          <w:b/>
          <w:bCs/>
          <w:color w:val="auto"/>
          <w:sz w:val="24"/>
          <w:highlight w:val="none"/>
        </w:rPr>
      </w:pPr>
      <w:r>
        <w:rPr>
          <w:b/>
          <w:bCs/>
          <w:color w:val="auto"/>
          <w:sz w:val="24"/>
          <w:highlight w:val="none"/>
        </w:rPr>
        <w:t>28</w:t>
      </w:r>
      <w:r>
        <w:rPr>
          <w:rFonts w:hint="eastAsia"/>
          <w:b/>
          <w:bCs/>
          <w:color w:val="auto"/>
          <w:sz w:val="24"/>
          <w:highlight w:val="none"/>
        </w:rPr>
        <w:t>．合同协议书的签订</w:t>
      </w:r>
    </w:p>
    <w:p w14:paraId="66667C72">
      <w:pPr>
        <w:spacing w:line="360" w:lineRule="auto"/>
        <w:ind w:firstLine="480" w:firstLineChars="200"/>
        <w:rPr>
          <w:color w:val="auto"/>
          <w:sz w:val="24"/>
          <w:highlight w:val="none"/>
        </w:rPr>
      </w:pPr>
      <w:r>
        <w:rPr>
          <w:color w:val="auto"/>
          <w:sz w:val="24"/>
          <w:highlight w:val="none"/>
        </w:rPr>
        <w:t>28.1</w:t>
      </w:r>
      <w:r>
        <w:rPr>
          <w:rFonts w:hint="eastAsia"/>
          <w:color w:val="auto"/>
          <w:sz w:val="24"/>
          <w:highlight w:val="none"/>
        </w:rPr>
        <w:t>招标人与中标人将于中标通知书发出之日起</w:t>
      </w:r>
      <w:r>
        <w:rPr>
          <w:color w:val="auto"/>
          <w:sz w:val="24"/>
          <w:highlight w:val="none"/>
        </w:rPr>
        <w:t>30</w:t>
      </w:r>
      <w:r>
        <w:rPr>
          <w:rFonts w:hint="eastAsia"/>
          <w:color w:val="auto"/>
          <w:sz w:val="24"/>
          <w:highlight w:val="none"/>
        </w:rPr>
        <w:t>日内，按照招标文件和中标人的投标文件商定和签订合同，招标人和中标人不得再行订立背离合同实质性内容的其他协议。</w:t>
      </w:r>
    </w:p>
    <w:p w14:paraId="2FC77D13">
      <w:pPr>
        <w:spacing w:line="360" w:lineRule="auto"/>
        <w:ind w:firstLine="480" w:firstLineChars="200"/>
        <w:rPr>
          <w:color w:val="auto"/>
          <w:sz w:val="24"/>
          <w:highlight w:val="none"/>
        </w:rPr>
      </w:pPr>
      <w:r>
        <w:rPr>
          <w:color w:val="auto"/>
          <w:sz w:val="24"/>
          <w:highlight w:val="none"/>
        </w:rPr>
        <w:t>28.2</w:t>
      </w:r>
      <w:r>
        <w:rPr>
          <w:rFonts w:hint="eastAsia"/>
          <w:color w:val="auto"/>
          <w:sz w:val="24"/>
          <w:highlight w:val="none"/>
        </w:rPr>
        <w:t>中标通知书发出之日起</w:t>
      </w:r>
      <w:r>
        <w:rPr>
          <w:color w:val="auto"/>
          <w:sz w:val="24"/>
          <w:highlight w:val="none"/>
        </w:rPr>
        <w:t>30</w:t>
      </w:r>
      <w:r>
        <w:rPr>
          <w:rFonts w:hint="eastAsia"/>
          <w:color w:val="auto"/>
          <w:sz w:val="24"/>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35F4D0F7">
      <w:pPr>
        <w:spacing w:line="360" w:lineRule="auto"/>
        <w:ind w:firstLine="480" w:firstLineChars="200"/>
        <w:rPr>
          <w:color w:val="auto"/>
          <w:sz w:val="24"/>
          <w:highlight w:val="none"/>
        </w:rPr>
      </w:pPr>
      <w:r>
        <w:rPr>
          <w:color w:val="auto"/>
          <w:sz w:val="24"/>
          <w:highlight w:val="none"/>
        </w:rPr>
        <w:t>28.3</w:t>
      </w:r>
      <w:r>
        <w:rPr>
          <w:rFonts w:hint="eastAsia"/>
          <w:color w:val="auto"/>
          <w:sz w:val="24"/>
          <w:highlight w:val="none"/>
        </w:rPr>
        <w:t>非经招标人同意，中标人在投标过程中使用的银行名称及帐号至完成竣工结算不得变更，否则招标人有权停止工程款项的拔付及至解除合同，由此造成的一切责任由中标人承担。</w:t>
      </w:r>
    </w:p>
    <w:p w14:paraId="542DC484">
      <w:pPr>
        <w:spacing w:line="360" w:lineRule="auto"/>
        <w:ind w:firstLine="480" w:firstLineChars="200"/>
        <w:rPr>
          <w:color w:val="auto"/>
          <w:sz w:val="24"/>
          <w:highlight w:val="none"/>
        </w:rPr>
      </w:pPr>
      <w:r>
        <w:rPr>
          <w:color w:val="auto"/>
          <w:sz w:val="24"/>
          <w:highlight w:val="none"/>
        </w:rPr>
        <w:t>28.4</w:t>
      </w:r>
      <w:r>
        <w:rPr>
          <w:rFonts w:hint="eastAsia"/>
          <w:color w:val="auto"/>
          <w:sz w:val="24"/>
          <w:highlight w:val="none"/>
        </w:rPr>
        <w:t>工程进度款支付应不低于已完成工程价款的80%，招标人支付工程款时，中标人应按规定开具发票。质量保证金不超过工程价款总额3%。当年开工、当年不能竣工的新开工项目可以采用过程结算。</w:t>
      </w:r>
    </w:p>
    <w:p w14:paraId="65E040E1">
      <w:pPr>
        <w:spacing w:line="360" w:lineRule="auto"/>
        <w:ind w:firstLine="482" w:firstLineChars="200"/>
        <w:rPr>
          <w:b/>
          <w:bCs/>
          <w:color w:val="auto"/>
          <w:sz w:val="24"/>
          <w:highlight w:val="none"/>
        </w:rPr>
      </w:pPr>
      <w:r>
        <w:rPr>
          <w:b/>
          <w:bCs/>
          <w:color w:val="auto"/>
          <w:sz w:val="24"/>
          <w:highlight w:val="none"/>
        </w:rPr>
        <w:t>29</w:t>
      </w:r>
      <w:r>
        <w:rPr>
          <w:rFonts w:hint="eastAsia"/>
          <w:b/>
          <w:bCs/>
          <w:color w:val="auto"/>
          <w:sz w:val="24"/>
          <w:highlight w:val="none"/>
        </w:rPr>
        <w:t>．履约担保</w:t>
      </w:r>
    </w:p>
    <w:p w14:paraId="43B5F580">
      <w:pPr>
        <w:snapToGrid w:val="0"/>
        <w:spacing w:line="360" w:lineRule="auto"/>
        <w:ind w:firstLine="480" w:firstLineChars="200"/>
        <w:rPr>
          <w:color w:val="auto"/>
          <w:sz w:val="24"/>
          <w:highlight w:val="none"/>
        </w:rPr>
      </w:pPr>
      <w:r>
        <w:rPr>
          <w:color w:val="auto"/>
          <w:sz w:val="24"/>
          <w:highlight w:val="none"/>
        </w:rPr>
        <w:t>29.1</w:t>
      </w:r>
      <w:r>
        <w:rPr>
          <w:rFonts w:hint="eastAsia"/>
          <w:color w:val="auto"/>
          <w:sz w:val="24"/>
          <w:highlight w:val="none"/>
        </w:rPr>
        <w:t>在收到中标通知书后的</w:t>
      </w:r>
      <w:r>
        <w:rPr>
          <w:b/>
          <w:color w:val="auto"/>
          <w:sz w:val="24"/>
          <w:highlight w:val="none"/>
        </w:rPr>
        <w:t>15</w:t>
      </w:r>
      <w:r>
        <w:rPr>
          <w:rFonts w:hint="eastAsia"/>
          <w:b/>
          <w:color w:val="auto"/>
          <w:sz w:val="24"/>
          <w:highlight w:val="none"/>
        </w:rPr>
        <w:t>日</w:t>
      </w:r>
      <w:r>
        <w:rPr>
          <w:rFonts w:hint="eastAsia"/>
          <w:color w:val="auto"/>
          <w:sz w:val="24"/>
          <w:highlight w:val="none"/>
        </w:rPr>
        <w:t>内，中标人应按本须知前附表第</w:t>
      </w:r>
      <w:r>
        <w:rPr>
          <w:color w:val="auto"/>
          <w:sz w:val="24"/>
          <w:highlight w:val="none"/>
        </w:rPr>
        <w:t>2</w:t>
      </w:r>
      <w:r>
        <w:rPr>
          <w:rFonts w:hint="eastAsia"/>
          <w:color w:val="auto"/>
          <w:sz w:val="24"/>
          <w:highlight w:val="none"/>
        </w:rPr>
        <w:t>0项的规定向招标人提交履约担保。</w:t>
      </w:r>
    </w:p>
    <w:p w14:paraId="4801659C">
      <w:pPr>
        <w:snapToGrid w:val="0"/>
        <w:spacing w:line="360" w:lineRule="auto"/>
        <w:ind w:firstLine="480" w:firstLineChars="200"/>
        <w:rPr>
          <w:color w:val="auto"/>
          <w:sz w:val="24"/>
          <w:highlight w:val="none"/>
        </w:rPr>
      </w:pPr>
      <w:r>
        <w:rPr>
          <w:color w:val="auto"/>
          <w:sz w:val="24"/>
          <w:highlight w:val="none"/>
        </w:rPr>
        <w:t>29.2</w:t>
      </w:r>
      <w:r>
        <w:rPr>
          <w:rFonts w:hint="eastAsia"/>
          <w:color w:val="auto"/>
          <w:sz w:val="24"/>
          <w:highlight w:val="none"/>
        </w:rPr>
        <w:t>中标通知书发出之日起</w:t>
      </w:r>
      <w:r>
        <w:rPr>
          <w:color w:val="auto"/>
          <w:sz w:val="24"/>
          <w:highlight w:val="none"/>
        </w:rPr>
        <w:t>15</w:t>
      </w:r>
      <w:r>
        <w:rPr>
          <w:rFonts w:hint="eastAsia"/>
          <w:color w:val="auto"/>
          <w:sz w:val="24"/>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7ACA4096">
      <w:pPr>
        <w:spacing w:line="360" w:lineRule="auto"/>
        <w:ind w:firstLine="482" w:firstLineChars="200"/>
        <w:rPr>
          <w:b/>
          <w:bCs/>
          <w:color w:val="auto"/>
          <w:sz w:val="24"/>
          <w:highlight w:val="none"/>
        </w:rPr>
      </w:pPr>
      <w:r>
        <w:rPr>
          <w:b/>
          <w:bCs/>
          <w:color w:val="auto"/>
          <w:sz w:val="24"/>
          <w:highlight w:val="none"/>
        </w:rPr>
        <w:t>30</w:t>
      </w:r>
      <w:r>
        <w:rPr>
          <w:rFonts w:hint="eastAsia"/>
          <w:b/>
          <w:bCs/>
          <w:color w:val="auto"/>
          <w:sz w:val="24"/>
          <w:highlight w:val="none"/>
        </w:rPr>
        <w:t>．合同生效</w:t>
      </w:r>
    </w:p>
    <w:p w14:paraId="3D793493">
      <w:pPr>
        <w:spacing w:line="360" w:lineRule="auto"/>
        <w:ind w:firstLine="480" w:firstLineChars="200"/>
        <w:rPr>
          <w:color w:val="auto"/>
          <w:sz w:val="24"/>
          <w:highlight w:val="none"/>
        </w:rPr>
      </w:pPr>
      <w:r>
        <w:rPr>
          <w:color w:val="auto"/>
          <w:sz w:val="24"/>
          <w:highlight w:val="none"/>
        </w:rPr>
        <w:t>30.1</w:t>
      </w:r>
      <w:r>
        <w:rPr>
          <w:rFonts w:hint="eastAsia"/>
          <w:color w:val="auto"/>
          <w:sz w:val="24"/>
          <w:highlight w:val="none"/>
        </w:rPr>
        <w:t>在合同双方全权代表在合同协议书上签字，并分别加盖双方单位的公章后，合同正式生效。</w:t>
      </w:r>
    </w:p>
    <w:p w14:paraId="7222D85E">
      <w:pPr>
        <w:spacing w:line="360" w:lineRule="auto"/>
        <w:ind w:firstLine="482" w:firstLineChars="200"/>
        <w:rPr>
          <w:b/>
          <w:bCs/>
          <w:color w:val="auto"/>
          <w:sz w:val="24"/>
          <w:highlight w:val="none"/>
        </w:rPr>
      </w:pPr>
      <w:r>
        <w:rPr>
          <w:b/>
          <w:bCs/>
          <w:color w:val="auto"/>
          <w:sz w:val="24"/>
          <w:highlight w:val="none"/>
        </w:rPr>
        <w:t>31</w:t>
      </w:r>
      <w:r>
        <w:rPr>
          <w:rFonts w:hint="eastAsia"/>
          <w:b/>
          <w:bCs/>
          <w:color w:val="auto"/>
          <w:sz w:val="24"/>
          <w:highlight w:val="none"/>
        </w:rPr>
        <w:t>．其它费用</w:t>
      </w:r>
    </w:p>
    <w:p w14:paraId="2A0DA9FA">
      <w:pPr>
        <w:pStyle w:val="19"/>
        <w:spacing w:after="0" w:line="360" w:lineRule="auto"/>
        <w:ind w:firstLine="482" w:firstLineChars="200"/>
        <w:rPr>
          <w:rFonts w:ascii="宋体"/>
          <w:b/>
          <w:bCs/>
          <w:color w:val="auto"/>
          <w:sz w:val="24"/>
          <w:highlight w:val="none"/>
        </w:rPr>
      </w:pPr>
      <w:r>
        <w:rPr>
          <w:rFonts w:ascii="宋体" w:hAnsi="宋体"/>
          <w:b/>
          <w:bCs/>
          <w:color w:val="auto"/>
          <w:sz w:val="24"/>
          <w:highlight w:val="none"/>
        </w:rPr>
        <w:t>32</w:t>
      </w:r>
      <w:r>
        <w:rPr>
          <w:rFonts w:hint="eastAsia" w:ascii="宋体" w:hAnsi="宋体"/>
          <w:b/>
          <w:bCs/>
          <w:color w:val="auto"/>
          <w:sz w:val="24"/>
          <w:highlight w:val="none"/>
        </w:rPr>
        <w:t>．腐败与欺诈行为</w:t>
      </w:r>
    </w:p>
    <w:p w14:paraId="26DDE3EC">
      <w:pPr>
        <w:pStyle w:val="19"/>
        <w:spacing w:after="0" w:line="360" w:lineRule="auto"/>
        <w:ind w:firstLine="480" w:firstLineChars="200"/>
        <w:rPr>
          <w:rFonts w:ascii="宋体"/>
          <w:color w:val="auto"/>
          <w:sz w:val="24"/>
          <w:highlight w:val="none"/>
        </w:rPr>
      </w:pPr>
      <w:r>
        <w:rPr>
          <w:rFonts w:hint="eastAsia" w:ascii="宋体" w:hAnsi="宋体"/>
          <w:color w:val="auto"/>
          <w:sz w:val="24"/>
          <w:highlight w:val="none"/>
        </w:rPr>
        <w:t>在招标和合同实施期间，招标人要求投标人和承包人遵守最高的道德标准。</w:t>
      </w:r>
    </w:p>
    <w:p w14:paraId="44565DC5">
      <w:pPr>
        <w:pStyle w:val="19"/>
        <w:spacing w:after="0" w:line="360" w:lineRule="auto"/>
        <w:ind w:firstLine="480" w:firstLineChars="200"/>
        <w:rPr>
          <w:rFonts w:asci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对本条款的规定，特定义如下词汇：</w:t>
      </w:r>
    </w:p>
    <w:p w14:paraId="0A3A6C5F">
      <w:pPr>
        <w:pStyle w:val="19"/>
        <w:spacing w:after="0"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）、“腐败行为”是指在招标或合同执行期间，通过提供、给予、接受或索要任何有价值的东西，从而影响招标人有关人员工作的行为；</w:t>
      </w:r>
    </w:p>
    <w:p w14:paraId="60690277">
      <w:pPr>
        <w:pStyle w:val="19"/>
        <w:spacing w:after="0"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557B000E">
      <w:pPr>
        <w:pStyle w:val="19"/>
        <w:spacing w:after="0" w:line="360" w:lineRule="auto"/>
        <w:ind w:firstLine="480" w:firstLineChars="200"/>
        <w:rPr>
          <w:rFonts w:ascii="宋体" w:hAns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如果投标人被认定在本招标的竞争中有腐败或欺诈行为，则会被取消投标资格。</w:t>
      </w:r>
    </w:p>
    <w:p w14:paraId="45BF571E">
      <w:pPr>
        <w:pStyle w:val="19"/>
        <w:spacing w:after="0" w:line="360" w:lineRule="auto"/>
        <w:ind w:firstLine="480" w:firstLineChars="200"/>
        <w:rPr>
          <w:rFonts w:ascii="宋体"/>
          <w:color w:val="auto"/>
          <w:sz w:val="24"/>
          <w:highlight w:val="none"/>
        </w:rPr>
      </w:pPr>
      <w:r>
        <w:rPr>
          <w:rFonts w:hint="eastAsia" w:ascii="宋体"/>
          <w:color w:val="auto"/>
          <w:sz w:val="24"/>
          <w:highlight w:val="none"/>
        </w:rPr>
        <w:t>32.3投标人如在本项目中存在串通投标、弄虚作假、行贿情形的，中标无效，行政监督部门将对其违法行为进行政处罚并通报。该投标人将被招标人列入黑名单并限制其参与招标人后续项目的投标。</w:t>
      </w:r>
    </w:p>
    <w:p w14:paraId="22EC4475">
      <w:pPr>
        <w:spacing w:line="480" w:lineRule="auto"/>
        <w:ind w:firstLine="540" w:firstLineChars="224"/>
        <w:rPr>
          <w:b/>
          <w:color w:val="auto"/>
          <w:sz w:val="24"/>
          <w:highlight w:val="none"/>
        </w:rPr>
      </w:pPr>
      <w:r>
        <w:rPr>
          <w:rFonts w:hint="eastAsia"/>
          <w:b/>
          <w:color w:val="auto"/>
          <w:sz w:val="24"/>
          <w:highlight w:val="none"/>
        </w:rPr>
        <w:t>33.投标人信誉的要求</w:t>
      </w:r>
    </w:p>
    <w:p w14:paraId="5867B7ED">
      <w:pPr>
        <w:spacing w:line="480" w:lineRule="auto"/>
        <w:ind w:firstLine="537" w:firstLineChars="224"/>
        <w:rPr>
          <w:color w:val="auto"/>
          <w:sz w:val="24"/>
          <w:highlight w:val="none"/>
        </w:rPr>
      </w:pPr>
      <w:r>
        <w:rPr>
          <w:rFonts w:hint="eastAsia"/>
          <w:color w:val="auto"/>
          <w:sz w:val="24"/>
          <w:highlight w:val="none"/>
        </w:rPr>
        <w:t>存在下列情形之一的，招标人可以限制其投标（需在招标文件中明确评定方法）</w:t>
      </w:r>
    </w:p>
    <w:p w14:paraId="586537BC">
      <w:pPr>
        <w:spacing w:line="480" w:lineRule="auto"/>
        <w:ind w:firstLine="537" w:firstLineChars="224"/>
        <w:rPr>
          <w:color w:val="auto"/>
          <w:sz w:val="24"/>
          <w:highlight w:val="none"/>
        </w:rPr>
      </w:pPr>
      <w:r>
        <w:rPr>
          <w:rFonts w:hint="eastAsia"/>
          <w:color w:val="auto"/>
          <w:sz w:val="24"/>
          <w:highlight w:val="none"/>
        </w:rPr>
        <w:t>（1）被住房城乡建设行政主管部门在全国建筑市场监管一体化工作平台列入建筑市场主体“黑名单”；</w:t>
      </w:r>
    </w:p>
    <w:p w14:paraId="5446D371">
      <w:pPr>
        <w:pStyle w:val="19"/>
        <w:spacing w:after="0" w:line="360" w:lineRule="auto"/>
        <w:ind w:firstLine="480" w:firstLineChars="200"/>
        <w:rPr>
          <w:rFonts w:ascii="宋体"/>
          <w:color w:val="auto"/>
          <w:sz w:val="24"/>
          <w:highlight w:val="none"/>
        </w:rPr>
      </w:pPr>
      <w:r>
        <w:rPr>
          <w:rFonts w:hint="eastAsia" w:ascii="宋体" w:hAnsi="宋体"/>
          <w:color w:val="auto"/>
          <w:sz w:val="24"/>
          <w:highlight w:val="none"/>
        </w:rPr>
        <w:t>（2）被发改委、人力资源社会保障、质检总局等有关部门、单位在“信用中国”网站中列入联合惩戒失信黑名单。</w:t>
      </w:r>
    </w:p>
    <w:p w14:paraId="3A5209C3">
      <w:pPr>
        <w:pStyle w:val="2"/>
        <w:spacing w:before="0" w:beforeAutospacing="0" w:after="0" w:afterAutospacing="0"/>
        <w:jc w:val="center"/>
        <w:rPr>
          <w:rFonts w:hint="default"/>
          <w:color w:val="auto"/>
          <w:highlight w:val="none"/>
        </w:rPr>
      </w:pPr>
      <w:r>
        <w:rPr>
          <w:color w:val="auto"/>
          <w:sz w:val="24"/>
          <w:highlight w:val="none"/>
        </w:rPr>
        <w:br w:type="page"/>
      </w:r>
      <w:bookmarkStart w:id="11" w:name="_Toc12316"/>
      <w:r>
        <w:rPr>
          <w:color w:val="auto"/>
          <w:highlight w:val="none"/>
        </w:rPr>
        <w:t>第二章开标、评标及定标办法</w:t>
      </w:r>
      <w:bookmarkEnd w:id="11"/>
    </w:p>
    <w:p w14:paraId="1C536087">
      <w:pPr>
        <w:pStyle w:val="3"/>
        <w:rPr>
          <w:color w:val="auto"/>
          <w:highlight w:val="none"/>
        </w:rPr>
      </w:pPr>
      <w:bookmarkStart w:id="12" w:name="_Toc26485"/>
      <w:r>
        <w:rPr>
          <w:rFonts w:hint="eastAsia"/>
          <w:color w:val="auto"/>
          <w:sz w:val="28"/>
          <w:szCs w:val="28"/>
          <w:highlight w:val="none"/>
        </w:rPr>
        <w:t>一、</w:t>
      </w:r>
      <w:r>
        <w:rPr>
          <w:rFonts w:hint="eastAsia"/>
          <w:color w:val="auto"/>
          <w:highlight w:val="none"/>
        </w:rPr>
        <w:t>开标、评标及定标办法修改表</w:t>
      </w:r>
      <w:bookmarkEnd w:id="12"/>
    </w:p>
    <w:p w14:paraId="55B4BB68">
      <w:pP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w:t>
      </w:r>
      <w:r>
        <w:rPr>
          <w:color w:val="auto"/>
          <w:highlight w:val="none"/>
        </w:rPr>
        <w:fldChar w:fldCharType="begin"/>
      </w:r>
      <w:r>
        <w:rPr>
          <w:color w:val="auto"/>
          <w:highlight w:val="none"/>
        </w:rPr>
        <w:instrText xml:space="preserve"> HYPERLINK "http://zfcj.gz.gov.cn/）下载GZZB2018-3范本查阅。" </w:instrText>
      </w:r>
      <w:r>
        <w:rPr>
          <w:color w:val="auto"/>
          <w:highlight w:val="none"/>
        </w:rPr>
        <w:fldChar w:fldCharType="separate"/>
      </w:r>
      <w:r>
        <w:rPr>
          <w:rStyle w:val="24"/>
          <w:rFonts w:hint="eastAsia" w:cs="宋体"/>
          <w:b/>
          <w:color w:val="auto"/>
          <w:szCs w:val="21"/>
          <w:highlight w:val="none"/>
        </w:rPr>
        <w:t>http://zfcj.gz.gov.cn/）下载GZZB2018-3范本查阅。</w:t>
      </w:r>
      <w:r>
        <w:rPr>
          <w:rStyle w:val="24"/>
          <w:rFonts w:hint="eastAsia" w:cs="宋体"/>
          <w:b/>
          <w:color w:val="auto"/>
          <w:szCs w:val="21"/>
          <w:highlight w:val="none"/>
        </w:rPr>
        <w:fldChar w:fldCharType="end"/>
      </w:r>
    </w:p>
    <w:p w14:paraId="35BBD88C">
      <w:pP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条款号：36.1</w:t>
      </w:r>
      <w:r>
        <w:rPr>
          <w:rFonts w:hint="eastAsia" w:cs="宋体"/>
          <w:b/>
          <w:color w:val="auto"/>
          <w:szCs w:val="21"/>
          <w:highlight w:val="none"/>
        </w:rPr>
        <w:tab/>
      </w:r>
      <w:r>
        <w:rPr>
          <w:rFonts w:hint="eastAsia" w:cs="宋体"/>
          <w:b/>
          <w:color w:val="auto"/>
          <w:szCs w:val="21"/>
          <w:highlight w:val="none"/>
        </w:rPr>
        <w:t>修改类型：修改</w:t>
      </w:r>
    </w:p>
    <w:p w14:paraId="528079D6">
      <w:pPr>
        <w:spacing w:line="336" w:lineRule="auto"/>
        <w:ind w:firstLine="422" w:firstLineChars="200"/>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36.1招标人按投标须知前附表第18项所规定的时间和地点公开开标，并邀请所有投标人参加。截标后，开标开始时间因故推迟的，相关评标信息仍以原定的开标开始时间的信息为准。</w:t>
      </w:r>
    </w:p>
    <w:p w14:paraId="48822A51">
      <w:pPr>
        <w:pBdr>
          <w:bottom w:val="single" w:color="auto" w:sz="6" w:space="1"/>
        </w:pBdr>
        <w:spacing w:line="336" w:lineRule="auto"/>
        <w:ind w:firstLine="422" w:firstLineChars="200"/>
        <w:rPr>
          <w:rFonts w:cs="宋体"/>
          <w:color w:val="auto"/>
          <w:szCs w:val="21"/>
          <w:highlight w:val="none"/>
          <w:u w:val="single"/>
        </w:rPr>
      </w:pPr>
      <w:r>
        <w:rPr>
          <w:rFonts w:hint="eastAsia" w:cs="宋体"/>
          <w:b/>
          <w:color w:val="auto"/>
          <w:szCs w:val="21"/>
          <w:highlight w:val="none"/>
        </w:rPr>
        <w:t>现文：</w:t>
      </w:r>
      <w:r>
        <w:rPr>
          <w:rFonts w:hint="eastAsia" w:cs="宋体"/>
          <w:color w:val="auto"/>
          <w:szCs w:val="21"/>
          <w:highlight w:val="none"/>
        </w:rPr>
        <w:t>36.1招标人按投标须知前附表第18项所规定的时间和地点公开开标，并邀请所有投标人参加。截标后，开标开始时间因故推迟的，相关评标信息仍以原定的开标开始时间的信息为准。</w:t>
      </w:r>
      <w:r>
        <w:rPr>
          <w:rFonts w:hint="eastAsia" w:cs="宋体"/>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14:paraId="689093BE">
      <w:pP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条款号：36.3</w:t>
      </w:r>
      <w:r>
        <w:rPr>
          <w:rFonts w:hint="eastAsia" w:cs="宋体"/>
          <w:b/>
          <w:color w:val="auto"/>
          <w:szCs w:val="21"/>
          <w:highlight w:val="none"/>
        </w:rPr>
        <w:tab/>
      </w:r>
      <w:r>
        <w:rPr>
          <w:rFonts w:hint="eastAsia" w:cs="宋体"/>
          <w:b/>
          <w:color w:val="auto"/>
          <w:szCs w:val="21"/>
          <w:highlight w:val="none"/>
        </w:rPr>
        <w:t>修改类型：删除</w:t>
      </w:r>
    </w:p>
    <w:p w14:paraId="05C4DFF6">
      <w:pPr>
        <w:pBdr>
          <w:bottom w:val="single" w:color="auto" w:sz="6" w:space="1"/>
        </w:pBdr>
        <w:spacing w:line="336" w:lineRule="auto"/>
        <w:ind w:firstLine="422" w:firstLineChars="200"/>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5A31526F">
      <w:pP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条款号：36.5.1</w:t>
      </w:r>
      <w:r>
        <w:rPr>
          <w:rFonts w:hint="eastAsia" w:cs="宋体"/>
          <w:b/>
          <w:color w:val="auto"/>
          <w:szCs w:val="21"/>
          <w:highlight w:val="none"/>
        </w:rPr>
        <w:tab/>
      </w:r>
      <w:r>
        <w:rPr>
          <w:rFonts w:hint="eastAsia" w:cs="宋体"/>
          <w:b/>
          <w:color w:val="auto"/>
          <w:szCs w:val="21"/>
          <w:highlight w:val="none"/>
        </w:rPr>
        <w:t>修改类型：修改</w:t>
      </w:r>
    </w:p>
    <w:p w14:paraId="6595CD61">
      <w:pPr>
        <w:spacing w:line="336" w:lineRule="auto"/>
        <w:ind w:firstLine="422" w:firstLineChars="200"/>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36.5.1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p>
    <w:p w14:paraId="67F3F53A">
      <w:pPr>
        <w:pBdr>
          <w:bottom w:val="single" w:color="auto" w:sz="6" w:space="1"/>
        </w:pBdr>
        <w:spacing w:line="336" w:lineRule="auto"/>
        <w:ind w:firstLine="422" w:firstLineChars="200"/>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36.5.1在投标截止时间后</w:t>
      </w:r>
      <w:r>
        <w:rPr>
          <w:rFonts w:hint="eastAsia" w:cs="宋体"/>
          <w:color w:val="auto"/>
          <w:szCs w:val="21"/>
          <w:highlight w:val="none"/>
          <w:lang w:val="en-US" w:eastAsia="zh-CN"/>
        </w:rPr>
        <w:t>1个</w:t>
      </w:r>
      <w:r>
        <w:rPr>
          <w:rFonts w:hint="eastAsia" w:cs="宋体"/>
          <w:color w:val="auto"/>
          <w:szCs w:val="21"/>
          <w:highlight w:val="none"/>
        </w:rPr>
        <w:t>小时内，投标人通过</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交易平台对已递交的电子投标文件进行解密。投标人完成解密后，再由招标人进行解密。解密完成后，公布招标项目名称、投标人名称、投标报价、工期及其他内容；</w:t>
      </w:r>
    </w:p>
    <w:p w14:paraId="17AA5267">
      <w:pP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条款号：36.5.3</w:t>
      </w:r>
      <w:r>
        <w:rPr>
          <w:rFonts w:hint="eastAsia" w:cs="宋体"/>
          <w:b/>
          <w:color w:val="auto"/>
          <w:szCs w:val="21"/>
          <w:highlight w:val="none"/>
        </w:rPr>
        <w:tab/>
      </w:r>
      <w:r>
        <w:rPr>
          <w:rFonts w:hint="eastAsia" w:cs="宋体"/>
          <w:b/>
          <w:color w:val="auto"/>
          <w:szCs w:val="21"/>
          <w:highlight w:val="none"/>
        </w:rPr>
        <w:t>修改类型：修改</w:t>
      </w:r>
    </w:p>
    <w:p w14:paraId="532F5D94">
      <w:pPr>
        <w:spacing w:line="336" w:lineRule="auto"/>
        <w:ind w:firstLine="422" w:firstLineChars="200"/>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投标人代表、招标人代表、监标人、记录人等有关人员在开标记录上签字确认；若有关人员不签字的，不影响开标程序；</w:t>
      </w:r>
    </w:p>
    <w:p w14:paraId="63235FDE">
      <w:pPr>
        <w:pBdr>
          <w:bottom w:val="single" w:color="auto" w:sz="6" w:space="1"/>
        </w:pBdr>
        <w:spacing w:line="336" w:lineRule="auto"/>
        <w:ind w:firstLine="422" w:firstLineChars="200"/>
        <w:rPr>
          <w:rFonts w:cs="宋体"/>
          <w:b/>
          <w:color w:val="auto"/>
          <w:szCs w:val="21"/>
          <w:highlight w:val="none"/>
        </w:rPr>
      </w:pPr>
      <w:r>
        <w:rPr>
          <w:rFonts w:hint="eastAsia" w:cs="宋体"/>
          <w:b/>
          <w:color w:val="auto"/>
          <w:szCs w:val="21"/>
          <w:highlight w:val="none"/>
        </w:rPr>
        <w:t>现文：</w:t>
      </w:r>
      <w:r>
        <w:rPr>
          <w:rFonts w:hint="eastAsia" w:cs="宋体"/>
          <w:color w:val="auto"/>
          <w:szCs w:val="21"/>
          <w:highlight w:val="none"/>
        </w:rPr>
        <w:t>投标人代表、招标人代表、监标人、记录人等有关人员在开标记录上签字确认；若有关人员不签字的，不影响开标程序；</w:t>
      </w:r>
      <w:r>
        <w:rPr>
          <w:rFonts w:hint="eastAsia" w:cs="宋体"/>
          <w:color w:val="auto"/>
          <w:szCs w:val="21"/>
          <w:highlight w:val="none"/>
          <w:u w:val="single"/>
        </w:rPr>
        <w:t>若投标人不参加开标会的，或不签字确认的，视同该投标人认可开标结果。</w:t>
      </w:r>
    </w:p>
    <w:p w14:paraId="63AF183E">
      <w:pPr>
        <w:pBdr>
          <w:bottom w:val="single" w:color="auto" w:sz="4" w:space="1"/>
        </w:pBd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条款号：38.1</w:t>
      </w:r>
      <w:r>
        <w:rPr>
          <w:rFonts w:hint="eastAsia" w:cs="宋体"/>
          <w:b/>
          <w:color w:val="auto"/>
          <w:szCs w:val="21"/>
          <w:highlight w:val="none"/>
        </w:rPr>
        <w:tab/>
      </w:r>
      <w:r>
        <w:rPr>
          <w:rFonts w:hint="eastAsia" w:cs="宋体"/>
          <w:b/>
          <w:color w:val="auto"/>
          <w:szCs w:val="21"/>
          <w:highlight w:val="none"/>
        </w:rPr>
        <w:t>修改类型：修改</w:t>
      </w:r>
    </w:p>
    <w:p w14:paraId="392557A5">
      <w:pPr>
        <w:pBdr>
          <w:bottom w:val="single" w:color="auto" w:sz="4" w:space="1"/>
        </w:pBdr>
        <w:spacing w:line="336" w:lineRule="auto"/>
        <w:ind w:firstLine="422" w:firstLineChars="200"/>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4DA3A2F5">
      <w:pPr>
        <w:pBdr>
          <w:bottom w:val="single" w:color="auto" w:sz="4" w:space="1"/>
        </w:pBdr>
        <w:spacing w:line="336" w:lineRule="auto"/>
        <w:ind w:firstLine="422" w:firstLineChars="200"/>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w:t>
      </w:r>
      <w:r>
        <w:rPr>
          <w:rFonts w:hint="eastAsia" w:cs="宋体"/>
          <w:color w:val="auto"/>
          <w:szCs w:val="21"/>
          <w:highlight w:val="none"/>
          <w:u w:val="single"/>
        </w:rPr>
        <w:t>对投标文件含义不明确、对同类问题表述不一致、有明显文字和计算错误的内容以及细微偏差的内容作出澄清</w:t>
      </w:r>
      <w:r>
        <w:rPr>
          <w:rFonts w:hint="eastAsia" w:cs="宋体"/>
          <w:color w:val="auto"/>
          <w:szCs w:val="21"/>
          <w:highlight w:val="none"/>
        </w:rPr>
        <w:t>。</w:t>
      </w:r>
    </w:p>
    <w:p w14:paraId="2339F2F4">
      <w:pP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条款号：39.2</w:t>
      </w:r>
      <w:r>
        <w:rPr>
          <w:rFonts w:hint="eastAsia" w:cs="宋体"/>
          <w:b/>
          <w:color w:val="auto"/>
          <w:szCs w:val="21"/>
          <w:highlight w:val="none"/>
        </w:rPr>
        <w:tab/>
      </w:r>
      <w:r>
        <w:rPr>
          <w:rFonts w:hint="eastAsia" w:cs="宋体"/>
          <w:b/>
          <w:color w:val="auto"/>
          <w:szCs w:val="21"/>
          <w:highlight w:val="none"/>
        </w:rPr>
        <w:t>修改类型：修改</w:t>
      </w:r>
    </w:p>
    <w:p w14:paraId="7A9F24E4">
      <w:pPr>
        <w:spacing w:line="336" w:lineRule="auto"/>
        <w:ind w:firstLine="422" w:firstLineChars="200"/>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依法必须进行公开招标的项目，招标人应当确定排名第一的中标候选人为中标人；</w:t>
      </w:r>
    </w:p>
    <w:p w14:paraId="4CA4E1AF">
      <w:pPr>
        <w:pBdr>
          <w:bottom w:val="single" w:color="auto" w:sz="6" w:space="1"/>
        </w:pBdr>
        <w:spacing w:line="336" w:lineRule="auto"/>
        <w:ind w:firstLine="422" w:firstLineChars="200"/>
        <w:rPr>
          <w:rFonts w:cs="宋体"/>
          <w:b/>
          <w:color w:val="auto"/>
          <w:szCs w:val="21"/>
          <w:highlight w:val="none"/>
        </w:rPr>
      </w:pPr>
      <w:r>
        <w:rPr>
          <w:rFonts w:hint="eastAsia" w:cs="宋体"/>
          <w:b/>
          <w:color w:val="auto"/>
          <w:szCs w:val="21"/>
          <w:highlight w:val="none"/>
        </w:rPr>
        <w:t>现文：</w:t>
      </w:r>
      <w:r>
        <w:rPr>
          <w:rFonts w:hint="eastAsia" w:cs="宋体"/>
          <w:color w:val="auto"/>
          <w:szCs w:val="21"/>
          <w:highlight w:val="none"/>
        </w:rPr>
        <w:t>依法必须进行公开招标的项目，招标人应当确定排名第一的中标候选人为中标人，若在填报中标候选人公示信息时被发现委派的项目负责人已在其他在建项目中任职的，则不能进行中标候选人公示，招标人可以确定排名第二的中标候选人为中标人。</w:t>
      </w:r>
    </w:p>
    <w:p w14:paraId="14F04A3A">
      <w:pP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条款号：39.3</w:t>
      </w:r>
      <w:r>
        <w:rPr>
          <w:rFonts w:hint="eastAsia" w:cs="宋体"/>
          <w:b/>
          <w:color w:val="auto"/>
          <w:szCs w:val="21"/>
          <w:highlight w:val="none"/>
        </w:rPr>
        <w:tab/>
      </w:r>
      <w:r>
        <w:rPr>
          <w:rFonts w:hint="eastAsia" w:cs="宋体"/>
          <w:b/>
          <w:color w:val="auto"/>
          <w:szCs w:val="21"/>
          <w:highlight w:val="none"/>
        </w:rPr>
        <w:t>修改类型：修改</w:t>
      </w:r>
    </w:p>
    <w:p w14:paraId="32DC2A56">
      <w:pPr>
        <w:spacing w:line="336" w:lineRule="auto"/>
        <w:ind w:firstLine="422" w:firstLineChars="200"/>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排名第一的中标候选人放弃中标、或因不可抗力提出不能履行合同，或者招标文件规定应当提交履约担保而在规定的期限内未能提交的，招标人可以确定排名第二的中标候选人为中标人。</w:t>
      </w:r>
    </w:p>
    <w:p w14:paraId="2F3CA96C">
      <w:pPr>
        <w:pBdr>
          <w:bottom w:val="single" w:color="auto" w:sz="6" w:space="1"/>
        </w:pBdr>
        <w:spacing w:line="336" w:lineRule="auto"/>
        <w:ind w:firstLine="422" w:firstLineChars="200"/>
        <w:rPr>
          <w:rFonts w:cs="宋体"/>
          <w:color w:val="auto"/>
          <w:szCs w:val="21"/>
          <w:highlight w:val="none"/>
          <w:u w:val="single"/>
        </w:rPr>
      </w:pPr>
      <w:r>
        <w:rPr>
          <w:rFonts w:hint="eastAsia" w:cs="宋体"/>
          <w:b/>
          <w:color w:val="auto"/>
          <w:szCs w:val="21"/>
          <w:highlight w:val="none"/>
        </w:rPr>
        <w:t>现文：</w:t>
      </w:r>
      <w:r>
        <w:rPr>
          <w:rFonts w:hint="eastAsia" w:cs="宋体"/>
          <w:color w:val="auto"/>
          <w:szCs w:val="21"/>
          <w:highlight w:val="none"/>
        </w:rPr>
        <w:t>排名第一的中标候选人放弃中标、或因不可抗力提出不能履行合同，或者招标文件规定应当提交履约担保而在规定的期限内未能提交的，</w:t>
      </w:r>
      <w:r>
        <w:rPr>
          <w:rFonts w:hint="eastAsia" w:cs="宋体"/>
          <w:color w:val="auto"/>
          <w:szCs w:val="21"/>
          <w:highlight w:val="none"/>
          <w:u w:val="single"/>
        </w:rPr>
        <w:t>或经核查发现委派的项目负责人已在其他在建项目中任职的，</w:t>
      </w:r>
      <w:r>
        <w:rPr>
          <w:rFonts w:hint="eastAsia" w:cs="宋体"/>
          <w:color w:val="auto"/>
          <w:szCs w:val="21"/>
          <w:highlight w:val="none"/>
        </w:rPr>
        <w:t>招标人可以确定排名第二的中标候选人为中标人。</w:t>
      </w:r>
    </w:p>
    <w:p w14:paraId="25D6199E">
      <w:pPr>
        <w:spacing w:line="360" w:lineRule="auto"/>
        <w:ind w:firstLine="472" w:firstLineChars="224"/>
        <w:rPr>
          <w:rFonts w:cs="宋体"/>
          <w:b/>
          <w:color w:val="auto"/>
          <w:szCs w:val="21"/>
          <w:highlight w:val="none"/>
        </w:rPr>
      </w:pPr>
      <w:r>
        <w:rPr>
          <w:rFonts w:hint="eastAsia" w:cs="宋体"/>
          <w:b/>
          <w:color w:val="auto"/>
          <w:szCs w:val="21"/>
          <w:highlight w:val="none"/>
        </w:rPr>
        <w:t>条款号：</w:t>
      </w:r>
      <w:bookmarkStart w:id="13" w:name="_Toc2272558"/>
      <w:bookmarkStart w:id="14" w:name="_Toc21525502"/>
      <w:r>
        <w:rPr>
          <w:rFonts w:hint="eastAsia" w:cs="宋体"/>
          <w:b/>
          <w:color w:val="auto"/>
          <w:szCs w:val="21"/>
          <w:highlight w:val="none"/>
        </w:rPr>
        <w:t>（二）开标评标办法程序和细则</w:t>
      </w:r>
      <w:bookmarkEnd w:id="13"/>
      <w:bookmarkEnd w:id="14"/>
      <w:r>
        <w:rPr>
          <w:rFonts w:hint="eastAsia" w:cs="宋体"/>
          <w:b/>
          <w:color w:val="auto"/>
          <w:szCs w:val="21"/>
          <w:highlight w:val="none"/>
        </w:rPr>
        <w:t>修改类型：删除</w:t>
      </w:r>
    </w:p>
    <w:p w14:paraId="130D8B46">
      <w:pPr>
        <w:pBdr>
          <w:bottom w:val="single" w:color="auto" w:sz="6" w:space="1"/>
        </w:pBdr>
        <w:spacing w:line="360" w:lineRule="auto"/>
        <w:ind w:firstLine="527" w:firstLineChars="250"/>
        <w:rPr>
          <w:rFonts w:hint="eastAsia" w:cs="宋体"/>
          <w:b/>
          <w:color w:val="auto"/>
          <w:szCs w:val="21"/>
          <w:highlight w:val="none"/>
        </w:rPr>
      </w:pPr>
      <w:r>
        <w:rPr>
          <w:rFonts w:hint="eastAsia" w:cs="宋体"/>
          <w:b/>
          <w:color w:val="auto"/>
          <w:szCs w:val="21"/>
          <w:highlight w:val="none"/>
        </w:rPr>
        <w:t>原文：</w:t>
      </w:r>
    </w:p>
    <w:p w14:paraId="07192CD2">
      <w:pPr>
        <w:pBdr>
          <w:bottom w:val="single" w:color="auto" w:sz="6" w:space="1"/>
        </w:pBdr>
        <w:spacing w:line="360" w:lineRule="auto"/>
        <w:ind w:firstLine="527" w:firstLineChars="250"/>
        <w:rPr>
          <w:rFonts w:hint="eastAsia" w:cs="宋体"/>
          <w:b/>
          <w:color w:val="auto"/>
          <w:szCs w:val="21"/>
          <w:highlight w:val="none"/>
        </w:rPr>
      </w:pPr>
      <w:r>
        <w:rPr>
          <w:rFonts w:hint="eastAsia" w:cs="宋体"/>
          <w:b/>
          <w:color w:val="auto"/>
          <w:szCs w:val="21"/>
          <w:highlight w:val="none"/>
        </w:rPr>
        <w:t>注：以下八种评标办法所述企业综合诚信评价分数即投标截止当日广州市工程招标行业协会网站上公布的企业综合诚信评价60日诚信分。</w:t>
      </w:r>
    </w:p>
    <w:p w14:paraId="3EB56DC9">
      <w:pPr>
        <w:pBdr>
          <w:bottom w:val="single" w:color="auto" w:sz="6" w:space="1"/>
        </w:pBdr>
        <w:spacing w:line="360" w:lineRule="auto"/>
        <w:ind w:firstLine="1155" w:firstLineChars="550"/>
        <w:rPr>
          <w:rStyle w:val="24"/>
          <w:rFonts w:cs="宋体"/>
          <w:color w:val="auto"/>
          <w:szCs w:val="21"/>
          <w:highlight w:val="none"/>
        </w:rPr>
      </w:pPr>
      <w:r>
        <w:rPr>
          <w:rStyle w:val="24"/>
          <w:rFonts w:hint="eastAsia" w:cs="宋体"/>
          <w:color w:val="auto"/>
          <w:szCs w:val="21"/>
          <w:highlight w:val="none"/>
        </w:rPr>
        <w:t>可选</w:t>
      </w:r>
      <w:r>
        <w:rPr>
          <w:rFonts w:hint="eastAsia" w:cs="宋体"/>
          <w:color w:val="auto"/>
          <w:szCs w:val="21"/>
          <w:highlight w:val="none"/>
        </w:rPr>
        <w:t>办法</w:t>
      </w:r>
      <w:r>
        <w:rPr>
          <w:rStyle w:val="24"/>
          <w:rFonts w:hint="eastAsia" w:cs="宋体"/>
          <w:color w:val="auto"/>
          <w:szCs w:val="21"/>
          <w:highlight w:val="none"/>
        </w:rPr>
        <w:t>一（适合</w:t>
      </w:r>
      <w:r>
        <w:rPr>
          <w:rStyle w:val="24"/>
          <w:rFonts w:hint="eastAsia" w:cs="宋体"/>
          <w:color w:val="auto"/>
          <w:kern w:val="0"/>
          <w:szCs w:val="21"/>
          <w:highlight w:val="none"/>
        </w:rPr>
        <w:t>综合评分法一</w:t>
      </w:r>
      <w:r>
        <w:rPr>
          <w:rStyle w:val="24"/>
          <w:rFonts w:hint="eastAsia" w:cs="宋体"/>
          <w:color w:val="auto"/>
          <w:szCs w:val="21"/>
          <w:highlight w:val="none"/>
        </w:rPr>
        <w:t>，技术标与经济标先后分别开启）</w:t>
      </w:r>
    </w:p>
    <w:p w14:paraId="192E011C">
      <w:pPr>
        <w:pBdr>
          <w:bottom w:val="single" w:color="auto" w:sz="6" w:space="1"/>
        </w:pBdr>
        <w:spacing w:line="360" w:lineRule="auto"/>
        <w:ind w:firstLine="1155" w:firstLineChars="550"/>
        <w:rPr>
          <w:rStyle w:val="24"/>
          <w:rFonts w:cs="宋体"/>
          <w:color w:val="auto"/>
          <w:szCs w:val="21"/>
          <w:highlight w:val="none"/>
        </w:rPr>
      </w:pPr>
      <w:r>
        <w:rPr>
          <w:rStyle w:val="24"/>
          <w:rFonts w:hint="eastAsia" w:cs="宋体"/>
          <w:color w:val="auto"/>
          <w:szCs w:val="21"/>
          <w:highlight w:val="none"/>
        </w:rPr>
        <w:t>可选</w:t>
      </w:r>
      <w:r>
        <w:rPr>
          <w:rFonts w:hint="eastAsia" w:cs="宋体"/>
          <w:color w:val="auto"/>
          <w:szCs w:val="21"/>
          <w:highlight w:val="none"/>
        </w:rPr>
        <w:t>办法</w:t>
      </w:r>
      <w:r>
        <w:rPr>
          <w:rStyle w:val="24"/>
          <w:rFonts w:hint="eastAsia" w:cs="宋体"/>
          <w:color w:val="auto"/>
          <w:szCs w:val="21"/>
          <w:highlight w:val="none"/>
        </w:rPr>
        <w:t>二（适合综合评分法一，技术标与经济标同时开启）</w:t>
      </w:r>
    </w:p>
    <w:p w14:paraId="39D2EA10">
      <w:pPr>
        <w:pBdr>
          <w:bottom w:val="single" w:color="auto" w:sz="6" w:space="1"/>
        </w:pBdr>
        <w:spacing w:line="360" w:lineRule="auto"/>
        <w:ind w:firstLine="1155" w:firstLineChars="550"/>
        <w:rPr>
          <w:rStyle w:val="24"/>
          <w:rFonts w:cs="宋体"/>
          <w:color w:val="auto"/>
          <w:szCs w:val="21"/>
          <w:highlight w:val="none"/>
        </w:rPr>
      </w:pPr>
      <w:r>
        <w:rPr>
          <w:rStyle w:val="24"/>
          <w:rFonts w:hint="eastAsia" w:cs="宋体"/>
          <w:color w:val="auto"/>
          <w:szCs w:val="21"/>
          <w:highlight w:val="none"/>
        </w:rPr>
        <w:t>可选办法三（适合综合评分法二，技术标与经济标先后分别开启）</w:t>
      </w:r>
    </w:p>
    <w:p w14:paraId="0A9669C8">
      <w:pPr>
        <w:pBdr>
          <w:bottom w:val="single" w:color="auto" w:sz="6" w:space="1"/>
        </w:pBdr>
        <w:spacing w:line="360" w:lineRule="auto"/>
        <w:ind w:firstLine="1155" w:firstLineChars="550"/>
        <w:rPr>
          <w:rStyle w:val="24"/>
          <w:rFonts w:cs="宋体"/>
          <w:color w:val="auto"/>
          <w:szCs w:val="21"/>
          <w:highlight w:val="none"/>
        </w:rPr>
      </w:pPr>
      <w:r>
        <w:rPr>
          <w:rStyle w:val="24"/>
          <w:rFonts w:hint="eastAsia" w:cs="宋体"/>
          <w:color w:val="auto"/>
          <w:szCs w:val="21"/>
          <w:highlight w:val="none"/>
        </w:rPr>
        <w:t>可选办法四（适合综合评分法二，技术标与经济标同时开启）</w:t>
      </w:r>
    </w:p>
    <w:p w14:paraId="4CE28411">
      <w:pPr>
        <w:pBdr>
          <w:bottom w:val="single" w:color="auto" w:sz="6" w:space="1"/>
        </w:pBdr>
        <w:spacing w:line="360" w:lineRule="auto"/>
        <w:ind w:firstLine="1155" w:firstLineChars="550"/>
        <w:rPr>
          <w:rStyle w:val="24"/>
          <w:rFonts w:cs="宋体"/>
          <w:color w:val="auto"/>
          <w:szCs w:val="21"/>
          <w:highlight w:val="none"/>
        </w:rPr>
      </w:pPr>
      <w:r>
        <w:rPr>
          <w:rStyle w:val="24"/>
          <w:rFonts w:hint="eastAsia" w:cs="宋体"/>
          <w:color w:val="auto"/>
          <w:szCs w:val="21"/>
          <w:highlight w:val="none"/>
        </w:rPr>
        <w:t>可选办法五（适合综合评分法三，技术标与经济标先后分别开启）</w:t>
      </w:r>
    </w:p>
    <w:p w14:paraId="36CCCB4C">
      <w:pPr>
        <w:pBdr>
          <w:bottom w:val="single" w:color="auto" w:sz="6" w:space="1"/>
        </w:pBdr>
        <w:spacing w:line="360" w:lineRule="auto"/>
        <w:ind w:firstLine="1155" w:firstLineChars="550"/>
        <w:rPr>
          <w:rStyle w:val="24"/>
          <w:rFonts w:cs="宋体"/>
          <w:color w:val="auto"/>
          <w:szCs w:val="21"/>
          <w:highlight w:val="none"/>
        </w:rPr>
      </w:pPr>
      <w:r>
        <w:rPr>
          <w:rStyle w:val="24"/>
          <w:rFonts w:hint="eastAsia" w:cs="宋体"/>
          <w:color w:val="auto"/>
          <w:szCs w:val="21"/>
          <w:highlight w:val="none"/>
        </w:rPr>
        <w:t>可选办法六（适合综合评分法三，技术标与经济标同时开启）</w:t>
      </w:r>
    </w:p>
    <w:p w14:paraId="4FC442DF">
      <w:pPr>
        <w:pBdr>
          <w:bottom w:val="single" w:color="auto" w:sz="6" w:space="1"/>
        </w:pBdr>
        <w:spacing w:line="360" w:lineRule="auto"/>
        <w:ind w:firstLine="1155" w:firstLineChars="550"/>
        <w:rPr>
          <w:rFonts w:cs="宋体"/>
          <w:color w:val="auto"/>
          <w:szCs w:val="21"/>
          <w:highlight w:val="none"/>
        </w:rPr>
      </w:pPr>
      <w:r>
        <w:rPr>
          <w:rStyle w:val="24"/>
          <w:rFonts w:hint="eastAsia" w:cs="宋体"/>
          <w:color w:val="auto"/>
          <w:szCs w:val="21"/>
          <w:highlight w:val="none"/>
        </w:rPr>
        <w:t>可选办法八（适合经评审的最低投标价法，技术标与经济标同时开启）</w:t>
      </w:r>
    </w:p>
    <w:p w14:paraId="27E94918">
      <w:pP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条款号：41.1</w:t>
      </w:r>
      <w:r>
        <w:rPr>
          <w:rFonts w:hint="eastAsia" w:cs="宋体"/>
          <w:b/>
          <w:color w:val="auto"/>
          <w:szCs w:val="21"/>
          <w:highlight w:val="none"/>
        </w:rPr>
        <w:tab/>
      </w:r>
      <w:r>
        <w:rPr>
          <w:rFonts w:hint="eastAsia" w:cs="宋体"/>
          <w:b/>
          <w:color w:val="auto"/>
          <w:szCs w:val="21"/>
          <w:highlight w:val="none"/>
        </w:rPr>
        <w:t>修改类型：修改</w:t>
      </w:r>
    </w:p>
    <w:p w14:paraId="3757B47C">
      <w:pPr>
        <w:pBdr>
          <w:bottom w:val="single" w:color="auto" w:sz="6" w:space="1"/>
        </w:pBdr>
        <w:spacing w:line="336" w:lineRule="auto"/>
        <w:ind w:firstLine="422" w:firstLineChars="200"/>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41.1开标由招标人主持；</w:t>
      </w:r>
    </w:p>
    <w:p w14:paraId="025119AD">
      <w:pPr>
        <w:pBdr>
          <w:bottom w:val="single" w:color="auto" w:sz="6" w:space="1"/>
        </w:pBdr>
        <w:spacing w:line="336" w:lineRule="auto"/>
        <w:ind w:firstLine="422" w:firstLineChars="200"/>
        <w:rPr>
          <w:rFonts w:cs="宋体"/>
          <w:b/>
          <w:color w:val="auto"/>
          <w:szCs w:val="21"/>
          <w:highlight w:val="none"/>
        </w:rPr>
      </w:pPr>
      <w:r>
        <w:rPr>
          <w:rFonts w:hint="eastAsia" w:cs="宋体"/>
          <w:b/>
          <w:color w:val="auto"/>
          <w:szCs w:val="21"/>
          <w:highlight w:val="none"/>
        </w:rPr>
        <w:t>现文：</w:t>
      </w:r>
      <w:r>
        <w:rPr>
          <w:rFonts w:hint="eastAsia" w:cs="宋体"/>
          <w:color w:val="auto"/>
          <w:szCs w:val="21"/>
          <w:highlight w:val="none"/>
        </w:rPr>
        <w:t>41.1</w:t>
      </w:r>
      <w:r>
        <w:rPr>
          <w:rFonts w:hint="eastAsia" w:cs="宋体"/>
          <w:color w:val="auto"/>
          <w:szCs w:val="21"/>
          <w:highlight w:val="none"/>
          <w:u w:val="single"/>
        </w:rPr>
        <w:t>开标由招标人或其委托的招标代理机构主持；</w:t>
      </w:r>
    </w:p>
    <w:p w14:paraId="152E5C07">
      <w:pP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条款号：41.2.1</w:t>
      </w:r>
      <w:r>
        <w:rPr>
          <w:rFonts w:hint="eastAsia" w:cs="宋体"/>
          <w:b/>
          <w:color w:val="auto"/>
          <w:szCs w:val="21"/>
          <w:highlight w:val="none"/>
        </w:rPr>
        <w:tab/>
      </w:r>
      <w:r>
        <w:rPr>
          <w:rFonts w:hint="eastAsia" w:cs="宋体"/>
          <w:b/>
          <w:color w:val="auto"/>
          <w:szCs w:val="21"/>
          <w:highlight w:val="none"/>
        </w:rPr>
        <w:t>修改类型：修改</w:t>
      </w:r>
    </w:p>
    <w:p w14:paraId="6977C317">
      <w:pPr>
        <w:pBdr>
          <w:bottom w:val="single" w:color="auto" w:sz="6" w:space="1"/>
        </w:pBdr>
        <w:spacing w:line="336" w:lineRule="auto"/>
        <w:ind w:firstLine="422" w:firstLineChars="200"/>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41.2.1投标截止期前，各投标人递交投标文件（包括技术标投标文件、经济标投标文件）至交易平台。有关投标文件提交的事项详见第一章投标须知。</w:t>
      </w:r>
    </w:p>
    <w:p w14:paraId="55E341F0">
      <w:pPr>
        <w:pBdr>
          <w:bottom w:val="single" w:color="auto" w:sz="6" w:space="1"/>
        </w:pBdr>
        <w:spacing w:line="336" w:lineRule="auto"/>
        <w:ind w:firstLine="422" w:firstLineChars="200"/>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41.2.1投标截止期前，各投标人递交投标文件（包括技术标投标文件、经济标投标文件）至</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交易平台。有关投标文件提交的事项详见第一章投标须知。</w:t>
      </w:r>
    </w:p>
    <w:p w14:paraId="607ED542">
      <w:pPr>
        <w:pStyle w:val="5"/>
        <w:tabs>
          <w:tab w:val="left" w:pos="5245"/>
        </w:tabs>
        <w:spacing w:line="360" w:lineRule="auto"/>
        <w:ind w:firstLine="422"/>
        <w:rPr>
          <w:rFonts w:cs="宋体"/>
          <w:b/>
          <w:color w:val="auto"/>
          <w:szCs w:val="21"/>
          <w:highlight w:val="none"/>
        </w:rPr>
      </w:pPr>
      <w:r>
        <w:rPr>
          <w:rFonts w:hint="eastAsia" w:cs="宋体"/>
          <w:b/>
          <w:color w:val="auto"/>
          <w:szCs w:val="21"/>
          <w:highlight w:val="none"/>
        </w:rPr>
        <w:t>条款号：41.2.2</w:t>
      </w:r>
      <w:r>
        <w:rPr>
          <w:rFonts w:hint="eastAsia" w:cs="宋体"/>
          <w:b/>
          <w:color w:val="auto"/>
          <w:szCs w:val="21"/>
          <w:highlight w:val="none"/>
        </w:rPr>
        <w:tab/>
      </w:r>
      <w:r>
        <w:rPr>
          <w:rFonts w:hint="eastAsia" w:cs="宋体"/>
          <w:b/>
          <w:color w:val="auto"/>
          <w:szCs w:val="21"/>
          <w:highlight w:val="none"/>
        </w:rPr>
        <w:t>修改类型：删除</w:t>
      </w:r>
    </w:p>
    <w:p w14:paraId="70236D59">
      <w:pPr>
        <w:pBdr>
          <w:bottom w:val="single" w:color="auto" w:sz="6" w:space="1"/>
        </w:pBdr>
        <w:spacing w:line="360" w:lineRule="auto"/>
        <w:ind w:firstLine="422" w:firstLineChars="200"/>
        <w:rPr>
          <w:rFonts w:cs="宋体"/>
          <w:color w:val="auto"/>
          <w:szCs w:val="21"/>
          <w:highlight w:val="none"/>
        </w:rPr>
      </w:pPr>
      <w:r>
        <w:rPr>
          <w:rFonts w:hint="eastAsia" w:cs="宋体"/>
          <w:b/>
          <w:bCs/>
          <w:color w:val="auto"/>
          <w:szCs w:val="21"/>
          <w:highlight w:val="none"/>
        </w:rPr>
        <w:t>原文：</w:t>
      </w:r>
      <w:r>
        <w:rPr>
          <w:rFonts w:hint="eastAsia" w:cs="宋体"/>
          <w:color w:val="auto"/>
          <w:szCs w:val="21"/>
          <w:highlight w:val="none"/>
        </w:rPr>
        <w:t>41.2.2开标前，首先由招标人随机抽取确定该工程计算评标参考价的等分点值X。</w:t>
      </w:r>
    </w:p>
    <w:p w14:paraId="25D45767">
      <w:pP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条款号：41.3</w:t>
      </w:r>
      <w:r>
        <w:rPr>
          <w:rFonts w:hint="eastAsia" w:cs="宋体"/>
          <w:b/>
          <w:color w:val="auto"/>
          <w:szCs w:val="21"/>
          <w:highlight w:val="none"/>
        </w:rPr>
        <w:tab/>
      </w:r>
      <w:r>
        <w:rPr>
          <w:rFonts w:hint="eastAsia" w:cs="宋体"/>
          <w:b/>
          <w:color w:val="auto"/>
          <w:szCs w:val="21"/>
          <w:highlight w:val="none"/>
        </w:rPr>
        <w:t>修改类型：修改</w:t>
      </w:r>
    </w:p>
    <w:p w14:paraId="666D1A7A">
      <w:pPr>
        <w:pBdr>
          <w:bottom w:val="single" w:color="auto" w:sz="6" w:space="1"/>
        </w:pBdr>
        <w:spacing w:line="336" w:lineRule="auto"/>
        <w:ind w:firstLine="422" w:firstLineChars="200"/>
        <w:rPr>
          <w:rFonts w:cs="宋体"/>
          <w:color w:val="auto"/>
          <w:szCs w:val="21"/>
          <w:highlight w:val="none"/>
        </w:rPr>
      </w:pPr>
      <w:r>
        <w:rPr>
          <w:rFonts w:hint="eastAsia" w:cs="宋体"/>
          <w:b/>
          <w:bCs/>
          <w:color w:val="auto"/>
          <w:szCs w:val="21"/>
          <w:highlight w:val="none"/>
        </w:rPr>
        <w:t>原文：</w:t>
      </w:r>
      <w:r>
        <w:rPr>
          <w:rFonts w:hint="eastAsia" w:cs="宋体"/>
          <w:color w:val="auto"/>
          <w:szCs w:val="21"/>
          <w:highlight w:val="none"/>
        </w:rPr>
        <w:t>41.3招标人对开标过程进行记录，并存档备查，投标人在开标记录上签字。</w:t>
      </w:r>
    </w:p>
    <w:p w14:paraId="78B8D701">
      <w:pPr>
        <w:pBdr>
          <w:bottom w:val="single" w:color="auto" w:sz="6" w:space="1"/>
        </w:pBdr>
        <w:spacing w:line="336" w:lineRule="auto"/>
        <w:ind w:firstLine="422" w:firstLineChars="200"/>
        <w:rPr>
          <w:rFonts w:cs="宋体"/>
          <w:color w:val="auto"/>
          <w:szCs w:val="21"/>
          <w:highlight w:val="none"/>
        </w:rPr>
      </w:pPr>
      <w:r>
        <w:rPr>
          <w:rFonts w:hint="eastAsia" w:cs="宋体"/>
          <w:b/>
          <w:bCs/>
          <w:color w:val="auto"/>
          <w:szCs w:val="21"/>
          <w:highlight w:val="none"/>
        </w:rPr>
        <w:t>现文：</w:t>
      </w:r>
      <w:r>
        <w:rPr>
          <w:rFonts w:hint="eastAsia" w:cs="宋体"/>
          <w:color w:val="auto"/>
          <w:szCs w:val="21"/>
          <w:highlight w:val="none"/>
        </w:rPr>
        <w:t>41.3招标人</w:t>
      </w:r>
      <w:r>
        <w:rPr>
          <w:rFonts w:hint="eastAsia" w:cs="宋体"/>
          <w:color w:val="auto"/>
          <w:szCs w:val="21"/>
          <w:highlight w:val="none"/>
          <w:u w:val="single"/>
        </w:rPr>
        <w:t>或招标代理</w:t>
      </w:r>
      <w:r>
        <w:rPr>
          <w:rFonts w:hint="eastAsia" w:cs="宋体"/>
          <w:color w:val="auto"/>
          <w:szCs w:val="21"/>
          <w:highlight w:val="none"/>
        </w:rPr>
        <w:t>对开标过程进行记录，并存档备查，投标人在开标记录上签字，</w:t>
      </w:r>
      <w:r>
        <w:rPr>
          <w:rFonts w:hint="eastAsia" w:cs="宋体"/>
          <w:color w:val="auto"/>
          <w:szCs w:val="21"/>
          <w:highlight w:val="none"/>
          <w:u w:val="single"/>
        </w:rPr>
        <w:t>投标人未签字且未提出异议的将被视为默认开标结果</w:t>
      </w:r>
      <w:r>
        <w:rPr>
          <w:rFonts w:hint="eastAsia" w:cs="宋体"/>
          <w:color w:val="auto"/>
          <w:szCs w:val="21"/>
          <w:highlight w:val="none"/>
        </w:rPr>
        <w:t>。</w:t>
      </w:r>
    </w:p>
    <w:p w14:paraId="447B0133">
      <w:pP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条款号：42.2</w:t>
      </w:r>
      <w:r>
        <w:rPr>
          <w:rFonts w:hint="eastAsia" w:cs="宋体"/>
          <w:b/>
          <w:color w:val="auto"/>
          <w:szCs w:val="21"/>
          <w:highlight w:val="none"/>
        </w:rPr>
        <w:tab/>
      </w:r>
      <w:r>
        <w:rPr>
          <w:rFonts w:hint="eastAsia" w:cs="宋体"/>
          <w:b/>
          <w:color w:val="auto"/>
          <w:szCs w:val="21"/>
          <w:highlight w:val="none"/>
        </w:rPr>
        <w:t>修改类型：修改</w:t>
      </w:r>
    </w:p>
    <w:p w14:paraId="1C60C710">
      <w:pPr>
        <w:pBdr>
          <w:bottom w:val="single" w:color="auto" w:sz="6" w:space="1"/>
        </w:pBdr>
        <w:spacing w:line="336" w:lineRule="auto"/>
        <w:ind w:firstLine="422" w:firstLineChars="200"/>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42.2评标委员会的组成：方式。</w:t>
      </w:r>
    </w:p>
    <w:p w14:paraId="5B38D4CD">
      <w:pPr>
        <w:pBdr>
          <w:bottom w:val="single" w:color="auto" w:sz="6" w:space="1"/>
        </w:pBdr>
        <w:spacing w:line="336" w:lineRule="auto"/>
        <w:ind w:firstLine="420" w:firstLineChars="200"/>
        <w:rPr>
          <w:rFonts w:cs="宋体"/>
          <w:color w:val="auto"/>
          <w:szCs w:val="21"/>
          <w:highlight w:val="none"/>
        </w:rPr>
      </w:pPr>
      <w:r>
        <w:rPr>
          <w:rFonts w:hint="eastAsia" w:cs="宋体"/>
          <w:color w:val="auto"/>
          <w:szCs w:val="21"/>
          <w:highlight w:val="none"/>
        </w:rPr>
        <w:t>方式一：评标委员会为综合评标委员会，负责资格审查及评标工作。</w:t>
      </w:r>
    </w:p>
    <w:p w14:paraId="45FF0E73">
      <w:pPr>
        <w:pBdr>
          <w:bottom w:val="single" w:color="auto" w:sz="6" w:space="1"/>
        </w:pBdr>
        <w:spacing w:line="336" w:lineRule="auto"/>
        <w:ind w:firstLine="420" w:firstLineChars="200"/>
        <w:rPr>
          <w:rFonts w:cs="宋体"/>
          <w:b/>
          <w:color w:val="auto"/>
          <w:szCs w:val="21"/>
          <w:highlight w:val="none"/>
        </w:rPr>
      </w:pPr>
      <w:r>
        <w:rPr>
          <w:rFonts w:hint="eastAsia" w:cs="宋体"/>
          <w:color w:val="auto"/>
          <w:szCs w:val="21"/>
          <w:highlight w:val="none"/>
        </w:rPr>
        <w:t>方式二：评标委员会由技术评审组和经济评审组组成。其中：资格审查及技术评审由技术评标组负责，经济评审由经济评审组负责。</w:t>
      </w:r>
    </w:p>
    <w:p w14:paraId="52EBDCC3">
      <w:pPr>
        <w:pBdr>
          <w:bottom w:val="single" w:color="auto" w:sz="6" w:space="1"/>
        </w:pBdr>
        <w:spacing w:line="336" w:lineRule="auto"/>
        <w:ind w:firstLine="422" w:firstLineChars="200"/>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42.2评标委员会的组成：方式</w:t>
      </w:r>
      <w:r>
        <w:rPr>
          <w:rFonts w:hint="eastAsia" w:cs="宋体"/>
          <w:color w:val="auto"/>
          <w:szCs w:val="21"/>
          <w:highlight w:val="none"/>
          <w:u w:val="single"/>
        </w:rPr>
        <w:t>一</w:t>
      </w:r>
      <w:r>
        <w:rPr>
          <w:rFonts w:hint="eastAsia" w:cs="宋体"/>
          <w:color w:val="auto"/>
          <w:szCs w:val="21"/>
          <w:highlight w:val="none"/>
        </w:rPr>
        <w:t>。</w:t>
      </w:r>
    </w:p>
    <w:p w14:paraId="60C34A56">
      <w:pPr>
        <w:pBdr>
          <w:bottom w:val="single" w:color="auto" w:sz="6" w:space="1"/>
        </w:pBdr>
        <w:spacing w:line="336" w:lineRule="auto"/>
        <w:ind w:firstLine="420" w:firstLineChars="200"/>
        <w:rPr>
          <w:rFonts w:cs="宋体"/>
          <w:color w:val="auto"/>
          <w:szCs w:val="21"/>
          <w:highlight w:val="none"/>
        </w:rPr>
      </w:pPr>
      <w:r>
        <w:rPr>
          <w:rFonts w:hint="eastAsia" w:cs="宋体"/>
          <w:color w:val="auto"/>
          <w:szCs w:val="21"/>
          <w:highlight w:val="none"/>
        </w:rPr>
        <w:t>方式一：评标委员会为综合评标委员会，负责资格审查及评标工作。</w:t>
      </w:r>
    </w:p>
    <w:p w14:paraId="4BB66464">
      <w:pPr>
        <w:pStyle w:val="5"/>
        <w:tabs>
          <w:tab w:val="left" w:pos="5245"/>
        </w:tabs>
        <w:spacing w:line="360" w:lineRule="auto"/>
        <w:ind w:firstLine="422"/>
        <w:rPr>
          <w:rFonts w:cs="宋体"/>
          <w:b/>
          <w:color w:val="auto"/>
          <w:szCs w:val="21"/>
          <w:highlight w:val="none"/>
        </w:rPr>
      </w:pPr>
      <w:r>
        <w:rPr>
          <w:rFonts w:hint="eastAsia" w:cs="宋体"/>
          <w:b/>
          <w:color w:val="auto"/>
          <w:szCs w:val="21"/>
          <w:highlight w:val="none"/>
        </w:rPr>
        <w:t>条款号：43.1</w:t>
      </w:r>
      <w:r>
        <w:rPr>
          <w:rFonts w:hint="eastAsia" w:cs="宋体"/>
          <w:b/>
          <w:color w:val="auto"/>
          <w:szCs w:val="21"/>
          <w:highlight w:val="none"/>
        </w:rPr>
        <w:tab/>
      </w:r>
      <w:r>
        <w:rPr>
          <w:rFonts w:hint="eastAsia" w:cs="宋体"/>
          <w:b/>
          <w:color w:val="auto"/>
          <w:szCs w:val="21"/>
          <w:highlight w:val="none"/>
        </w:rPr>
        <w:t>修改类型：修改</w:t>
      </w:r>
    </w:p>
    <w:p w14:paraId="252BCACA">
      <w:pPr>
        <w:spacing w:line="360" w:lineRule="auto"/>
        <w:ind w:firstLine="422" w:firstLineChars="200"/>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14:paraId="0C0F9ABD">
      <w:pPr>
        <w:pBdr>
          <w:bottom w:val="single" w:color="auto" w:sz="6" w:space="1"/>
        </w:pBdr>
        <w:spacing w:line="360" w:lineRule="auto"/>
        <w:ind w:firstLine="422" w:firstLineChars="200"/>
        <w:rPr>
          <w:rFonts w:hint="eastAsia" w:cs="宋体"/>
          <w:color w:val="auto"/>
          <w:szCs w:val="21"/>
          <w:highlight w:val="none"/>
        </w:rPr>
      </w:pPr>
      <w:r>
        <w:rPr>
          <w:rFonts w:hint="eastAsia" w:cs="宋体"/>
          <w:b/>
          <w:color w:val="auto"/>
          <w:szCs w:val="21"/>
          <w:highlight w:val="none"/>
        </w:rPr>
        <w:t>现文：</w:t>
      </w:r>
      <w:r>
        <w:rPr>
          <w:rFonts w:hint="eastAsia" w:cs="宋体"/>
          <w:color w:val="auto"/>
          <w:szCs w:val="21"/>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1583CD84">
      <w:pPr>
        <w:pBdr>
          <w:bottom w:val="single" w:color="auto" w:sz="6" w:space="1"/>
        </w:pBdr>
        <w:spacing w:line="360" w:lineRule="auto"/>
        <w:ind w:firstLine="420" w:firstLineChars="200"/>
        <w:rPr>
          <w:rFonts w:hint="eastAsia" w:cs="宋体"/>
          <w:color w:val="auto"/>
          <w:szCs w:val="21"/>
          <w:highlight w:val="none"/>
        </w:rPr>
      </w:pPr>
    </w:p>
    <w:p w14:paraId="1A5EA205">
      <w:pPr>
        <w:pBdr>
          <w:bottom w:val="single" w:color="auto" w:sz="6" w:space="1"/>
        </w:pBdr>
        <w:spacing w:line="360" w:lineRule="auto"/>
        <w:ind w:firstLine="420" w:firstLineChars="200"/>
        <w:rPr>
          <w:rFonts w:hint="eastAsia" w:cs="宋体"/>
          <w:color w:val="auto"/>
          <w:szCs w:val="21"/>
          <w:highlight w:val="none"/>
        </w:rPr>
      </w:pPr>
    </w:p>
    <w:p w14:paraId="62606962">
      <w:pPr>
        <w:pBdr>
          <w:bottom w:val="single" w:color="auto" w:sz="6" w:space="1"/>
        </w:pBdr>
        <w:spacing w:line="360" w:lineRule="auto"/>
        <w:ind w:firstLine="420" w:firstLineChars="200"/>
        <w:rPr>
          <w:rFonts w:hint="eastAsia" w:cs="宋体"/>
          <w:color w:val="auto"/>
          <w:szCs w:val="21"/>
          <w:highlight w:val="none"/>
        </w:rPr>
      </w:pPr>
    </w:p>
    <w:p w14:paraId="1B555276">
      <w:pPr>
        <w:pStyle w:val="5"/>
        <w:tabs>
          <w:tab w:val="left" w:pos="5245"/>
        </w:tabs>
        <w:spacing w:line="360" w:lineRule="auto"/>
        <w:ind w:firstLine="422"/>
        <w:rPr>
          <w:b/>
          <w:color w:val="auto"/>
          <w:szCs w:val="21"/>
          <w:highlight w:val="none"/>
        </w:rPr>
      </w:pPr>
      <w:r>
        <w:rPr>
          <w:rFonts w:hint="eastAsia"/>
          <w:b/>
          <w:color w:val="auto"/>
          <w:szCs w:val="21"/>
          <w:highlight w:val="none"/>
        </w:rPr>
        <w:t>条款号：43.6</w:t>
      </w:r>
      <w:r>
        <w:rPr>
          <w:rFonts w:hint="eastAsia" w:cs="宋体"/>
          <w:b/>
          <w:color w:val="auto"/>
          <w:szCs w:val="21"/>
          <w:highlight w:val="none"/>
        </w:rPr>
        <w:tab/>
      </w:r>
      <w:r>
        <w:rPr>
          <w:rFonts w:hint="eastAsia"/>
          <w:b/>
          <w:color w:val="auto"/>
          <w:szCs w:val="21"/>
          <w:highlight w:val="none"/>
        </w:rPr>
        <w:t>修改类型：</w:t>
      </w:r>
      <w:r>
        <w:rPr>
          <w:rFonts w:hint="eastAsia" w:cs="宋体"/>
          <w:b/>
          <w:color w:val="auto"/>
          <w:szCs w:val="21"/>
          <w:highlight w:val="none"/>
        </w:rPr>
        <w:t>修改</w:t>
      </w:r>
    </w:p>
    <w:p w14:paraId="47D846FA">
      <w:pPr>
        <w:pBdr>
          <w:bottom w:val="single" w:color="auto" w:sz="6" w:space="1"/>
        </w:pBdr>
        <w:spacing w:line="360" w:lineRule="auto"/>
        <w:ind w:firstLine="422" w:firstLineChars="200"/>
        <w:rPr>
          <w:b/>
          <w:color w:val="auto"/>
          <w:szCs w:val="21"/>
          <w:highlight w:val="none"/>
        </w:rPr>
      </w:pPr>
      <w:r>
        <w:rPr>
          <w:rFonts w:hint="eastAsia"/>
          <w:b/>
          <w:color w:val="auto"/>
          <w:szCs w:val="21"/>
          <w:highlight w:val="none"/>
        </w:rPr>
        <w:t>原文：</w:t>
      </w:r>
      <w:r>
        <w:rPr>
          <w:rFonts w:hint="eastAsia"/>
          <w:color w:val="auto"/>
          <w:szCs w:val="21"/>
          <w:highlight w:val="none"/>
        </w:rPr>
        <w:t>43.6</w:t>
      </w:r>
      <w:r>
        <w:rPr>
          <w:color w:val="auto"/>
          <w:szCs w:val="21"/>
          <w:highlight w:val="none"/>
        </w:rPr>
        <w:t>资格审查合格的投标人少于3名的（当N个标段同时招标且不允许兼中时，资格审查合格的投标人少于N+2名），则本项目招标失败。</w:t>
      </w:r>
    </w:p>
    <w:p w14:paraId="25345C95">
      <w:pPr>
        <w:pBdr>
          <w:bottom w:val="single" w:color="auto" w:sz="6" w:space="1"/>
        </w:pBdr>
        <w:spacing w:line="360" w:lineRule="auto"/>
        <w:ind w:firstLine="422" w:firstLineChars="200"/>
        <w:rPr>
          <w:rFonts w:cs="宋体"/>
          <w:b/>
          <w:color w:val="auto"/>
          <w:szCs w:val="21"/>
          <w:highlight w:val="none"/>
          <w:u w:val="single"/>
        </w:rPr>
      </w:pPr>
      <w:r>
        <w:rPr>
          <w:rFonts w:hint="eastAsia" w:cs="宋体"/>
          <w:b/>
          <w:color w:val="auto"/>
          <w:szCs w:val="21"/>
          <w:highlight w:val="none"/>
        </w:rPr>
        <w:t>现文：</w:t>
      </w:r>
      <w:r>
        <w:rPr>
          <w:rFonts w:hint="eastAsia" w:cs="宋体"/>
          <w:color w:val="auto"/>
          <w:szCs w:val="21"/>
          <w:highlight w:val="none"/>
        </w:rPr>
        <w:t>43.6</w:t>
      </w:r>
      <w:r>
        <w:rPr>
          <w:color w:val="auto"/>
          <w:szCs w:val="21"/>
          <w:highlight w:val="none"/>
        </w:rPr>
        <w:t>资格审查合格的投标人少于3名的，则本项目招标失败。</w:t>
      </w:r>
    </w:p>
    <w:p w14:paraId="240EE8C7">
      <w:pPr>
        <w:pStyle w:val="5"/>
        <w:tabs>
          <w:tab w:val="left" w:pos="5245"/>
        </w:tabs>
        <w:spacing w:line="360" w:lineRule="auto"/>
        <w:ind w:firstLine="422"/>
        <w:rPr>
          <w:b/>
          <w:color w:val="auto"/>
          <w:szCs w:val="21"/>
          <w:highlight w:val="none"/>
        </w:rPr>
      </w:pPr>
      <w:r>
        <w:rPr>
          <w:rFonts w:hint="eastAsia"/>
          <w:b/>
          <w:color w:val="auto"/>
          <w:szCs w:val="21"/>
          <w:highlight w:val="none"/>
        </w:rPr>
        <w:t>条款号：44.1</w:t>
      </w:r>
      <w:r>
        <w:rPr>
          <w:rFonts w:hint="eastAsia" w:cs="宋体"/>
          <w:b/>
          <w:color w:val="auto"/>
          <w:szCs w:val="21"/>
          <w:highlight w:val="none"/>
        </w:rPr>
        <w:tab/>
      </w:r>
      <w:r>
        <w:rPr>
          <w:rFonts w:hint="eastAsia"/>
          <w:b/>
          <w:color w:val="auto"/>
          <w:szCs w:val="21"/>
          <w:highlight w:val="none"/>
        </w:rPr>
        <w:t>修改类型：修改</w:t>
      </w:r>
    </w:p>
    <w:p w14:paraId="3DD8C1FF">
      <w:pPr>
        <w:pBdr>
          <w:bottom w:val="single" w:color="auto" w:sz="6" w:space="1"/>
        </w:pBdr>
        <w:spacing w:line="360" w:lineRule="auto"/>
        <w:ind w:firstLine="422" w:firstLineChars="200"/>
        <w:rPr>
          <w:rFonts w:hint="eastAsia" w:eastAsia="宋体"/>
          <w:color w:val="auto"/>
          <w:szCs w:val="21"/>
          <w:highlight w:val="none"/>
          <w:lang w:eastAsia="zh-CN"/>
        </w:rPr>
      </w:pPr>
      <w:r>
        <w:rPr>
          <w:rFonts w:hint="eastAsia"/>
          <w:b/>
          <w:color w:val="auto"/>
          <w:szCs w:val="21"/>
          <w:highlight w:val="none"/>
        </w:rPr>
        <w:t>原文：</w:t>
      </w:r>
      <w:r>
        <w:rPr>
          <w:rFonts w:hint="eastAsia"/>
          <w:color w:val="auto"/>
          <w:szCs w:val="21"/>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p>
    <w:p w14:paraId="205814CB">
      <w:pPr>
        <w:pBdr>
          <w:bottom w:val="single" w:color="auto" w:sz="6" w:space="1"/>
        </w:pBdr>
        <w:spacing w:line="360" w:lineRule="auto"/>
        <w:ind w:firstLine="422" w:firstLineChars="200"/>
        <w:rPr>
          <w:color w:val="auto"/>
          <w:szCs w:val="21"/>
          <w:highlight w:val="none"/>
        </w:rPr>
      </w:pPr>
      <w:r>
        <w:rPr>
          <w:rFonts w:hint="eastAsia"/>
          <w:b/>
          <w:color w:val="auto"/>
          <w:szCs w:val="21"/>
          <w:highlight w:val="none"/>
        </w:rPr>
        <w:t>现文：</w:t>
      </w:r>
      <w:r>
        <w:rPr>
          <w:rFonts w:hint="eastAsia"/>
          <w:color w:val="auto"/>
          <w:szCs w:val="21"/>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评委发现投标文件中含义不明确、对同类问题表述不一致、有明显文字和计算错误的，应当要求投标人作必要的澄清、说明后再判定投标人是否通过有效性审查，不得直接否决投标</w:t>
      </w:r>
      <w:r>
        <w:rPr>
          <w:color w:val="auto"/>
          <w:szCs w:val="21"/>
          <w:highlight w:val="none"/>
        </w:rPr>
        <w:t>。</w:t>
      </w:r>
    </w:p>
    <w:p w14:paraId="54023A3A">
      <w:pPr>
        <w:pageBreakBefore w:val="0"/>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lang w:bidi="ar-SA"/>
        </w:rPr>
      </w:pPr>
      <w:r>
        <w:rPr>
          <w:rFonts w:hint="eastAsia" w:ascii="宋体" w:hAnsi="宋体" w:eastAsia="宋体" w:cs="宋体"/>
          <w:b/>
          <w:color w:val="auto"/>
          <w:sz w:val="21"/>
          <w:szCs w:val="21"/>
          <w:highlight w:val="none"/>
          <w:lang w:bidi="ar-SA"/>
        </w:rPr>
        <w:t>条款号：45修改类型：修改</w:t>
      </w:r>
    </w:p>
    <w:p w14:paraId="05C11774">
      <w:pPr>
        <w:pStyle w:val="19"/>
        <w:pageBreakBefore w:val="0"/>
        <w:tabs>
          <w:tab w:val="left" w:pos="7380"/>
        </w:tabs>
        <w:kinsoku/>
        <w:wordWrap/>
        <w:overflowPunct/>
        <w:topLinePunct w:val="0"/>
        <w:autoSpaceDE/>
        <w:autoSpaceDN/>
        <w:bidi w:val="0"/>
        <w:snapToGrid w:val="0"/>
        <w:spacing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bidi="ar-SA"/>
        </w:rPr>
        <w:t>原文：</w:t>
      </w:r>
      <w:r>
        <w:rPr>
          <w:rFonts w:hint="eastAsia" w:ascii="宋体" w:hAnsi="宋体" w:eastAsia="宋体" w:cs="宋体"/>
          <w:color w:val="auto"/>
          <w:sz w:val="21"/>
          <w:szCs w:val="21"/>
          <w:highlight w:val="none"/>
        </w:rPr>
        <w:t>45．经济标评审和得分汇总</w:t>
      </w:r>
    </w:p>
    <w:p w14:paraId="35D55763">
      <w:pPr>
        <w:pStyle w:val="19"/>
        <w:pageBreakBefore w:val="0"/>
        <w:tabs>
          <w:tab w:val="left" w:pos="7380"/>
        </w:tabs>
        <w:kinsoku/>
        <w:wordWrap/>
        <w:overflowPunct/>
        <w:topLinePunct w:val="0"/>
        <w:autoSpaceDE/>
        <w:autoSpaceDN/>
        <w:bidi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45.1若通过技术标有效性审查的投标人中所有投标报价均大于等于最高投标限价，则本项目招标失败，由招标人依法重新招标。</w:t>
      </w:r>
    </w:p>
    <w:p w14:paraId="29700259">
      <w:pPr>
        <w:pStyle w:val="19"/>
        <w:pageBreakBefore w:val="0"/>
        <w:tabs>
          <w:tab w:val="left" w:pos="7380"/>
        </w:tabs>
        <w:kinsoku/>
        <w:wordWrap/>
        <w:overflowPunct/>
        <w:topLinePunct w:val="0"/>
        <w:autoSpaceDE/>
        <w:autoSpaceDN/>
        <w:bidi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45.2计算评标参考价：</w:t>
      </w:r>
    </w:p>
    <w:p w14:paraId="49718306">
      <w:pPr>
        <w:pageBreakBefore w:val="0"/>
        <w:widowControl/>
        <w:kinsoku/>
        <w:wordWrap/>
        <w:overflowPunct/>
        <w:topLinePunct w:val="0"/>
        <w:autoSpaceDE/>
        <w:autoSpaceDN/>
        <w:bidi w:val="0"/>
        <w:spacing w:line="360" w:lineRule="auto"/>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SA"/>
        </w:rPr>
        <w:t>区间抽取法：</w:t>
      </w:r>
    </w:p>
    <w:p w14:paraId="3BB45DB9">
      <w:pPr>
        <w:pageBreakBefore w:val="0"/>
        <w:widowControl/>
        <w:kinsoku/>
        <w:wordWrap/>
        <w:overflowPunct/>
        <w:topLinePunct w:val="0"/>
        <w:autoSpaceDE/>
        <w:autoSpaceDN/>
        <w:bidi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bidi="ar-SA"/>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4A01D678">
      <w:pPr>
        <w:pageBreakBefore w:val="0"/>
        <w:widowControl/>
        <w:kinsoku/>
        <w:wordWrap/>
        <w:overflowPunct/>
        <w:topLinePunct w:val="0"/>
        <w:autoSpaceDE/>
        <w:autoSpaceDN/>
        <w:bidi w:val="0"/>
        <w:snapToGrid w:val="0"/>
        <w:spacing w:line="360" w:lineRule="auto"/>
        <w:ind w:firstLine="420" w:firstLineChars="200"/>
        <w:rPr>
          <w:rFonts w:hint="eastAsia" w:ascii="宋体" w:hAnsi="宋体" w:eastAsia="宋体" w:cs="宋体"/>
          <w:color w:val="auto"/>
          <w:kern w:val="0"/>
          <w:sz w:val="21"/>
          <w:szCs w:val="21"/>
          <w:highlight w:val="none"/>
          <w:vertAlign w:val="subscript"/>
        </w:rPr>
      </w:pPr>
      <w:r>
        <w:rPr>
          <w:rFonts w:hint="eastAsia" w:ascii="宋体" w:hAnsi="宋体" w:eastAsia="宋体" w:cs="宋体"/>
          <w:color w:val="auto"/>
          <w:kern w:val="0"/>
          <w:sz w:val="21"/>
          <w:szCs w:val="21"/>
          <w:highlight w:val="none"/>
          <w:lang w:bidi="ar-SA"/>
        </w:rPr>
        <w:t>评标参考价=（Q</w:t>
      </w:r>
      <w:r>
        <w:rPr>
          <w:rFonts w:hint="eastAsia" w:ascii="宋体" w:hAnsi="宋体" w:eastAsia="宋体" w:cs="宋体"/>
          <w:color w:val="auto"/>
          <w:kern w:val="0"/>
          <w:sz w:val="21"/>
          <w:szCs w:val="21"/>
          <w:highlight w:val="none"/>
          <w:vertAlign w:val="subscript"/>
          <w:lang w:bidi="ar-SA"/>
        </w:rPr>
        <w:t>高</w:t>
      </w:r>
      <w:r>
        <w:rPr>
          <w:rFonts w:hint="eastAsia" w:ascii="宋体" w:hAnsi="宋体" w:eastAsia="宋体" w:cs="宋体"/>
          <w:color w:val="auto"/>
          <w:kern w:val="0"/>
          <w:sz w:val="21"/>
          <w:szCs w:val="21"/>
          <w:highlight w:val="none"/>
          <w:lang w:bidi="ar-SA"/>
        </w:rPr>
        <w:t>-Q</w:t>
      </w:r>
      <w:r>
        <w:rPr>
          <w:rFonts w:hint="eastAsia" w:ascii="宋体" w:hAnsi="宋体" w:eastAsia="宋体" w:cs="宋体"/>
          <w:color w:val="auto"/>
          <w:kern w:val="0"/>
          <w:sz w:val="21"/>
          <w:szCs w:val="21"/>
          <w:highlight w:val="none"/>
          <w:vertAlign w:val="subscript"/>
          <w:lang w:bidi="ar-SA"/>
        </w:rPr>
        <w:t>低</w:t>
      </w:r>
      <w:r>
        <w:rPr>
          <w:rFonts w:hint="eastAsia" w:ascii="宋体" w:hAnsi="宋体" w:eastAsia="宋体" w:cs="宋体"/>
          <w:color w:val="auto"/>
          <w:kern w:val="0"/>
          <w:sz w:val="21"/>
          <w:szCs w:val="21"/>
          <w:highlight w:val="none"/>
          <w:lang w:bidi="ar-SA"/>
        </w:rPr>
        <w:t>）/100*Ｘ+Q</w:t>
      </w:r>
      <w:r>
        <w:rPr>
          <w:rFonts w:hint="eastAsia" w:ascii="宋体" w:hAnsi="宋体" w:eastAsia="宋体" w:cs="宋体"/>
          <w:color w:val="auto"/>
          <w:kern w:val="0"/>
          <w:sz w:val="21"/>
          <w:szCs w:val="21"/>
          <w:highlight w:val="none"/>
          <w:vertAlign w:val="subscript"/>
          <w:lang w:bidi="ar-SA"/>
        </w:rPr>
        <w:t>低</w:t>
      </w:r>
    </w:p>
    <w:p w14:paraId="76144413">
      <w:pPr>
        <w:pageBreakBefore w:val="0"/>
        <w:widowControl/>
        <w:kinsoku/>
        <w:wordWrap/>
        <w:overflowPunct/>
        <w:topLinePunct w:val="0"/>
        <w:autoSpaceDE/>
        <w:autoSpaceDN/>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SA"/>
        </w:rPr>
        <w:t>Q</w:t>
      </w:r>
      <w:r>
        <w:rPr>
          <w:rFonts w:hint="eastAsia" w:ascii="宋体" w:hAnsi="宋体" w:eastAsia="宋体" w:cs="宋体"/>
          <w:color w:val="auto"/>
          <w:sz w:val="21"/>
          <w:szCs w:val="21"/>
          <w:highlight w:val="none"/>
          <w:vertAlign w:val="subscript"/>
          <w:lang w:bidi="ar-SA"/>
        </w:rPr>
        <w:t>低</w:t>
      </w:r>
      <w:r>
        <w:rPr>
          <w:rFonts w:hint="eastAsia" w:ascii="宋体" w:hAnsi="宋体" w:eastAsia="宋体" w:cs="宋体"/>
          <w:color w:val="auto"/>
          <w:sz w:val="21"/>
          <w:szCs w:val="21"/>
          <w:highlight w:val="none"/>
          <w:lang w:bidi="ar-SA"/>
        </w:rPr>
        <w:t>：为达到或超过技术标及格分数线的投标人最低报价与工程成本警示价两者中的较高值；</w:t>
      </w:r>
    </w:p>
    <w:p w14:paraId="74AAD0A5">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kern w:val="0"/>
          <w:sz w:val="21"/>
          <w:szCs w:val="21"/>
          <w:highlight w:val="none"/>
          <w:lang w:bidi="ar-SA"/>
        </w:rPr>
        <w:t>Q</w:t>
      </w:r>
      <w:r>
        <w:rPr>
          <w:rFonts w:hint="eastAsia" w:ascii="宋体" w:hAnsi="宋体" w:eastAsia="宋体" w:cs="宋体"/>
          <w:color w:val="auto"/>
          <w:kern w:val="0"/>
          <w:sz w:val="21"/>
          <w:szCs w:val="21"/>
          <w:highlight w:val="none"/>
          <w:vertAlign w:val="subscript"/>
          <w:lang w:bidi="ar-SA"/>
        </w:rPr>
        <w:t>高</w:t>
      </w:r>
      <w:r>
        <w:rPr>
          <w:rFonts w:hint="eastAsia" w:ascii="宋体" w:hAnsi="宋体" w:eastAsia="宋体" w:cs="宋体"/>
          <w:color w:val="auto"/>
          <w:sz w:val="21"/>
          <w:szCs w:val="21"/>
          <w:highlight w:val="none"/>
          <w:lang w:bidi="ar-SA"/>
        </w:rPr>
        <w:t>：最高投标限价</w:t>
      </w:r>
    </w:p>
    <w:p w14:paraId="6C8207DC">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SA"/>
        </w:rPr>
        <w:t>X：为等分点值，在开标前从[0,100]整数中随机抽取</w:t>
      </w:r>
    </w:p>
    <w:p w14:paraId="5CE00369">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SA"/>
        </w:rPr>
        <w:t>45.3</w:t>
      </w:r>
      <w:r>
        <w:rPr>
          <w:rFonts w:hint="eastAsia" w:ascii="宋体" w:hAnsi="宋体" w:eastAsia="宋体" w:cs="宋体"/>
          <w:color w:val="auto"/>
          <w:sz w:val="21"/>
          <w:szCs w:val="21"/>
          <w:highlight w:val="none"/>
        </w:rPr>
        <w:t>当标价等于评标参考价时得100分，标价每高于评标参考价1%，扣1.5分，每低于评标参考价1%，扣1分，扣至0分为止，得出经济分，精确到小数点后两位。</w:t>
      </w:r>
    </w:p>
    <w:p w14:paraId="24CBD0D2">
      <w:pPr>
        <w:pStyle w:val="19"/>
        <w:pageBreakBefore w:val="0"/>
        <w:tabs>
          <w:tab w:val="left" w:pos="7380"/>
        </w:tabs>
        <w:kinsoku/>
        <w:wordWrap/>
        <w:overflowPunct/>
        <w:topLinePunct w:val="0"/>
        <w:autoSpaceDE/>
        <w:autoSpaceDN/>
        <w:bidi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45.4计算通过技术标有效性审查的投标人总得分。投标人总得分=（技术得分×技术得分权重</w:t>
      </w:r>
      <w:r>
        <w:rPr>
          <w:rFonts w:hint="eastAsia" w:ascii="宋体" w:hAnsi="宋体" w:eastAsia="宋体" w:cs="宋体"/>
          <w:color w:val="auto"/>
          <w:sz w:val="21"/>
          <w:szCs w:val="21"/>
          <w:highlight w:val="none"/>
          <w:lang w:bidi="ar-SA"/>
        </w:rPr>
        <w:t>＋</w:t>
      </w:r>
      <w:r>
        <w:rPr>
          <w:rFonts w:hint="eastAsia" w:ascii="宋体" w:hAnsi="宋体" w:eastAsia="宋体" w:cs="宋体"/>
          <w:color w:val="auto"/>
          <w:sz w:val="21"/>
          <w:szCs w:val="21"/>
          <w:highlight w:val="none"/>
        </w:rPr>
        <w:t>经济得分×经济得分权重）×（1-综合诚信评价分数权重）</w:t>
      </w:r>
      <w:r>
        <w:rPr>
          <w:rFonts w:hint="eastAsia" w:ascii="宋体" w:hAnsi="宋体" w:eastAsia="宋体" w:cs="宋体"/>
          <w:color w:val="auto"/>
          <w:sz w:val="21"/>
          <w:szCs w:val="21"/>
          <w:highlight w:val="none"/>
          <w:lang w:bidi="ar-SA"/>
        </w:rPr>
        <w:t>＋</w:t>
      </w:r>
      <w:r>
        <w:rPr>
          <w:rFonts w:hint="eastAsia" w:ascii="宋体" w:hAnsi="宋体" w:eastAsia="宋体" w:cs="宋体"/>
          <w:color w:val="auto"/>
          <w:sz w:val="21"/>
          <w:szCs w:val="21"/>
          <w:highlight w:val="none"/>
        </w:rPr>
        <w:t>综合诚信评价排名得分×综合诚信评价分数权重）。技术、经济得分权重按投标须知前附表的规定执行。总得分四舍五入保留两位小数。</w:t>
      </w:r>
    </w:p>
    <w:p w14:paraId="1E80472D">
      <w:pPr>
        <w:pStyle w:val="19"/>
        <w:tabs>
          <w:tab w:val="left" w:pos="7380"/>
        </w:tabs>
        <w:snapToGrid w:val="0"/>
        <w:spacing w:after="0" w:line="360" w:lineRule="auto"/>
        <w:ind w:firstLine="422" w:firstLineChars="200"/>
        <w:rPr>
          <w:rFonts w:ascii="宋体"/>
          <w:color w:val="auto"/>
          <w:sz w:val="21"/>
          <w:szCs w:val="21"/>
          <w:highlight w:val="none"/>
        </w:rPr>
      </w:pPr>
      <w:r>
        <w:rPr>
          <w:rFonts w:hint="eastAsia" w:ascii="宋体" w:hAnsi="宋体" w:cs="宋体"/>
          <w:b/>
          <w:color w:val="auto"/>
          <w:sz w:val="21"/>
          <w:szCs w:val="21"/>
          <w:highlight w:val="none"/>
        </w:rPr>
        <w:t>现文：</w:t>
      </w:r>
      <w:r>
        <w:rPr>
          <w:rFonts w:hint="eastAsia" w:ascii="宋体"/>
          <w:color w:val="auto"/>
          <w:sz w:val="21"/>
          <w:szCs w:val="21"/>
          <w:highlight w:val="none"/>
        </w:rPr>
        <w:t>45．经济标评审和得分汇总</w:t>
      </w:r>
    </w:p>
    <w:p w14:paraId="53D99F5D">
      <w:pPr>
        <w:pStyle w:val="19"/>
        <w:tabs>
          <w:tab w:val="left" w:pos="7380"/>
        </w:tabs>
        <w:snapToGrid w:val="0"/>
        <w:spacing w:after="0"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45.1若通过技术标有效性审查的投标人中所有投标报价均大于等于最高投标限价，则本项目招标失败，由招标人依法重新招标。</w:t>
      </w:r>
    </w:p>
    <w:p w14:paraId="0E0FC07E">
      <w:pPr>
        <w:pStyle w:val="19"/>
        <w:tabs>
          <w:tab w:val="left" w:pos="7380"/>
        </w:tabs>
        <w:snapToGrid w:val="0"/>
        <w:spacing w:after="0"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45.2计算评标参考价：</w:t>
      </w:r>
    </w:p>
    <w:p w14:paraId="06096439">
      <w:pPr>
        <w:widowControl/>
        <w:spacing w:line="360" w:lineRule="auto"/>
        <w:ind w:firstLine="422" w:firstLineChars="200"/>
        <w:rPr>
          <w:rFonts w:ascii="宋体" w:hAnsi="宋体"/>
          <w:b/>
          <w:bCs/>
          <w:color w:val="auto"/>
          <w:kern w:val="0"/>
          <w:sz w:val="21"/>
          <w:szCs w:val="21"/>
          <w:highlight w:val="none"/>
        </w:rPr>
      </w:pPr>
      <w:r>
        <w:rPr>
          <w:rFonts w:hint="eastAsia" w:ascii="宋体" w:hAnsi="宋体" w:cs="仿宋"/>
          <w:b/>
          <w:bCs/>
          <w:color w:val="auto"/>
          <w:kern w:val="0"/>
          <w:sz w:val="21"/>
          <w:szCs w:val="21"/>
          <w:highlight w:val="none"/>
        </w:rPr>
        <w:t>区间抽取法：</w:t>
      </w:r>
    </w:p>
    <w:p w14:paraId="440CEC57">
      <w:pPr>
        <w:widowControl/>
        <w:snapToGrid w:val="0"/>
        <w:spacing w:line="360" w:lineRule="auto"/>
        <w:ind w:firstLine="420" w:firstLineChars="200"/>
        <w:rPr>
          <w:rFonts w:ascii="宋体" w:hAnsi="宋体"/>
          <w:color w:val="auto"/>
          <w:kern w:val="0"/>
          <w:sz w:val="21"/>
          <w:szCs w:val="21"/>
          <w:highlight w:val="none"/>
        </w:rPr>
      </w:pPr>
      <w:r>
        <w:rPr>
          <w:rFonts w:hint="eastAsia" w:ascii="宋体" w:hAnsi="宋体" w:cs="仿宋"/>
          <w:color w:val="auto"/>
          <w:sz w:val="21"/>
          <w:szCs w:val="21"/>
          <w:highlight w:val="none"/>
        </w:rPr>
        <w:t>设立入围合格分数线（本项目入围及格分数线为技术标得分为</w:t>
      </w:r>
      <w:r>
        <w:rPr>
          <w:rFonts w:hint="eastAsia" w:ascii="宋体" w:hAnsi="宋体" w:cs="仿宋"/>
          <w:color w:val="auto"/>
          <w:sz w:val="21"/>
          <w:szCs w:val="21"/>
          <w:highlight w:val="none"/>
          <w:lang w:val="en-US" w:eastAsia="zh-CN"/>
        </w:rPr>
        <w:t>8</w:t>
      </w:r>
      <w:r>
        <w:rPr>
          <w:rFonts w:hint="eastAsia" w:ascii="宋体" w:hAnsi="宋体" w:cs="仿宋"/>
          <w:color w:val="auto"/>
          <w:sz w:val="21"/>
          <w:szCs w:val="21"/>
          <w:highlight w:val="none"/>
        </w:rPr>
        <w:t>0分），达到或超过及格线的投标人的报价方能参与评标参考</w:t>
      </w:r>
      <w:bookmarkStart w:id="36" w:name="_GoBack"/>
      <w:bookmarkEnd w:id="36"/>
      <w:r>
        <w:rPr>
          <w:rFonts w:hint="eastAsia" w:ascii="宋体" w:hAnsi="宋体" w:cs="仿宋"/>
          <w:color w:val="auto"/>
          <w:sz w:val="21"/>
          <w:szCs w:val="21"/>
          <w:highlight w:val="none"/>
        </w:rPr>
        <w:t>价的计算。将达到或超过技术标及格分数线的投标报价由低至高进行排列，按以下公式计算评标参考价，计算公式如下：</w:t>
      </w:r>
    </w:p>
    <w:p w14:paraId="03936E81">
      <w:pPr>
        <w:widowControl/>
        <w:snapToGrid w:val="0"/>
        <w:spacing w:line="360" w:lineRule="auto"/>
        <w:ind w:firstLine="420" w:firstLineChars="200"/>
        <w:rPr>
          <w:rFonts w:ascii="宋体" w:hAnsi="宋体"/>
          <w:color w:val="auto"/>
          <w:kern w:val="0"/>
          <w:sz w:val="21"/>
          <w:szCs w:val="21"/>
          <w:highlight w:val="none"/>
          <w:vertAlign w:val="subscript"/>
        </w:rPr>
      </w:pPr>
      <w:r>
        <w:rPr>
          <w:rFonts w:hint="eastAsia" w:ascii="宋体" w:hAnsi="宋体" w:cs="仿宋"/>
          <w:color w:val="auto"/>
          <w:kern w:val="0"/>
          <w:sz w:val="21"/>
          <w:szCs w:val="21"/>
          <w:highlight w:val="none"/>
        </w:rPr>
        <w:t>评标参考价</w:t>
      </w:r>
      <w:r>
        <w:rPr>
          <w:rFonts w:ascii="宋体" w:hAnsi="宋体" w:cs="仿宋"/>
          <w:color w:val="auto"/>
          <w:kern w:val="0"/>
          <w:sz w:val="21"/>
          <w:szCs w:val="21"/>
          <w:highlight w:val="none"/>
        </w:rPr>
        <w:t>=</w:t>
      </w:r>
      <w:r>
        <w:rPr>
          <w:rFonts w:hint="eastAsia" w:ascii="宋体" w:hAnsi="宋体" w:cs="仿宋"/>
          <w:color w:val="auto"/>
          <w:kern w:val="0"/>
          <w:sz w:val="21"/>
          <w:szCs w:val="21"/>
          <w:highlight w:val="none"/>
        </w:rPr>
        <w:t>（</w:t>
      </w:r>
      <w:r>
        <w:rPr>
          <w:rFonts w:ascii="宋体" w:hAnsi="宋体" w:cs="仿宋"/>
          <w:color w:val="auto"/>
          <w:kern w:val="0"/>
          <w:sz w:val="21"/>
          <w:szCs w:val="21"/>
          <w:highlight w:val="none"/>
        </w:rPr>
        <w:t>Q</w:t>
      </w:r>
      <w:r>
        <w:rPr>
          <w:rFonts w:hint="eastAsia" w:ascii="宋体" w:hAnsi="宋体" w:cs="仿宋"/>
          <w:color w:val="auto"/>
          <w:kern w:val="0"/>
          <w:sz w:val="21"/>
          <w:szCs w:val="21"/>
          <w:highlight w:val="none"/>
          <w:vertAlign w:val="subscript"/>
        </w:rPr>
        <w:t>高</w:t>
      </w:r>
      <w:r>
        <w:rPr>
          <w:rFonts w:ascii="宋体" w:hAnsi="宋体" w:cs="仿宋"/>
          <w:color w:val="auto"/>
          <w:kern w:val="0"/>
          <w:sz w:val="21"/>
          <w:szCs w:val="21"/>
          <w:highlight w:val="none"/>
        </w:rPr>
        <w:t>-Q</w:t>
      </w:r>
      <w:r>
        <w:rPr>
          <w:rFonts w:hint="eastAsia" w:ascii="宋体" w:hAnsi="宋体" w:cs="仿宋"/>
          <w:color w:val="auto"/>
          <w:kern w:val="0"/>
          <w:sz w:val="21"/>
          <w:szCs w:val="21"/>
          <w:highlight w:val="none"/>
          <w:vertAlign w:val="subscript"/>
        </w:rPr>
        <w:t>低</w:t>
      </w:r>
      <w:r>
        <w:rPr>
          <w:rFonts w:hint="eastAsia" w:ascii="宋体" w:hAnsi="宋体" w:cs="仿宋"/>
          <w:color w:val="auto"/>
          <w:kern w:val="0"/>
          <w:sz w:val="21"/>
          <w:szCs w:val="21"/>
          <w:highlight w:val="none"/>
        </w:rPr>
        <w:t>）</w:t>
      </w:r>
      <w:r>
        <w:rPr>
          <w:rFonts w:ascii="宋体" w:hAnsi="宋体" w:cs="仿宋"/>
          <w:color w:val="auto"/>
          <w:kern w:val="0"/>
          <w:sz w:val="21"/>
          <w:szCs w:val="21"/>
          <w:highlight w:val="none"/>
        </w:rPr>
        <w:t>/100*</w:t>
      </w:r>
      <w:r>
        <w:rPr>
          <w:rFonts w:hint="eastAsia" w:ascii="宋体" w:hAnsi="宋体" w:cs="仿宋"/>
          <w:color w:val="auto"/>
          <w:kern w:val="0"/>
          <w:sz w:val="21"/>
          <w:szCs w:val="21"/>
          <w:highlight w:val="none"/>
        </w:rPr>
        <w:t>Ｘ</w:t>
      </w:r>
      <w:r>
        <w:rPr>
          <w:rFonts w:ascii="宋体" w:hAnsi="宋体" w:cs="仿宋"/>
          <w:color w:val="auto"/>
          <w:kern w:val="0"/>
          <w:sz w:val="21"/>
          <w:szCs w:val="21"/>
          <w:highlight w:val="none"/>
        </w:rPr>
        <w:t>+Q</w:t>
      </w:r>
      <w:r>
        <w:rPr>
          <w:rFonts w:hint="eastAsia" w:ascii="宋体" w:hAnsi="宋体" w:cs="仿宋"/>
          <w:color w:val="auto"/>
          <w:kern w:val="0"/>
          <w:sz w:val="21"/>
          <w:szCs w:val="21"/>
          <w:highlight w:val="none"/>
          <w:vertAlign w:val="subscript"/>
        </w:rPr>
        <w:t>低</w:t>
      </w:r>
    </w:p>
    <w:p w14:paraId="04B11DA9">
      <w:pPr>
        <w:widowControl/>
        <w:snapToGrid w:val="0"/>
        <w:spacing w:line="360" w:lineRule="auto"/>
        <w:ind w:firstLine="420" w:firstLineChars="200"/>
        <w:rPr>
          <w:rFonts w:ascii="宋体" w:hAnsi="宋体"/>
          <w:b/>
          <w:bCs/>
          <w:color w:val="FF0000"/>
          <w:sz w:val="21"/>
          <w:szCs w:val="21"/>
          <w:highlight w:val="none"/>
        </w:rPr>
      </w:pPr>
      <w:r>
        <w:rPr>
          <w:rFonts w:ascii="宋体" w:hAnsi="宋体" w:cs="仿宋"/>
          <w:color w:val="auto"/>
          <w:sz w:val="21"/>
          <w:szCs w:val="21"/>
          <w:highlight w:val="none"/>
        </w:rPr>
        <w:t>Q</w:t>
      </w:r>
      <w:r>
        <w:rPr>
          <w:rFonts w:hint="eastAsia" w:ascii="宋体" w:hAnsi="宋体" w:cs="仿宋"/>
          <w:color w:val="auto"/>
          <w:sz w:val="21"/>
          <w:szCs w:val="21"/>
          <w:highlight w:val="none"/>
          <w:vertAlign w:val="subscript"/>
        </w:rPr>
        <w:t>低</w:t>
      </w:r>
      <w:r>
        <w:rPr>
          <w:rFonts w:hint="eastAsia" w:ascii="宋体" w:hAnsi="宋体" w:cs="仿宋"/>
          <w:color w:val="auto"/>
          <w:sz w:val="21"/>
          <w:szCs w:val="21"/>
          <w:highlight w:val="none"/>
          <w:lang w:val="en-US" w:eastAsia="zh-CN"/>
        </w:rPr>
        <w:t>：</w:t>
      </w:r>
      <w:r>
        <w:rPr>
          <w:rFonts w:hint="eastAsia" w:ascii="宋体" w:hAnsi="宋体" w:cs="仿宋"/>
          <w:b w:val="0"/>
          <w:bCs w:val="0"/>
          <w:color w:val="FF0000"/>
          <w:sz w:val="21"/>
          <w:szCs w:val="21"/>
          <w:highlight w:val="none"/>
          <w:lang w:val="en-US" w:eastAsia="zh-CN"/>
        </w:rPr>
        <w:t>为达到或超过技术标及格分数线的投标人最低报价与工程成本警示价两者中的较高值；若无超过技术标及格分数线的投标人，则Q</w:t>
      </w:r>
      <w:r>
        <w:rPr>
          <w:rFonts w:hint="eastAsia" w:ascii="宋体" w:hAnsi="宋体" w:cs="仿宋"/>
          <w:b w:val="0"/>
          <w:bCs w:val="0"/>
          <w:color w:val="FF0000"/>
          <w:sz w:val="21"/>
          <w:szCs w:val="21"/>
          <w:highlight w:val="none"/>
          <w:vertAlign w:val="subscript"/>
          <w:lang w:val="en-US" w:eastAsia="zh-CN"/>
        </w:rPr>
        <w:t>低</w:t>
      </w:r>
      <w:r>
        <w:rPr>
          <w:rFonts w:hint="eastAsia" w:ascii="宋体" w:hAnsi="宋体" w:cs="仿宋"/>
          <w:b w:val="0"/>
          <w:bCs w:val="0"/>
          <w:color w:val="FF0000"/>
          <w:sz w:val="21"/>
          <w:szCs w:val="21"/>
          <w:highlight w:val="none"/>
          <w:lang w:val="en-US" w:eastAsia="zh-CN"/>
        </w:rPr>
        <w:t>为工程成本警示价。</w:t>
      </w:r>
    </w:p>
    <w:p w14:paraId="7E564DFE">
      <w:pPr>
        <w:spacing w:line="360" w:lineRule="auto"/>
        <w:ind w:firstLine="420" w:firstLineChars="200"/>
        <w:rPr>
          <w:rFonts w:ascii="宋体" w:hAnsi="宋体" w:cs="仿宋"/>
          <w:color w:val="auto"/>
          <w:sz w:val="21"/>
          <w:szCs w:val="21"/>
          <w:highlight w:val="none"/>
        </w:rPr>
      </w:pPr>
      <w:r>
        <w:rPr>
          <w:rFonts w:ascii="宋体" w:hAnsi="宋体" w:cs="仿宋"/>
          <w:color w:val="auto"/>
          <w:kern w:val="0"/>
          <w:sz w:val="21"/>
          <w:szCs w:val="21"/>
          <w:highlight w:val="none"/>
        </w:rPr>
        <w:t>Q</w:t>
      </w:r>
      <w:r>
        <w:rPr>
          <w:rFonts w:hint="eastAsia" w:ascii="宋体" w:hAnsi="宋体" w:cs="仿宋"/>
          <w:color w:val="auto"/>
          <w:kern w:val="0"/>
          <w:sz w:val="21"/>
          <w:szCs w:val="21"/>
          <w:highlight w:val="none"/>
          <w:vertAlign w:val="subscript"/>
        </w:rPr>
        <w:t>高</w:t>
      </w:r>
      <w:r>
        <w:rPr>
          <w:rFonts w:hint="eastAsia" w:ascii="宋体" w:hAnsi="宋体" w:cs="仿宋"/>
          <w:color w:val="auto"/>
          <w:sz w:val="21"/>
          <w:szCs w:val="21"/>
          <w:highlight w:val="none"/>
        </w:rPr>
        <w:t>：最高投标限价</w:t>
      </w:r>
    </w:p>
    <w:p w14:paraId="1454A32C">
      <w:pPr>
        <w:spacing w:line="360" w:lineRule="auto"/>
        <w:ind w:firstLine="420" w:firstLineChars="200"/>
        <w:rPr>
          <w:rFonts w:ascii="宋体" w:hAnsi="宋体"/>
          <w:color w:val="auto"/>
          <w:sz w:val="21"/>
          <w:szCs w:val="21"/>
          <w:highlight w:val="none"/>
        </w:rPr>
      </w:pPr>
      <w:r>
        <w:rPr>
          <w:rFonts w:ascii="宋体" w:hAnsi="宋体" w:cs="仿宋"/>
          <w:color w:val="auto"/>
          <w:sz w:val="21"/>
          <w:szCs w:val="21"/>
          <w:highlight w:val="none"/>
        </w:rPr>
        <w:t>X</w:t>
      </w:r>
      <w:r>
        <w:rPr>
          <w:rFonts w:hint="eastAsia" w:ascii="宋体" w:hAnsi="宋体" w:cs="仿宋"/>
          <w:color w:val="auto"/>
          <w:sz w:val="21"/>
          <w:szCs w:val="21"/>
          <w:highlight w:val="none"/>
        </w:rPr>
        <w:t>：为等分点值，在开标前从</w:t>
      </w:r>
      <w:r>
        <w:rPr>
          <w:rFonts w:ascii="宋体" w:hAnsi="宋体" w:cs="仿宋"/>
          <w:color w:val="auto"/>
          <w:sz w:val="21"/>
          <w:szCs w:val="21"/>
          <w:highlight w:val="none"/>
        </w:rPr>
        <w:t>[0,100]</w:t>
      </w:r>
      <w:r>
        <w:rPr>
          <w:rFonts w:hint="eastAsia" w:ascii="宋体" w:hAnsi="宋体" w:cs="仿宋"/>
          <w:color w:val="auto"/>
          <w:sz w:val="21"/>
          <w:szCs w:val="21"/>
          <w:highlight w:val="none"/>
        </w:rPr>
        <w:t>整数中随机抽取</w:t>
      </w:r>
    </w:p>
    <w:p w14:paraId="4DE376C8">
      <w:pPr>
        <w:spacing w:line="360" w:lineRule="auto"/>
        <w:ind w:firstLine="420" w:firstLineChars="200"/>
        <w:rPr>
          <w:rFonts w:ascii="宋体" w:hAnsi="宋体"/>
          <w:color w:val="auto"/>
          <w:sz w:val="21"/>
          <w:szCs w:val="21"/>
          <w:highlight w:val="none"/>
        </w:rPr>
      </w:pPr>
      <w:r>
        <w:rPr>
          <w:rFonts w:hint="eastAsia" w:ascii="宋体" w:hAnsi="宋体" w:cs="宋体"/>
          <w:color w:val="auto"/>
          <w:kern w:val="0"/>
          <w:sz w:val="21"/>
          <w:szCs w:val="21"/>
          <w:highlight w:val="none"/>
        </w:rPr>
        <w:t>45.3</w:t>
      </w:r>
      <w:r>
        <w:rPr>
          <w:rFonts w:hint="eastAsia" w:ascii="宋体" w:hAnsi="宋体"/>
          <w:color w:val="auto"/>
          <w:sz w:val="21"/>
          <w:szCs w:val="21"/>
          <w:highlight w:val="none"/>
        </w:rPr>
        <w:t>当标价等于评标参考价时得</w:t>
      </w:r>
      <w:r>
        <w:rPr>
          <w:rFonts w:ascii="宋体" w:hAnsi="宋体"/>
          <w:color w:val="auto"/>
          <w:sz w:val="21"/>
          <w:szCs w:val="21"/>
          <w:highlight w:val="none"/>
        </w:rPr>
        <w:t>100</w:t>
      </w:r>
      <w:r>
        <w:rPr>
          <w:rFonts w:hint="eastAsia" w:ascii="宋体" w:hAnsi="宋体"/>
          <w:color w:val="auto"/>
          <w:sz w:val="21"/>
          <w:szCs w:val="21"/>
          <w:highlight w:val="none"/>
        </w:rPr>
        <w:t>分，标价每高于评标参考价</w:t>
      </w:r>
      <w:r>
        <w:rPr>
          <w:rFonts w:ascii="宋体" w:hAnsi="宋体"/>
          <w:color w:val="auto"/>
          <w:sz w:val="21"/>
          <w:szCs w:val="21"/>
          <w:highlight w:val="none"/>
        </w:rPr>
        <w:t>1%</w:t>
      </w:r>
      <w:r>
        <w:rPr>
          <w:rFonts w:hint="eastAsia" w:ascii="宋体" w:hAnsi="宋体"/>
          <w:color w:val="auto"/>
          <w:sz w:val="21"/>
          <w:szCs w:val="21"/>
          <w:highlight w:val="none"/>
        </w:rPr>
        <w:t>，扣</w:t>
      </w:r>
      <w:r>
        <w:rPr>
          <w:rFonts w:ascii="宋体" w:hAnsi="宋体"/>
          <w:color w:val="auto"/>
          <w:sz w:val="21"/>
          <w:szCs w:val="21"/>
          <w:highlight w:val="none"/>
        </w:rPr>
        <w:t>1.5</w:t>
      </w:r>
      <w:r>
        <w:rPr>
          <w:rFonts w:hint="eastAsia" w:ascii="宋体" w:hAnsi="宋体"/>
          <w:color w:val="auto"/>
          <w:sz w:val="21"/>
          <w:szCs w:val="21"/>
          <w:highlight w:val="none"/>
        </w:rPr>
        <w:t>分，每低于评标参考价</w:t>
      </w:r>
      <w:r>
        <w:rPr>
          <w:rFonts w:ascii="宋体" w:hAnsi="宋体"/>
          <w:color w:val="auto"/>
          <w:sz w:val="21"/>
          <w:szCs w:val="21"/>
          <w:highlight w:val="none"/>
        </w:rPr>
        <w:t>1%</w:t>
      </w:r>
      <w:r>
        <w:rPr>
          <w:rFonts w:hint="eastAsia" w:ascii="宋体" w:hAnsi="宋体"/>
          <w:color w:val="auto"/>
          <w:sz w:val="21"/>
          <w:szCs w:val="21"/>
          <w:highlight w:val="none"/>
        </w:rPr>
        <w:t>，扣</w:t>
      </w:r>
      <w:r>
        <w:rPr>
          <w:rFonts w:ascii="宋体" w:hAnsi="宋体"/>
          <w:color w:val="auto"/>
          <w:sz w:val="21"/>
          <w:szCs w:val="21"/>
          <w:highlight w:val="none"/>
        </w:rPr>
        <w:t>1</w:t>
      </w:r>
      <w:r>
        <w:rPr>
          <w:rFonts w:hint="eastAsia" w:ascii="宋体" w:hAnsi="宋体"/>
          <w:color w:val="auto"/>
          <w:sz w:val="21"/>
          <w:szCs w:val="21"/>
          <w:highlight w:val="none"/>
        </w:rPr>
        <w:t>分，扣至</w:t>
      </w:r>
      <w:r>
        <w:rPr>
          <w:rFonts w:ascii="宋体" w:hAnsi="宋体"/>
          <w:color w:val="auto"/>
          <w:sz w:val="21"/>
          <w:szCs w:val="21"/>
          <w:highlight w:val="none"/>
        </w:rPr>
        <w:t>0</w:t>
      </w:r>
      <w:r>
        <w:rPr>
          <w:rFonts w:hint="eastAsia" w:ascii="宋体" w:hAnsi="宋体"/>
          <w:color w:val="auto"/>
          <w:sz w:val="21"/>
          <w:szCs w:val="21"/>
          <w:highlight w:val="none"/>
        </w:rPr>
        <w:t>分为止，得出经济分，精确到小数点后两位。</w:t>
      </w:r>
    </w:p>
    <w:p w14:paraId="4DD68773">
      <w:pPr>
        <w:pStyle w:val="19"/>
        <w:tabs>
          <w:tab w:val="left" w:pos="7380"/>
        </w:tabs>
        <w:snapToGrid w:val="0"/>
        <w:spacing w:after="0"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45.4</w:t>
      </w:r>
      <w:r>
        <w:rPr>
          <w:rFonts w:hint="eastAsia" w:ascii="宋体"/>
          <w:color w:val="auto"/>
          <w:sz w:val="21"/>
          <w:szCs w:val="21"/>
          <w:highlight w:val="none"/>
        </w:rPr>
        <w:t>计算通过技术标有效性审查的投标人总得分。投标人总得分=（技术得分（满分100分）×</w:t>
      </w:r>
      <w:r>
        <w:rPr>
          <w:rFonts w:hint="eastAsia" w:ascii="宋体"/>
          <w:color w:val="auto"/>
          <w:sz w:val="21"/>
          <w:szCs w:val="21"/>
          <w:highlight w:val="none"/>
          <w:lang w:val="en-US" w:eastAsia="zh-CN"/>
        </w:rPr>
        <w:t>20%</w:t>
      </w:r>
      <w:r>
        <w:rPr>
          <w:rFonts w:hint="eastAsia" w:ascii="宋体"/>
          <w:color w:val="auto"/>
          <w:sz w:val="21"/>
          <w:szCs w:val="21"/>
          <w:highlight w:val="none"/>
        </w:rPr>
        <w:t>＋经济得分（满分100分）×</w:t>
      </w:r>
      <w:r>
        <w:rPr>
          <w:rFonts w:hint="eastAsia" w:ascii="宋体"/>
          <w:color w:val="auto"/>
          <w:sz w:val="21"/>
          <w:szCs w:val="21"/>
          <w:highlight w:val="none"/>
          <w:lang w:val="en-US" w:eastAsia="zh-CN"/>
        </w:rPr>
        <w:t>75%</w:t>
      </w:r>
      <w:r>
        <w:rPr>
          <w:rFonts w:hint="eastAsia" w:ascii="宋体"/>
          <w:color w:val="auto"/>
          <w:sz w:val="21"/>
          <w:szCs w:val="21"/>
          <w:highlight w:val="none"/>
        </w:rPr>
        <w:t>＋综合诚信评价排名得分×</w:t>
      </w:r>
      <w:r>
        <w:rPr>
          <w:rFonts w:hint="eastAsia" w:ascii="宋体"/>
          <w:color w:val="auto"/>
          <w:sz w:val="21"/>
          <w:szCs w:val="21"/>
          <w:highlight w:val="none"/>
          <w:lang w:val="en-US" w:eastAsia="zh-CN"/>
        </w:rPr>
        <w:t>5%</w:t>
      </w:r>
      <w:r>
        <w:rPr>
          <w:rFonts w:hint="eastAsia" w:ascii="宋体"/>
          <w:color w:val="auto"/>
          <w:sz w:val="21"/>
          <w:szCs w:val="21"/>
          <w:highlight w:val="none"/>
        </w:rPr>
        <w:t>）</w:t>
      </w:r>
      <w:r>
        <w:rPr>
          <w:rFonts w:hint="eastAsia" w:ascii="宋体"/>
          <w:color w:val="auto"/>
          <w:sz w:val="21"/>
          <w:szCs w:val="21"/>
          <w:highlight w:val="none"/>
          <w:lang w:eastAsia="zh-CN"/>
        </w:rPr>
        <w:t>，</w:t>
      </w:r>
      <w:r>
        <w:rPr>
          <w:rFonts w:hint="eastAsia" w:ascii="宋体"/>
          <w:color w:val="auto"/>
          <w:sz w:val="21"/>
          <w:szCs w:val="21"/>
          <w:highlight w:val="none"/>
        </w:rPr>
        <w:t>总得分四舍五入保留两位小数。</w:t>
      </w:r>
      <w:r>
        <w:rPr>
          <w:rFonts w:hint="eastAsia" w:ascii="宋体" w:hAnsi="宋体" w:cs="宋体"/>
          <w:color w:val="auto"/>
          <w:spacing w:val="-2"/>
          <w:kern w:val="2"/>
          <w:sz w:val="21"/>
          <w:szCs w:val="21"/>
          <w:highlight w:val="none"/>
          <w:u w:val="single"/>
        </w:rPr>
        <w:t>总得分相同的投标文件，以技术分较高的排前；如仍存在相同情况，则对具有相同情况的投标人，由评标委员会采用记名投票方式，以得票多的排前。</w:t>
      </w:r>
    </w:p>
    <w:p w14:paraId="675279BF">
      <w:pPr>
        <w:pageBreakBefore w:val="0"/>
        <w:pBdr>
          <w:bottom w:val="single" w:color="auto" w:sz="6" w:space="1"/>
        </w:pBdr>
        <w:kinsoku/>
        <w:wordWrap/>
        <w:overflowPunct/>
        <w:topLinePunct w:val="0"/>
        <w:autoSpaceDE/>
        <w:autoSpaceDN/>
        <w:bidi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注：</w:t>
      </w:r>
      <w:r>
        <w:rPr>
          <w:rFonts w:hint="eastAsia"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记名投票方式确定排序的具体操作步骤为：由评标委员会对出现该情况的投标人进行编号，然后通过记名投票方式依次确定投标人的排序。</w:t>
      </w:r>
    </w:p>
    <w:p w14:paraId="34E26392">
      <w:pPr>
        <w:pageBreakBefore w:val="0"/>
        <w:pBdr>
          <w:bottom w:val="single" w:color="auto" w:sz="6" w:space="1"/>
        </w:pBd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u w:val="single"/>
        </w:rPr>
      </w:pPr>
      <w:r>
        <w:rPr>
          <w:rFonts w:hint="eastAsia"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根据</w:t>
      </w:r>
      <w:r>
        <w:rPr>
          <w:rFonts w:hint="eastAsia" w:ascii="宋体" w:hAnsi="宋体" w:eastAsia="宋体" w:cs="宋体"/>
          <w:color w:val="auto"/>
          <w:sz w:val="21"/>
          <w:szCs w:val="21"/>
          <w:highlight w:val="none"/>
          <w:u w:val="single"/>
          <w:lang w:val="en-US" w:eastAsia="zh-CN"/>
        </w:rPr>
        <w:t>投标须知前附表第39项</w:t>
      </w:r>
      <w:r>
        <w:rPr>
          <w:rFonts w:hint="eastAsia" w:ascii="宋体" w:hAnsi="宋体" w:eastAsia="宋体" w:cs="宋体"/>
          <w:color w:val="auto"/>
          <w:sz w:val="21"/>
          <w:szCs w:val="21"/>
          <w:highlight w:val="none"/>
          <w:u w:val="single"/>
        </w:rPr>
        <w:t>规定实施投标报价评审优惠政策，对符合《政府采购促进中小企业发展管理办法》的投标人，给予相应的价格评审优惠。</w:t>
      </w:r>
    </w:p>
    <w:p w14:paraId="492D1EB2">
      <w:pPr>
        <w:pStyle w:val="5"/>
        <w:tabs>
          <w:tab w:val="left" w:pos="5245"/>
        </w:tabs>
        <w:ind w:firstLine="422"/>
        <w:rPr>
          <w:rFonts w:cs="宋体"/>
          <w:b/>
          <w:color w:val="auto"/>
          <w:szCs w:val="21"/>
          <w:highlight w:val="none"/>
        </w:rPr>
      </w:pPr>
      <w:r>
        <w:rPr>
          <w:rFonts w:hint="eastAsia" w:cs="宋体"/>
          <w:b/>
          <w:color w:val="auto"/>
          <w:szCs w:val="21"/>
          <w:highlight w:val="none"/>
        </w:rPr>
        <w:t>条款号：48修改类型：修改</w:t>
      </w:r>
    </w:p>
    <w:p w14:paraId="2045181A">
      <w:pPr>
        <w:pBdr>
          <w:bottom w:val="single" w:color="auto" w:sz="6" w:space="1"/>
        </w:pBdr>
        <w:spacing w:line="360" w:lineRule="auto"/>
        <w:ind w:firstLine="422" w:firstLineChars="200"/>
        <w:rPr>
          <w:bCs/>
          <w:color w:val="auto"/>
          <w:szCs w:val="21"/>
          <w:highlight w:val="none"/>
        </w:rPr>
      </w:pPr>
      <w:r>
        <w:rPr>
          <w:rFonts w:hint="eastAsia"/>
          <w:b/>
          <w:color w:val="auto"/>
          <w:szCs w:val="21"/>
          <w:highlight w:val="none"/>
        </w:rPr>
        <w:t>原文：</w:t>
      </w:r>
      <w:r>
        <w:rPr>
          <w:rFonts w:hint="eastAsia"/>
          <w:bCs/>
          <w:color w:val="auto"/>
          <w:szCs w:val="21"/>
          <w:highlight w:val="none"/>
        </w:rPr>
        <w:t>48.评标委员会应在通过投标文件经济标有效性审查的投标人中，按步骤45.4确定的投标人第二阶段排序，推荐前3名依次为第一中标候选人至第三中标候选人,并编制评标报告。</w:t>
      </w:r>
    </w:p>
    <w:p w14:paraId="0DAB2FF4">
      <w:pPr>
        <w:pBdr>
          <w:bottom w:val="single" w:color="auto" w:sz="6" w:space="1"/>
        </w:pBdr>
        <w:spacing w:line="360" w:lineRule="auto"/>
        <w:ind w:firstLine="422" w:firstLineChars="200"/>
        <w:rPr>
          <w:rFonts w:hint="eastAsia"/>
          <w:bCs/>
          <w:color w:val="auto"/>
          <w:szCs w:val="21"/>
          <w:highlight w:val="none"/>
        </w:rPr>
      </w:pPr>
      <w:r>
        <w:rPr>
          <w:rFonts w:hint="eastAsia"/>
          <w:b/>
          <w:color w:val="auto"/>
          <w:szCs w:val="21"/>
          <w:highlight w:val="none"/>
        </w:rPr>
        <w:t>现文：</w:t>
      </w:r>
      <w:r>
        <w:rPr>
          <w:rFonts w:hint="eastAsia"/>
          <w:bCs/>
          <w:color w:val="auto"/>
          <w:szCs w:val="21"/>
          <w:highlight w:val="none"/>
        </w:rPr>
        <w:t>48.评标委员会应在通过投标文件经济标有效性审查的投标人中，按步骤45.4确定的投标人总得分排序，推荐前3名依次为第一中标候选人至第三中标候选人,并编制评标报告。</w:t>
      </w:r>
    </w:p>
    <w:p w14:paraId="3B0CE25F">
      <w:pPr>
        <w:pBdr>
          <w:bottom w:val="single" w:color="auto" w:sz="6" w:space="1"/>
        </w:pBdr>
        <w:spacing w:line="360" w:lineRule="auto"/>
        <w:ind w:firstLine="420" w:firstLineChars="200"/>
        <w:rPr>
          <w:rFonts w:hint="eastAsia"/>
          <w:bCs/>
          <w:color w:val="auto"/>
          <w:szCs w:val="21"/>
          <w:highlight w:val="none"/>
        </w:rPr>
      </w:pPr>
    </w:p>
    <w:p w14:paraId="1CD244EE">
      <w:pPr>
        <w:pStyle w:val="5"/>
        <w:tabs>
          <w:tab w:val="left" w:pos="5245"/>
        </w:tabs>
        <w:spacing w:line="360" w:lineRule="auto"/>
        <w:ind w:firstLine="422"/>
        <w:rPr>
          <w:b/>
          <w:color w:val="auto"/>
          <w:szCs w:val="21"/>
          <w:highlight w:val="none"/>
        </w:rPr>
      </w:pPr>
      <w:r>
        <w:rPr>
          <w:rFonts w:hint="eastAsia" w:cs="宋体"/>
          <w:b/>
          <w:color w:val="auto"/>
          <w:szCs w:val="21"/>
          <w:highlight w:val="none"/>
        </w:rPr>
        <w:t>条款号</w:t>
      </w:r>
      <w:r>
        <w:rPr>
          <w:rFonts w:hint="eastAsia" w:cs="宋体"/>
          <w:color w:val="auto"/>
          <w:szCs w:val="21"/>
          <w:highlight w:val="none"/>
        </w:rPr>
        <w:t>：</w:t>
      </w:r>
      <w:r>
        <w:rPr>
          <w:rFonts w:hint="eastAsia" w:cs="宋体"/>
          <w:b/>
          <w:color w:val="auto"/>
          <w:szCs w:val="21"/>
          <w:highlight w:val="none"/>
        </w:rPr>
        <w:t>49</w:t>
      </w:r>
      <w:r>
        <w:rPr>
          <w:rFonts w:hint="eastAsia" w:cs="宋体"/>
          <w:b/>
          <w:color w:val="auto"/>
          <w:szCs w:val="21"/>
          <w:highlight w:val="none"/>
        </w:rPr>
        <w:tab/>
      </w:r>
      <w:r>
        <w:rPr>
          <w:rFonts w:hint="eastAsia"/>
          <w:b/>
          <w:color w:val="auto"/>
          <w:szCs w:val="21"/>
          <w:highlight w:val="none"/>
        </w:rPr>
        <w:t>修改类型：修改</w:t>
      </w:r>
    </w:p>
    <w:p w14:paraId="3645015F">
      <w:pPr>
        <w:pBdr>
          <w:bottom w:val="single" w:color="auto" w:sz="6" w:space="1"/>
        </w:pBdr>
        <w:spacing w:line="360" w:lineRule="auto"/>
        <w:ind w:firstLine="422" w:firstLineChars="200"/>
        <w:rPr>
          <w:color w:val="auto"/>
          <w:szCs w:val="21"/>
          <w:highlight w:val="none"/>
        </w:rPr>
      </w:pPr>
      <w:r>
        <w:rPr>
          <w:rFonts w:hint="eastAsia"/>
          <w:b/>
          <w:color w:val="auto"/>
          <w:szCs w:val="21"/>
          <w:highlight w:val="none"/>
        </w:rPr>
        <w:t>原文</w:t>
      </w:r>
      <w:r>
        <w:rPr>
          <w:rFonts w:hint="eastAsia"/>
          <w:color w:val="auto"/>
          <w:szCs w:val="21"/>
          <w:highlight w:val="none"/>
        </w:rPr>
        <w:t>：49</w:t>
      </w:r>
      <w:r>
        <w:rPr>
          <w:color w:val="auto"/>
          <w:szCs w:val="21"/>
          <w:highlight w:val="none"/>
        </w:rPr>
        <w:t>若通过</w:t>
      </w:r>
      <w:r>
        <w:rPr>
          <w:rFonts w:cs="宋体"/>
          <w:color w:val="auto"/>
          <w:szCs w:val="21"/>
          <w:highlight w:val="none"/>
        </w:rPr>
        <w:t>经济</w:t>
      </w:r>
      <w:r>
        <w:rPr>
          <w:color w:val="auto"/>
          <w:szCs w:val="21"/>
          <w:highlight w:val="none"/>
        </w:rPr>
        <w:t>标有效性审查的投标人不足三家，应当依法重新招标。（当N个标段同时招标且不允许兼中时，若有效投标人不足N+2家，应当依法重新招标）</w:t>
      </w:r>
    </w:p>
    <w:p w14:paraId="513FB3AF">
      <w:pPr>
        <w:pBdr>
          <w:bottom w:val="single" w:color="auto" w:sz="6" w:space="1"/>
        </w:pBdr>
        <w:spacing w:line="360" w:lineRule="auto"/>
        <w:ind w:firstLine="420" w:firstLineChars="200"/>
        <w:rPr>
          <w:b/>
          <w:color w:val="auto"/>
          <w:szCs w:val="21"/>
          <w:highlight w:val="none"/>
        </w:rPr>
      </w:pPr>
      <w:r>
        <w:rPr>
          <w:rFonts w:hint="eastAsia"/>
          <w:color w:val="auto"/>
          <w:szCs w:val="21"/>
          <w:highlight w:val="none"/>
        </w:rPr>
        <w:t>现文：49若通过经济标有效性审查的投标人不足</w:t>
      </w:r>
      <w:r>
        <w:rPr>
          <w:rFonts w:hint="eastAsia"/>
          <w:color w:val="auto"/>
          <w:szCs w:val="21"/>
          <w:highlight w:val="none"/>
          <w:lang w:val="en-US" w:eastAsia="zh-CN"/>
        </w:rPr>
        <w:t>三</w:t>
      </w:r>
      <w:r>
        <w:rPr>
          <w:rFonts w:hint="eastAsia"/>
          <w:color w:val="auto"/>
          <w:szCs w:val="21"/>
          <w:highlight w:val="none"/>
        </w:rPr>
        <w:t>家，应当依法重新招标。</w:t>
      </w:r>
    </w:p>
    <w:p w14:paraId="5436045B">
      <w:pPr>
        <w:spacing w:line="336" w:lineRule="auto"/>
        <w:ind w:firstLine="422" w:firstLineChars="200"/>
        <w:rPr>
          <w:rFonts w:cs="宋体"/>
          <w:b/>
          <w:color w:val="auto"/>
          <w:szCs w:val="21"/>
          <w:highlight w:val="none"/>
        </w:rPr>
      </w:pPr>
      <w:r>
        <w:rPr>
          <w:rFonts w:hint="eastAsia" w:cs="宋体"/>
          <w:b/>
          <w:color w:val="auto"/>
          <w:szCs w:val="21"/>
          <w:highlight w:val="none"/>
        </w:rPr>
        <w:t>条款号：附表一《资格审查表》、附表二《技术标有效性审查表》、附表三《经济标有效性审查表》、附表四《技术标详细审查评分表》修改类型：修改</w:t>
      </w:r>
    </w:p>
    <w:p w14:paraId="3DBDA8B7">
      <w:pPr>
        <w:spacing w:line="336" w:lineRule="auto"/>
        <w:ind w:firstLine="422" w:firstLineChars="200"/>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见范本</w:t>
      </w:r>
    </w:p>
    <w:p w14:paraId="638E7891">
      <w:pPr>
        <w:pBdr>
          <w:bottom w:val="single" w:color="auto" w:sz="6" w:space="1"/>
        </w:pBdr>
        <w:spacing w:line="336" w:lineRule="auto"/>
        <w:ind w:firstLine="422" w:firstLineChars="200"/>
        <w:rPr>
          <w:rFonts w:cs="宋体"/>
          <w:color w:val="auto"/>
          <w:highlight w:val="none"/>
        </w:rPr>
      </w:pPr>
      <w:r>
        <w:rPr>
          <w:rFonts w:hint="eastAsia" w:cs="宋体"/>
          <w:b/>
          <w:color w:val="auto"/>
          <w:szCs w:val="21"/>
          <w:highlight w:val="none"/>
        </w:rPr>
        <w:t>现文：</w:t>
      </w:r>
      <w:r>
        <w:rPr>
          <w:rFonts w:hint="eastAsia" w:cs="宋体"/>
          <w:color w:val="auto"/>
          <w:szCs w:val="21"/>
          <w:highlight w:val="none"/>
        </w:rPr>
        <w:t>见后附（现文：附表一《资格审查表》、附表二《技术标有效性审查表》、附表三《经济标有效性审查表》、附表四《技术标详细审查评分表》）</w:t>
      </w:r>
    </w:p>
    <w:p w14:paraId="07C333F4">
      <w:pPr>
        <w:pStyle w:val="5"/>
        <w:rPr>
          <w:rFonts w:cs="宋体"/>
          <w:color w:val="auto"/>
          <w:highlight w:val="none"/>
        </w:rPr>
      </w:pPr>
    </w:p>
    <w:p w14:paraId="3B2C6227">
      <w:pPr>
        <w:spacing w:line="360" w:lineRule="auto"/>
        <w:ind w:firstLine="211" w:firstLineChars="100"/>
        <w:rPr>
          <w:rFonts w:cs="宋体"/>
          <w:b/>
          <w:color w:val="auto"/>
          <w:szCs w:val="21"/>
          <w:highlight w:val="none"/>
        </w:rPr>
      </w:pPr>
      <w:r>
        <w:rPr>
          <w:rFonts w:hint="eastAsia" w:cs="宋体"/>
          <w:b/>
          <w:color w:val="auto"/>
          <w:szCs w:val="21"/>
          <w:highlight w:val="none"/>
        </w:rPr>
        <w:t>注：以上修改，仅限于本范本中有可供选择条款的情形。</w:t>
      </w:r>
    </w:p>
    <w:p w14:paraId="357A7174">
      <w:pPr>
        <w:spacing w:line="360" w:lineRule="auto"/>
        <w:rPr>
          <w:rFonts w:cs="宋体"/>
          <w:b/>
          <w:color w:val="auto"/>
          <w:szCs w:val="21"/>
          <w:highlight w:val="none"/>
        </w:rPr>
      </w:pPr>
      <w:r>
        <w:rPr>
          <w:rFonts w:hint="eastAsia" w:cs="宋体"/>
          <w:b/>
          <w:color w:val="auto"/>
          <w:szCs w:val="21"/>
          <w:highlight w:val="none"/>
        </w:rPr>
        <w:t>（以下无正文）</w:t>
      </w:r>
    </w:p>
    <w:p w14:paraId="676569D6">
      <w:pPr>
        <w:pStyle w:val="11"/>
        <w:rPr>
          <w:color w:val="auto"/>
          <w:highlight w:val="none"/>
        </w:rPr>
      </w:pPr>
      <w:r>
        <w:rPr>
          <w:color w:val="auto"/>
          <w:highlight w:val="none"/>
        </w:rPr>
        <w:br w:type="page"/>
      </w:r>
    </w:p>
    <w:p w14:paraId="0BF6FCE1">
      <w:pPr>
        <w:pStyle w:val="3"/>
        <w:ind w:firstLine="525"/>
        <w:rPr>
          <w:color w:val="auto"/>
          <w:highlight w:val="none"/>
        </w:rPr>
      </w:pPr>
      <w:bookmarkStart w:id="15" w:name="_Toc13134"/>
      <w:r>
        <w:rPr>
          <w:rFonts w:hint="eastAsia"/>
          <w:color w:val="auto"/>
          <w:highlight w:val="none"/>
        </w:rPr>
        <w:t>二、开标、评标及定标办法</w:t>
      </w:r>
      <w:r>
        <w:rPr>
          <w:rFonts w:hint="eastAsia"/>
          <w:color w:val="auto"/>
          <w:szCs w:val="30"/>
          <w:highlight w:val="none"/>
        </w:rPr>
        <w:t>通用条款</w:t>
      </w:r>
      <w:bookmarkEnd w:id="15"/>
    </w:p>
    <w:p w14:paraId="09B4DA8D">
      <w:pPr>
        <w:pStyle w:val="4"/>
        <w:spacing w:before="156" w:after="156"/>
        <w:ind w:firstLine="540" w:firstLineChars="200"/>
        <w:rPr>
          <w:color w:val="auto"/>
          <w:highlight w:val="none"/>
        </w:rPr>
      </w:pPr>
      <w:bookmarkStart w:id="16" w:name="_Toc7243"/>
      <w:r>
        <w:rPr>
          <w:rFonts w:hint="eastAsia"/>
          <w:color w:val="auto"/>
          <w:highlight w:val="none"/>
        </w:rPr>
        <w:t>（一）总则</w:t>
      </w:r>
      <w:bookmarkEnd w:id="16"/>
    </w:p>
    <w:p w14:paraId="239A983E">
      <w:pPr>
        <w:spacing w:line="360" w:lineRule="auto"/>
        <w:ind w:firstLine="480" w:firstLineChars="200"/>
        <w:rPr>
          <w:color w:val="auto"/>
          <w:sz w:val="24"/>
          <w:szCs w:val="24"/>
          <w:highlight w:val="none"/>
        </w:rPr>
      </w:pPr>
      <w:r>
        <w:rPr>
          <w:color w:val="auto"/>
          <w:sz w:val="24"/>
          <w:szCs w:val="24"/>
          <w:highlight w:val="none"/>
        </w:rPr>
        <w:t>35开标、评标及定标所依据的规则</w:t>
      </w:r>
    </w:p>
    <w:p w14:paraId="37B1A789">
      <w:pPr>
        <w:spacing w:line="360" w:lineRule="auto"/>
        <w:ind w:firstLine="480" w:firstLineChars="200"/>
        <w:rPr>
          <w:color w:val="auto"/>
          <w:sz w:val="24"/>
          <w:szCs w:val="24"/>
          <w:highlight w:val="none"/>
        </w:rPr>
      </w:pPr>
      <w:r>
        <w:rPr>
          <w:color w:val="auto"/>
          <w:sz w:val="24"/>
          <w:szCs w:val="24"/>
          <w:highlight w:val="none"/>
        </w:rPr>
        <w:t>35.1《中华人民共和国招标投标法》；</w:t>
      </w:r>
    </w:p>
    <w:p w14:paraId="64FA4976">
      <w:pPr>
        <w:spacing w:line="360" w:lineRule="auto"/>
        <w:ind w:firstLine="480" w:firstLineChars="200"/>
        <w:rPr>
          <w:color w:val="auto"/>
          <w:sz w:val="24"/>
          <w:szCs w:val="24"/>
          <w:highlight w:val="none"/>
        </w:rPr>
      </w:pPr>
      <w:r>
        <w:rPr>
          <w:color w:val="auto"/>
          <w:sz w:val="24"/>
          <w:szCs w:val="24"/>
          <w:highlight w:val="none"/>
        </w:rPr>
        <w:t>35.2《中华人民共和国招标投标法实施条例》；</w:t>
      </w:r>
    </w:p>
    <w:p w14:paraId="5E0FE865">
      <w:pPr>
        <w:spacing w:line="360" w:lineRule="auto"/>
        <w:ind w:firstLine="480" w:firstLineChars="200"/>
        <w:rPr>
          <w:color w:val="auto"/>
          <w:sz w:val="24"/>
          <w:szCs w:val="24"/>
          <w:highlight w:val="none"/>
        </w:rPr>
      </w:pPr>
      <w:r>
        <w:rPr>
          <w:color w:val="auto"/>
          <w:sz w:val="24"/>
          <w:szCs w:val="24"/>
          <w:highlight w:val="none"/>
        </w:rPr>
        <w:t>35.3《评标委员会和评标方法暂行规定》（七部委第12号令）</w:t>
      </w:r>
    </w:p>
    <w:p w14:paraId="0C17C092">
      <w:pPr>
        <w:spacing w:line="360" w:lineRule="auto"/>
        <w:ind w:firstLine="480" w:firstLineChars="200"/>
        <w:rPr>
          <w:color w:val="auto"/>
          <w:sz w:val="24"/>
          <w:szCs w:val="24"/>
          <w:highlight w:val="none"/>
        </w:rPr>
      </w:pPr>
      <w:r>
        <w:rPr>
          <w:color w:val="auto"/>
          <w:sz w:val="24"/>
          <w:szCs w:val="24"/>
          <w:highlight w:val="none"/>
        </w:rPr>
        <w:t>35.4《工程建设项目施工招标投标办法》（七部委2003年第30号令）</w:t>
      </w:r>
    </w:p>
    <w:p w14:paraId="11EEE05A">
      <w:pPr>
        <w:spacing w:line="360" w:lineRule="auto"/>
        <w:ind w:firstLine="480" w:firstLineChars="200"/>
        <w:rPr>
          <w:color w:val="auto"/>
          <w:sz w:val="24"/>
          <w:szCs w:val="24"/>
          <w:highlight w:val="none"/>
        </w:rPr>
      </w:pPr>
      <w:r>
        <w:rPr>
          <w:color w:val="auto"/>
          <w:sz w:val="24"/>
          <w:szCs w:val="24"/>
          <w:highlight w:val="none"/>
        </w:rPr>
        <w:t>35.5《广东省实施〈中华人民共和国招标投标法〉办法》；</w:t>
      </w:r>
    </w:p>
    <w:p w14:paraId="71169134">
      <w:pPr>
        <w:spacing w:line="360" w:lineRule="auto"/>
        <w:ind w:firstLine="480" w:firstLineChars="200"/>
        <w:rPr>
          <w:color w:val="auto"/>
          <w:sz w:val="24"/>
          <w:szCs w:val="24"/>
          <w:highlight w:val="none"/>
        </w:rPr>
      </w:pPr>
      <w:r>
        <w:rPr>
          <w:color w:val="auto"/>
          <w:sz w:val="24"/>
          <w:szCs w:val="24"/>
          <w:highlight w:val="none"/>
        </w:rPr>
        <w:t>35.6《房屋建筑和市政基础设施工程施工招标投标管理办法》（建设部令第89号）</w:t>
      </w:r>
    </w:p>
    <w:p w14:paraId="6676D477">
      <w:pPr>
        <w:spacing w:line="360" w:lineRule="auto"/>
        <w:ind w:firstLine="480" w:firstLineChars="200"/>
        <w:rPr>
          <w:color w:val="auto"/>
          <w:sz w:val="24"/>
          <w:szCs w:val="24"/>
          <w:highlight w:val="none"/>
        </w:rPr>
      </w:pPr>
      <w:r>
        <w:rPr>
          <w:color w:val="auto"/>
          <w:sz w:val="24"/>
          <w:szCs w:val="24"/>
          <w:highlight w:val="none"/>
        </w:rPr>
        <w:t>35.7</w:t>
      </w:r>
      <w:r>
        <w:rPr>
          <w:rFonts w:hint="eastAsia"/>
          <w:color w:val="auto"/>
          <w:sz w:val="24"/>
          <w:szCs w:val="24"/>
          <w:highlight w:val="none"/>
        </w:rPr>
        <w:t>《财政部</w:t>
      </w:r>
      <w:r>
        <w:rPr>
          <w:color w:val="auto"/>
          <w:sz w:val="24"/>
          <w:szCs w:val="24"/>
          <w:highlight w:val="none"/>
        </w:rPr>
        <w:t> </w:t>
      </w:r>
      <w:r>
        <w:rPr>
          <w:rFonts w:hint="eastAsia"/>
          <w:color w:val="auto"/>
          <w:sz w:val="24"/>
          <w:szCs w:val="24"/>
          <w:highlight w:val="none"/>
        </w:rPr>
        <w:t>工业和信息化部关于印发〈政府采购促进中小企业发展管理办法〉的通知》（财库〔</w:t>
      </w:r>
      <w:r>
        <w:rPr>
          <w:color w:val="auto"/>
          <w:sz w:val="24"/>
          <w:szCs w:val="24"/>
          <w:highlight w:val="none"/>
        </w:rPr>
        <w:t>2020</w:t>
      </w:r>
      <w:r>
        <w:rPr>
          <w:rFonts w:hint="eastAsia"/>
          <w:color w:val="auto"/>
          <w:sz w:val="24"/>
          <w:szCs w:val="24"/>
          <w:highlight w:val="none"/>
        </w:rPr>
        <w:t>〕</w:t>
      </w:r>
      <w:r>
        <w:rPr>
          <w:color w:val="auto"/>
          <w:sz w:val="24"/>
          <w:szCs w:val="24"/>
          <w:highlight w:val="none"/>
        </w:rPr>
        <w:t>46</w:t>
      </w:r>
      <w:r>
        <w:rPr>
          <w:rFonts w:hint="eastAsia"/>
          <w:color w:val="auto"/>
          <w:sz w:val="24"/>
          <w:szCs w:val="24"/>
          <w:highlight w:val="none"/>
        </w:rPr>
        <w:t>号）</w:t>
      </w:r>
    </w:p>
    <w:p w14:paraId="38799EA6">
      <w:pPr>
        <w:spacing w:line="360" w:lineRule="auto"/>
        <w:ind w:firstLine="480" w:firstLineChars="200"/>
        <w:rPr>
          <w:color w:val="auto"/>
          <w:sz w:val="24"/>
          <w:szCs w:val="24"/>
          <w:highlight w:val="none"/>
        </w:rPr>
      </w:pPr>
      <w:r>
        <w:rPr>
          <w:color w:val="auto"/>
          <w:sz w:val="24"/>
          <w:szCs w:val="24"/>
          <w:highlight w:val="none"/>
        </w:rPr>
        <w:t>35.8《广东省加强建设工程招标投标监督管理的若干规定》（粤发[2004]4号）；</w:t>
      </w:r>
    </w:p>
    <w:p w14:paraId="429121A1">
      <w:pPr>
        <w:spacing w:line="360" w:lineRule="auto"/>
        <w:ind w:firstLine="480" w:firstLineChars="200"/>
        <w:rPr>
          <w:color w:val="auto"/>
          <w:sz w:val="24"/>
          <w:szCs w:val="24"/>
          <w:highlight w:val="none"/>
        </w:rPr>
      </w:pPr>
      <w:r>
        <w:rPr>
          <w:color w:val="auto"/>
          <w:sz w:val="24"/>
          <w:szCs w:val="24"/>
          <w:highlight w:val="none"/>
        </w:rPr>
        <w:t>35.9</w:t>
      </w:r>
      <w:r>
        <w:rPr>
          <w:rFonts w:hint="eastAsia"/>
          <w:color w:val="auto"/>
          <w:sz w:val="24"/>
          <w:szCs w:val="24"/>
          <w:highlight w:val="none"/>
        </w:rPr>
        <w:t>《广东省政府采购促进中小企业发展实施细则（试行）》</w:t>
      </w:r>
    </w:p>
    <w:p w14:paraId="3055A0B2">
      <w:pPr>
        <w:spacing w:line="360" w:lineRule="auto"/>
        <w:ind w:firstLine="480" w:firstLineChars="200"/>
        <w:rPr>
          <w:color w:val="auto"/>
          <w:sz w:val="24"/>
          <w:szCs w:val="24"/>
          <w:highlight w:val="none"/>
        </w:rPr>
      </w:pPr>
      <w:r>
        <w:rPr>
          <w:color w:val="auto"/>
          <w:sz w:val="24"/>
          <w:szCs w:val="24"/>
          <w:highlight w:val="none"/>
        </w:rPr>
        <w:t>35.10《广州市工程建设项目招标投标管理办法》（穗建规字〔2023〕12号）；</w:t>
      </w:r>
    </w:p>
    <w:p w14:paraId="3FAEF40D">
      <w:pPr>
        <w:spacing w:line="360" w:lineRule="auto"/>
        <w:ind w:firstLine="480" w:firstLineChars="200"/>
        <w:rPr>
          <w:color w:val="auto"/>
          <w:sz w:val="24"/>
          <w:szCs w:val="24"/>
          <w:highlight w:val="none"/>
        </w:rPr>
      </w:pPr>
      <w:r>
        <w:rPr>
          <w:rFonts w:hint="eastAsia"/>
          <w:color w:val="auto"/>
          <w:sz w:val="24"/>
          <w:szCs w:val="24"/>
          <w:highlight w:val="none"/>
        </w:rPr>
        <w:t>35.11《广州市财政局广州市工业和信息化局转发广东省财政厅广东省发展和改革委员会广东省工业和信息化厅广东省地方金融监督管理局关于印发&lt;广东省政府采购促进中小企业发展实施细则（试行）&gt;的通知》（穗财采〔2023〕8号）；</w:t>
      </w:r>
    </w:p>
    <w:p w14:paraId="0E98ABAC">
      <w:pPr>
        <w:spacing w:line="360" w:lineRule="auto"/>
        <w:ind w:firstLine="480" w:firstLineChars="200"/>
        <w:rPr>
          <w:color w:val="auto"/>
          <w:sz w:val="24"/>
          <w:szCs w:val="24"/>
          <w:highlight w:val="none"/>
        </w:rPr>
      </w:pPr>
      <w:r>
        <w:rPr>
          <w:color w:val="auto"/>
          <w:sz w:val="24"/>
          <w:szCs w:val="24"/>
          <w:highlight w:val="none"/>
        </w:rPr>
        <w:t>35.12本项目招标文件。</w:t>
      </w:r>
    </w:p>
    <w:p w14:paraId="29C594F3">
      <w:pPr>
        <w:spacing w:line="360" w:lineRule="auto"/>
        <w:ind w:firstLine="480" w:firstLineChars="200"/>
        <w:rPr>
          <w:color w:val="auto"/>
          <w:sz w:val="24"/>
          <w:szCs w:val="24"/>
          <w:highlight w:val="none"/>
        </w:rPr>
      </w:pPr>
      <w:r>
        <w:rPr>
          <w:color w:val="auto"/>
          <w:sz w:val="24"/>
          <w:szCs w:val="24"/>
          <w:highlight w:val="none"/>
        </w:rPr>
        <w:t>36</w:t>
      </w:r>
      <w:r>
        <w:rPr>
          <w:rFonts w:hint="eastAsia"/>
          <w:color w:val="auto"/>
          <w:sz w:val="24"/>
          <w:szCs w:val="24"/>
          <w:highlight w:val="none"/>
        </w:rPr>
        <w:t>．开标</w:t>
      </w:r>
    </w:p>
    <w:p w14:paraId="3519BD35">
      <w:pPr>
        <w:spacing w:line="360" w:lineRule="auto"/>
        <w:ind w:firstLine="480" w:firstLineChars="200"/>
        <w:rPr>
          <w:color w:val="auto"/>
          <w:sz w:val="24"/>
          <w:szCs w:val="24"/>
          <w:highlight w:val="none"/>
        </w:rPr>
      </w:pPr>
      <w:r>
        <w:rPr>
          <w:color w:val="auto"/>
          <w:sz w:val="24"/>
          <w:szCs w:val="24"/>
          <w:highlight w:val="none"/>
        </w:rPr>
        <w:t>36.1</w:t>
      </w:r>
      <w:r>
        <w:rPr>
          <w:rFonts w:hint="eastAsia"/>
          <w:color w:val="auto"/>
          <w:sz w:val="24"/>
          <w:szCs w:val="24"/>
          <w:highlight w:val="none"/>
        </w:rPr>
        <w:t>招标人按投标须知前附表第18项所规定的时间和地点公开开标，并邀请所有投标人参加。截标后，开标开始时间因故推迟的，相关评标信息仍以原定的开标开始时间的信息为准。</w:t>
      </w:r>
    </w:p>
    <w:p w14:paraId="50472B24">
      <w:pPr>
        <w:spacing w:line="360" w:lineRule="auto"/>
        <w:ind w:firstLine="480" w:firstLineChars="200"/>
        <w:rPr>
          <w:color w:val="auto"/>
          <w:sz w:val="24"/>
          <w:szCs w:val="24"/>
          <w:highlight w:val="none"/>
        </w:rPr>
      </w:pPr>
      <w:r>
        <w:rPr>
          <w:color w:val="auto"/>
          <w:sz w:val="24"/>
          <w:szCs w:val="24"/>
          <w:highlight w:val="none"/>
        </w:rPr>
        <w:t>36.2</w:t>
      </w:r>
      <w:r>
        <w:rPr>
          <w:rFonts w:hint="eastAsia"/>
          <w:color w:val="auto"/>
          <w:sz w:val="24"/>
          <w:szCs w:val="24"/>
          <w:highlight w:val="none"/>
        </w:rPr>
        <w:t>招标人在招标文件要求提交投标文件的截止时间前收到的投标文件，开标时都当众予以解密、公布。</w:t>
      </w:r>
    </w:p>
    <w:p w14:paraId="4C8E50EF">
      <w:pPr>
        <w:spacing w:line="360" w:lineRule="auto"/>
        <w:ind w:firstLine="480" w:firstLineChars="200"/>
        <w:rPr>
          <w:color w:val="auto"/>
          <w:sz w:val="24"/>
          <w:szCs w:val="24"/>
          <w:highlight w:val="none"/>
        </w:rPr>
      </w:pPr>
      <w:r>
        <w:rPr>
          <w:rFonts w:hint="eastAsia"/>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7560658E">
      <w:pPr>
        <w:spacing w:line="360" w:lineRule="auto"/>
        <w:ind w:firstLine="480" w:firstLineChars="200"/>
        <w:rPr>
          <w:color w:val="auto"/>
          <w:sz w:val="24"/>
          <w:szCs w:val="24"/>
          <w:highlight w:val="none"/>
        </w:rPr>
      </w:pPr>
      <w:r>
        <w:rPr>
          <w:rFonts w:hint="eastAsia"/>
          <w:color w:val="auto"/>
          <w:sz w:val="24"/>
          <w:szCs w:val="24"/>
          <w:highlight w:val="none"/>
        </w:rPr>
        <w:t>36.4若递交投标文件的投标人不足3家，则重新组织招标。（当</w:t>
      </w:r>
      <w:r>
        <w:rPr>
          <w:color w:val="auto"/>
          <w:sz w:val="24"/>
          <w:szCs w:val="24"/>
          <w:highlight w:val="none"/>
        </w:rPr>
        <w:t>N</w:t>
      </w:r>
      <w:r>
        <w:rPr>
          <w:rFonts w:hint="eastAsia"/>
          <w:color w:val="auto"/>
          <w:sz w:val="24"/>
          <w:szCs w:val="24"/>
          <w:highlight w:val="none"/>
        </w:rPr>
        <w:t>个标段同时招标且不允许兼中时，若有效投标人不足</w:t>
      </w:r>
      <w:r>
        <w:rPr>
          <w:color w:val="auto"/>
          <w:sz w:val="24"/>
          <w:szCs w:val="24"/>
          <w:highlight w:val="none"/>
        </w:rPr>
        <w:t>N+</w:t>
      </w:r>
      <w:r>
        <w:rPr>
          <w:rFonts w:hint="eastAsia"/>
          <w:color w:val="auto"/>
          <w:sz w:val="24"/>
          <w:szCs w:val="24"/>
          <w:highlight w:val="none"/>
        </w:rPr>
        <w:t>2家，则重新组织招标）</w:t>
      </w:r>
    </w:p>
    <w:p w14:paraId="7B6A875F">
      <w:pPr>
        <w:spacing w:line="360" w:lineRule="auto"/>
        <w:ind w:firstLine="480" w:firstLineChars="200"/>
        <w:rPr>
          <w:color w:val="auto"/>
          <w:sz w:val="24"/>
          <w:highlight w:val="none"/>
        </w:rPr>
      </w:pPr>
      <w:r>
        <w:rPr>
          <w:rFonts w:hint="eastAsia"/>
          <w:color w:val="auto"/>
          <w:sz w:val="24"/>
          <w:highlight w:val="none"/>
        </w:rPr>
        <w:t>36.5按下列程序进行开标：</w:t>
      </w:r>
    </w:p>
    <w:p w14:paraId="2D7EE909">
      <w:pPr>
        <w:spacing w:line="360" w:lineRule="auto"/>
        <w:ind w:firstLine="480" w:firstLineChars="200"/>
        <w:rPr>
          <w:color w:val="auto"/>
          <w:sz w:val="24"/>
          <w:highlight w:val="none"/>
        </w:rPr>
      </w:pPr>
      <w:r>
        <w:rPr>
          <w:rFonts w:hint="eastAsia"/>
          <w:color w:val="auto"/>
          <w:sz w:val="24"/>
          <w:highlight w:val="none"/>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14:paraId="412C058A">
      <w:pPr>
        <w:spacing w:line="360" w:lineRule="auto"/>
        <w:ind w:firstLine="480" w:firstLineChars="200"/>
        <w:rPr>
          <w:color w:val="auto"/>
          <w:sz w:val="24"/>
          <w:highlight w:val="none"/>
        </w:rPr>
      </w:pPr>
      <w:r>
        <w:rPr>
          <w:rFonts w:hint="eastAsia"/>
          <w:color w:val="auto"/>
          <w:sz w:val="24"/>
          <w:highlight w:val="none"/>
        </w:rPr>
        <w:t>36.5.2备用光盘的读取按投标须知前附表第36项的规定执行；</w:t>
      </w:r>
    </w:p>
    <w:p w14:paraId="077D5655">
      <w:pPr>
        <w:spacing w:line="360" w:lineRule="auto"/>
        <w:ind w:firstLine="480" w:firstLineChars="200"/>
        <w:rPr>
          <w:color w:val="auto"/>
          <w:sz w:val="24"/>
          <w:highlight w:val="none"/>
        </w:rPr>
      </w:pPr>
      <w:r>
        <w:rPr>
          <w:rFonts w:hint="eastAsia"/>
          <w:color w:val="auto"/>
          <w:sz w:val="24"/>
          <w:highlight w:val="none"/>
        </w:rPr>
        <w:t>36.5.3投标人代表、招标人代表、监标人、记录人等有关人员在开标记录上签字确认；若有关人员不签字的，不影响开标程序；</w:t>
      </w:r>
    </w:p>
    <w:p w14:paraId="49B14002">
      <w:pPr>
        <w:spacing w:line="360" w:lineRule="auto"/>
        <w:ind w:firstLine="480" w:firstLineChars="200"/>
        <w:rPr>
          <w:color w:val="auto"/>
          <w:sz w:val="24"/>
          <w:highlight w:val="none"/>
        </w:rPr>
      </w:pPr>
      <w:r>
        <w:rPr>
          <w:rFonts w:hint="eastAsia"/>
          <w:color w:val="auto"/>
          <w:sz w:val="24"/>
          <w:highlight w:val="none"/>
        </w:rPr>
        <w:t>36.5.4开标结束。</w:t>
      </w:r>
    </w:p>
    <w:p w14:paraId="607DC2F7">
      <w:pPr>
        <w:spacing w:line="360" w:lineRule="auto"/>
        <w:ind w:firstLine="480" w:firstLineChars="200"/>
        <w:rPr>
          <w:color w:val="auto"/>
          <w:sz w:val="24"/>
          <w:highlight w:val="none"/>
        </w:rPr>
      </w:pPr>
      <w:r>
        <w:rPr>
          <w:rFonts w:hint="eastAsia"/>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22C4131E">
      <w:pPr>
        <w:spacing w:line="360" w:lineRule="auto"/>
        <w:ind w:firstLine="480" w:firstLineChars="200"/>
        <w:rPr>
          <w:color w:val="auto"/>
          <w:sz w:val="24"/>
          <w:highlight w:val="none"/>
        </w:rPr>
      </w:pPr>
      <w:r>
        <w:rPr>
          <w:rFonts w:hint="eastAsia"/>
          <w:color w:val="auto"/>
          <w:sz w:val="24"/>
          <w:highlight w:val="none"/>
        </w:rPr>
        <w:t>36.7开标时，两个（含两个）以上的投标人加密打包投标文件电脑机器特征码一致的，不参与下一程序，并由评标委员会否决其投标。</w:t>
      </w:r>
    </w:p>
    <w:p w14:paraId="4479A84E">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rPr>
        <w:t>．评标</w:t>
      </w:r>
    </w:p>
    <w:p w14:paraId="795DA25A">
      <w:pPr>
        <w:spacing w:line="360" w:lineRule="auto"/>
        <w:ind w:firstLine="480" w:firstLineChars="200"/>
        <w:rPr>
          <w:rFonts w:hint="eastAsia"/>
          <w:color w:val="auto"/>
          <w:sz w:val="24"/>
          <w:szCs w:val="24"/>
          <w:highlight w:val="none"/>
        </w:rPr>
      </w:pPr>
      <w:r>
        <w:rPr>
          <w:color w:val="auto"/>
          <w:sz w:val="24"/>
          <w:szCs w:val="24"/>
          <w:highlight w:val="none"/>
        </w:rPr>
        <w:t>37.1</w:t>
      </w:r>
      <w:r>
        <w:rPr>
          <w:rFonts w:hint="eastAsia"/>
          <w:color w:val="auto"/>
          <w:sz w:val="24"/>
          <w:szCs w:val="24"/>
          <w:highlight w:val="none"/>
        </w:rPr>
        <w:t>评标委员会由招标人依法组建。</w:t>
      </w:r>
    </w:p>
    <w:p w14:paraId="7D4B360C">
      <w:pPr>
        <w:spacing w:line="360" w:lineRule="auto"/>
        <w:ind w:firstLine="480" w:firstLineChars="200"/>
        <w:rPr>
          <w:color w:val="auto"/>
          <w:sz w:val="24"/>
          <w:szCs w:val="24"/>
          <w:highlight w:val="none"/>
        </w:rPr>
      </w:pPr>
      <w:r>
        <w:rPr>
          <w:color w:val="auto"/>
          <w:sz w:val="24"/>
          <w:szCs w:val="24"/>
          <w:highlight w:val="none"/>
        </w:rPr>
        <w:t>37.2评标委员会</w:t>
      </w:r>
      <w:r>
        <w:rPr>
          <w:rFonts w:hint="default"/>
          <w:color w:val="auto"/>
          <w:sz w:val="24"/>
          <w:szCs w:val="24"/>
          <w:highlight w:val="none"/>
        </w:rPr>
        <w:t>在开始评标前，应了解评标专家</w:t>
      </w:r>
      <w:r>
        <w:rPr>
          <w:color w:val="auto"/>
          <w:sz w:val="24"/>
          <w:szCs w:val="24"/>
          <w:highlight w:val="none"/>
        </w:rPr>
        <w:t>的职责及守则</w:t>
      </w:r>
      <w:r>
        <w:rPr>
          <w:rFonts w:hint="default"/>
          <w:color w:val="auto"/>
          <w:sz w:val="24"/>
          <w:szCs w:val="24"/>
          <w:highlight w:val="none"/>
        </w:rPr>
        <w:t>，认真阅读附件</w:t>
      </w:r>
      <w:r>
        <w:rPr>
          <w:color w:val="auto"/>
          <w:sz w:val="24"/>
          <w:szCs w:val="24"/>
          <w:highlight w:val="none"/>
        </w:rPr>
        <w:t>1《</w:t>
      </w:r>
      <w:r>
        <w:rPr>
          <w:rFonts w:hint="default"/>
          <w:color w:val="auto"/>
          <w:sz w:val="24"/>
          <w:szCs w:val="24"/>
          <w:highlight w:val="none"/>
        </w:rPr>
        <w:t>评标委员会成员声明》的内容并签名，签字后方可进行评标；</w:t>
      </w:r>
    </w:p>
    <w:p w14:paraId="5C9969F5">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lang w:val="en-US" w:eastAsia="zh-CN"/>
        </w:rPr>
        <w:t>3</w:t>
      </w:r>
      <w:r>
        <w:rPr>
          <w:rFonts w:hint="eastAsia"/>
          <w:color w:val="auto"/>
          <w:sz w:val="24"/>
          <w:szCs w:val="24"/>
          <w:highlight w:val="none"/>
        </w:rPr>
        <w:t>评标委员会的职责及守则：</w:t>
      </w:r>
    </w:p>
    <w:p w14:paraId="2132E26A">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lang w:val="en-US" w:eastAsia="zh-CN"/>
        </w:rPr>
        <w:t>3</w:t>
      </w:r>
      <w:r>
        <w:rPr>
          <w:color w:val="auto"/>
          <w:sz w:val="24"/>
          <w:szCs w:val="24"/>
          <w:highlight w:val="none"/>
        </w:rPr>
        <w:t>.1</w:t>
      </w:r>
      <w:r>
        <w:rPr>
          <w:rFonts w:hint="eastAsia"/>
          <w:color w:val="auto"/>
          <w:sz w:val="24"/>
          <w:szCs w:val="24"/>
          <w:highlight w:val="none"/>
        </w:rPr>
        <w:t>根据评标细则，对</w:t>
      </w:r>
      <w:r>
        <w:rPr>
          <w:rFonts w:hint="eastAsia"/>
          <w:color w:val="auto"/>
          <w:sz w:val="24"/>
          <w:highlight w:val="none"/>
        </w:rPr>
        <w:t>投标文件</w:t>
      </w:r>
      <w:r>
        <w:rPr>
          <w:rFonts w:hint="eastAsia"/>
          <w:color w:val="auto"/>
          <w:sz w:val="24"/>
          <w:szCs w:val="24"/>
          <w:highlight w:val="none"/>
        </w:rPr>
        <w:t>进行认真评审，完成评审报告；</w:t>
      </w:r>
    </w:p>
    <w:p w14:paraId="68590543">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lang w:val="en-US" w:eastAsia="zh-CN"/>
        </w:rPr>
        <w:t>3</w:t>
      </w:r>
      <w:r>
        <w:rPr>
          <w:color w:val="auto"/>
          <w:sz w:val="24"/>
          <w:szCs w:val="24"/>
          <w:highlight w:val="none"/>
        </w:rPr>
        <w:t>.2</w:t>
      </w:r>
      <w:r>
        <w:rPr>
          <w:rFonts w:hint="eastAsia"/>
          <w:color w:val="auto"/>
          <w:sz w:val="24"/>
          <w:szCs w:val="24"/>
          <w:highlight w:val="none"/>
        </w:rPr>
        <w:t>向招标人报告评审意见，推荐合格的中标候选人。</w:t>
      </w:r>
    </w:p>
    <w:p w14:paraId="7D981B9F">
      <w:pPr>
        <w:spacing w:line="360" w:lineRule="auto"/>
        <w:ind w:firstLine="480" w:firstLineChars="200"/>
        <w:rPr>
          <w:color w:val="auto"/>
          <w:sz w:val="24"/>
          <w:szCs w:val="24"/>
          <w:highlight w:val="none"/>
        </w:rPr>
      </w:pPr>
      <w:r>
        <w:rPr>
          <w:bCs/>
          <w:color w:val="auto"/>
          <w:sz w:val="24"/>
          <w:szCs w:val="24"/>
          <w:highlight w:val="none"/>
        </w:rPr>
        <w:t>37.</w:t>
      </w:r>
      <w:r>
        <w:rPr>
          <w:rFonts w:hint="eastAsia"/>
          <w:bCs/>
          <w:color w:val="auto"/>
          <w:sz w:val="24"/>
          <w:szCs w:val="24"/>
          <w:highlight w:val="none"/>
          <w:lang w:val="en-US" w:eastAsia="zh-CN"/>
        </w:rPr>
        <w:t>3</w:t>
      </w:r>
      <w:r>
        <w:rPr>
          <w:bCs/>
          <w:color w:val="auto"/>
          <w:sz w:val="24"/>
          <w:szCs w:val="24"/>
          <w:highlight w:val="none"/>
        </w:rPr>
        <w:t>.3</w:t>
      </w:r>
      <w:r>
        <w:rPr>
          <w:rFonts w:hint="eastAsia"/>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14:paraId="7AAD7FFD">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lang w:val="en-US" w:eastAsia="zh-CN"/>
        </w:rPr>
        <w:t>3</w:t>
      </w:r>
      <w:r>
        <w:rPr>
          <w:color w:val="auto"/>
          <w:sz w:val="24"/>
          <w:szCs w:val="24"/>
          <w:highlight w:val="none"/>
        </w:rPr>
        <w:t>.4</w:t>
      </w:r>
      <w:r>
        <w:rPr>
          <w:rFonts w:hint="eastAsia"/>
          <w:color w:val="auto"/>
          <w:sz w:val="24"/>
          <w:szCs w:val="24"/>
          <w:highlight w:val="none"/>
        </w:rPr>
        <w:t>全体参与评标人员：</w:t>
      </w:r>
    </w:p>
    <w:p w14:paraId="76724C51">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lang w:val="en-US" w:eastAsia="zh-CN"/>
        </w:rPr>
        <w:t>3</w:t>
      </w:r>
      <w:r>
        <w:rPr>
          <w:color w:val="auto"/>
          <w:sz w:val="24"/>
          <w:szCs w:val="24"/>
          <w:highlight w:val="none"/>
        </w:rPr>
        <w:t>.4.1</w:t>
      </w:r>
      <w:r>
        <w:rPr>
          <w:rFonts w:hint="eastAsia"/>
          <w:color w:val="auto"/>
          <w:sz w:val="24"/>
          <w:szCs w:val="24"/>
          <w:highlight w:val="none"/>
        </w:rPr>
        <w:t>必须遵守评标纪律、不得泄密；</w:t>
      </w:r>
    </w:p>
    <w:p w14:paraId="4A10009D">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lang w:val="en-US" w:eastAsia="zh-CN"/>
        </w:rPr>
        <w:t>3</w:t>
      </w:r>
      <w:r>
        <w:rPr>
          <w:color w:val="auto"/>
          <w:sz w:val="24"/>
          <w:szCs w:val="24"/>
          <w:highlight w:val="none"/>
        </w:rPr>
        <w:t>.4.2</w:t>
      </w:r>
      <w:r>
        <w:rPr>
          <w:rFonts w:hint="eastAsia"/>
          <w:color w:val="auto"/>
          <w:sz w:val="24"/>
          <w:szCs w:val="24"/>
          <w:highlight w:val="none"/>
        </w:rPr>
        <w:t>必须公正、不得循私；</w:t>
      </w:r>
    </w:p>
    <w:p w14:paraId="102C23EB">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lang w:val="en-US" w:eastAsia="zh-CN"/>
        </w:rPr>
        <w:t>3</w:t>
      </w:r>
      <w:r>
        <w:rPr>
          <w:color w:val="auto"/>
          <w:sz w:val="24"/>
          <w:szCs w:val="24"/>
          <w:highlight w:val="none"/>
        </w:rPr>
        <w:t>.4.3</w:t>
      </w:r>
      <w:r>
        <w:rPr>
          <w:rFonts w:hint="eastAsia"/>
          <w:color w:val="auto"/>
          <w:sz w:val="24"/>
          <w:szCs w:val="24"/>
          <w:highlight w:val="none"/>
        </w:rPr>
        <w:t>必须科学、不得草率；</w:t>
      </w:r>
    </w:p>
    <w:p w14:paraId="1637F12B">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lang w:val="en-US" w:eastAsia="zh-CN"/>
        </w:rPr>
        <w:t>3</w:t>
      </w:r>
      <w:r>
        <w:rPr>
          <w:color w:val="auto"/>
          <w:sz w:val="24"/>
          <w:szCs w:val="24"/>
          <w:highlight w:val="none"/>
        </w:rPr>
        <w:t>.4.4</w:t>
      </w:r>
      <w:r>
        <w:rPr>
          <w:rFonts w:hint="eastAsia"/>
          <w:color w:val="auto"/>
          <w:sz w:val="24"/>
          <w:szCs w:val="24"/>
          <w:highlight w:val="none"/>
        </w:rPr>
        <w:t>必须客观、不得带有成见；</w:t>
      </w:r>
    </w:p>
    <w:p w14:paraId="659B55A7">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lang w:val="en-US" w:eastAsia="zh-CN"/>
        </w:rPr>
        <w:t>3</w:t>
      </w:r>
      <w:r>
        <w:rPr>
          <w:color w:val="auto"/>
          <w:sz w:val="24"/>
          <w:szCs w:val="24"/>
          <w:highlight w:val="none"/>
        </w:rPr>
        <w:t>.4.5</w:t>
      </w:r>
      <w:r>
        <w:rPr>
          <w:rFonts w:hint="eastAsia"/>
          <w:color w:val="auto"/>
          <w:sz w:val="24"/>
          <w:szCs w:val="24"/>
          <w:highlight w:val="none"/>
        </w:rPr>
        <w:t>必须平等、不得强加于人；</w:t>
      </w:r>
    </w:p>
    <w:p w14:paraId="775A809A">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lang w:val="en-US" w:eastAsia="zh-CN"/>
        </w:rPr>
        <w:t>3</w:t>
      </w:r>
      <w:r>
        <w:rPr>
          <w:color w:val="auto"/>
          <w:sz w:val="24"/>
          <w:szCs w:val="24"/>
          <w:highlight w:val="none"/>
        </w:rPr>
        <w:t>.4.6</w:t>
      </w:r>
      <w:r>
        <w:rPr>
          <w:rFonts w:hint="eastAsia"/>
          <w:color w:val="auto"/>
          <w:sz w:val="24"/>
          <w:szCs w:val="24"/>
          <w:highlight w:val="none"/>
        </w:rPr>
        <w:t>必须严谨、不得随意马虎。</w:t>
      </w:r>
    </w:p>
    <w:p w14:paraId="061EAC20">
      <w:pPr>
        <w:spacing w:line="360" w:lineRule="auto"/>
        <w:ind w:firstLine="480" w:firstLineChars="200"/>
        <w:rPr>
          <w:color w:val="auto"/>
          <w:sz w:val="24"/>
          <w:szCs w:val="24"/>
          <w:highlight w:val="none"/>
        </w:rPr>
      </w:pPr>
      <w:r>
        <w:rPr>
          <w:rFonts w:hint="eastAsia"/>
          <w:color w:val="auto"/>
          <w:sz w:val="24"/>
          <w:szCs w:val="24"/>
          <w:highlight w:val="none"/>
        </w:rPr>
        <w:t>37.</w:t>
      </w:r>
      <w:r>
        <w:rPr>
          <w:rFonts w:hint="eastAsia"/>
          <w:color w:val="auto"/>
          <w:sz w:val="24"/>
          <w:szCs w:val="24"/>
          <w:highlight w:val="none"/>
          <w:lang w:val="en-US" w:eastAsia="zh-CN"/>
        </w:rPr>
        <w:t>4</w:t>
      </w:r>
      <w:r>
        <w:rPr>
          <w:rFonts w:hint="eastAsia"/>
          <w:color w:val="auto"/>
          <w:sz w:val="24"/>
          <w:szCs w:val="24"/>
          <w:highlight w:val="none"/>
        </w:rPr>
        <w:t>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2E97639B">
      <w:pPr>
        <w:spacing w:line="360" w:lineRule="auto"/>
        <w:ind w:firstLine="480" w:firstLineChars="200"/>
        <w:rPr>
          <w:rFonts w:hint="eastAsia" w:eastAsia="宋体"/>
          <w:color w:val="auto"/>
          <w:sz w:val="24"/>
          <w:szCs w:val="24"/>
          <w:highlight w:val="none"/>
          <w:lang w:eastAsia="zh-CN"/>
        </w:rPr>
      </w:pPr>
      <w:r>
        <w:rPr>
          <w:rFonts w:hint="eastAsia"/>
          <w:color w:val="auto"/>
          <w:sz w:val="24"/>
          <w:szCs w:val="24"/>
          <w:highlight w:val="none"/>
        </w:rPr>
        <w:t>37.</w:t>
      </w:r>
      <w:r>
        <w:rPr>
          <w:rFonts w:hint="eastAsia"/>
          <w:color w:val="auto"/>
          <w:sz w:val="24"/>
          <w:szCs w:val="24"/>
          <w:highlight w:val="none"/>
          <w:lang w:val="en-US" w:eastAsia="zh-CN"/>
        </w:rPr>
        <w:t>5</w:t>
      </w:r>
      <w:r>
        <w:rPr>
          <w:rFonts w:hint="eastAsia"/>
          <w:color w:val="auto"/>
          <w:sz w:val="24"/>
          <w:szCs w:val="24"/>
          <w:highlight w:val="none"/>
        </w:rPr>
        <w:t>评标结束后，评标委员会递交评标报告并依法推荐中标候选人。</w:t>
      </w:r>
    </w:p>
    <w:p w14:paraId="0A8733F8">
      <w:pPr>
        <w:spacing w:line="360" w:lineRule="auto"/>
        <w:ind w:firstLine="480" w:firstLineChars="200"/>
        <w:rPr>
          <w:color w:val="auto"/>
          <w:sz w:val="24"/>
          <w:szCs w:val="24"/>
          <w:highlight w:val="none"/>
        </w:rPr>
      </w:pPr>
      <w:r>
        <w:rPr>
          <w:color w:val="auto"/>
          <w:sz w:val="24"/>
          <w:szCs w:val="24"/>
          <w:highlight w:val="none"/>
        </w:rPr>
        <w:t>38</w:t>
      </w:r>
      <w:r>
        <w:rPr>
          <w:rFonts w:hint="eastAsia"/>
          <w:color w:val="auto"/>
          <w:sz w:val="24"/>
          <w:szCs w:val="24"/>
          <w:highlight w:val="none"/>
        </w:rPr>
        <w:t>．投标文件的澄清</w:t>
      </w:r>
    </w:p>
    <w:p w14:paraId="4EA5985B">
      <w:pPr>
        <w:spacing w:line="360" w:lineRule="auto"/>
        <w:ind w:firstLine="480" w:firstLineChars="200"/>
        <w:rPr>
          <w:color w:val="auto"/>
          <w:sz w:val="24"/>
          <w:szCs w:val="24"/>
          <w:highlight w:val="none"/>
        </w:rPr>
      </w:pPr>
      <w:r>
        <w:rPr>
          <w:color w:val="auto"/>
          <w:sz w:val="24"/>
          <w:szCs w:val="24"/>
          <w:highlight w:val="none"/>
        </w:rPr>
        <w:t>38.1</w:t>
      </w:r>
      <w:r>
        <w:rPr>
          <w:rFonts w:hint="eastAsia"/>
          <w:color w:val="auto"/>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16E58BE5">
      <w:pPr>
        <w:spacing w:line="360" w:lineRule="auto"/>
        <w:ind w:firstLine="480" w:firstLineChars="200"/>
        <w:rPr>
          <w:color w:val="auto"/>
          <w:sz w:val="24"/>
          <w:szCs w:val="24"/>
          <w:highlight w:val="none"/>
        </w:rPr>
      </w:pPr>
      <w:r>
        <w:rPr>
          <w:color w:val="auto"/>
          <w:sz w:val="24"/>
          <w:szCs w:val="24"/>
          <w:highlight w:val="none"/>
        </w:rPr>
        <w:t>38.2</w:t>
      </w:r>
      <w:r>
        <w:rPr>
          <w:rFonts w:hint="eastAsia"/>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141EF019">
      <w:pPr>
        <w:spacing w:line="360" w:lineRule="auto"/>
        <w:ind w:firstLine="480" w:firstLineChars="200"/>
        <w:rPr>
          <w:color w:val="auto"/>
          <w:sz w:val="24"/>
          <w:szCs w:val="24"/>
          <w:highlight w:val="none"/>
        </w:rPr>
      </w:pPr>
      <w:r>
        <w:rPr>
          <w:color w:val="auto"/>
          <w:sz w:val="24"/>
          <w:szCs w:val="24"/>
          <w:highlight w:val="none"/>
        </w:rPr>
        <w:t>38.3</w:t>
      </w:r>
      <w:r>
        <w:rPr>
          <w:rFonts w:hint="eastAsia"/>
          <w:color w:val="auto"/>
          <w:sz w:val="24"/>
          <w:szCs w:val="24"/>
          <w:highlight w:val="none"/>
        </w:rPr>
        <w:t>评标委员会或评标委员会专业评审组成员均应当阅读投标人的澄清，但应独立参考澄清对投标文件进行评审。</w:t>
      </w:r>
    </w:p>
    <w:p w14:paraId="3272BDAE">
      <w:pPr>
        <w:spacing w:line="360" w:lineRule="auto"/>
        <w:ind w:firstLine="480" w:firstLineChars="200"/>
        <w:rPr>
          <w:color w:val="auto"/>
          <w:sz w:val="24"/>
          <w:szCs w:val="24"/>
          <w:highlight w:val="none"/>
        </w:rPr>
      </w:pPr>
      <w:r>
        <w:rPr>
          <w:color w:val="auto"/>
          <w:sz w:val="24"/>
          <w:szCs w:val="24"/>
          <w:highlight w:val="none"/>
        </w:rPr>
        <w:t>38.4</w:t>
      </w:r>
      <w:r>
        <w:rPr>
          <w:rFonts w:hint="eastAsia"/>
          <w:color w:val="auto"/>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14:paraId="76B562E0">
      <w:pPr>
        <w:spacing w:line="360" w:lineRule="auto"/>
        <w:ind w:firstLine="480" w:firstLineChars="200"/>
        <w:rPr>
          <w:color w:val="auto"/>
          <w:sz w:val="24"/>
          <w:szCs w:val="24"/>
          <w:highlight w:val="none"/>
        </w:rPr>
      </w:pPr>
      <w:r>
        <w:rPr>
          <w:rFonts w:hint="eastAsia"/>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6339FAF6">
      <w:pPr>
        <w:spacing w:line="360" w:lineRule="auto"/>
        <w:ind w:firstLine="480" w:firstLineChars="200"/>
        <w:rPr>
          <w:color w:val="auto"/>
          <w:sz w:val="24"/>
          <w:szCs w:val="24"/>
          <w:highlight w:val="none"/>
        </w:rPr>
      </w:pPr>
      <w:r>
        <w:rPr>
          <w:color w:val="auto"/>
          <w:sz w:val="24"/>
          <w:szCs w:val="24"/>
          <w:highlight w:val="none"/>
        </w:rPr>
        <w:t>39</w:t>
      </w:r>
      <w:r>
        <w:rPr>
          <w:rFonts w:hint="eastAsia"/>
          <w:color w:val="auto"/>
          <w:sz w:val="24"/>
          <w:szCs w:val="24"/>
          <w:highlight w:val="none"/>
        </w:rPr>
        <w:t>．定标</w:t>
      </w:r>
    </w:p>
    <w:p w14:paraId="72AF2E8D">
      <w:pPr>
        <w:spacing w:line="360" w:lineRule="auto"/>
        <w:ind w:firstLine="480" w:firstLineChars="200"/>
        <w:rPr>
          <w:color w:val="auto"/>
          <w:sz w:val="24"/>
          <w:szCs w:val="24"/>
          <w:highlight w:val="none"/>
        </w:rPr>
      </w:pPr>
      <w:r>
        <w:rPr>
          <w:color w:val="auto"/>
          <w:sz w:val="24"/>
          <w:szCs w:val="24"/>
          <w:highlight w:val="none"/>
        </w:rPr>
        <w:t>39.1</w:t>
      </w:r>
      <w:r>
        <w:rPr>
          <w:rFonts w:hint="eastAsia"/>
          <w:color w:val="auto"/>
          <w:sz w:val="24"/>
          <w:szCs w:val="24"/>
          <w:highlight w:val="none"/>
        </w:rPr>
        <w:t>招标人根据评标委员会递交的评标报告，最终审定中标人。</w:t>
      </w:r>
    </w:p>
    <w:p w14:paraId="127C2B85">
      <w:pPr>
        <w:spacing w:line="360" w:lineRule="auto"/>
        <w:ind w:firstLine="480" w:firstLineChars="200"/>
        <w:rPr>
          <w:color w:val="auto"/>
          <w:sz w:val="24"/>
          <w:szCs w:val="24"/>
          <w:highlight w:val="none"/>
        </w:rPr>
      </w:pPr>
      <w:r>
        <w:rPr>
          <w:color w:val="auto"/>
          <w:sz w:val="24"/>
          <w:szCs w:val="24"/>
          <w:highlight w:val="none"/>
        </w:rPr>
        <w:t>39.2</w:t>
      </w:r>
      <w:r>
        <w:rPr>
          <w:rFonts w:hint="eastAsia"/>
          <w:color w:val="auto"/>
          <w:sz w:val="24"/>
          <w:szCs w:val="24"/>
          <w:highlight w:val="none"/>
        </w:rPr>
        <w:t>依法必须进行公开招标的项目，招标人应当确定排名第一的中标候选人为中标人。</w:t>
      </w:r>
    </w:p>
    <w:p w14:paraId="19614506">
      <w:pPr>
        <w:spacing w:line="360" w:lineRule="auto"/>
        <w:ind w:firstLine="480" w:firstLineChars="200"/>
        <w:rPr>
          <w:color w:val="auto"/>
          <w:sz w:val="24"/>
          <w:szCs w:val="24"/>
          <w:highlight w:val="none"/>
        </w:rPr>
      </w:pPr>
      <w:r>
        <w:rPr>
          <w:color w:val="auto"/>
          <w:sz w:val="24"/>
          <w:szCs w:val="24"/>
          <w:highlight w:val="none"/>
        </w:rPr>
        <w:t>39.3</w:t>
      </w:r>
      <w:r>
        <w:rPr>
          <w:rFonts w:hint="eastAsia"/>
          <w:color w:val="auto"/>
          <w:sz w:val="24"/>
          <w:szCs w:val="24"/>
          <w:highlight w:val="none"/>
        </w:rPr>
        <w:t>排名第一的中标候选人放弃中标、或因不可抗力提出不能履行合同，或者招标文件规定应当提交履约担保而在规定的期限内未能提交的，招标人可以确定排名第二的中标候选人为中标人。</w:t>
      </w:r>
    </w:p>
    <w:p w14:paraId="1C906866">
      <w:pPr>
        <w:spacing w:line="360" w:lineRule="auto"/>
        <w:ind w:firstLine="480" w:firstLineChars="200"/>
        <w:rPr>
          <w:color w:val="auto"/>
          <w:sz w:val="24"/>
          <w:szCs w:val="24"/>
          <w:highlight w:val="none"/>
        </w:rPr>
      </w:pPr>
      <w:r>
        <w:rPr>
          <w:color w:val="auto"/>
          <w:sz w:val="24"/>
          <w:szCs w:val="24"/>
          <w:highlight w:val="none"/>
        </w:rPr>
        <w:t>39.4</w:t>
      </w:r>
      <w:r>
        <w:rPr>
          <w:rFonts w:hint="eastAsia"/>
          <w:color w:val="auto"/>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14:paraId="101179DE">
      <w:pPr>
        <w:spacing w:line="360" w:lineRule="auto"/>
        <w:ind w:firstLine="480" w:firstLineChars="200"/>
        <w:rPr>
          <w:color w:val="auto"/>
          <w:sz w:val="24"/>
          <w:szCs w:val="24"/>
          <w:highlight w:val="none"/>
        </w:rPr>
      </w:pPr>
      <w:r>
        <w:rPr>
          <w:rFonts w:hint="eastAsia"/>
          <w:color w:val="auto"/>
          <w:sz w:val="24"/>
          <w:szCs w:val="24"/>
          <w:highlight w:val="none"/>
        </w:rPr>
        <w:t>39.5重新评标的，评标信息（含业绩、奖项等）仍以投标截止时投标人的信息为准。因特殊原因需要延长投标有效期，投标人拒绝延长投标有效期的，仍参与评标，但不被推荐为中标候选人。</w:t>
      </w:r>
    </w:p>
    <w:p w14:paraId="7C326253">
      <w:pPr>
        <w:pStyle w:val="4"/>
        <w:spacing w:before="156" w:after="156"/>
        <w:ind w:firstLine="540" w:firstLineChars="200"/>
        <w:rPr>
          <w:color w:val="auto"/>
          <w:highlight w:val="none"/>
        </w:rPr>
      </w:pPr>
      <w:bookmarkStart w:id="17" w:name="_Toc21805"/>
      <w:r>
        <w:rPr>
          <w:rFonts w:hint="eastAsia"/>
          <w:color w:val="auto"/>
          <w:highlight w:val="none"/>
        </w:rPr>
        <w:t>（二）开标评标办法程序和细则</w:t>
      </w:r>
      <w:bookmarkEnd w:id="17"/>
    </w:p>
    <w:p w14:paraId="3C615B6E">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注：以下八种评标办法所述企业综合诚信评价分数即投标截止当日广州市工程招标行业协会网站上公布的企业综合诚信评价60日诚信分。</w:t>
      </w:r>
    </w:p>
    <w:p w14:paraId="233B6054">
      <w:pPr>
        <w:widowControl/>
        <w:spacing w:before="100" w:beforeAutospacing="1" w:after="100" w:afterAutospacing="1"/>
        <w:ind w:firstLine="540" w:firstLineChars="200"/>
        <w:jc w:val="left"/>
        <w:outlineLvl w:val="2"/>
        <w:rPr>
          <w:rFonts w:cs="宋体"/>
          <w:color w:val="auto"/>
          <w:kern w:val="0"/>
          <w:sz w:val="27"/>
          <w:szCs w:val="27"/>
          <w:highlight w:val="none"/>
        </w:rPr>
      </w:pPr>
      <w:bookmarkStart w:id="18" w:name="_Toc682"/>
      <w:r>
        <w:rPr>
          <w:rFonts w:hint="eastAsia" w:cs="宋体"/>
          <w:color w:val="auto"/>
          <w:kern w:val="0"/>
          <w:sz w:val="27"/>
          <w:szCs w:val="27"/>
          <w:highlight w:val="none"/>
        </w:rPr>
        <w:t>可选办法七（适合综合评分法四，技术标与经济标同时开启）</w:t>
      </w:r>
      <w:bookmarkEnd w:id="18"/>
    </w:p>
    <w:p w14:paraId="1A70A082">
      <w:pPr>
        <w:snapToGrid w:val="0"/>
        <w:spacing w:line="360" w:lineRule="auto"/>
        <w:ind w:firstLine="480" w:firstLineChars="200"/>
        <w:rPr>
          <w:color w:val="auto"/>
          <w:sz w:val="24"/>
          <w:szCs w:val="24"/>
          <w:highlight w:val="none"/>
        </w:rPr>
      </w:pPr>
      <w:r>
        <w:rPr>
          <w:rFonts w:hint="eastAsia"/>
          <w:color w:val="auto"/>
          <w:sz w:val="24"/>
          <w:szCs w:val="24"/>
          <w:highlight w:val="none"/>
        </w:rPr>
        <w:t>40．开标和评标程序</w:t>
      </w:r>
    </w:p>
    <w:p w14:paraId="36C830B4">
      <w:pPr>
        <w:snapToGrid w:val="0"/>
        <w:spacing w:line="360" w:lineRule="auto"/>
        <w:ind w:firstLine="480" w:firstLineChars="200"/>
        <w:rPr>
          <w:color w:val="auto"/>
          <w:sz w:val="24"/>
          <w:szCs w:val="24"/>
          <w:highlight w:val="none"/>
        </w:rPr>
      </w:pPr>
      <w:r>
        <w:rPr>
          <w:rFonts w:hint="eastAsia"/>
          <w:color w:val="auto"/>
          <w:sz w:val="24"/>
          <w:szCs w:val="24"/>
          <w:highlight w:val="none"/>
        </w:rPr>
        <w:t>40.1技术标（含资格审查文件）与经济标投标文件同时公开开标；</w:t>
      </w:r>
    </w:p>
    <w:p w14:paraId="1D784F66">
      <w:pPr>
        <w:snapToGrid w:val="0"/>
        <w:spacing w:line="360" w:lineRule="auto"/>
        <w:ind w:firstLine="480" w:firstLineChars="200"/>
        <w:rPr>
          <w:color w:val="auto"/>
          <w:sz w:val="24"/>
          <w:szCs w:val="24"/>
          <w:highlight w:val="none"/>
        </w:rPr>
      </w:pPr>
      <w:r>
        <w:rPr>
          <w:rFonts w:hint="eastAsia"/>
          <w:color w:val="auto"/>
          <w:sz w:val="24"/>
          <w:szCs w:val="24"/>
          <w:highlight w:val="none"/>
        </w:rPr>
        <w:t>40.2由评标委员会对所有已公开开标的投标人进行资格审查；</w:t>
      </w:r>
    </w:p>
    <w:p w14:paraId="34FC1C71">
      <w:pPr>
        <w:snapToGrid w:val="0"/>
        <w:spacing w:line="360" w:lineRule="auto"/>
        <w:ind w:firstLine="480" w:firstLineChars="200"/>
        <w:rPr>
          <w:color w:val="auto"/>
          <w:sz w:val="24"/>
          <w:szCs w:val="24"/>
          <w:highlight w:val="none"/>
        </w:rPr>
      </w:pPr>
      <w:r>
        <w:rPr>
          <w:rFonts w:hint="eastAsia"/>
          <w:color w:val="auto"/>
          <w:sz w:val="24"/>
          <w:szCs w:val="24"/>
          <w:highlight w:val="none"/>
        </w:rPr>
        <w:t>40.3技术标投标文件有效性审查；</w:t>
      </w:r>
    </w:p>
    <w:p w14:paraId="3D054C70">
      <w:pPr>
        <w:snapToGrid w:val="0"/>
        <w:spacing w:line="360" w:lineRule="auto"/>
        <w:ind w:firstLine="480" w:firstLineChars="200"/>
        <w:rPr>
          <w:color w:val="auto"/>
          <w:sz w:val="24"/>
          <w:szCs w:val="24"/>
          <w:highlight w:val="none"/>
        </w:rPr>
      </w:pPr>
      <w:r>
        <w:rPr>
          <w:rFonts w:hint="eastAsia"/>
          <w:color w:val="auto"/>
          <w:sz w:val="24"/>
          <w:szCs w:val="24"/>
          <w:highlight w:val="none"/>
        </w:rPr>
        <w:t>40.4技术标详细审查评分；</w:t>
      </w:r>
    </w:p>
    <w:p w14:paraId="7752C017">
      <w:pPr>
        <w:snapToGrid w:val="0"/>
        <w:spacing w:line="360" w:lineRule="auto"/>
        <w:ind w:firstLine="480" w:firstLineChars="200"/>
        <w:rPr>
          <w:rFonts w:hint="eastAsia" w:eastAsia="宋体"/>
          <w:color w:val="auto"/>
          <w:sz w:val="24"/>
          <w:szCs w:val="24"/>
          <w:highlight w:val="none"/>
          <w:lang w:eastAsia="zh-CN"/>
        </w:rPr>
      </w:pPr>
      <w:r>
        <w:rPr>
          <w:rFonts w:hint="eastAsia"/>
          <w:color w:val="auto"/>
          <w:sz w:val="24"/>
          <w:szCs w:val="24"/>
          <w:highlight w:val="none"/>
        </w:rPr>
        <w:t>40.5经济标详细审查评分；</w:t>
      </w:r>
    </w:p>
    <w:p w14:paraId="39863CB7">
      <w:pPr>
        <w:snapToGrid w:val="0"/>
        <w:spacing w:line="360" w:lineRule="auto"/>
        <w:ind w:firstLine="480" w:firstLineChars="200"/>
        <w:rPr>
          <w:color w:val="auto"/>
          <w:sz w:val="24"/>
          <w:szCs w:val="24"/>
          <w:highlight w:val="none"/>
        </w:rPr>
      </w:pPr>
      <w:r>
        <w:rPr>
          <w:rFonts w:hint="eastAsia"/>
          <w:color w:val="auto"/>
          <w:sz w:val="24"/>
          <w:szCs w:val="24"/>
          <w:highlight w:val="none"/>
        </w:rPr>
        <w:t>40.6评标委员会按照投标人总得分由高至低排序；</w:t>
      </w:r>
    </w:p>
    <w:p w14:paraId="2691C8A9">
      <w:pPr>
        <w:snapToGrid w:val="0"/>
        <w:spacing w:line="360" w:lineRule="auto"/>
        <w:ind w:firstLine="480" w:firstLineChars="200"/>
        <w:rPr>
          <w:color w:val="auto"/>
          <w:sz w:val="24"/>
          <w:szCs w:val="24"/>
          <w:highlight w:val="none"/>
        </w:rPr>
      </w:pPr>
      <w:r>
        <w:rPr>
          <w:rFonts w:hint="eastAsia"/>
          <w:color w:val="auto"/>
          <w:sz w:val="24"/>
          <w:szCs w:val="24"/>
          <w:highlight w:val="none"/>
        </w:rPr>
        <w:t>40.7经济标投标文件有效性审查；</w:t>
      </w:r>
    </w:p>
    <w:p w14:paraId="12C67EFA">
      <w:pPr>
        <w:snapToGrid w:val="0"/>
        <w:spacing w:line="360" w:lineRule="auto"/>
        <w:ind w:firstLine="480" w:firstLineChars="200"/>
        <w:rPr>
          <w:color w:val="auto"/>
          <w:szCs w:val="21"/>
          <w:highlight w:val="none"/>
        </w:rPr>
      </w:pPr>
      <w:r>
        <w:rPr>
          <w:rFonts w:hint="eastAsia"/>
          <w:color w:val="auto"/>
          <w:sz w:val="24"/>
          <w:szCs w:val="24"/>
          <w:highlight w:val="none"/>
        </w:rPr>
        <w:t>40.8评标委员会按排序向招标人推荐中标候选人名单，并递交资格审查报告及评标报告。</w:t>
      </w:r>
    </w:p>
    <w:p w14:paraId="02DF8B80">
      <w:pPr>
        <w:snapToGrid w:val="0"/>
        <w:spacing w:line="360" w:lineRule="auto"/>
        <w:ind w:firstLine="480" w:firstLineChars="200"/>
        <w:rPr>
          <w:color w:val="auto"/>
          <w:sz w:val="24"/>
          <w:szCs w:val="24"/>
          <w:highlight w:val="none"/>
        </w:rPr>
      </w:pPr>
      <w:r>
        <w:rPr>
          <w:rFonts w:hint="eastAsia"/>
          <w:color w:val="auto"/>
          <w:sz w:val="24"/>
          <w:szCs w:val="24"/>
          <w:highlight w:val="none"/>
        </w:rPr>
        <w:t>41．开标细则</w:t>
      </w:r>
    </w:p>
    <w:p w14:paraId="0FDE4D13">
      <w:pPr>
        <w:snapToGrid w:val="0"/>
        <w:spacing w:line="360" w:lineRule="auto"/>
        <w:ind w:firstLine="480" w:firstLineChars="200"/>
        <w:rPr>
          <w:color w:val="auto"/>
          <w:sz w:val="24"/>
          <w:szCs w:val="24"/>
          <w:highlight w:val="none"/>
        </w:rPr>
      </w:pPr>
      <w:r>
        <w:rPr>
          <w:rFonts w:hint="eastAsia"/>
          <w:color w:val="auto"/>
          <w:sz w:val="24"/>
          <w:szCs w:val="24"/>
          <w:highlight w:val="none"/>
        </w:rPr>
        <w:t>41.1开标由招标人主持；</w:t>
      </w:r>
    </w:p>
    <w:p w14:paraId="1F362CED">
      <w:pPr>
        <w:snapToGrid w:val="0"/>
        <w:spacing w:line="360" w:lineRule="auto"/>
        <w:ind w:firstLine="480" w:firstLineChars="200"/>
        <w:rPr>
          <w:color w:val="auto"/>
          <w:sz w:val="24"/>
          <w:szCs w:val="24"/>
          <w:highlight w:val="none"/>
        </w:rPr>
      </w:pPr>
      <w:r>
        <w:rPr>
          <w:rFonts w:hint="eastAsia"/>
          <w:color w:val="auto"/>
          <w:sz w:val="24"/>
          <w:szCs w:val="24"/>
          <w:highlight w:val="none"/>
        </w:rPr>
        <w:t>41.2细则</w:t>
      </w:r>
    </w:p>
    <w:p w14:paraId="37A5B7D6">
      <w:pPr>
        <w:snapToGrid w:val="0"/>
        <w:spacing w:line="360" w:lineRule="auto"/>
        <w:ind w:firstLine="480" w:firstLineChars="200"/>
        <w:rPr>
          <w:rFonts w:hint="eastAsia" w:eastAsia="宋体"/>
          <w:color w:val="auto"/>
          <w:sz w:val="24"/>
          <w:szCs w:val="24"/>
          <w:highlight w:val="none"/>
          <w:lang w:eastAsia="zh-CN"/>
        </w:rPr>
      </w:pPr>
      <w:r>
        <w:rPr>
          <w:rFonts w:hint="eastAsia"/>
          <w:color w:val="auto"/>
          <w:sz w:val="24"/>
          <w:szCs w:val="24"/>
          <w:highlight w:val="none"/>
        </w:rPr>
        <w:t>41.2.1投标截止期前，各投标人递交投标文件（包括技术标投标文件、经济标投标文件）至交易平台。有关投标文件提交的事项详见第一章投标须知。</w:t>
      </w:r>
    </w:p>
    <w:p w14:paraId="7D5A1FB3">
      <w:pPr>
        <w:snapToGrid w:val="0"/>
        <w:spacing w:line="360" w:lineRule="auto"/>
        <w:ind w:firstLine="480" w:firstLineChars="200"/>
        <w:rPr>
          <w:color w:val="auto"/>
          <w:sz w:val="24"/>
          <w:szCs w:val="24"/>
          <w:highlight w:val="none"/>
        </w:rPr>
      </w:pPr>
      <w:r>
        <w:rPr>
          <w:rFonts w:hint="eastAsia"/>
          <w:color w:val="auto"/>
          <w:sz w:val="24"/>
          <w:szCs w:val="24"/>
          <w:highlight w:val="none"/>
        </w:rPr>
        <w:t>41.2.2开标前，首先由招标人随机抽取确定该工程计算评标参考价的等分点值X。</w:t>
      </w:r>
    </w:p>
    <w:p w14:paraId="2E848AA7">
      <w:pPr>
        <w:snapToGrid w:val="0"/>
        <w:spacing w:line="360" w:lineRule="auto"/>
        <w:ind w:firstLine="480" w:firstLineChars="200"/>
        <w:rPr>
          <w:color w:val="auto"/>
          <w:sz w:val="24"/>
          <w:szCs w:val="24"/>
          <w:highlight w:val="none"/>
        </w:rPr>
      </w:pPr>
      <w:r>
        <w:rPr>
          <w:rFonts w:hint="eastAsia"/>
          <w:color w:val="auto"/>
          <w:sz w:val="24"/>
          <w:szCs w:val="24"/>
          <w:highlight w:val="none"/>
        </w:rPr>
        <w:t>41.2.3开标时，投标人代表有权参加现场开标或</w:t>
      </w:r>
      <w:r>
        <w:rPr>
          <w:rFonts w:hint="eastAsia"/>
          <w:b/>
          <w:bCs/>
          <w:color w:val="auto"/>
          <w:sz w:val="24"/>
          <w:szCs w:val="24"/>
          <w:highlight w:val="none"/>
        </w:rPr>
        <w:t>在线开标</w:t>
      </w:r>
      <w:r>
        <w:rPr>
          <w:rFonts w:hint="eastAsia"/>
          <w:color w:val="auto"/>
          <w:sz w:val="24"/>
          <w:szCs w:val="24"/>
          <w:highlight w:val="none"/>
        </w:rPr>
        <w:t>，也可以自主决定不参加开标，若投标人代表对开标过程有异议的，</w:t>
      </w:r>
      <w:r>
        <w:rPr>
          <w:rFonts w:hint="eastAsia"/>
          <w:b/>
          <w:bCs/>
          <w:color w:val="auto"/>
          <w:sz w:val="24"/>
          <w:szCs w:val="24"/>
          <w:highlight w:val="none"/>
        </w:rPr>
        <w:t>参加现场开标的应当在开标现场提出，同时出示本人身份证原件，招标人应当当场作出答复，并制作记录；参加在线开标的，投标人应通过交易平台在线提出，招标人应通过交易平台答复，答复后方可结束开标</w:t>
      </w:r>
      <w:r>
        <w:rPr>
          <w:rFonts w:hint="eastAsia"/>
          <w:color w:val="auto"/>
          <w:sz w:val="24"/>
          <w:szCs w:val="24"/>
          <w:highlight w:val="none"/>
        </w:rPr>
        <w:t>。</w:t>
      </w:r>
    </w:p>
    <w:p w14:paraId="669C471A">
      <w:pPr>
        <w:snapToGrid w:val="0"/>
        <w:spacing w:line="360" w:lineRule="auto"/>
        <w:ind w:firstLine="480" w:firstLineChars="200"/>
        <w:rPr>
          <w:rFonts w:hint="eastAsia" w:eastAsia="宋体"/>
          <w:color w:val="auto"/>
          <w:sz w:val="24"/>
          <w:szCs w:val="24"/>
          <w:highlight w:val="none"/>
          <w:lang w:eastAsia="zh-CN"/>
        </w:rPr>
      </w:pPr>
      <w:r>
        <w:rPr>
          <w:rFonts w:hint="eastAsia"/>
          <w:color w:val="auto"/>
          <w:sz w:val="24"/>
          <w:szCs w:val="24"/>
          <w:highlight w:val="none"/>
        </w:rPr>
        <w:t>41.2.4按36.5.1的规定完成解密后，公布下列内容，并予以记录，记录提交评标委员会评审：</w:t>
      </w:r>
    </w:p>
    <w:p w14:paraId="3031A801">
      <w:pPr>
        <w:snapToGrid w:val="0"/>
        <w:spacing w:line="360" w:lineRule="auto"/>
        <w:ind w:firstLine="480" w:firstLineChars="200"/>
        <w:rPr>
          <w:color w:val="auto"/>
          <w:sz w:val="24"/>
          <w:szCs w:val="24"/>
          <w:highlight w:val="none"/>
        </w:rPr>
      </w:pPr>
      <w:r>
        <w:rPr>
          <w:rFonts w:hint="eastAsia"/>
          <w:color w:val="auto"/>
          <w:sz w:val="24"/>
          <w:szCs w:val="24"/>
          <w:highlight w:val="none"/>
        </w:rPr>
        <w:t>41.2.4.1开标时，公布：a、投标人名称；b、</w:t>
      </w:r>
      <w:r>
        <w:rPr>
          <w:rFonts w:hint="eastAsia"/>
          <w:color w:val="auto"/>
          <w:sz w:val="24"/>
          <w:highlight w:val="none"/>
        </w:rPr>
        <w:t>投标文件</w:t>
      </w:r>
      <w:r>
        <w:rPr>
          <w:rFonts w:hint="eastAsia"/>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14:paraId="32BE9D59">
      <w:pPr>
        <w:snapToGrid w:val="0"/>
        <w:spacing w:line="360" w:lineRule="auto"/>
        <w:ind w:firstLine="480" w:firstLineChars="200"/>
        <w:rPr>
          <w:color w:val="auto"/>
          <w:sz w:val="24"/>
          <w:szCs w:val="24"/>
          <w:highlight w:val="none"/>
        </w:rPr>
      </w:pPr>
      <w:r>
        <w:rPr>
          <w:rFonts w:hint="eastAsia"/>
          <w:color w:val="auto"/>
          <w:sz w:val="24"/>
          <w:szCs w:val="24"/>
          <w:highlight w:val="none"/>
        </w:rPr>
        <w:t>41.3招标人对开标过程进行记录，并存档备查，投标人在技术标开标记录上签字。</w:t>
      </w:r>
    </w:p>
    <w:p w14:paraId="29FECBF9">
      <w:pPr>
        <w:snapToGrid w:val="0"/>
        <w:spacing w:line="360" w:lineRule="auto"/>
        <w:ind w:firstLine="480" w:firstLineChars="200"/>
        <w:rPr>
          <w:color w:val="auto"/>
          <w:sz w:val="24"/>
          <w:szCs w:val="24"/>
          <w:highlight w:val="none"/>
        </w:rPr>
      </w:pPr>
      <w:r>
        <w:rPr>
          <w:rFonts w:hint="eastAsia"/>
          <w:color w:val="auto"/>
          <w:sz w:val="24"/>
          <w:szCs w:val="24"/>
          <w:highlight w:val="none"/>
        </w:rPr>
        <w:t>41.4招标人将上述符合要求的投标文件，送至评标委员会进行评审。</w:t>
      </w:r>
    </w:p>
    <w:p w14:paraId="6F5B2BD9">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42.资格审查及评标细则</w:t>
      </w:r>
    </w:p>
    <w:p w14:paraId="7FB03BEA">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42.1资格审查及评标均由招标人依法组建的评标委员会负责。</w:t>
      </w:r>
    </w:p>
    <w:p w14:paraId="40FB425A">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42.2评标委员会的组成：方式。</w:t>
      </w:r>
    </w:p>
    <w:p w14:paraId="3DBA81C6">
      <w:pPr>
        <w:snapToGrid w:val="0"/>
        <w:spacing w:line="360" w:lineRule="auto"/>
        <w:ind w:firstLine="480" w:firstLineChars="200"/>
        <w:rPr>
          <w:color w:val="auto"/>
          <w:sz w:val="24"/>
          <w:szCs w:val="24"/>
          <w:highlight w:val="none"/>
        </w:rPr>
      </w:pPr>
      <w:r>
        <w:rPr>
          <w:rFonts w:hint="eastAsia"/>
          <w:color w:val="auto"/>
          <w:sz w:val="24"/>
          <w:szCs w:val="24"/>
          <w:highlight w:val="none"/>
        </w:rPr>
        <w:t>方式一：评标委员会为综合评标委员会，负责资格审查及评标工作。</w:t>
      </w:r>
    </w:p>
    <w:p w14:paraId="65F59700">
      <w:pPr>
        <w:pStyle w:val="19"/>
        <w:tabs>
          <w:tab w:val="left" w:pos="7380"/>
        </w:tabs>
        <w:snapToGrid w:val="0"/>
        <w:spacing w:after="0" w:line="360" w:lineRule="auto"/>
        <w:rPr>
          <w:rFonts w:ascii="宋体"/>
          <w:color w:val="auto"/>
          <w:sz w:val="24"/>
          <w:szCs w:val="24"/>
          <w:highlight w:val="none"/>
        </w:rPr>
      </w:pPr>
      <w:r>
        <w:rPr>
          <w:rFonts w:hint="eastAsia" w:ascii="宋体"/>
          <w:color w:val="auto"/>
          <w:sz w:val="24"/>
          <w:szCs w:val="24"/>
          <w:highlight w:val="none"/>
        </w:rPr>
        <w:t>方式二：评标委员会由技术评审组和经济评审组组成。其中：资格审查及技术评审由技术评标组负责，经济评审由经济评审组负责。</w:t>
      </w:r>
    </w:p>
    <w:p w14:paraId="1F69A4A8">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43．投标人资格审查</w:t>
      </w:r>
    </w:p>
    <w:p w14:paraId="5FE2DE8C">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2EEB915E">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43.2汇总资格审查情况，编写资格审查报告。</w:t>
      </w:r>
    </w:p>
    <w:p w14:paraId="6676D4E7">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43.3资格审查不合格的投标文件不参加下一阶段的评标，不参与评标参考价的计算。</w:t>
      </w:r>
    </w:p>
    <w:p w14:paraId="2C0BFDE0">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399CBEA3">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43.5资审合格后，投标人的资格发生变化而不满足投标人合格条件，在发出中标通知书前，资格问题仍未解决的，招标人将取消其中标资格。</w:t>
      </w:r>
    </w:p>
    <w:p w14:paraId="2BA64616">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43.6资格审查合格的投标人少于3名的（当N个标段同时招标且不允许兼中时，资格审查合格的投标人少于N+2名），则本项目招标失败。</w:t>
      </w:r>
    </w:p>
    <w:p w14:paraId="3EDCD49F">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44．技术标评审</w:t>
      </w:r>
    </w:p>
    <w:p w14:paraId="031EBED6">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2D9DFCE9">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14:paraId="42FB346F">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45．经济标评审和得分汇总</w:t>
      </w:r>
    </w:p>
    <w:p w14:paraId="1AF94682">
      <w:pPr>
        <w:pStyle w:val="19"/>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45.1若通过技术标有效性审查的投标人中所有投标报价均大于等于最高投标限价，则本项目招标失败，由招标人依法重新招标。</w:t>
      </w:r>
    </w:p>
    <w:p w14:paraId="34E12B24">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45.2计算评标参考价：</w:t>
      </w:r>
    </w:p>
    <w:p w14:paraId="4CABE0D4">
      <w:pPr>
        <w:widowControl/>
        <w:spacing w:line="360" w:lineRule="auto"/>
        <w:ind w:firstLine="482" w:firstLineChars="200"/>
        <w:rPr>
          <w:b/>
          <w:bCs/>
          <w:color w:val="auto"/>
          <w:kern w:val="0"/>
          <w:sz w:val="24"/>
          <w:szCs w:val="24"/>
          <w:highlight w:val="none"/>
        </w:rPr>
      </w:pPr>
      <w:r>
        <w:rPr>
          <w:rFonts w:hint="eastAsia" w:cs="仿宋"/>
          <w:b/>
          <w:bCs/>
          <w:color w:val="auto"/>
          <w:kern w:val="0"/>
          <w:sz w:val="24"/>
          <w:szCs w:val="24"/>
          <w:highlight w:val="none"/>
        </w:rPr>
        <w:t>方法：区间抽取法</w:t>
      </w:r>
    </w:p>
    <w:p w14:paraId="04C0676D">
      <w:pPr>
        <w:widowControl/>
        <w:snapToGrid w:val="0"/>
        <w:spacing w:line="360" w:lineRule="auto"/>
        <w:ind w:firstLine="480" w:firstLineChars="200"/>
        <w:rPr>
          <w:rFonts w:ascii="宋体" w:hAnsi="宋体"/>
          <w:color w:val="auto"/>
          <w:kern w:val="0"/>
          <w:sz w:val="24"/>
          <w:szCs w:val="24"/>
          <w:highlight w:val="none"/>
        </w:rPr>
      </w:pPr>
      <w:r>
        <w:rPr>
          <w:rFonts w:hint="eastAsia" w:ascii="宋体" w:hAnsi="宋体" w:cs="仿宋"/>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7C683AF8">
      <w:pPr>
        <w:widowControl/>
        <w:snapToGrid w:val="0"/>
        <w:spacing w:line="360" w:lineRule="auto"/>
        <w:ind w:firstLine="480" w:firstLineChars="200"/>
        <w:rPr>
          <w:rFonts w:ascii="宋体" w:hAnsi="宋体"/>
          <w:color w:val="auto"/>
          <w:kern w:val="0"/>
          <w:sz w:val="24"/>
          <w:szCs w:val="24"/>
          <w:highlight w:val="none"/>
          <w:vertAlign w:val="subscript"/>
        </w:rPr>
      </w:pPr>
      <w:r>
        <w:rPr>
          <w:rFonts w:hint="eastAsia" w:ascii="宋体" w:hAnsi="宋体" w:cs="仿宋"/>
          <w:color w:val="auto"/>
          <w:kern w:val="0"/>
          <w:sz w:val="24"/>
          <w:szCs w:val="24"/>
          <w:highlight w:val="none"/>
        </w:rPr>
        <w:t>评标参考价</w:t>
      </w:r>
      <w:r>
        <w:rPr>
          <w:rFonts w:ascii="宋体" w:hAnsi="宋体" w:cs="仿宋"/>
          <w:color w:val="auto"/>
          <w:kern w:val="0"/>
          <w:sz w:val="24"/>
          <w:szCs w:val="24"/>
          <w:highlight w:val="none"/>
        </w:rPr>
        <w:t>=</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/100*</w:t>
      </w:r>
      <w:r>
        <w:rPr>
          <w:rFonts w:hint="eastAsia" w:ascii="宋体" w:hAnsi="宋体" w:cs="仿宋"/>
          <w:color w:val="auto"/>
          <w:kern w:val="0"/>
          <w:sz w:val="24"/>
          <w:szCs w:val="24"/>
          <w:highlight w:val="none"/>
        </w:rPr>
        <w:t>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p>
    <w:p w14:paraId="3D874F21">
      <w:pPr>
        <w:widowControl/>
        <w:snapToGrid w:val="0"/>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Q</w:t>
      </w:r>
      <w:r>
        <w:rPr>
          <w:rFonts w:hint="eastAsia" w:ascii="宋体" w:hAnsi="宋体" w:cs="仿宋"/>
          <w:color w:val="auto"/>
          <w:sz w:val="24"/>
          <w:szCs w:val="24"/>
          <w:highlight w:val="none"/>
          <w:vertAlign w:val="subscript"/>
        </w:rPr>
        <w:t>低</w:t>
      </w:r>
      <w:r>
        <w:rPr>
          <w:rFonts w:hint="eastAsia" w:ascii="宋体" w:hAnsi="宋体" w:cs="仿宋"/>
          <w:color w:val="auto"/>
          <w:sz w:val="24"/>
          <w:szCs w:val="24"/>
          <w:highlight w:val="none"/>
        </w:rPr>
        <w:t>：为达到或超过技术标及格分数线的投标人最低报价与工程成本警示价两者中的较高值；</w:t>
      </w:r>
    </w:p>
    <w:p w14:paraId="5DADB942">
      <w:pPr>
        <w:spacing w:line="360" w:lineRule="auto"/>
        <w:ind w:firstLine="480" w:firstLineChars="200"/>
        <w:rPr>
          <w:rFonts w:ascii="宋体" w:hAnsi="宋体" w:cs="仿宋"/>
          <w:color w:val="auto"/>
          <w:sz w:val="24"/>
          <w:szCs w:val="24"/>
          <w:highlight w:val="none"/>
        </w:rPr>
      </w:pP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hint="eastAsia" w:ascii="宋体" w:hAnsi="宋体" w:cs="仿宋"/>
          <w:color w:val="auto"/>
          <w:sz w:val="24"/>
          <w:szCs w:val="24"/>
          <w:highlight w:val="none"/>
        </w:rPr>
        <w:t>：最高投标限价</w:t>
      </w:r>
    </w:p>
    <w:p w14:paraId="41FA8F3E">
      <w:pPr>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X</w:t>
      </w:r>
      <w:r>
        <w:rPr>
          <w:rFonts w:hint="eastAsia" w:ascii="宋体" w:hAnsi="宋体" w:cs="仿宋"/>
          <w:color w:val="auto"/>
          <w:sz w:val="24"/>
          <w:szCs w:val="24"/>
          <w:highlight w:val="none"/>
        </w:rPr>
        <w:t>：为等分点值，在开标前从</w:t>
      </w:r>
      <w:r>
        <w:rPr>
          <w:rFonts w:ascii="宋体" w:hAnsi="宋体" w:cs="仿宋"/>
          <w:color w:val="auto"/>
          <w:sz w:val="24"/>
          <w:szCs w:val="24"/>
          <w:highlight w:val="none"/>
        </w:rPr>
        <w:t>[0,100]</w:t>
      </w:r>
      <w:r>
        <w:rPr>
          <w:rFonts w:hint="eastAsia" w:ascii="宋体" w:hAnsi="宋体" w:cs="仿宋"/>
          <w:color w:val="auto"/>
          <w:sz w:val="24"/>
          <w:szCs w:val="24"/>
          <w:highlight w:val="none"/>
        </w:rPr>
        <w:t>整数中随机抽取</w:t>
      </w:r>
    </w:p>
    <w:p w14:paraId="5E5A4BE8">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45.3</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1.5</w:t>
      </w:r>
      <w:r>
        <w:rPr>
          <w:rFonts w:hint="eastAsia" w:ascii="宋体" w:hAnsi="宋体"/>
          <w:color w:val="auto"/>
          <w:sz w:val="24"/>
          <w:szCs w:val="24"/>
          <w:highlight w:val="none"/>
        </w:rPr>
        <w:t>分，每低于评标参考价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w:t>
      </w:r>
      <w:r>
        <w:rPr>
          <w:rFonts w:hint="eastAsia" w:ascii="宋体" w:hAnsi="宋体"/>
          <w:color w:val="auto"/>
          <w:sz w:val="24"/>
          <w:szCs w:val="24"/>
          <w:highlight w:val="none"/>
        </w:rPr>
        <w:t>分，扣至</w:t>
      </w:r>
      <w:r>
        <w:rPr>
          <w:rFonts w:ascii="宋体" w:hAnsi="宋体"/>
          <w:color w:val="auto"/>
          <w:sz w:val="24"/>
          <w:szCs w:val="24"/>
          <w:highlight w:val="none"/>
        </w:rPr>
        <w:t>0</w:t>
      </w:r>
      <w:r>
        <w:rPr>
          <w:rFonts w:hint="eastAsia" w:ascii="宋体" w:hAnsi="宋体"/>
          <w:color w:val="auto"/>
          <w:sz w:val="24"/>
          <w:szCs w:val="24"/>
          <w:highlight w:val="none"/>
        </w:rPr>
        <w:t>分为止，得出经济分，精确到小数点后两位。</w:t>
      </w:r>
    </w:p>
    <w:p w14:paraId="35D16A4D">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45.4</w:t>
      </w:r>
      <w:r>
        <w:rPr>
          <w:rFonts w:hint="eastAsia" w:ascii="宋体"/>
          <w:color w:val="auto"/>
          <w:sz w:val="24"/>
          <w:szCs w:val="24"/>
          <w:highlight w:val="none"/>
        </w:rPr>
        <w:t>计算通过技术标有效性审查的投标人总得分。投标人总得分=（技术得分×技术得分权重</w:t>
      </w:r>
      <w:r>
        <w:rPr>
          <w:rFonts w:hint="eastAsia" w:ascii="宋体" w:cs="宋体"/>
          <w:color w:val="auto"/>
          <w:sz w:val="24"/>
          <w:szCs w:val="24"/>
          <w:highlight w:val="none"/>
        </w:rPr>
        <w:t>＋</w:t>
      </w:r>
      <w:r>
        <w:rPr>
          <w:rFonts w:hint="eastAsia" w:ascii="宋体"/>
          <w:color w:val="auto"/>
          <w:sz w:val="24"/>
          <w:szCs w:val="24"/>
          <w:highlight w:val="none"/>
        </w:rPr>
        <w:t>经济得分×经济得分权重）×（1-综合诚信评价分数权重）</w:t>
      </w:r>
      <w:r>
        <w:rPr>
          <w:rFonts w:hint="eastAsia" w:ascii="宋体" w:cs="宋体"/>
          <w:color w:val="auto"/>
          <w:sz w:val="24"/>
          <w:szCs w:val="24"/>
          <w:highlight w:val="none"/>
        </w:rPr>
        <w:t>＋</w:t>
      </w:r>
      <w:r>
        <w:rPr>
          <w:rFonts w:hint="eastAsia" w:ascii="宋体"/>
          <w:color w:val="auto"/>
          <w:sz w:val="24"/>
          <w:szCs w:val="24"/>
          <w:highlight w:val="none"/>
        </w:rPr>
        <w:t>综合诚信评价排名得分×综合诚信评价分数权重）。技术、经济得分权重按投标须知前附表的规定执行。总得分四舍五入保留两位小数。</w:t>
      </w:r>
    </w:p>
    <w:p w14:paraId="7B3B89C3">
      <w:pPr>
        <w:pStyle w:val="19"/>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46.经济标的有效性审查</w:t>
      </w:r>
    </w:p>
    <w:p w14:paraId="4DAD1FB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1E180D5C">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6.2经济标的算术校核。评标委员会对进行经济标有效性审查的投标文件投标报价按照就低不就高的原则进行算术校核，具体标准如下：</w:t>
      </w:r>
    </w:p>
    <w:p w14:paraId="599590D5">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6.2.1如果数字表示的金额和用文字表示的金额不一致时，应以文字表示的金额为准；</w:t>
      </w:r>
    </w:p>
    <w:p w14:paraId="10F7BAB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6.2.2经算术复核的投标人报价与其投标报价不一致时，按就低不就高原则确定其最终报价；</w:t>
      </w:r>
    </w:p>
    <w:p w14:paraId="1F594090">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0CD3654F">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14:paraId="4B577B4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14:paraId="31767F8C">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78B03A6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14:paraId="25332602">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14:paraId="0B3745F9">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1DECD4CA">
      <w:pPr>
        <w:spacing w:line="360" w:lineRule="auto"/>
        <w:ind w:firstLine="480" w:firstLineChars="200"/>
        <w:rPr>
          <w:rFonts w:hint="eastAsia" w:ascii="宋体" w:hAnsi="宋体" w:eastAsia="宋体"/>
          <w:color w:val="auto"/>
          <w:sz w:val="24"/>
          <w:szCs w:val="24"/>
          <w:highlight w:val="none"/>
          <w:lang w:eastAsia="zh-CN"/>
        </w:rPr>
      </w:pPr>
      <w:r>
        <w:rPr>
          <w:rFonts w:ascii="宋体" w:hAnsi="宋体"/>
          <w:color w:val="auto"/>
          <w:sz w:val="24"/>
          <w:szCs w:val="24"/>
          <w:highlight w:val="none"/>
        </w:rPr>
        <w:t>4</w:t>
      </w:r>
      <w:r>
        <w:rPr>
          <w:rFonts w:hint="eastAsia" w:ascii="宋体" w:hAnsi="宋体"/>
          <w:color w:val="auto"/>
          <w:sz w:val="24"/>
          <w:szCs w:val="24"/>
          <w:highlight w:val="none"/>
        </w:rPr>
        <w:t>8.评标委员会应在通过投标文件经济标有效性审查的投标人中，按步骤45.4确定的投标人第二阶段排序，推荐前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名依次为第一中标候选人至第三中标候选人，并编制评标报告。</w:t>
      </w:r>
    </w:p>
    <w:p w14:paraId="21DB619B">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9.若通过经济标有效性审查的投标人不足三家，应当依法重新招标。（当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N+2</w:t>
      </w:r>
      <w:r>
        <w:rPr>
          <w:rFonts w:hint="eastAsia" w:ascii="宋体" w:hAnsi="宋体"/>
          <w:color w:val="auto"/>
          <w:sz w:val="24"/>
          <w:szCs w:val="24"/>
          <w:highlight w:val="none"/>
        </w:rPr>
        <w:t>家，应当依法重新招标）</w:t>
      </w:r>
    </w:p>
    <w:p w14:paraId="3F78793E">
      <w:pPr>
        <w:spacing w:line="360" w:lineRule="auto"/>
        <w:ind w:firstLine="480" w:firstLineChars="200"/>
        <w:rPr>
          <w:rFonts w:cs="宋体"/>
          <w:color w:val="auto"/>
          <w:sz w:val="24"/>
          <w:szCs w:val="24"/>
          <w:highlight w:val="none"/>
        </w:rPr>
      </w:pPr>
    </w:p>
    <w:p w14:paraId="283B5D94">
      <w:pPr>
        <w:widowControl/>
        <w:snapToGrid w:val="0"/>
        <w:spacing w:line="360" w:lineRule="auto"/>
        <w:ind w:right="102"/>
        <w:jc w:val="left"/>
        <w:rPr>
          <w:color w:val="auto"/>
          <w:sz w:val="24"/>
          <w:szCs w:val="24"/>
          <w:highlight w:val="none"/>
        </w:rPr>
      </w:pPr>
    </w:p>
    <w:p w14:paraId="5238D732">
      <w:pPr>
        <w:widowControl/>
        <w:snapToGrid w:val="0"/>
        <w:spacing w:line="360" w:lineRule="auto"/>
        <w:ind w:right="102"/>
        <w:jc w:val="left"/>
        <w:rPr>
          <w:color w:val="auto"/>
          <w:sz w:val="24"/>
          <w:szCs w:val="24"/>
          <w:highlight w:val="none"/>
        </w:rPr>
        <w:sectPr>
          <w:footerReference r:id="rId10" w:type="first"/>
          <w:footerReference r:id="rId9" w:type="default"/>
          <w:pgSz w:w="12240" w:h="15840"/>
          <w:pgMar w:top="1440" w:right="1800" w:bottom="1440" w:left="1800" w:header="720" w:footer="720" w:gutter="0"/>
          <w:pgNumType w:fmt="decimal"/>
          <w:cols w:space="720" w:num="1"/>
        </w:sectPr>
      </w:pPr>
    </w:p>
    <w:p w14:paraId="018C5A73">
      <w:pPr>
        <w:widowControl/>
        <w:snapToGrid w:val="0"/>
        <w:spacing w:line="360" w:lineRule="auto"/>
        <w:ind w:right="102"/>
        <w:jc w:val="left"/>
        <w:rPr>
          <w:color w:val="auto"/>
          <w:szCs w:val="21"/>
          <w:highlight w:val="none"/>
        </w:rPr>
      </w:pPr>
      <w:r>
        <w:rPr>
          <w:rFonts w:hint="eastAsia"/>
          <w:color w:val="auto"/>
          <w:szCs w:val="21"/>
          <w:highlight w:val="none"/>
        </w:rPr>
        <w:t>附表一</w:t>
      </w:r>
    </w:p>
    <w:p w14:paraId="561F8ED7">
      <w:pPr>
        <w:jc w:val="center"/>
        <w:rPr>
          <w:b/>
          <w:color w:val="auto"/>
          <w:sz w:val="36"/>
          <w:szCs w:val="36"/>
          <w:highlight w:val="none"/>
        </w:rPr>
      </w:pPr>
      <w:r>
        <w:rPr>
          <w:rFonts w:hint="eastAsia"/>
          <w:b/>
          <w:color w:val="auto"/>
          <w:sz w:val="36"/>
          <w:szCs w:val="36"/>
          <w:highlight w:val="none"/>
        </w:rPr>
        <w:t>资格审查表</w:t>
      </w:r>
    </w:p>
    <w:p w14:paraId="52ECDA34">
      <w:pPr>
        <w:rPr>
          <w:color w:val="auto"/>
          <w:sz w:val="24"/>
          <w:szCs w:val="24"/>
          <w:highlight w:val="none"/>
        </w:rPr>
      </w:pPr>
      <w:r>
        <w:rPr>
          <w:rFonts w:hint="eastAsia"/>
          <w:color w:val="auto"/>
          <w:szCs w:val="21"/>
          <w:highlight w:val="none"/>
        </w:rPr>
        <w:t>工程名称：</w:t>
      </w:r>
    </w:p>
    <w:tbl>
      <w:tblPr>
        <w:tblStyle w:val="21"/>
        <w:tblW w:w="13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5541"/>
        <w:gridCol w:w="6575"/>
        <w:gridCol w:w="1232"/>
      </w:tblGrid>
      <w:tr w14:paraId="3180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0331652F">
            <w:pPr>
              <w:keepNext w:val="0"/>
              <w:keepLines w:val="0"/>
              <w:suppressLineNumbers w:val="0"/>
              <w:spacing w:before="0" w:beforeAutospacing="0" w:after="0" w:afterAutospacing="0"/>
              <w:ind w:left="0" w:right="0"/>
              <w:jc w:val="center"/>
              <w:rPr>
                <w:rFonts w:hint="default" w:cs="宋体"/>
                <w:b/>
                <w:color w:val="auto"/>
                <w:szCs w:val="21"/>
                <w:highlight w:val="none"/>
              </w:rPr>
            </w:pPr>
            <w:r>
              <w:rPr>
                <w:rFonts w:hint="eastAsia" w:cs="宋体"/>
                <w:b/>
                <w:color w:val="auto"/>
                <w:szCs w:val="21"/>
                <w:highlight w:val="none"/>
              </w:rPr>
              <w:t>序号</w:t>
            </w:r>
          </w:p>
        </w:tc>
        <w:tc>
          <w:tcPr>
            <w:tcW w:w="5541" w:type="dxa"/>
            <w:tcBorders>
              <w:top w:val="single" w:color="auto" w:sz="4" w:space="0"/>
              <w:left w:val="single" w:color="auto" w:sz="4" w:space="0"/>
              <w:bottom w:val="single" w:color="auto" w:sz="4" w:space="0"/>
              <w:right w:val="single" w:color="auto" w:sz="4" w:space="0"/>
            </w:tcBorders>
            <w:vAlign w:val="center"/>
          </w:tcPr>
          <w:p w14:paraId="32EA23C1">
            <w:pPr>
              <w:keepNext w:val="0"/>
              <w:keepLines w:val="0"/>
              <w:suppressLineNumbers w:val="0"/>
              <w:spacing w:before="0" w:beforeAutospacing="0" w:after="0" w:afterAutospacing="0"/>
              <w:ind w:left="0" w:right="0"/>
              <w:jc w:val="center"/>
              <w:rPr>
                <w:rFonts w:hint="default" w:cs="宋体"/>
                <w:b/>
                <w:color w:val="auto"/>
                <w:szCs w:val="21"/>
                <w:highlight w:val="none"/>
              </w:rPr>
            </w:pPr>
            <w:r>
              <w:rPr>
                <w:rFonts w:hint="eastAsia" w:cs="宋体"/>
                <w:b/>
                <w:color w:val="auto"/>
                <w:szCs w:val="21"/>
                <w:highlight w:val="none"/>
              </w:rPr>
              <w:t>审查项目</w:t>
            </w:r>
          </w:p>
        </w:tc>
        <w:tc>
          <w:tcPr>
            <w:tcW w:w="6575" w:type="dxa"/>
            <w:tcBorders>
              <w:top w:val="single" w:color="auto" w:sz="4" w:space="0"/>
              <w:left w:val="single" w:color="auto" w:sz="4" w:space="0"/>
              <w:bottom w:val="single" w:color="auto" w:sz="4" w:space="0"/>
              <w:right w:val="single" w:color="auto" w:sz="4" w:space="0"/>
            </w:tcBorders>
            <w:vAlign w:val="center"/>
          </w:tcPr>
          <w:p w14:paraId="4726D5CA">
            <w:pPr>
              <w:keepNext w:val="0"/>
              <w:keepLines w:val="0"/>
              <w:suppressLineNumbers w:val="0"/>
              <w:spacing w:before="0" w:beforeAutospacing="0" w:after="0" w:afterAutospacing="0"/>
              <w:ind w:left="0" w:right="0"/>
              <w:jc w:val="center"/>
              <w:rPr>
                <w:rFonts w:hint="default" w:cs="宋体"/>
                <w:b/>
                <w:color w:val="auto"/>
                <w:szCs w:val="21"/>
                <w:highlight w:val="none"/>
              </w:rPr>
            </w:pPr>
            <w:r>
              <w:rPr>
                <w:rFonts w:hint="eastAsia" w:cs="宋体"/>
                <w:b/>
                <w:color w:val="auto"/>
                <w:szCs w:val="21"/>
                <w:highlight w:val="none"/>
              </w:rPr>
              <w:t>须审查的资料</w:t>
            </w:r>
          </w:p>
        </w:tc>
        <w:tc>
          <w:tcPr>
            <w:tcW w:w="1232" w:type="dxa"/>
            <w:tcBorders>
              <w:top w:val="single" w:color="auto" w:sz="4" w:space="0"/>
              <w:left w:val="single" w:color="auto" w:sz="4" w:space="0"/>
              <w:bottom w:val="single" w:color="auto" w:sz="4" w:space="0"/>
              <w:right w:val="single" w:color="auto" w:sz="4" w:space="0"/>
            </w:tcBorders>
            <w:vAlign w:val="center"/>
          </w:tcPr>
          <w:p w14:paraId="2D491DFE">
            <w:pPr>
              <w:keepNext w:val="0"/>
              <w:keepLines w:val="0"/>
              <w:suppressLineNumbers w:val="0"/>
              <w:spacing w:before="0" w:beforeAutospacing="0" w:after="0" w:afterAutospacing="0"/>
              <w:ind w:left="0" w:right="0"/>
              <w:jc w:val="center"/>
              <w:rPr>
                <w:rFonts w:hint="default" w:cs="宋体"/>
                <w:b/>
                <w:color w:val="auto"/>
                <w:szCs w:val="21"/>
                <w:highlight w:val="none"/>
              </w:rPr>
            </w:pPr>
            <w:r>
              <w:rPr>
                <w:rFonts w:hint="eastAsia" w:cs="宋体"/>
                <w:b/>
                <w:color w:val="auto"/>
                <w:szCs w:val="21"/>
                <w:highlight w:val="none"/>
              </w:rPr>
              <w:t>审查结果</w:t>
            </w:r>
          </w:p>
        </w:tc>
      </w:tr>
      <w:tr w14:paraId="7518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428B0114">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w:t>
            </w:r>
          </w:p>
        </w:tc>
        <w:tc>
          <w:tcPr>
            <w:tcW w:w="5541" w:type="dxa"/>
            <w:tcBorders>
              <w:top w:val="single" w:color="auto" w:sz="4" w:space="0"/>
              <w:left w:val="single" w:color="auto" w:sz="4" w:space="0"/>
              <w:bottom w:val="single" w:color="auto" w:sz="4" w:space="0"/>
              <w:right w:val="single" w:color="auto" w:sz="4" w:space="0"/>
            </w:tcBorders>
            <w:vAlign w:val="center"/>
          </w:tcPr>
          <w:p w14:paraId="23418880">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投标人参加投标的意思表达清楚，投标人代表被授权有效</w:t>
            </w:r>
          </w:p>
        </w:tc>
        <w:tc>
          <w:tcPr>
            <w:tcW w:w="6575" w:type="dxa"/>
            <w:tcBorders>
              <w:top w:val="single" w:color="auto" w:sz="4" w:space="0"/>
              <w:left w:val="single" w:color="auto" w:sz="4" w:space="0"/>
              <w:bottom w:val="single" w:color="auto" w:sz="4" w:space="0"/>
              <w:right w:val="single" w:color="auto" w:sz="4" w:space="0"/>
            </w:tcBorders>
            <w:vAlign w:val="center"/>
          </w:tcPr>
          <w:p w14:paraId="0D56C10F">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投标人声明、法定代表人证明书；委托投标的还应提供法人授权委托证明书</w:t>
            </w:r>
          </w:p>
        </w:tc>
        <w:tc>
          <w:tcPr>
            <w:tcW w:w="1232" w:type="dxa"/>
            <w:tcBorders>
              <w:top w:val="single" w:color="auto" w:sz="4" w:space="0"/>
              <w:left w:val="single" w:color="auto" w:sz="4" w:space="0"/>
              <w:bottom w:val="single" w:color="auto" w:sz="4" w:space="0"/>
              <w:right w:val="single" w:color="auto" w:sz="4" w:space="0"/>
            </w:tcBorders>
            <w:vAlign w:val="center"/>
          </w:tcPr>
          <w:p w14:paraId="0E4C7FCD">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304F3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vAlign w:val="center"/>
          </w:tcPr>
          <w:p w14:paraId="721A9D9C">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w:t>
            </w:r>
          </w:p>
        </w:tc>
        <w:tc>
          <w:tcPr>
            <w:tcW w:w="5541" w:type="dxa"/>
            <w:tcBorders>
              <w:top w:val="single" w:color="auto" w:sz="4" w:space="0"/>
              <w:left w:val="single" w:color="auto" w:sz="4" w:space="0"/>
              <w:bottom w:val="single" w:color="auto" w:sz="4" w:space="0"/>
              <w:right w:val="single" w:color="auto" w:sz="4" w:space="0"/>
            </w:tcBorders>
            <w:vAlign w:val="center"/>
          </w:tcPr>
          <w:p w14:paraId="3569E1AB">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投标人具有独立法人资格，按国家法律经营</w:t>
            </w:r>
          </w:p>
        </w:tc>
        <w:tc>
          <w:tcPr>
            <w:tcW w:w="6575" w:type="dxa"/>
            <w:tcBorders>
              <w:top w:val="single" w:color="auto" w:sz="4" w:space="0"/>
              <w:left w:val="single" w:color="auto" w:sz="4" w:space="0"/>
              <w:bottom w:val="single" w:color="auto" w:sz="4" w:space="0"/>
              <w:right w:val="single" w:color="auto" w:sz="4" w:space="0"/>
            </w:tcBorders>
            <w:vAlign w:val="center"/>
          </w:tcPr>
          <w:p w14:paraId="2DF9C378">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营业执照扫描件或电子证照</w:t>
            </w:r>
          </w:p>
        </w:tc>
        <w:tc>
          <w:tcPr>
            <w:tcW w:w="1232" w:type="dxa"/>
            <w:tcBorders>
              <w:top w:val="single" w:color="auto" w:sz="4" w:space="0"/>
              <w:left w:val="single" w:color="auto" w:sz="4" w:space="0"/>
              <w:bottom w:val="single" w:color="auto" w:sz="4" w:space="0"/>
              <w:right w:val="single" w:color="auto" w:sz="4" w:space="0"/>
            </w:tcBorders>
            <w:vAlign w:val="center"/>
          </w:tcPr>
          <w:p w14:paraId="00A4138F">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66BA3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3B66E6F0">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3</w:t>
            </w:r>
          </w:p>
        </w:tc>
        <w:tc>
          <w:tcPr>
            <w:tcW w:w="5541" w:type="dxa"/>
            <w:tcBorders>
              <w:top w:val="single" w:color="auto" w:sz="4" w:space="0"/>
              <w:left w:val="single" w:color="auto" w:sz="4" w:space="0"/>
              <w:bottom w:val="single" w:color="auto" w:sz="4" w:space="0"/>
              <w:right w:val="single" w:color="auto" w:sz="4" w:space="0"/>
            </w:tcBorders>
            <w:vAlign w:val="center"/>
          </w:tcPr>
          <w:p w14:paraId="39C7837B">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投标人持有建设行政主管部门颁发的有效期内的企业资质证书及安全生产许可证；投标人资质符合公告要求</w:t>
            </w:r>
          </w:p>
        </w:tc>
        <w:tc>
          <w:tcPr>
            <w:tcW w:w="6575" w:type="dxa"/>
            <w:tcBorders>
              <w:top w:val="single" w:color="auto" w:sz="4" w:space="0"/>
              <w:left w:val="single" w:color="auto" w:sz="4" w:space="0"/>
              <w:bottom w:val="single" w:color="auto" w:sz="4" w:space="0"/>
              <w:right w:val="single" w:color="auto" w:sz="4" w:space="0"/>
            </w:tcBorders>
            <w:vAlign w:val="center"/>
          </w:tcPr>
          <w:p w14:paraId="456A2B44">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u w:val="single"/>
              </w:rPr>
              <w:t>资质证书扫描件或电子证照、安全生产许可证扫描件或电子证照</w:t>
            </w:r>
          </w:p>
        </w:tc>
        <w:tc>
          <w:tcPr>
            <w:tcW w:w="1232" w:type="dxa"/>
            <w:tcBorders>
              <w:top w:val="single" w:color="auto" w:sz="4" w:space="0"/>
              <w:left w:val="single" w:color="auto" w:sz="4" w:space="0"/>
              <w:bottom w:val="single" w:color="auto" w:sz="4" w:space="0"/>
              <w:right w:val="single" w:color="auto" w:sz="4" w:space="0"/>
            </w:tcBorders>
            <w:vAlign w:val="center"/>
          </w:tcPr>
          <w:p w14:paraId="08F21AB9">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091A3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718DC06A">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4</w:t>
            </w:r>
          </w:p>
        </w:tc>
        <w:tc>
          <w:tcPr>
            <w:tcW w:w="5541" w:type="dxa"/>
            <w:tcBorders>
              <w:top w:val="single" w:color="auto" w:sz="4" w:space="0"/>
              <w:left w:val="single" w:color="auto" w:sz="4" w:space="0"/>
              <w:bottom w:val="single" w:color="auto" w:sz="4" w:space="0"/>
              <w:right w:val="single" w:color="auto" w:sz="4" w:space="0"/>
            </w:tcBorders>
            <w:vAlign w:val="center"/>
          </w:tcPr>
          <w:p w14:paraId="711CCA4C">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投标人拟担任本工程项目负责人符合公告要求</w:t>
            </w:r>
          </w:p>
        </w:tc>
        <w:tc>
          <w:tcPr>
            <w:tcW w:w="6575" w:type="dxa"/>
            <w:tcBorders>
              <w:top w:val="single" w:color="auto" w:sz="4" w:space="0"/>
              <w:left w:val="single" w:color="auto" w:sz="4" w:space="0"/>
              <w:bottom w:val="single" w:color="auto" w:sz="4" w:space="0"/>
              <w:right w:val="single" w:color="auto" w:sz="4" w:space="0"/>
            </w:tcBorders>
            <w:vAlign w:val="center"/>
          </w:tcPr>
          <w:p w14:paraId="1A74486C">
            <w:pPr>
              <w:pStyle w:val="11"/>
              <w:keepNext w:val="0"/>
              <w:keepLines w:val="0"/>
              <w:suppressLineNumbers w:val="0"/>
              <w:spacing w:before="0" w:beforeAutospacing="0" w:after="0" w:afterAutospacing="0"/>
              <w:ind w:left="0" w:right="0"/>
              <w:rPr>
                <w:rFonts w:hint="eastAsia" w:cs="宋体"/>
                <w:color w:val="auto"/>
                <w:sz w:val="21"/>
                <w:szCs w:val="21"/>
                <w:highlight w:val="none"/>
                <w:u w:val="single"/>
              </w:rPr>
            </w:pPr>
            <w:r>
              <w:rPr>
                <w:rFonts w:hint="eastAsia" w:cs="宋体"/>
                <w:color w:val="auto"/>
                <w:sz w:val="21"/>
                <w:szCs w:val="21"/>
                <w:highlight w:val="none"/>
                <w:u w:val="single"/>
              </w:rPr>
              <w:t>有效期内的建造师注册证书扫描件或电子证书（注：打印建造师电子证书后，在个人签名处手写本人签名再扫描提交。）</w:t>
            </w:r>
          </w:p>
          <w:p w14:paraId="78E77B93">
            <w:pPr>
              <w:keepNext w:val="0"/>
              <w:keepLines w:val="0"/>
              <w:suppressLineNumbers w:val="0"/>
              <w:spacing w:before="0" w:beforeAutospacing="0" w:after="0" w:afterAutospacing="0"/>
              <w:ind w:left="0" w:right="0"/>
              <w:rPr>
                <w:rFonts w:hint="default" w:eastAsia="宋体" w:cs="宋体"/>
                <w:color w:val="auto"/>
                <w:sz w:val="21"/>
                <w:szCs w:val="21"/>
                <w:highlight w:val="none"/>
                <w:u w:val="single"/>
                <w:lang w:val="en-US" w:eastAsia="zh-CN"/>
              </w:rPr>
            </w:pPr>
          </w:p>
        </w:tc>
        <w:tc>
          <w:tcPr>
            <w:tcW w:w="1232" w:type="dxa"/>
            <w:tcBorders>
              <w:top w:val="single" w:color="auto" w:sz="4" w:space="0"/>
              <w:left w:val="single" w:color="auto" w:sz="4" w:space="0"/>
              <w:bottom w:val="single" w:color="auto" w:sz="4" w:space="0"/>
              <w:right w:val="single" w:color="auto" w:sz="4" w:space="0"/>
            </w:tcBorders>
            <w:vAlign w:val="center"/>
          </w:tcPr>
          <w:p w14:paraId="0CCC468D">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2C1B3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vAlign w:val="center"/>
          </w:tcPr>
          <w:p w14:paraId="74D4C316">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5</w:t>
            </w:r>
          </w:p>
        </w:tc>
        <w:tc>
          <w:tcPr>
            <w:tcW w:w="5541" w:type="dxa"/>
            <w:tcBorders>
              <w:top w:val="single" w:color="auto" w:sz="4" w:space="0"/>
              <w:left w:val="single" w:color="auto" w:sz="4" w:space="0"/>
              <w:bottom w:val="single" w:color="auto" w:sz="4" w:space="0"/>
              <w:right w:val="single" w:color="auto" w:sz="4" w:space="0"/>
            </w:tcBorders>
            <w:vAlign w:val="center"/>
          </w:tcPr>
          <w:p w14:paraId="7D02032F">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持有项目负责人安全培训考核合格证（B类）或建筑施工企业项目负责人安全生产考核合格证</w:t>
            </w:r>
          </w:p>
        </w:tc>
        <w:tc>
          <w:tcPr>
            <w:tcW w:w="6575" w:type="dxa"/>
            <w:tcBorders>
              <w:top w:val="single" w:color="auto" w:sz="4" w:space="0"/>
              <w:left w:val="single" w:color="auto" w:sz="4" w:space="0"/>
              <w:bottom w:val="single" w:color="auto" w:sz="4" w:space="0"/>
              <w:right w:val="single" w:color="auto" w:sz="4" w:space="0"/>
            </w:tcBorders>
            <w:vAlign w:val="center"/>
          </w:tcPr>
          <w:p w14:paraId="0F2D199E">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项目负责人安全生产考核合格证（B类）或建筑施工企业项目负责人安全生产考核合格证证书扫描件或电子证书</w:t>
            </w:r>
          </w:p>
        </w:tc>
        <w:tc>
          <w:tcPr>
            <w:tcW w:w="1232" w:type="dxa"/>
            <w:tcBorders>
              <w:top w:val="single" w:color="auto" w:sz="4" w:space="0"/>
              <w:left w:val="single" w:color="auto" w:sz="4" w:space="0"/>
              <w:bottom w:val="single" w:color="auto" w:sz="4" w:space="0"/>
              <w:right w:val="single" w:color="auto" w:sz="4" w:space="0"/>
            </w:tcBorders>
            <w:vAlign w:val="center"/>
          </w:tcPr>
          <w:p w14:paraId="02F2A127">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59A58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vAlign w:val="center"/>
          </w:tcPr>
          <w:p w14:paraId="60400283">
            <w:pPr>
              <w:keepNext w:val="0"/>
              <w:keepLines w:val="0"/>
              <w:suppressLineNumbers w:val="0"/>
              <w:spacing w:before="0" w:beforeAutospacing="0" w:after="0" w:afterAutospacing="0"/>
              <w:ind w:left="0" w:right="0"/>
              <w:jc w:val="center"/>
              <w:rPr>
                <w:rFonts w:hint="eastAsia" w:eastAsia="宋体" w:cs="宋体"/>
                <w:strike/>
                <w:color w:val="auto"/>
                <w:szCs w:val="21"/>
                <w:highlight w:val="none"/>
                <w:lang w:eastAsia="zh-CN"/>
              </w:rPr>
            </w:pPr>
            <w:r>
              <w:rPr>
                <w:rFonts w:hint="eastAsia" w:cs="宋体"/>
                <w:strike w:val="0"/>
                <w:color w:val="auto"/>
                <w:szCs w:val="21"/>
                <w:highlight w:val="none"/>
                <w:lang w:val="en-US" w:eastAsia="zh-CN"/>
              </w:rPr>
              <w:t>6</w:t>
            </w:r>
          </w:p>
        </w:tc>
        <w:tc>
          <w:tcPr>
            <w:tcW w:w="5541" w:type="dxa"/>
            <w:tcBorders>
              <w:top w:val="single" w:color="auto" w:sz="4" w:space="0"/>
              <w:left w:val="single" w:color="auto" w:sz="4" w:space="0"/>
              <w:bottom w:val="single" w:color="auto" w:sz="4" w:space="0"/>
              <w:right w:val="single" w:color="auto" w:sz="4" w:space="0"/>
            </w:tcBorders>
            <w:shd w:val="clear" w:color="auto" w:fill="auto"/>
            <w:vAlign w:val="center"/>
          </w:tcPr>
          <w:p w14:paraId="6B182F8C">
            <w:pPr>
              <w:keepNext w:val="0"/>
              <w:keepLines w:val="0"/>
              <w:suppressLineNumbers w:val="0"/>
              <w:spacing w:before="0" w:beforeAutospacing="0" w:after="0" w:afterAutospacing="0"/>
              <w:ind w:left="0" w:leftChars="0" w:right="0" w:rightChars="0"/>
              <w:rPr>
                <w:rFonts w:hint="default" w:ascii="宋体" w:hAnsi="宋体" w:eastAsia="宋体" w:cs="宋体"/>
                <w:color w:val="auto"/>
                <w:kern w:val="2"/>
                <w:sz w:val="21"/>
                <w:szCs w:val="21"/>
                <w:highlight w:val="none"/>
                <w:lang w:val="en-US" w:eastAsia="zh-CN" w:bidi="ar-SA"/>
              </w:rPr>
            </w:pPr>
            <w:r>
              <w:rPr>
                <w:rFonts w:hint="eastAsia" w:cs="宋体"/>
                <w:color w:val="auto"/>
                <w:szCs w:val="21"/>
                <w:highlight w:val="none"/>
              </w:rPr>
              <w:t>专职安全员须具有在有效期内的安全生产考核合格证（C类）或建筑施工企业专职安全生产管理人员安全生产考核合格证（C3）</w:t>
            </w:r>
          </w:p>
        </w:tc>
        <w:tc>
          <w:tcPr>
            <w:tcW w:w="6575" w:type="dxa"/>
            <w:tcBorders>
              <w:top w:val="single" w:color="auto" w:sz="4" w:space="0"/>
              <w:left w:val="single" w:color="auto" w:sz="4" w:space="0"/>
              <w:bottom w:val="single" w:color="auto" w:sz="4" w:space="0"/>
              <w:right w:val="single" w:color="auto" w:sz="4" w:space="0"/>
            </w:tcBorders>
            <w:shd w:val="clear" w:color="auto" w:fill="auto"/>
            <w:vAlign w:val="center"/>
          </w:tcPr>
          <w:p w14:paraId="6A9F85A2">
            <w:pPr>
              <w:keepNext w:val="0"/>
              <w:keepLines w:val="0"/>
              <w:suppressLineNumbers w:val="0"/>
              <w:spacing w:before="0" w:beforeAutospacing="0" w:after="0" w:afterAutospacing="0"/>
              <w:ind w:left="0" w:leftChars="0" w:right="0" w:rightChars="0"/>
              <w:rPr>
                <w:rFonts w:hint="default" w:ascii="宋体" w:hAnsi="宋体" w:eastAsia="宋体" w:cs="宋体"/>
                <w:color w:val="auto"/>
                <w:kern w:val="2"/>
                <w:sz w:val="21"/>
                <w:szCs w:val="21"/>
                <w:highlight w:val="none"/>
                <w:lang w:val="en-US" w:eastAsia="zh-CN" w:bidi="ar-SA"/>
              </w:rPr>
            </w:pPr>
            <w:r>
              <w:rPr>
                <w:rFonts w:hint="eastAsia" w:cs="宋体"/>
                <w:color w:val="auto"/>
                <w:szCs w:val="21"/>
                <w:highlight w:val="none"/>
              </w:rPr>
              <w:t>专职安全员的安全生产考核合格证（C类）或建筑施工企业专职安全生产管理人员安全生产考核合格证证书（C3类）扫描件或电子证书</w:t>
            </w:r>
          </w:p>
        </w:tc>
        <w:tc>
          <w:tcPr>
            <w:tcW w:w="1232" w:type="dxa"/>
            <w:tcBorders>
              <w:top w:val="single" w:color="auto" w:sz="4" w:space="0"/>
              <w:left w:val="single" w:color="auto" w:sz="4" w:space="0"/>
              <w:bottom w:val="single" w:color="auto" w:sz="4" w:space="0"/>
              <w:right w:val="single" w:color="auto" w:sz="4" w:space="0"/>
            </w:tcBorders>
            <w:vAlign w:val="center"/>
          </w:tcPr>
          <w:p w14:paraId="4333CF1A">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57641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vAlign w:val="center"/>
          </w:tcPr>
          <w:p w14:paraId="3F646691">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7</w:t>
            </w:r>
          </w:p>
        </w:tc>
        <w:tc>
          <w:tcPr>
            <w:tcW w:w="5541" w:type="dxa"/>
            <w:tcBorders>
              <w:top w:val="single" w:color="auto" w:sz="4" w:space="0"/>
              <w:left w:val="single" w:color="auto" w:sz="4" w:space="0"/>
              <w:bottom w:val="single" w:color="auto" w:sz="4" w:space="0"/>
              <w:right w:val="single" w:color="auto" w:sz="4" w:space="0"/>
            </w:tcBorders>
            <w:shd w:val="clear" w:color="auto" w:fill="auto"/>
            <w:vAlign w:val="center"/>
          </w:tcPr>
          <w:p w14:paraId="63CBA28C">
            <w:pPr>
              <w:keepNext w:val="0"/>
              <w:keepLines w:val="0"/>
              <w:suppressLineNumbers w:val="0"/>
              <w:spacing w:before="0" w:beforeAutospacing="0" w:after="0" w:afterAutospacing="0"/>
              <w:ind w:left="0" w:leftChars="0" w:right="0" w:rightChars="0"/>
              <w:rPr>
                <w:rFonts w:hint="default" w:ascii="宋体" w:hAnsi="宋体" w:eastAsia="宋体" w:cs="Times New Roman"/>
                <w:color w:val="auto"/>
                <w:kern w:val="2"/>
                <w:sz w:val="21"/>
                <w:szCs w:val="21"/>
                <w:highlight w:val="none"/>
                <w:lang w:val="en-US" w:eastAsia="zh-CN" w:bidi="ar-SA"/>
              </w:rPr>
            </w:pPr>
            <w:r>
              <w:rPr>
                <w:rFonts w:hint="eastAsia" w:cs="宋体"/>
                <w:color w:val="auto"/>
                <w:szCs w:val="21"/>
                <w:highlight w:val="none"/>
              </w:rPr>
              <w:t>投标人提供的投标人声明符合公告要求</w:t>
            </w:r>
          </w:p>
        </w:tc>
        <w:tc>
          <w:tcPr>
            <w:tcW w:w="6575" w:type="dxa"/>
            <w:tcBorders>
              <w:top w:val="single" w:color="auto" w:sz="4" w:space="0"/>
              <w:left w:val="single" w:color="auto" w:sz="4" w:space="0"/>
              <w:bottom w:val="single" w:color="auto" w:sz="4" w:space="0"/>
              <w:right w:val="single" w:color="auto" w:sz="4" w:space="0"/>
            </w:tcBorders>
            <w:shd w:val="clear" w:color="auto" w:fill="auto"/>
            <w:vAlign w:val="center"/>
          </w:tcPr>
          <w:p w14:paraId="780478E5">
            <w:pPr>
              <w:keepNext w:val="0"/>
              <w:keepLines w:val="0"/>
              <w:suppressLineNumbers w:val="0"/>
              <w:spacing w:before="0" w:beforeAutospacing="0" w:after="0" w:afterAutospacing="0"/>
              <w:ind w:left="0" w:leftChars="0" w:right="0" w:rightChars="0"/>
              <w:rPr>
                <w:rFonts w:hint="default" w:ascii="宋体" w:hAnsi="宋体" w:eastAsia="宋体" w:cs="Times New Roman"/>
                <w:color w:val="auto"/>
                <w:kern w:val="2"/>
                <w:sz w:val="21"/>
                <w:szCs w:val="21"/>
                <w:highlight w:val="none"/>
                <w:lang w:val="en-US" w:eastAsia="zh-CN" w:bidi="ar-SA"/>
              </w:rPr>
            </w:pPr>
            <w:r>
              <w:rPr>
                <w:rFonts w:hint="eastAsia" w:cs="宋体"/>
                <w:color w:val="auto"/>
                <w:szCs w:val="21"/>
                <w:highlight w:val="none"/>
              </w:rPr>
              <w:t>投标人声明</w:t>
            </w:r>
          </w:p>
        </w:tc>
        <w:tc>
          <w:tcPr>
            <w:tcW w:w="1232" w:type="dxa"/>
            <w:tcBorders>
              <w:top w:val="single" w:color="auto" w:sz="4" w:space="0"/>
              <w:left w:val="single" w:color="auto" w:sz="4" w:space="0"/>
              <w:bottom w:val="single" w:color="auto" w:sz="4" w:space="0"/>
              <w:right w:val="single" w:color="auto" w:sz="4" w:space="0"/>
            </w:tcBorders>
            <w:vAlign w:val="center"/>
          </w:tcPr>
          <w:p w14:paraId="0D019D45">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02A0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397E6A46">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8</w:t>
            </w:r>
          </w:p>
        </w:tc>
        <w:tc>
          <w:tcPr>
            <w:tcW w:w="5541" w:type="dxa"/>
            <w:tcBorders>
              <w:top w:val="single" w:color="auto" w:sz="4" w:space="0"/>
              <w:left w:val="single" w:color="auto" w:sz="4" w:space="0"/>
              <w:bottom w:val="single" w:color="auto" w:sz="4" w:space="0"/>
              <w:right w:val="single" w:color="auto" w:sz="4" w:space="0"/>
            </w:tcBorders>
            <w:shd w:val="clear" w:color="auto" w:fill="auto"/>
            <w:vAlign w:val="center"/>
          </w:tcPr>
          <w:p w14:paraId="51CE1CE8">
            <w:pPr>
              <w:keepNext w:val="0"/>
              <w:keepLines w:val="0"/>
              <w:suppressLineNumbers w:val="0"/>
              <w:spacing w:before="0" w:beforeAutospacing="0" w:after="0" w:afterAutospacing="0"/>
              <w:ind w:left="0" w:leftChars="0" w:right="0" w:rightChars="0"/>
              <w:rPr>
                <w:rFonts w:hint="default" w:ascii="宋体" w:hAnsi="宋体" w:eastAsia="宋体" w:cs="宋体"/>
                <w:color w:val="auto"/>
                <w:kern w:val="2"/>
                <w:sz w:val="21"/>
                <w:szCs w:val="21"/>
                <w:highlight w:val="none"/>
                <w:lang w:val="en-US" w:eastAsia="zh-CN" w:bidi="ar-SA"/>
              </w:rPr>
            </w:pPr>
            <w:r>
              <w:rPr>
                <w:rFonts w:hint="eastAsia" w:cs="宋体"/>
                <w:color w:val="auto"/>
                <w:szCs w:val="21"/>
                <w:highlight w:val="none"/>
              </w:rPr>
              <w:t>投标人声明中签字的项目负责人和技术负责人与本项目拟派的项目负责人和技术负责人一致</w:t>
            </w:r>
          </w:p>
        </w:tc>
        <w:tc>
          <w:tcPr>
            <w:tcW w:w="6575" w:type="dxa"/>
            <w:tcBorders>
              <w:top w:val="single" w:color="auto" w:sz="4" w:space="0"/>
              <w:left w:val="single" w:color="auto" w:sz="4" w:space="0"/>
              <w:bottom w:val="single" w:color="auto" w:sz="4" w:space="0"/>
              <w:right w:val="single" w:color="auto" w:sz="4" w:space="0"/>
            </w:tcBorders>
            <w:shd w:val="clear" w:color="auto" w:fill="auto"/>
            <w:vAlign w:val="center"/>
          </w:tcPr>
          <w:p w14:paraId="7A67E6F1">
            <w:pPr>
              <w:keepNext w:val="0"/>
              <w:keepLines w:val="0"/>
              <w:suppressLineNumbers w:val="0"/>
              <w:spacing w:before="0" w:beforeAutospacing="0" w:after="0" w:afterAutospacing="0"/>
              <w:ind w:left="0" w:leftChars="0" w:right="0" w:rightChars="0"/>
              <w:rPr>
                <w:rFonts w:hint="default" w:ascii="宋体" w:hAnsi="宋体" w:eastAsia="宋体" w:cs="宋体"/>
                <w:color w:val="auto"/>
                <w:kern w:val="2"/>
                <w:sz w:val="21"/>
                <w:szCs w:val="21"/>
                <w:highlight w:val="none"/>
                <w:lang w:val="en-US" w:eastAsia="zh-CN" w:bidi="ar-SA"/>
              </w:rPr>
            </w:pPr>
            <w:r>
              <w:rPr>
                <w:rFonts w:hint="eastAsia" w:cs="宋体"/>
                <w:color w:val="auto"/>
                <w:szCs w:val="21"/>
                <w:highlight w:val="none"/>
              </w:rPr>
              <w:t>网上投标时选择拟投标的项目负责人、资格审查文件中拟委派的技术负责人及投标人声明</w:t>
            </w:r>
          </w:p>
        </w:tc>
        <w:tc>
          <w:tcPr>
            <w:tcW w:w="1232" w:type="dxa"/>
            <w:tcBorders>
              <w:top w:val="single" w:color="auto" w:sz="4" w:space="0"/>
              <w:left w:val="single" w:color="auto" w:sz="4" w:space="0"/>
              <w:bottom w:val="single" w:color="auto" w:sz="4" w:space="0"/>
              <w:right w:val="single" w:color="auto" w:sz="4" w:space="0"/>
            </w:tcBorders>
            <w:vAlign w:val="center"/>
          </w:tcPr>
          <w:p w14:paraId="07104413">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7083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1363E178">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9</w:t>
            </w:r>
          </w:p>
        </w:tc>
        <w:tc>
          <w:tcPr>
            <w:tcW w:w="5541" w:type="dxa"/>
            <w:tcBorders>
              <w:top w:val="single" w:color="auto" w:sz="4" w:space="0"/>
              <w:left w:val="single" w:color="auto" w:sz="4" w:space="0"/>
              <w:bottom w:val="single" w:color="auto" w:sz="4" w:space="0"/>
              <w:right w:val="single" w:color="auto" w:sz="4" w:space="0"/>
            </w:tcBorders>
            <w:shd w:val="clear" w:color="auto" w:fill="auto"/>
            <w:vAlign w:val="center"/>
          </w:tcPr>
          <w:p w14:paraId="648DB98F">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kern w:val="2"/>
                <w:sz w:val="21"/>
                <w:szCs w:val="21"/>
                <w:highlight w:val="none"/>
                <w:lang w:val="en-US" w:eastAsia="zh-CN" w:bidi="ar-SA"/>
              </w:rPr>
            </w:pPr>
            <w:r>
              <w:rPr>
                <w:rFonts w:hint="eastAsia"/>
                <w:color w:val="auto"/>
                <w:szCs w:val="21"/>
                <w:highlight w:val="none"/>
              </w:rPr>
              <w:t>关于联合体投标：本项目不接受联合体投标。</w:t>
            </w:r>
          </w:p>
        </w:tc>
        <w:tc>
          <w:tcPr>
            <w:tcW w:w="6575" w:type="dxa"/>
            <w:tcBorders>
              <w:top w:val="single" w:color="auto" w:sz="4" w:space="0"/>
              <w:left w:val="single" w:color="auto" w:sz="4" w:space="0"/>
              <w:bottom w:val="single" w:color="auto" w:sz="4" w:space="0"/>
              <w:right w:val="single" w:color="auto" w:sz="4" w:space="0"/>
            </w:tcBorders>
            <w:shd w:val="clear" w:color="auto" w:fill="auto"/>
            <w:vAlign w:val="center"/>
          </w:tcPr>
          <w:p w14:paraId="7DDD3E1D">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kern w:val="2"/>
                <w:sz w:val="21"/>
                <w:szCs w:val="21"/>
                <w:highlight w:val="none"/>
                <w:lang w:val="en-US" w:eastAsia="zh-CN" w:bidi="ar-SA"/>
              </w:rPr>
            </w:pPr>
            <w:r>
              <w:rPr>
                <w:rFonts w:hint="eastAsia"/>
                <w:color w:val="auto"/>
                <w:szCs w:val="21"/>
                <w:highlight w:val="none"/>
              </w:rPr>
              <w:t>/</w:t>
            </w:r>
          </w:p>
        </w:tc>
        <w:tc>
          <w:tcPr>
            <w:tcW w:w="1232" w:type="dxa"/>
            <w:tcBorders>
              <w:top w:val="single" w:color="auto" w:sz="4" w:space="0"/>
              <w:left w:val="single" w:color="auto" w:sz="4" w:space="0"/>
              <w:bottom w:val="single" w:color="auto" w:sz="4" w:space="0"/>
              <w:right w:val="single" w:color="auto" w:sz="4" w:space="0"/>
            </w:tcBorders>
            <w:vAlign w:val="center"/>
          </w:tcPr>
          <w:p w14:paraId="2856D9AF">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3D325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74CB8EB2">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10</w:t>
            </w:r>
          </w:p>
        </w:tc>
        <w:tc>
          <w:tcPr>
            <w:tcW w:w="5541" w:type="dxa"/>
            <w:tcBorders>
              <w:top w:val="single" w:color="auto" w:sz="4" w:space="0"/>
              <w:left w:val="single" w:color="auto" w:sz="4" w:space="0"/>
              <w:bottom w:val="single" w:color="auto" w:sz="4" w:space="0"/>
              <w:right w:val="single" w:color="auto" w:sz="4" w:space="0"/>
            </w:tcBorders>
            <w:shd w:val="clear" w:color="auto" w:fill="auto"/>
            <w:vAlign w:val="center"/>
          </w:tcPr>
          <w:p w14:paraId="140EEF72">
            <w:pPr>
              <w:keepNext w:val="0"/>
              <w:keepLines w:val="0"/>
              <w:suppressLineNumbers w:val="0"/>
              <w:wordWrap w:val="0"/>
              <w:spacing w:before="0" w:beforeAutospacing="0" w:after="0" w:afterAutospacing="0"/>
              <w:ind w:left="0" w:leftChars="0" w:right="0" w:rightChars="0"/>
              <w:rPr>
                <w:rFonts w:hint="default" w:ascii="宋体" w:hAnsi="宋体" w:eastAsia="宋体" w:cs="宋体"/>
                <w:color w:val="auto"/>
                <w:kern w:val="2"/>
                <w:sz w:val="21"/>
                <w:szCs w:val="21"/>
                <w:highlight w:val="none"/>
                <w:lang w:val="en-US" w:eastAsia="zh-CN" w:bidi="ar-SA"/>
              </w:rPr>
            </w:pPr>
            <w:r>
              <w:rPr>
                <w:rFonts w:hint="eastAsia" w:cs="宋体"/>
                <w:color w:val="auto"/>
                <w:szCs w:val="21"/>
                <w:highlight w:val="none"/>
              </w:rPr>
              <w:t>资格审查前，投标人须在广州市住房和城乡建设局建立企业信用档案及拟担任本工程项目负责人、专职安全员须是本企业信用档案中的在册人员。</w:t>
            </w:r>
          </w:p>
        </w:tc>
        <w:tc>
          <w:tcPr>
            <w:tcW w:w="6575" w:type="dxa"/>
            <w:tcBorders>
              <w:top w:val="single" w:color="auto" w:sz="4" w:space="0"/>
              <w:left w:val="single" w:color="auto" w:sz="4" w:space="0"/>
              <w:bottom w:val="single" w:color="auto" w:sz="4" w:space="0"/>
              <w:right w:val="single" w:color="auto" w:sz="4" w:space="0"/>
            </w:tcBorders>
            <w:shd w:val="clear" w:color="auto" w:fill="auto"/>
            <w:vAlign w:val="center"/>
          </w:tcPr>
          <w:p w14:paraId="29EACCA6">
            <w:pPr>
              <w:keepNext w:val="0"/>
              <w:keepLines w:val="0"/>
              <w:suppressLineNumbers w:val="0"/>
              <w:spacing w:before="0" w:beforeAutospacing="0" w:after="0" w:afterAutospacing="0"/>
              <w:ind w:left="0" w:leftChars="0" w:right="0" w:rightChars="0"/>
              <w:rPr>
                <w:rFonts w:hint="default" w:ascii="宋体" w:hAnsi="Courier New" w:eastAsia="宋体" w:cs="Times New Roman"/>
                <w:color w:val="auto"/>
                <w:kern w:val="0"/>
                <w:sz w:val="21"/>
                <w:szCs w:val="21"/>
                <w:highlight w:val="none"/>
                <w:lang w:val="en-US" w:eastAsia="zh-CN" w:bidi="ar-SA"/>
              </w:rPr>
            </w:pPr>
            <w:r>
              <w:rPr>
                <w:rFonts w:hint="eastAsia" w:cs="宋体"/>
                <w:color w:val="auto"/>
                <w:szCs w:val="21"/>
                <w:highlight w:val="none"/>
              </w:rPr>
              <w:t>投标人在广州市住建行业信用管理平台内企业信用档案的企业和人员信息。</w:t>
            </w:r>
          </w:p>
        </w:tc>
        <w:tc>
          <w:tcPr>
            <w:tcW w:w="1232" w:type="dxa"/>
            <w:tcBorders>
              <w:top w:val="single" w:color="auto" w:sz="4" w:space="0"/>
              <w:left w:val="single" w:color="auto" w:sz="4" w:space="0"/>
              <w:bottom w:val="single" w:color="auto" w:sz="4" w:space="0"/>
              <w:right w:val="single" w:color="auto" w:sz="4" w:space="0"/>
            </w:tcBorders>
            <w:vAlign w:val="center"/>
          </w:tcPr>
          <w:p w14:paraId="59757D23">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0C8C1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3AB088F5">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w:t>
            </w:r>
            <w:r>
              <w:rPr>
                <w:rFonts w:hint="default" w:cs="宋体"/>
                <w:color w:val="auto"/>
                <w:szCs w:val="21"/>
                <w:highlight w:val="none"/>
              </w:rPr>
              <w:t>1</w:t>
            </w:r>
          </w:p>
        </w:tc>
        <w:tc>
          <w:tcPr>
            <w:tcW w:w="5541" w:type="dxa"/>
            <w:tcBorders>
              <w:top w:val="single" w:color="auto" w:sz="4" w:space="0"/>
              <w:left w:val="single" w:color="auto" w:sz="4" w:space="0"/>
              <w:bottom w:val="single" w:color="auto" w:sz="4" w:space="0"/>
              <w:right w:val="single" w:color="auto" w:sz="4" w:space="0"/>
            </w:tcBorders>
            <w:shd w:val="clear" w:color="auto" w:fill="auto"/>
            <w:vAlign w:val="center"/>
          </w:tcPr>
          <w:p w14:paraId="23E2659A">
            <w:pPr>
              <w:keepNext w:val="0"/>
              <w:keepLines w:val="0"/>
              <w:suppressLineNumbers w:val="0"/>
              <w:spacing w:before="0" w:beforeAutospacing="0" w:after="0" w:afterAutospacing="0"/>
              <w:ind w:left="0" w:leftChars="0" w:right="0" w:rightChars="0"/>
              <w:rPr>
                <w:rFonts w:hint="default" w:ascii="宋体" w:hAnsi="宋体" w:eastAsia="宋体" w:cs="宋体"/>
                <w:color w:val="auto"/>
                <w:kern w:val="2"/>
                <w:sz w:val="21"/>
                <w:szCs w:val="21"/>
                <w:highlight w:val="none"/>
                <w:lang w:val="en-US" w:eastAsia="zh-CN" w:bidi="ar-SA"/>
              </w:rPr>
            </w:pPr>
            <w:r>
              <w:rPr>
                <w:rFonts w:hint="default" w:cs="宋体"/>
                <w:color w:val="auto"/>
                <w:szCs w:val="21"/>
                <w:highlight w:val="none"/>
              </w:rPr>
              <w:t>投标人未出现以下情形：与其它投标人的单位负责人为同一人或者存在控股、管理关系的（按投标人提供的《投标人声明》第</w:t>
            </w:r>
            <w:r>
              <w:rPr>
                <w:rFonts w:hint="default" w:cs="宋体"/>
                <w:color w:val="auto"/>
                <w:szCs w:val="21"/>
                <w:highlight w:val="none"/>
                <w:lang w:eastAsia="zh-CN"/>
              </w:rPr>
              <w:t>九</w:t>
            </w:r>
            <w:r>
              <w:rPr>
                <w:rFonts w:hint="default" w:cs="宋体"/>
                <w:color w:val="auto"/>
                <w:szCs w:val="21"/>
                <w:highlight w:val="none"/>
              </w:rPr>
              <w:t>条内容进行评审）。</w:t>
            </w:r>
          </w:p>
        </w:tc>
        <w:tc>
          <w:tcPr>
            <w:tcW w:w="6575" w:type="dxa"/>
            <w:tcBorders>
              <w:top w:val="single" w:color="auto" w:sz="4" w:space="0"/>
              <w:left w:val="single" w:color="auto" w:sz="4" w:space="0"/>
              <w:bottom w:val="single" w:color="auto" w:sz="4" w:space="0"/>
              <w:right w:val="single" w:color="auto" w:sz="4" w:space="0"/>
            </w:tcBorders>
            <w:shd w:val="clear" w:color="auto" w:fill="auto"/>
            <w:vAlign w:val="center"/>
          </w:tcPr>
          <w:p w14:paraId="62C9CDB1">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cs="宋体"/>
                <w:color w:val="auto"/>
                <w:szCs w:val="21"/>
                <w:highlight w:val="none"/>
              </w:rPr>
              <w:t>投标人声明</w:t>
            </w:r>
          </w:p>
        </w:tc>
        <w:tc>
          <w:tcPr>
            <w:tcW w:w="1232" w:type="dxa"/>
            <w:tcBorders>
              <w:top w:val="single" w:color="auto" w:sz="4" w:space="0"/>
              <w:left w:val="single" w:color="auto" w:sz="4" w:space="0"/>
              <w:bottom w:val="single" w:color="auto" w:sz="4" w:space="0"/>
              <w:right w:val="single" w:color="auto" w:sz="4" w:space="0"/>
            </w:tcBorders>
            <w:vAlign w:val="center"/>
          </w:tcPr>
          <w:p w14:paraId="6800F504">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33A4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4AB67156">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w:t>
            </w:r>
            <w:r>
              <w:rPr>
                <w:rFonts w:hint="default" w:cs="宋体"/>
                <w:color w:val="auto"/>
                <w:szCs w:val="21"/>
                <w:highlight w:val="none"/>
              </w:rPr>
              <w:t>2</w:t>
            </w:r>
          </w:p>
        </w:tc>
        <w:tc>
          <w:tcPr>
            <w:tcW w:w="5541" w:type="dxa"/>
            <w:tcBorders>
              <w:top w:val="single" w:color="auto" w:sz="4" w:space="0"/>
              <w:left w:val="single" w:color="auto" w:sz="4" w:space="0"/>
              <w:bottom w:val="single" w:color="auto" w:sz="4" w:space="0"/>
              <w:right w:val="single" w:color="auto" w:sz="4" w:space="0"/>
            </w:tcBorders>
            <w:shd w:val="clear" w:color="auto" w:fill="auto"/>
            <w:vAlign w:val="center"/>
          </w:tcPr>
          <w:p w14:paraId="55C96FBC">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kern w:val="2"/>
                <w:sz w:val="21"/>
                <w:szCs w:val="21"/>
                <w:highlight w:val="none"/>
                <w:lang w:val="en-US" w:eastAsia="zh-CN" w:bidi="ar-SA"/>
              </w:rPr>
            </w:pPr>
            <w:r>
              <w:rPr>
                <w:rFonts w:hint="default" w:cs="宋体"/>
                <w:color w:val="auto"/>
                <w:szCs w:val="21"/>
                <w:highlight w:val="none"/>
              </w:rPr>
              <w:t>未被列入拖欠农民工工资失信联合惩戒对象名单和失信被执行人。</w:t>
            </w:r>
          </w:p>
        </w:tc>
        <w:tc>
          <w:tcPr>
            <w:tcW w:w="6575" w:type="dxa"/>
            <w:tcBorders>
              <w:top w:val="single" w:color="auto" w:sz="4" w:space="0"/>
              <w:left w:val="single" w:color="auto" w:sz="4" w:space="0"/>
              <w:bottom w:val="single" w:color="auto" w:sz="4" w:space="0"/>
              <w:right w:val="single" w:color="auto" w:sz="4" w:space="0"/>
            </w:tcBorders>
            <w:shd w:val="clear" w:color="auto" w:fill="auto"/>
            <w:vAlign w:val="center"/>
          </w:tcPr>
          <w:p w14:paraId="3082A10D">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投标人无需提供资料，按投标截止时间广州交易集团有限公司(广州公共资源交易中心)交易系统比对的结果进行评审。</w:t>
            </w:r>
          </w:p>
        </w:tc>
        <w:tc>
          <w:tcPr>
            <w:tcW w:w="1232" w:type="dxa"/>
            <w:tcBorders>
              <w:top w:val="single" w:color="auto" w:sz="4" w:space="0"/>
              <w:left w:val="single" w:color="auto" w:sz="4" w:space="0"/>
              <w:bottom w:val="single" w:color="auto" w:sz="4" w:space="0"/>
              <w:right w:val="single" w:color="auto" w:sz="4" w:space="0"/>
            </w:tcBorders>
            <w:vAlign w:val="center"/>
          </w:tcPr>
          <w:p w14:paraId="5C4AF7FF">
            <w:pPr>
              <w:keepNext w:val="0"/>
              <w:keepLines w:val="0"/>
              <w:suppressLineNumbers w:val="0"/>
              <w:spacing w:before="0" w:beforeAutospacing="0" w:after="0" w:afterAutospacing="0"/>
              <w:ind w:left="0" w:right="0"/>
              <w:jc w:val="center"/>
              <w:rPr>
                <w:rFonts w:hint="default" w:cs="宋体"/>
                <w:color w:val="auto"/>
                <w:szCs w:val="21"/>
                <w:highlight w:val="none"/>
              </w:rPr>
            </w:pPr>
          </w:p>
        </w:tc>
      </w:tr>
    </w:tbl>
    <w:p w14:paraId="0ACA0BD8">
      <w:pPr>
        <w:ind w:firstLine="420" w:firstLineChars="200"/>
        <w:rPr>
          <w:rFonts w:hint="eastAsia" w:eastAsia="宋体"/>
          <w:color w:val="auto"/>
          <w:szCs w:val="21"/>
          <w:highlight w:val="none"/>
          <w:lang w:eastAsia="zh-CN"/>
        </w:rPr>
      </w:pPr>
      <w:r>
        <w:rPr>
          <w:rFonts w:hint="eastAsia"/>
          <w:color w:val="auto"/>
          <w:szCs w:val="21"/>
          <w:highlight w:val="none"/>
        </w:rPr>
        <w:t>注：1、每一项目符合的打“○”，不符合的打“×”；</w:t>
      </w:r>
    </w:p>
    <w:p w14:paraId="79E20579">
      <w:pPr>
        <w:ind w:firstLine="420" w:firstLineChars="200"/>
        <w:rPr>
          <w:color w:val="auto"/>
          <w:szCs w:val="21"/>
          <w:highlight w:val="none"/>
        </w:rPr>
      </w:pPr>
      <w:r>
        <w:rPr>
          <w:rFonts w:hint="eastAsia"/>
          <w:color w:val="auto"/>
          <w:szCs w:val="21"/>
          <w:highlight w:val="none"/>
        </w:rPr>
        <w:t>2、若评委意见不一致时，则按少数服从多数的原则，作出评审结论。汇总后，出现一个“×”的结论为“不通过”。</w:t>
      </w:r>
    </w:p>
    <w:p w14:paraId="5DFBD733">
      <w:pPr>
        <w:ind w:firstLine="420" w:firstLineChars="200"/>
        <w:rPr>
          <w:color w:val="auto"/>
          <w:szCs w:val="21"/>
          <w:highlight w:val="none"/>
        </w:rPr>
      </w:pPr>
      <w:r>
        <w:rPr>
          <w:rFonts w:hint="eastAsia"/>
          <w:color w:val="auto"/>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72E3D090">
      <w:pPr>
        <w:ind w:firstLine="420" w:firstLineChars="200"/>
        <w:rPr>
          <w:color w:val="auto"/>
          <w:highlight w:val="none"/>
        </w:rPr>
        <w:sectPr>
          <w:pgSz w:w="15840" w:h="12240" w:orient="landscape"/>
          <w:pgMar w:top="1803" w:right="1440" w:bottom="1803" w:left="1440" w:header="720" w:footer="720" w:gutter="0"/>
          <w:pgNumType w:fmt="decimal"/>
          <w:cols w:space="720" w:num="1"/>
        </w:sectPr>
      </w:pPr>
    </w:p>
    <w:p w14:paraId="4C953088">
      <w:pPr>
        <w:rPr>
          <w:color w:val="auto"/>
          <w:szCs w:val="21"/>
          <w:highlight w:val="none"/>
        </w:rPr>
      </w:pPr>
      <w:r>
        <w:rPr>
          <w:rFonts w:hint="eastAsia"/>
          <w:color w:val="auto"/>
          <w:szCs w:val="21"/>
          <w:highlight w:val="none"/>
        </w:rPr>
        <w:t>附表二</w:t>
      </w:r>
    </w:p>
    <w:p w14:paraId="49574669">
      <w:pPr>
        <w:jc w:val="center"/>
        <w:rPr>
          <w:b/>
          <w:color w:val="auto"/>
          <w:sz w:val="36"/>
          <w:szCs w:val="36"/>
          <w:highlight w:val="none"/>
        </w:rPr>
      </w:pPr>
      <w:r>
        <w:rPr>
          <w:rFonts w:hint="eastAsia"/>
          <w:b/>
          <w:color w:val="auto"/>
          <w:sz w:val="36"/>
          <w:szCs w:val="36"/>
          <w:highlight w:val="none"/>
        </w:rPr>
        <w:t>技术标有效性审查表</w:t>
      </w:r>
    </w:p>
    <w:p w14:paraId="1AE6CD9A">
      <w:pPr>
        <w:rPr>
          <w:color w:val="auto"/>
          <w:szCs w:val="21"/>
          <w:highlight w:val="none"/>
        </w:rPr>
      </w:pPr>
      <w:r>
        <w:rPr>
          <w:rFonts w:hint="eastAsia"/>
          <w:color w:val="auto"/>
          <w:szCs w:val="21"/>
          <w:highlight w:val="none"/>
        </w:rPr>
        <w:t>工程名称：</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9811"/>
        <w:gridCol w:w="962"/>
        <w:gridCol w:w="962"/>
        <w:gridCol w:w="962"/>
      </w:tblGrid>
      <w:tr w14:paraId="6DD51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0" w:type="pct"/>
            <w:tcBorders>
              <w:top w:val="single" w:color="auto" w:sz="4" w:space="0"/>
              <w:left w:val="single" w:color="auto" w:sz="4" w:space="0"/>
              <w:bottom w:val="single" w:color="auto" w:sz="4" w:space="0"/>
              <w:right w:val="single" w:color="auto" w:sz="4" w:space="0"/>
            </w:tcBorders>
            <w:vAlign w:val="center"/>
          </w:tcPr>
          <w:p w14:paraId="1117D015">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序号</w:t>
            </w:r>
          </w:p>
        </w:tc>
        <w:tc>
          <w:tcPr>
            <w:tcW w:w="3723" w:type="pct"/>
            <w:tcBorders>
              <w:top w:val="single" w:color="auto" w:sz="4" w:space="0"/>
              <w:left w:val="single" w:color="auto" w:sz="4" w:space="0"/>
              <w:bottom w:val="single" w:color="auto" w:sz="4" w:space="0"/>
              <w:right w:val="single" w:color="auto" w:sz="4" w:space="0"/>
              <w:tl2br w:val="single" w:color="auto" w:sz="4" w:space="0"/>
            </w:tcBorders>
          </w:tcPr>
          <w:p w14:paraId="62356513">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投标人</w:t>
            </w:r>
          </w:p>
          <w:p w14:paraId="0610D46A">
            <w:pPr>
              <w:keepNext w:val="0"/>
              <w:keepLines w:val="0"/>
              <w:suppressLineNumbers w:val="0"/>
              <w:adjustRightInd w:val="0"/>
              <w:spacing w:before="0" w:beforeAutospacing="0" w:after="0" w:afterAutospacing="0"/>
              <w:ind w:left="0" w:right="0"/>
              <w:rPr>
                <w:rFonts w:hint="default"/>
                <w:color w:val="auto"/>
                <w:szCs w:val="21"/>
                <w:highlight w:val="none"/>
              </w:rPr>
            </w:pPr>
          </w:p>
          <w:p w14:paraId="65FF339A">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评审内容</w:t>
            </w:r>
          </w:p>
        </w:tc>
        <w:tc>
          <w:tcPr>
            <w:tcW w:w="365" w:type="pct"/>
            <w:tcBorders>
              <w:top w:val="single" w:color="auto" w:sz="4" w:space="0"/>
              <w:left w:val="single" w:color="auto" w:sz="4" w:space="0"/>
              <w:bottom w:val="single" w:color="auto" w:sz="4" w:space="0"/>
              <w:right w:val="single" w:color="auto" w:sz="4" w:space="0"/>
            </w:tcBorders>
          </w:tcPr>
          <w:p w14:paraId="52EB3E8B">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26BD0FA5">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7A25332F">
            <w:pPr>
              <w:keepNext w:val="0"/>
              <w:keepLines w:val="0"/>
              <w:suppressLineNumbers w:val="0"/>
              <w:adjustRightInd w:val="0"/>
              <w:spacing w:before="0" w:beforeAutospacing="0" w:after="0" w:afterAutospacing="0"/>
              <w:ind w:left="0" w:right="0"/>
              <w:rPr>
                <w:rFonts w:hint="default"/>
                <w:color w:val="auto"/>
                <w:szCs w:val="21"/>
                <w:highlight w:val="none"/>
              </w:rPr>
            </w:pPr>
          </w:p>
        </w:tc>
      </w:tr>
      <w:tr w14:paraId="6FD56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0" w:type="pct"/>
            <w:tcBorders>
              <w:top w:val="single" w:color="auto" w:sz="4" w:space="0"/>
              <w:left w:val="single" w:color="auto" w:sz="4" w:space="0"/>
              <w:bottom w:val="single" w:color="auto" w:sz="4" w:space="0"/>
              <w:right w:val="single" w:color="auto" w:sz="4" w:space="0"/>
            </w:tcBorders>
            <w:vAlign w:val="center"/>
          </w:tcPr>
          <w:p w14:paraId="685ECAB5">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1</w:t>
            </w:r>
          </w:p>
        </w:tc>
        <w:tc>
          <w:tcPr>
            <w:tcW w:w="3723" w:type="pct"/>
            <w:tcBorders>
              <w:top w:val="single" w:color="auto" w:sz="4" w:space="0"/>
              <w:left w:val="single" w:color="auto" w:sz="4" w:space="0"/>
              <w:bottom w:val="single" w:color="auto" w:sz="4" w:space="0"/>
              <w:right w:val="single" w:color="auto" w:sz="4" w:space="0"/>
            </w:tcBorders>
            <w:vAlign w:val="center"/>
          </w:tcPr>
          <w:p w14:paraId="25747E64">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s="宋体"/>
                <w:color w:val="auto"/>
                <w:szCs w:val="21"/>
                <w:highlight w:val="none"/>
                <w:u w:val="single"/>
              </w:rPr>
              <w:t>《广州建设工程施工招标投标书》中的投标总工期</w:t>
            </w:r>
            <w:r>
              <w:rPr>
                <w:rFonts w:hint="eastAsia"/>
                <w:color w:val="auto"/>
                <w:szCs w:val="21"/>
                <w:highlight w:val="none"/>
              </w:rPr>
              <w:t>不能满足完成投标项目工期的；</w:t>
            </w:r>
          </w:p>
        </w:tc>
        <w:tc>
          <w:tcPr>
            <w:tcW w:w="365" w:type="pct"/>
            <w:tcBorders>
              <w:top w:val="single" w:color="auto" w:sz="4" w:space="0"/>
              <w:left w:val="single" w:color="auto" w:sz="4" w:space="0"/>
              <w:bottom w:val="single" w:color="auto" w:sz="4" w:space="0"/>
              <w:right w:val="single" w:color="auto" w:sz="4" w:space="0"/>
            </w:tcBorders>
          </w:tcPr>
          <w:p w14:paraId="1C180D74">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2BE24566">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2DECDBD6">
            <w:pPr>
              <w:keepNext w:val="0"/>
              <w:keepLines w:val="0"/>
              <w:suppressLineNumbers w:val="0"/>
              <w:adjustRightInd w:val="0"/>
              <w:spacing w:before="0" w:beforeAutospacing="0" w:after="0" w:afterAutospacing="0"/>
              <w:ind w:left="0" w:right="0"/>
              <w:rPr>
                <w:rFonts w:hint="default"/>
                <w:color w:val="auto"/>
                <w:szCs w:val="21"/>
                <w:highlight w:val="none"/>
              </w:rPr>
            </w:pPr>
          </w:p>
        </w:tc>
      </w:tr>
      <w:tr w14:paraId="40CB6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0" w:type="pct"/>
            <w:tcBorders>
              <w:top w:val="single" w:color="auto" w:sz="4" w:space="0"/>
              <w:left w:val="single" w:color="auto" w:sz="4" w:space="0"/>
              <w:bottom w:val="single" w:color="auto" w:sz="4" w:space="0"/>
              <w:right w:val="single" w:color="auto" w:sz="4" w:space="0"/>
            </w:tcBorders>
            <w:vAlign w:val="center"/>
          </w:tcPr>
          <w:p w14:paraId="367318FC">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2</w:t>
            </w:r>
          </w:p>
        </w:tc>
        <w:tc>
          <w:tcPr>
            <w:tcW w:w="3723" w:type="pct"/>
            <w:tcBorders>
              <w:top w:val="single" w:color="auto" w:sz="4" w:space="0"/>
              <w:left w:val="single" w:color="auto" w:sz="4" w:space="0"/>
              <w:bottom w:val="single" w:color="auto" w:sz="4" w:space="0"/>
              <w:right w:val="single" w:color="auto" w:sz="4" w:space="0"/>
            </w:tcBorders>
            <w:vAlign w:val="center"/>
          </w:tcPr>
          <w:p w14:paraId="470991C7">
            <w:pPr>
              <w:keepNext w:val="0"/>
              <w:keepLines w:val="0"/>
              <w:suppressLineNumbers w:val="0"/>
              <w:adjustRightInd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u w:val="single"/>
              </w:rPr>
              <w:t>《广州建设工程施工招标投标书》中的工程质量标准不符合招标文件要求的；</w:t>
            </w:r>
          </w:p>
        </w:tc>
        <w:tc>
          <w:tcPr>
            <w:tcW w:w="365" w:type="pct"/>
            <w:tcBorders>
              <w:top w:val="single" w:color="auto" w:sz="4" w:space="0"/>
              <w:left w:val="single" w:color="auto" w:sz="4" w:space="0"/>
              <w:bottom w:val="single" w:color="auto" w:sz="4" w:space="0"/>
              <w:right w:val="single" w:color="auto" w:sz="4" w:space="0"/>
            </w:tcBorders>
          </w:tcPr>
          <w:p w14:paraId="16A31E9C">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73F011B5">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57471B4C">
            <w:pPr>
              <w:keepNext w:val="0"/>
              <w:keepLines w:val="0"/>
              <w:suppressLineNumbers w:val="0"/>
              <w:adjustRightInd w:val="0"/>
              <w:spacing w:before="0" w:beforeAutospacing="0" w:after="0" w:afterAutospacing="0"/>
              <w:ind w:left="0" w:right="0"/>
              <w:rPr>
                <w:rFonts w:hint="default"/>
                <w:color w:val="auto"/>
                <w:szCs w:val="21"/>
                <w:highlight w:val="none"/>
              </w:rPr>
            </w:pPr>
          </w:p>
        </w:tc>
      </w:tr>
      <w:tr w14:paraId="2C04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80" w:type="pct"/>
            <w:tcBorders>
              <w:top w:val="single" w:color="auto" w:sz="4" w:space="0"/>
              <w:left w:val="single" w:color="auto" w:sz="4" w:space="0"/>
              <w:bottom w:val="single" w:color="auto" w:sz="4" w:space="0"/>
              <w:right w:val="single" w:color="auto" w:sz="4" w:space="0"/>
            </w:tcBorders>
            <w:vAlign w:val="center"/>
          </w:tcPr>
          <w:p w14:paraId="4A3E4BA0">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3</w:t>
            </w:r>
          </w:p>
        </w:tc>
        <w:tc>
          <w:tcPr>
            <w:tcW w:w="3723" w:type="pct"/>
            <w:tcBorders>
              <w:top w:val="single" w:color="auto" w:sz="4" w:space="0"/>
              <w:left w:val="single" w:color="auto" w:sz="4" w:space="0"/>
              <w:bottom w:val="single" w:color="auto" w:sz="4" w:space="0"/>
              <w:right w:val="single" w:color="auto" w:sz="4" w:space="0"/>
            </w:tcBorders>
            <w:vAlign w:val="center"/>
          </w:tcPr>
          <w:p w14:paraId="75DF4B65">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投标文件中没有有效的法定代表人证明书，或由委托代理人</w:t>
            </w:r>
            <w:r>
              <w:rPr>
                <w:rFonts w:hint="eastAsia"/>
                <w:color w:val="auto"/>
                <w:szCs w:val="21"/>
                <w:highlight w:val="none"/>
                <w:u w:val="single"/>
              </w:rPr>
              <w:t>签署或盖章</w:t>
            </w:r>
            <w:r>
              <w:rPr>
                <w:rFonts w:hint="eastAsia"/>
                <w:color w:val="auto"/>
                <w:szCs w:val="21"/>
                <w:highlight w:val="none"/>
              </w:rPr>
              <w:t>的投标文件中没有法定代表人授权书；</w:t>
            </w:r>
          </w:p>
        </w:tc>
        <w:tc>
          <w:tcPr>
            <w:tcW w:w="365" w:type="pct"/>
            <w:tcBorders>
              <w:top w:val="single" w:color="auto" w:sz="4" w:space="0"/>
              <w:left w:val="single" w:color="auto" w:sz="4" w:space="0"/>
              <w:bottom w:val="single" w:color="auto" w:sz="4" w:space="0"/>
              <w:right w:val="single" w:color="auto" w:sz="4" w:space="0"/>
            </w:tcBorders>
          </w:tcPr>
          <w:p w14:paraId="0851C3F4">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5CD7CE67">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702589F2">
            <w:pPr>
              <w:keepNext w:val="0"/>
              <w:keepLines w:val="0"/>
              <w:suppressLineNumbers w:val="0"/>
              <w:adjustRightInd w:val="0"/>
              <w:spacing w:before="0" w:beforeAutospacing="0" w:after="0" w:afterAutospacing="0"/>
              <w:ind w:left="0" w:right="0"/>
              <w:rPr>
                <w:rFonts w:hint="default"/>
                <w:color w:val="auto"/>
                <w:szCs w:val="21"/>
                <w:highlight w:val="none"/>
              </w:rPr>
            </w:pPr>
          </w:p>
        </w:tc>
      </w:tr>
      <w:tr w14:paraId="5B14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80" w:type="pct"/>
            <w:tcBorders>
              <w:top w:val="single" w:color="auto" w:sz="4" w:space="0"/>
              <w:left w:val="single" w:color="auto" w:sz="4" w:space="0"/>
              <w:bottom w:val="single" w:color="auto" w:sz="4" w:space="0"/>
              <w:right w:val="single" w:color="auto" w:sz="4" w:space="0"/>
            </w:tcBorders>
            <w:vAlign w:val="center"/>
          </w:tcPr>
          <w:p w14:paraId="32F9F31A">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4</w:t>
            </w:r>
          </w:p>
        </w:tc>
        <w:tc>
          <w:tcPr>
            <w:tcW w:w="3723" w:type="pct"/>
            <w:tcBorders>
              <w:top w:val="single" w:color="auto" w:sz="4" w:space="0"/>
              <w:left w:val="single" w:color="auto" w:sz="4" w:space="0"/>
              <w:bottom w:val="single" w:color="auto" w:sz="4" w:space="0"/>
              <w:right w:val="single" w:color="auto" w:sz="4" w:space="0"/>
            </w:tcBorders>
            <w:vAlign w:val="center"/>
          </w:tcPr>
          <w:p w14:paraId="6C8A17A9">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s="宋体"/>
                <w:color w:val="auto"/>
                <w:szCs w:val="21"/>
                <w:highlight w:val="none"/>
              </w:rPr>
              <w:t>投标文件未按规定的格式填写</w:t>
            </w:r>
            <w:r>
              <w:rPr>
                <w:rFonts w:hint="eastAsia" w:cs="宋体"/>
                <w:color w:val="auto"/>
                <w:szCs w:val="21"/>
                <w:highlight w:val="none"/>
                <w:u w:val="single"/>
              </w:rPr>
              <w:t>（指招标文件第四章提供格式一、格式二、格式三）</w:t>
            </w:r>
            <w:r>
              <w:rPr>
                <w:rFonts w:hint="eastAsia" w:cs="宋体"/>
                <w:color w:val="auto"/>
                <w:szCs w:val="21"/>
                <w:highlight w:val="none"/>
              </w:rPr>
              <w:t>，或主要内容（指投标文件组成内容）不全，或关键字迹模糊、无法辨认的；</w:t>
            </w:r>
          </w:p>
        </w:tc>
        <w:tc>
          <w:tcPr>
            <w:tcW w:w="365" w:type="pct"/>
            <w:tcBorders>
              <w:top w:val="single" w:color="auto" w:sz="4" w:space="0"/>
              <w:left w:val="single" w:color="auto" w:sz="4" w:space="0"/>
              <w:bottom w:val="single" w:color="auto" w:sz="4" w:space="0"/>
              <w:right w:val="single" w:color="auto" w:sz="4" w:space="0"/>
            </w:tcBorders>
          </w:tcPr>
          <w:p w14:paraId="5D45F327">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5FB1CFDD">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571329F7">
            <w:pPr>
              <w:keepNext w:val="0"/>
              <w:keepLines w:val="0"/>
              <w:suppressLineNumbers w:val="0"/>
              <w:adjustRightInd w:val="0"/>
              <w:spacing w:before="0" w:beforeAutospacing="0" w:after="0" w:afterAutospacing="0"/>
              <w:ind w:left="0" w:right="0"/>
              <w:rPr>
                <w:rFonts w:hint="default"/>
                <w:color w:val="auto"/>
                <w:szCs w:val="21"/>
                <w:highlight w:val="none"/>
              </w:rPr>
            </w:pPr>
          </w:p>
        </w:tc>
      </w:tr>
      <w:tr w14:paraId="3C2CF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80" w:type="pct"/>
            <w:tcBorders>
              <w:top w:val="single" w:color="auto" w:sz="4" w:space="0"/>
              <w:left w:val="single" w:color="auto" w:sz="4" w:space="0"/>
              <w:bottom w:val="single" w:color="auto" w:sz="4" w:space="0"/>
              <w:right w:val="single" w:color="auto" w:sz="4" w:space="0"/>
            </w:tcBorders>
            <w:vAlign w:val="center"/>
          </w:tcPr>
          <w:p w14:paraId="5EFB5AD7">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5</w:t>
            </w:r>
          </w:p>
        </w:tc>
        <w:tc>
          <w:tcPr>
            <w:tcW w:w="3723" w:type="pct"/>
            <w:tcBorders>
              <w:top w:val="single" w:color="auto" w:sz="4" w:space="0"/>
              <w:left w:val="single" w:color="auto" w:sz="4" w:space="0"/>
              <w:bottom w:val="single" w:color="auto" w:sz="4" w:space="0"/>
              <w:right w:val="single" w:color="auto" w:sz="4" w:space="0"/>
            </w:tcBorders>
            <w:vAlign w:val="center"/>
          </w:tcPr>
          <w:p w14:paraId="49A56B56">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投标人之间存在《广东省实施&lt;中华人民共和国招标投标法&gt;》第十六条所禁止的情形的；</w:t>
            </w:r>
          </w:p>
        </w:tc>
        <w:tc>
          <w:tcPr>
            <w:tcW w:w="365" w:type="pct"/>
            <w:tcBorders>
              <w:top w:val="single" w:color="auto" w:sz="4" w:space="0"/>
              <w:left w:val="single" w:color="auto" w:sz="4" w:space="0"/>
              <w:bottom w:val="single" w:color="auto" w:sz="4" w:space="0"/>
              <w:right w:val="single" w:color="auto" w:sz="4" w:space="0"/>
            </w:tcBorders>
          </w:tcPr>
          <w:p w14:paraId="2EB12666">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5708C8BA">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6994A00D">
            <w:pPr>
              <w:keepNext w:val="0"/>
              <w:keepLines w:val="0"/>
              <w:suppressLineNumbers w:val="0"/>
              <w:adjustRightInd w:val="0"/>
              <w:spacing w:before="0" w:beforeAutospacing="0" w:after="0" w:afterAutospacing="0"/>
              <w:ind w:left="0" w:right="0"/>
              <w:rPr>
                <w:rFonts w:hint="default"/>
                <w:color w:val="auto"/>
                <w:szCs w:val="21"/>
                <w:highlight w:val="none"/>
              </w:rPr>
            </w:pPr>
          </w:p>
        </w:tc>
      </w:tr>
      <w:tr w14:paraId="66E7C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0" w:type="pct"/>
            <w:tcBorders>
              <w:top w:val="single" w:color="auto" w:sz="4" w:space="0"/>
              <w:left w:val="single" w:color="auto" w:sz="4" w:space="0"/>
              <w:bottom w:val="single" w:color="auto" w:sz="4" w:space="0"/>
              <w:right w:val="single" w:color="auto" w:sz="4" w:space="0"/>
            </w:tcBorders>
            <w:vAlign w:val="center"/>
          </w:tcPr>
          <w:p w14:paraId="7502392A">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6</w:t>
            </w:r>
          </w:p>
        </w:tc>
        <w:tc>
          <w:tcPr>
            <w:tcW w:w="3723" w:type="pct"/>
            <w:tcBorders>
              <w:top w:val="single" w:color="auto" w:sz="4" w:space="0"/>
              <w:left w:val="single" w:color="auto" w:sz="4" w:space="0"/>
              <w:bottom w:val="single" w:color="auto" w:sz="4" w:space="0"/>
              <w:right w:val="single" w:color="auto" w:sz="4" w:space="0"/>
            </w:tcBorders>
            <w:vAlign w:val="center"/>
          </w:tcPr>
          <w:p w14:paraId="1259E08B">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无《参与编制技术标投标文件人员名单》的</w:t>
            </w:r>
          </w:p>
        </w:tc>
        <w:tc>
          <w:tcPr>
            <w:tcW w:w="365" w:type="pct"/>
            <w:tcBorders>
              <w:top w:val="single" w:color="auto" w:sz="4" w:space="0"/>
              <w:left w:val="single" w:color="auto" w:sz="4" w:space="0"/>
              <w:bottom w:val="single" w:color="auto" w:sz="4" w:space="0"/>
              <w:right w:val="single" w:color="auto" w:sz="4" w:space="0"/>
            </w:tcBorders>
          </w:tcPr>
          <w:p w14:paraId="6F165506">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1455E9E3">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102A1FF1">
            <w:pPr>
              <w:keepNext w:val="0"/>
              <w:keepLines w:val="0"/>
              <w:suppressLineNumbers w:val="0"/>
              <w:adjustRightInd w:val="0"/>
              <w:spacing w:before="0" w:beforeAutospacing="0" w:after="0" w:afterAutospacing="0"/>
              <w:ind w:left="0" w:right="0"/>
              <w:rPr>
                <w:rFonts w:hint="default"/>
                <w:color w:val="auto"/>
                <w:szCs w:val="21"/>
                <w:highlight w:val="none"/>
              </w:rPr>
            </w:pPr>
          </w:p>
        </w:tc>
      </w:tr>
      <w:tr w14:paraId="37A5F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 w:type="pct"/>
            <w:tcBorders>
              <w:top w:val="single" w:color="auto" w:sz="4" w:space="0"/>
              <w:left w:val="single" w:color="auto" w:sz="4" w:space="0"/>
              <w:bottom w:val="single" w:color="auto" w:sz="4" w:space="0"/>
              <w:right w:val="single" w:color="auto" w:sz="4" w:space="0"/>
            </w:tcBorders>
            <w:vAlign w:val="center"/>
          </w:tcPr>
          <w:p w14:paraId="7171186B">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7</w:t>
            </w:r>
          </w:p>
        </w:tc>
        <w:tc>
          <w:tcPr>
            <w:tcW w:w="3723" w:type="pct"/>
            <w:tcBorders>
              <w:top w:val="single" w:color="auto" w:sz="4" w:space="0"/>
              <w:left w:val="single" w:color="auto" w:sz="4" w:space="0"/>
              <w:bottom w:val="single" w:color="auto" w:sz="4" w:space="0"/>
              <w:right w:val="single" w:color="auto" w:sz="4" w:space="0"/>
            </w:tcBorders>
            <w:vAlign w:val="center"/>
          </w:tcPr>
          <w:p w14:paraId="64DFD6A8">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投标人与本项目其他投标人加密打包投标文件电脑机器特征码一致的(以交易平台评标系统的检索信息为准)</w:t>
            </w:r>
          </w:p>
        </w:tc>
        <w:tc>
          <w:tcPr>
            <w:tcW w:w="365" w:type="pct"/>
            <w:tcBorders>
              <w:top w:val="single" w:color="auto" w:sz="4" w:space="0"/>
              <w:left w:val="single" w:color="auto" w:sz="4" w:space="0"/>
              <w:bottom w:val="single" w:color="auto" w:sz="4" w:space="0"/>
              <w:right w:val="single" w:color="auto" w:sz="4" w:space="0"/>
            </w:tcBorders>
          </w:tcPr>
          <w:p w14:paraId="7D56450B">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4E4089B8">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1BA98CCC">
            <w:pPr>
              <w:keepNext w:val="0"/>
              <w:keepLines w:val="0"/>
              <w:suppressLineNumbers w:val="0"/>
              <w:adjustRightInd w:val="0"/>
              <w:spacing w:before="0" w:beforeAutospacing="0" w:after="0" w:afterAutospacing="0"/>
              <w:ind w:left="0" w:right="0"/>
              <w:rPr>
                <w:rFonts w:hint="default"/>
                <w:color w:val="auto"/>
                <w:szCs w:val="21"/>
                <w:highlight w:val="none"/>
              </w:rPr>
            </w:pPr>
          </w:p>
        </w:tc>
      </w:tr>
    </w:tbl>
    <w:p w14:paraId="4B12F756">
      <w:pPr>
        <w:rPr>
          <w:color w:val="auto"/>
          <w:szCs w:val="21"/>
          <w:highlight w:val="none"/>
        </w:rPr>
      </w:pPr>
      <w:r>
        <w:rPr>
          <w:rFonts w:hint="eastAsia"/>
          <w:color w:val="auto"/>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14:paraId="16E503AC">
      <w:pPr>
        <w:rPr>
          <w:color w:val="auto"/>
          <w:szCs w:val="21"/>
          <w:highlight w:val="none"/>
        </w:rPr>
      </w:pPr>
      <w:r>
        <w:rPr>
          <w:rFonts w:hint="eastAsia"/>
          <w:color w:val="auto"/>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0C277696">
      <w:pPr>
        <w:rPr>
          <w:color w:val="auto"/>
          <w:szCs w:val="21"/>
          <w:highlight w:val="none"/>
        </w:rPr>
      </w:pPr>
      <w:r>
        <w:rPr>
          <w:rFonts w:hint="eastAsia"/>
          <w:color w:val="auto"/>
          <w:szCs w:val="21"/>
          <w:highlight w:val="none"/>
        </w:rPr>
        <w:t>3.凡出现以上任何一项情形，结论均为无效，否则就为有效。</w:t>
      </w:r>
    </w:p>
    <w:p w14:paraId="6256615A">
      <w:pPr>
        <w:rPr>
          <w:color w:val="auto"/>
          <w:szCs w:val="21"/>
          <w:highlight w:val="none"/>
        </w:rPr>
      </w:pPr>
      <w:r>
        <w:rPr>
          <w:rFonts w:hint="eastAsia"/>
          <w:color w:val="auto"/>
          <w:szCs w:val="21"/>
          <w:highlight w:val="none"/>
        </w:rPr>
        <w:t>4.如对本表中某种情形的评审意见不一致时，以评标委员会过半数成员的意见作为评标委员会对该情形的认定结论。</w:t>
      </w:r>
    </w:p>
    <w:p w14:paraId="44B84B9E">
      <w:pPr>
        <w:ind w:firstLine="420" w:firstLineChars="200"/>
        <w:rPr>
          <w:color w:val="auto"/>
          <w:szCs w:val="21"/>
          <w:highlight w:val="none"/>
        </w:rPr>
      </w:pPr>
      <w:r>
        <w:rPr>
          <w:rFonts w:hint="eastAsia"/>
          <w:color w:val="auto"/>
          <w:szCs w:val="21"/>
          <w:highlight w:val="none"/>
        </w:rPr>
        <w:t>评委签名：</w:t>
      </w:r>
    </w:p>
    <w:p w14:paraId="6DBAC2B5">
      <w:pPr>
        <w:rPr>
          <w:color w:val="auto"/>
          <w:szCs w:val="21"/>
          <w:highlight w:val="none"/>
        </w:rPr>
      </w:pPr>
      <w:r>
        <w:rPr>
          <w:color w:val="auto"/>
          <w:highlight w:val="none"/>
        </w:rPr>
        <w:br w:type="page"/>
      </w:r>
      <w:r>
        <w:rPr>
          <w:rFonts w:hint="eastAsia"/>
          <w:color w:val="auto"/>
          <w:szCs w:val="21"/>
          <w:highlight w:val="none"/>
        </w:rPr>
        <w:t>附表三</w:t>
      </w:r>
    </w:p>
    <w:p w14:paraId="421DD423">
      <w:pPr>
        <w:jc w:val="center"/>
        <w:rPr>
          <w:b/>
          <w:color w:val="auto"/>
          <w:sz w:val="36"/>
          <w:szCs w:val="36"/>
          <w:highlight w:val="none"/>
        </w:rPr>
      </w:pPr>
      <w:r>
        <w:rPr>
          <w:rFonts w:hint="eastAsia"/>
          <w:b/>
          <w:color w:val="auto"/>
          <w:sz w:val="36"/>
          <w:szCs w:val="36"/>
          <w:highlight w:val="none"/>
        </w:rPr>
        <w:t>经济标有效性审查表</w:t>
      </w:r>
    </w:p>
    <w:p w14:paraId="63A6946A">
      <w:pPr>
        <w:rPr>
          <w:color w:val="auto"/>
          <w:szCs w:val="21"/>
          <w:highlight w:val="none"/>
        </w:rPr>
      </w:pPr>
      <w:r>
        <w:rPr>
          <w:rFonts w:hint="eastAsia"/>
          <w:color w:val="auto"/>
          <w:szCs w:val="21"/>
          <w:highlight w:val="none"/>
        </w:rPr>
        <w:t>工程名称：</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
        <w:gridCol w:w="10557"/>
        <w:gridCol w:w="688"/>
        <w:gridCol w:w="688"/>
        <w:gridCol w:w="688"/>
      </w:tblGrid>
      <w:tr w14:paraId="4BDE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09" w:type="pct"/>
            <w:tcBorders>
              <w:top w:val="single" w:color="auto" w:sz="4" w:space="0"/>
              <w:left w:val="single" w:color="auto" w:sz="4" w:space="0"/>
              <w:bottom w:val="single" w:color="auto" w:sz="4" w:space="0"/>
              <w:right w:val="single" w:color="auto" w:sz="4" w:space="0"/>
            </w:tcBorders>
            <w:vAlign w:val="center"/>
          </w:tcPr>
          <w:p w14:paraId="0C350CCB">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序号</w:t>
            </w:r>
          </w:p>
        </w:tc>
        <w:tc>
          <w:tcPr>
            <w:tcW w:w="4007" w:type="pct"/>
            <w:tcBorders>
              <w:top w:val="single" w:color="auto" w:sz="4" w:space="0"/>
              <w:left w:val="single" w:color="auto" w:sz="4" w:space="0"/>
              <w:bottom w:val="single" w:color="auto" w:sz="4" w:space="0"/>
              <w:right w:val="single" w:color="auto" w:sz="4" w:space="0"/>
              <w:tl2br w:val="single" w:color="auto" w:sz="4" w:space="0"/>
            </w:tcBorders>
          </w:tcPr>
          <w:p w14:paraId="2A9E7FAE">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投标人</w:t>
            </w:r>
          </w:p>
          <w:p w14:paraId="24CDA3F4">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评审内容</w:t>
            </w:r>
          </w:p>
        </w:tc>
        <w:tc>
          <w:tcPr>
            <w:tcW w:w="261" w:type="pct"/>
            <w:tcBorders>
              <w:top w:val="single" w:color="auto" w:sz="4" w:space="0"/>
              <w:left w:val="single" w:color="auto" w:sz="4" w:space="0"/>
              <w:bottom w:val="single" w:color="auto" w:sz="4" w:space="0"/>
              <w:right w:val="single" w:color="auto" w:sz="4" w:space="0"/>
            </w:tcBorders>
          </w:tcPr>
          <w:p w14:paraId="304158A6">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45AB553F">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41D1F2C2">
            <w:pPr>
              <w:keepNext w:val="0"/>
              <w:keepLines w:val="0"/>
              <w:suppressLineNumbers w:val="0"/>
              <w:spacing w:before="0" w:beforeAutospacing="0" w:after="0" w:afterAutospacing="0"/>
              <w:ind w:left="0" w:right="0"/>
              <w:rPr>
                <w:rFonts w:hint="default"/>
                <w:color w:val="auto"/>
                <w:szCs w:val="21"/>
                <w:highlight w:val="none"/>
              </w:rPr>
            </w:pPr>
          </w:p>
        </w:tc>
      </w:tr>
      <w:tr w14:paraId="65496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09" w:type="pct"/>
            <w:tcBorders>
              <w:top w:val="single" w:color="auto" w:sz="4" w:space="0"/>
              <w:left w:val="single" w:color="auto" w:sz="4" w:space="0"/>
              <w:bottom w:val="single" w:color="auto" w:sz="4" w:space="0"/>
              <w:right w:val="single" w:color="auto" w:sz="4" w:space="0"/>
            </w:tcBorders>
            <w:vAlign w:val="center"/>
          </w:tcPr>
          <w:p w14:paraId="14AD54FA">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1</w:t>
            </w:r>
          </w:p>
        </w:tc>
        <w:tc>
          <w:tcPr>
            <w:tcW w:w="4007" w:type="pct"/>
            <w:tcBorders>
              <w:top w:val="single" w:color="auto" w:sz="4" w:space="0"/>
              <w:left w:val="single" w:color="auto" w:sz="4" w:space="0"/>
              <w:bottom w:val="single" w:color="auto" w:sz="4" w:space="0"/>
              <w:right w:val="single" w:color="auto" w:sz="4" w:space="0"/>
            </w:tcBorders>
            <w:vAlign w:val="center"/>
          </w:tcPr>
          <w:p w14:paraId="16592F6C">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对同一招标项目出现两个或以上的投标报价，且没有申明哪个有效；</w:t>
            </w:r>
          </w:p>
        </w:tc>
        <w:tc>
          <w:tcPr>
            <w:tcW w:w="261" w:type="pct"/>
            <w:tcBorders>
              <w:top w:val="single" w:color="auto" w:sz="4" w:space="0"/>
              <w:left w:val="single" w:color="auto" w:sz="4" w:space="0"/>
              <w:bottom w:val="single" w:color="auto" w:sz="4" w:space="0"/>
              <w:right w:val="single" w:color="auto" w:sz="4" w:space="0"/>
            </w:tcBorders>
          </w:tcPr>
          <w:p w14:paraId="51596C71">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2839AF8E">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482D754C">
            <w:pPr>
              <w:keepNext w:val="0"/>
              <w:keepLines w:val="0"/>
              <w:suppressLineNumbers w:val="0"/>
              <w:spacing w:before="0" w:beforeAutospacing="0" w:after="0" w:afterAutospacing="0"/>
              <w:ind w:left="0" w:right="0"/>
              <w:rPr>
                <w:rFonts w:hint="default"/>
                <w:color w:val="auto"/>
                <w:szCs w:val="21"/>
                <w:highlight w:val="none"/>
              </w:rPr>
            </w:pPr>
          </w:p>
        </w:tc>
      </w:tr>
      <w:tr w14:paraId="294E2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9" w:type="pct"/>
            <w:tcBorders>
              <w:top w:val="single" w:color="auto" w:sz="4" w:space="0"/>
              <w:left w:val="single" w:color="auto" w:sz="4" w:space="0"/>
              <w:bottom w:val="single" w:color="auto" w:sz="4" w:space="0"/>
              <w:right w:val="single" w:color="auto" w:sz="4" w:space="0"/>
            </w:tcBorders>
            <w:vAlign w:val="center"/>
          </w:tcPr>
          <w:p w14:paraId="221EFF6D">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2</w:t>
            </w:r>
          </w:p>
        </w:tc>
        <w:tc>
          <w:tcPr>
            <w:tcW w:w="4007" w:type="pct"/>
            <w:tcBorders>
              <w:top w:val="single" w:color="auto" w:sz="4" w:space="0"/>
              <w:left w:val="single" w:color="auto" w:sz="4" w:space="0"/>
              <w:bottom w:val="single" w:color="auto" w:sz="4" w:space="0"/>
              <w:right w:val="single" w:color="auto" w:sz="4" w:space="0"/>
            </w:tcBorders>
            <w:vAlign w:val="center"/>
          </w:tcPr>
          <w:p w14:paraId="0FBE6965">
            <w:pPr>
              <w:keepNext w:val="0"/>
              <w:keepLines w:val="0"/>
              <w:suppressLineNumbers w:val="0"/>
              <w:spacing w:before="0" w:beforeAutospacing="0" w:after="0" w:afterAutospacing="0"/>
              <w:ind w:left="0" w:right="0"/>
              <w:rPr>
                <w:rFonts w:hint="eastAsia" w:ascii="宋体" w:hAnsi="宋体" w:eastAsia="宋体" w:cs="宋体"/>
                <w:color w:val="auto"/>
                <w:sz w:val="21"/>
                <w:szCs w:val="22"/>
                <w:highlight w:val="none"/>
                <w:u w:val="single"/>
                <w:lang w:eastAsia="zh-CN"/>
              </w:rPr>
            </w:pPr>
            <w:r>
              <w:rPr>
                <w:rFonts w:hint="eastAsia"/>
                <w:color w:val="auto"/>
                <w:szCs w:val="21"/>
                <w:highlight w:val="none"/>
                <w:u w:val="none"/>
              </w:rPr>
              <w:t>投标报价高于最高投标限价的，或</w:t>
            </w:r>
            <w:r>
              <w:rPr>
                <w:rFonts w:hint="eastAsia" w:ascii="宋体" w:hAnsi="宋体" w:cs="宋体"/>
                <w:color w:val="auto"/>
                <w:sz w:val="21"/>
                <w:szCs w:val="22"/>
                <w:highlight w:val="none"/>
                <w:u w:val="none"/>
              </w:rPr>
              <w:t>投标报价中任一项投标</w:t>
            </w:r>
            <w:r>
              <w:rPr>
                <w:rFonts w:hint="eastAsia"/>
                <w:color w:val="auto"/>
                <w:szCs w:val="21"/>
                <w:highlight w:val="none"/>
                <w:u w:val="none"/>
              </w:rPr>
              <w:t>综合单价</w:t>
            </w:r>
            <w:r>
              <w:rPr>
                <w:rFonts w:hint="eastAsia" w:ascii="宋体" w:hAnsi="宋体" w:cs="宋体"/>
                <w:color w:val="auto"/>
                <w:sz w:val="21"/>
                <w:szCs w:val="22"/>
                <w:highlight w:val="none"/>
                <w:u w:val="none"/>
              </w:rPr>
              <w:t>高于招标控制价中相应的</w:t>
            </w:r>
            <w:r>
              <w:rPr>
                <w:rFonts w:hint="eastAsia"/>
                <w:color w:val="auto"/>
                <w:szCs w:val="21"/>
                <w:highlight w:val="none"/>
                <w:u w:val="none"/>
              </w:rPr>
              <w:t>综合单价</w:t>
            </w:r>
            <w:r>
              <w:rPr>
                <w:rFonts w:hint="eastAsia" w:ascii="宋体" w:hAnsi="宋体" w:cs="宋体"/>
                <w:color w:val="auto"/>
                <w:sz w:val="21"/>
                <w:szCs w:val="22"/>
                <w:highlight w:val="none"/>
                <w:u w:val="none"/>
              </w:rPr>
              <w:t>控制价</w:t>
            </w:r>
            <w:r>
              <w:rPr>
                <w:rFonts w:hint="eastAsia"/>
                <w:color w:val="auto"/>
                <w:szCs w:val="21"/>
                <w:highlight w:val="none"/>
                <w:u w:val="none"/>
              </w:rPr>
              <w:t>的</w:t>
            </w:r>
            <w:r>
              <w:rPr>
                <w:rFonts w:hint="eastAsia"/>
                <w:color w:val="auto"/>
                <w:szCs w:val="21"/>
                <w:highlight w:val="none"/>
                <w:u w:val="none"/>
                <w:lang w:eastAsia="zh-CN"/>
              </w:rPr>
              <w:t>。</w:t>
            </w:r>
            <w:r>
              <w:rPr>
                <w:rFonts w:hint="eastAsia"/>
                <w:color w:val="auto"/>
                <w:szCs w:val="21"/>
                <w:highlight w:val="none"/>
                <w:u w:val="none"/>
              </w:rPr>
              <w:t>具体详见最高投标限价公布函及工程量清单(含综合单价限价)</w:t>
            </w:r>
            <w:r>
              <w:rPr>
                <w:rFonts w:hint="eastAsia"/>
                <w:color w:val="auto"/>
                <w:szCs w:val="21"/>
                <w:highlight w:val="none"/>
                <w:u w:val="none"/>
                <w:lang w:eastAsia="zh-CN"/>
              </w:rPr>
              <w:t>；</w:t>
            </w:r>
          </w:p>
        </w:tc>
        <w:tc>
          <w:tcPr>
            <w:tcW w:w="261" w:type="pct"/>
            <w:tcBorders>
              <w:top w:val="single" w:color="auto" w:sz="4" w:space="0"/>
              <w:left w:val="single" w:color="auto" w:sz="4" w:space="0"/>
              <w:bottom w:val="single" w:color="auto" w:sz="4" w:space="0"/>
              <w:right w:val="single" w:color="auto" w:sz="4" w:space="0"/>
            </w:tcBorders>
          </w:tcPr>
          <w:p w14:paraId="0F5A2F11">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49978BEC">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407AD809">
            <w:pPr>
              <w:keepNext w:val="0"/>
              <w:keepLines w:val="0"/>
              <w:suppressLineNumbers w:val="0"/>
              <w:spacing w:before="0" w:beforeAutospacing="0" w:after="0" w:afterAutospacing="0"/>
              <w:ind w:left="0" w:right="0"/>
              <w:rPr>
                <w:rFonts w:hint="default"/>
                <w:color w:val="auto"/>
                <w:szCs w:val="21"/>
                <w:highlight w:val="none"/>
              </w:rPr>
            </w:pPr>
          </w:p>
        </w:tc>
      </w:tr>
      <w:tr w14:paraId="45E2E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9" w:type="pct"/>
            <w:tcBorders>
              <w:top w:val="single" w:color="auto" w:sz="4" w:space="0"/>
              <w:left w:val="single" w:color="auto" w:sz="4" w:space="0"/>
              <w:bottom w:val="single" w:color="auto" w:sz="4" w:space="0"/>
              <w:right w:val="single" w:color="auto" w:sz="4" w:space="0"/>
            </w:tcBorders>
            <w:vAlign w:val="center"/>
          </w:tcPr>
          <w:p w14:paraId="4F47AEDF">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3</w:t>
            </w:r>
          </w:p>
        </w:tc>
        <w:tc>
          <w:tcPr>
            <w:tcW w:w="4007" w:type="pct"/>
            <w:tcBorders>
              <w:top w:val="single" w:color="auto" w:sz="4" w:space="0"/>
              <w:left w:val="single" w:color="auto" w:sz="4" w:space="0"/>
              <w:bottom w:val="single" w:color="auto" w:sz="4" w:space="0"/>
              <w:right w:val="single" w:color="auto" w:sz="4" w:space="0"/>
            </w:tcBorders>
            <w:vAlign w:val="center"/>
          </w:tcPr>
          <w:p w14:paraId="77E0BD7F">
            <w:pPr>
              <w:keepNext w:val="0"/>
              <w:keepLines w:val="0"/>
              <w:suppressLineNumbers w:val="0"/>
              <w:autoSpaceDE w:val="0"/>
              <w:autoSpaceDN w:val="0"/>
              <w:adjustRightInd w:val="0"/>
              <w:spacing w:before="0" w:beforeAutospacing="0" w:after="0" w:afterAutospacing="0"/>
              <w:ind w:left="-2" w:leftChars="-1" w:right="0"/>
              <w:jc w:val="left"/>
              <w:rPr>
                <w:rFonts w:hint="default"/>
                <w:color w:val="auto"/>
                <w:szCs w:val="21"/>
                <w:highlight w:val="none"/>
              </w:rPr>
            </w:pPr>
            <w:r>
              <w:rPr>
                <w:rFonts w:hint="eastAsia" w:cs="宋体"/>
                <w:color w:val="auto"/>
                <w:highlight w:val="none"/>
                <w:u w:val="single"/>
              </w:rPr>
              <w:t>投标报价低于成本警戒价的（投标人的报价明显低于其他投标报价或者在设有标底时明显低于标底，使得其投标报价可能低于其个别成本，又不能合理说明或者不能提供相关证明材料的，由评标委员会认定该投标人以低于成本报价竞标的）；</w:t>
            </w:r>
          </w:p>
        </w:tc>
        <w:tc>
          <w:tcPr>
            <w:tcW w:w="261" w:type="pct"/>
            <w:tcBorders>
              <w:top w:val="single" w:color="auto" w:sz="4" w:space="0"/>
              <w:left w:val="single" w:color="auto" w:sz="4" w:space="0"/>
              <w:bottom w:val="single" w:color="auto" w:sz="4" w:space="0"/>
              <w:right w:val="single" w:color="auto" w:sz="4" w:space="0"/>
            </w:tcBorders>
          </w:tcPr>
          <w:p w14:paraId="03CDC35F">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42B29C8D">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2A0FB4C6">
            <w:pPr>
              <w:keepNext w:val="0"/>
              <w:keepLines w:val="0"/>
              <w:suppressLineNumbers w:val="0"/>
              <w:spacing w:before="0" w:beforeAutospacing="0" w:after="0" w:afterAutospacing="0"/>
              <w:ind w:left="0" w:right="0"/>
              <w:rPr>
                <w:rFonts w:hint="default"/>
                <w:color w:val="auto"/>
                <w:szCs w:val="21"/>
                <w:highlight w:val="none"/>
              </w:rPr>
            </w:pPr>
          </w:p>
        </w:tc>
      </w:tr>
      <w:tr w14:paraId="06158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9" w:type="pct"/>
            <w:tcBorders>
              <w:top w:val="single" w:color="auto" w:sz="4" w:space="0"/>
              <w:left w:val="single" w:color="auto" w:sz="4" w:space="0"/>
              <w:bottom w:val="single" w:color="auto" w:sz="4" w:space="0"/>
              <w:right w:val="single" w:color="auto" w:sz="4" w:space="0"/>
            </w:tcBorders>
            <w:vAlign w:val="center"/>
          </w:tcPr>
          <w:p w14:paraId="55B029D7">
            <w:pPr>
              <w:keepNext w:val="0"/>
              <w:keepLines w:val="0"/>
              <w:suppressLineNumbers w:val="0"/>
              <w:spacing w:before="0" w:beforeAutospacing="0" w:after="0" w:afterAutospacing="0"/>
              <w:ind w:left="0" w:right="0"/>
              <w:jc w:val="center"/>
              <w:rPr>
                <w:rFonts w:hint="eastAsia" w:eastAsia="宋体"/>
                <w:color w:val="auto"/>
                <w:szCs w:val="21"/>
                <w:highlight w:val="none"/>
                <w:lang w:eastAsia="zh-CN"/>
              </w:rPr>
            </w:pPr>
            <w:r>
              <w:rPr>
                <w:rFonts w:hint="eastAsia"/>
                <w:color w:val="auto"/>
                <w:szCs w:val="21"/>
                <w:highlight w:val="none"/>
                <w:lang w:val="en-US" w:eastAsia="zh-CN"/>
              </w:rPr>
              <w:t>4</w:t>
            </w:r>
          </w:p>
        </w:tc>
        <w:tc>
          <w:tcPr>
            <w:tcW w:w="4007" w:type="pct"/>
            <w:tcBorders>
              <w:top w:val="single" w:color="auto" w:sz="4" w:space="0"/>
              <w:left w:val="single" w:color="auto" w:sz="4" w:space="0"/>
              <w:bottom w:val="single" w:color="auto" w:sz="4" w:space="0"/>
              <w:right w:val="single" w:color="auto" w:sz="4" w:space="0"/>
            </w:tcBorders>
            <w:vAlign w:val="center"/>
          </w:tcPr>
          <w:p w14:paraId="09386976">
            <w:pPr>
              <w:keepNext w:val="0"/>
              <w:keepLines w:val="0"/>
              <w:suppressLineNumbers w:val="0"/>
              <w:spacing w:before="0" w:beforeAutospacing="0" w:after="0" w:afterAutospacing="0"/>
              <w:ind w:left="0" w:right="0"/>
              <w:rPr>
                <w:rFonts w:hint="default"/>
                <w:color w:val="auto"/>
                <w:szCs w:val="21"/>
                <w:highlight w:val="none"/>
              </w:rPr>
            </w:pPr>
            <w:r>
              <w:rPr>
                <w:rFonts w:hint="eastAsia" w:cs="宋体"/>
                <w:color w:val="auto"/>
                <w:szCs w:val="21"/>
                <w:highlight w:val="none"/>
              </w:rPr>
              <w:t>投标文件未按规定的格式填写</w:t>
            </w:r>
            <w:r>
              <w:rPr>
                <w:rFonts w:hint="eastAsia" w:cs="宋体"/>
                <w:color w:val="auto"/>
                <w:szCs w:val="21"/>
                <w:highlight w:val="none"/>
                <w:u w:val="single"/>
              </w:rPr>
              <w:t>（指招标文件第四章提供格式四、格式五、格式六、格式</w:t>
            </w:r>
            <w:r>
              <w:rPr>
                <w:rFonts w:hint="eastAsia" w:cs="宋体"/>
                <w:color w:val="auto"/>
                <w:szCs w:val="21"/>
                <w:highlight w:val="none"/>
                <w:u w:val="single"/>
                <w:lang w:val="en-US" w:eastAsia="zh-CN"/>
              </w:rPr>
              <w:t>七（如有分包须填写）</w:t>
            </w:r>
            <w:r>
              <w:rPr>
                <w:rFonts w:hint="eastAsia" w:cs="宋体"/>
                <w:color w:val="auto"/>
                <w:szCs w:val="21"/>
                <w:highlight w:val="none"/>
                <w:u w:val="single"/>
              </w:rPr>
              <w:t>）</w:t>
            </w:r>
            <w:r>
              <w:rPr>
                <w:rFonts w:hint="eastAsia" w:cs="宋体"/>
                <w:color w:val="auto"/>
                <w:szCs w:val="21"/>
                <w:highlight w:val="none"/>
              </w:rPr>
              <w:t>，或主要内容不全，或关键字迹模糊、无法辨认的；</w:t>
            </w:r>
          </w:p>
        </w:tc>
        <w:tc>
          <w:tcPr>
            <w:tcW w:w="261" w:type="pct"/>
            <w:tcBorders>
              <w:top w:val="single" w:color="auto" w:sz="4" w:space="0"/>
              <w:left w:val="single" w:color="auto" w:sz="4" w:space="0"/>
              <w:bottom w:val="single" w:color="auto" w:sz="4" w:space="0"/>
              <w:right w:val="single" w:color="auto" w:sz="4" w:space="0"/>
            </w:tcBorders>
          </w:tcPr>
          <w:p w14:paraId="436A5EF9">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5728C1F0">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69DD0605">
            <w:pPr>
              <w:keepNext w:val="0"/>
              <w:keepLines w:val="0"/>
              <w:suppressLineNumbers w:val="0"/>
              <w:spacing w:before="0" w:beforeAutospacing="0" w:after="0" w:afterAutospacing="0"/>
              <w:ind w:left="0" w:right="0"/>
              <w:rPr>
                <w:rFonts w:hint="default"/>
                <w:color w:val="auto"/>
                <w:szCs w:val="21"/>
                <w:highlight w:val="none"/>
              </w:rPr>
            </w:pPr>
          </w:p>
        </w:tc>
      </w:tr>
      <w:tr w14:paraId="06F1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9" w:type="pct"/>
            <w:tcBorders>
              <w:top w:val="single" w:color="auto" w:sz="4" w:space="0"/>
              <w:left w:val="single" w:color="auto" w:sz="4" w:space="0"/>
              <w:bottom w:val="single" w:color="auto" w:sz="4" w:space="0"/>
              <w:right w:val="single" w:color="auto" w:sz="4" w:space="0"/>
            </w:tcBorders>
            <w:vAlign w:val="center"/>
          </w:tcPr>
          <w:p w14:paraId="2AA34A4A">
            <w:pPr>
              <w:keepNext w:val="0"/>
              <w:keepLines w:val="0"/>
              <w:suppressLineNumbers w:val="0"/>
              <w:spacing w:before="0" w:beforeAutospacing="0" w:after="0" w:afterAutospacing="0"/>
              <w:ind w:left="0" w:right="0"/>
              <w:jc w:val="center"/>
              <w:rPr>
                <w:rFonts w:hint="eastAsia" w:eastAsia="宋体"/>
                <w:color w:val="auto"/>
                <w:szCs w:val="21"/>
                <w:highlight w:val="none"/>
                <w:lang w:eastAsia="zh-CN"/>
              </w:rPr>
            </w:pPr>
            <w:r>
              <w:rPr>
                <w:rFonts w:hint="eastAsia"/>
                <w:color w:val="auto"/>
                <w:szCs w:val="21"/>
                <w:highlight w:val="none"/>
                <w:lang w:val="en-US" w:eastAsia="zh-CN"/>
              </w:rPr>
              <w:t>5</w:t>
            </w:r>
          </w:p>
        </w:tc>
        <w:tc>
          <w:tcPr>
            <w:tcW w:w="4007" w:type="pct"/>
            <w:tcBorders>
              <w:top w:val="single" w:color="auto" w:sz="4" w:space="0"/>
              <w:left w:val="single" w:color="auto" w:sz="4" w:space="0"/>
              <w:bottom w:val="single" w:color="auto" w:sz="4" w:space="0"/>
              <w:right w:val="single" w:color="auto" w:sz="4" w:space="0"/>
            </w:tcBorders>
            <w:vAlign w:val="center"/>
          </w:tcPr>
          <w:p w14:paraId="2752A767">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投标人之间存在《广东省实施&lt;中华人民共和国招标投标法&gt;》第十六条所禁止的情形的；</w:t>
            </w:r>
          </w:p>
        </w:tc>
        <w:tc>
          <w:tcPr>
            <w:tcW w:w="261" w:type="pct"/>
            <w:tcBorders>
              <w:top w:val="single" w:color="auto" w:sz="4" w:space="0"/>
              <w:left w:val="single" w:color="auto" w:sz="4" w:space="0"/>
              <w:bottom w:val="single" w:color="auto" w:sz="4" w:space="0"/>
              <w:right w:val="single" w:color="auto" w:sz="4" w:space="0"/>
            </w:tcBorders>
          </w:tcPr>
          <w:p w14:paraId="3B586F50">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17A1565C">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531F0583">
            <w:pPr>
              <w:keepNext w:val="0"/>
              <w:keepLines w:val="0"/>
              <w:suppressLineNumbers w:val="0"/>
              <w:spacing w:before="0" w:beforeAutospacing="0" w:after="0" w:afterAutospacing="0"/>
              <w:ind w:left="0" w:right="0"/>
              <w:rPr>
                <w:rFonts w:hint="default"/>
                <w:color w:val="auto"/>
                <w:szCs w:val="21"/>
                <w:highlight w:val="none"/>
              </w:rPr>
            </w:pPr>
          </w:p>
        </w:tc>
      </w:tr>
      <w:tr w14:paraId="34C0A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9" w:type="pct"/>
            <w:tcBorders>
              <w:top w:val="single" w:color="auto" w:sz="4" w:space="0"/>
              <w:left w:val="single" w:color="auto" w:sz="4" w:space="0"/>
              <w:bottom w:val="single" w:color="auto" w:sz="4" w:space="0"/>
              <w:right w:val="single" w:color="auto" w:sz="4" w:space="0"/>
            </w:tcBorders>
            <w:vAlign w:val="center"/>
          </w:tcPr>
          <w:p w14:paraId="39078093">
            <w:pPr>
              <w:keepNext w:val="0"/>
              <w:keepLines w:val="0"/>
              <w:suppressLineNumbers w:val="0"/>
              <w:spacing w:before="0" w:beforeAutospacing="0" w:after="0" w:afterAutospacing="0"/>
              <w:ind w:left="0" w:right="0"/>
              <w:jc w:val="center"/>
              <w:rPr>
                <w:rFonts w:hint="eastAsia" w:eastAsia="宋体"/>
                <w:color w:val="auto"/>
                <w:szCs w:val="21"/>
                <w:highlight w:val="none"/>
                <w:lang w:eastAsia="zh-CN"/>
              </w:rPr>
            </w:pPr>
            <w:r>
              <w:rPr>
                <w:rFonts w:hint="eastAsia"/>
                <w:color w:val="auto"/>
                <w:szCs w:val="21"/>
                <w:highlight w:val="none"/>
                <w:lang w:val="en-US" w:eastAsia="zh-CN"/>
              </w:rPr>
              <w:t>6</w:t>
            </w:r>
          </w:p>
        </w:tc>
        <w:tc>
          <w:tcPr>
            <w:tcW w:w="4007" w:type="pct"/>
            <w:tcBorders>
              <w:top w:val="single" w:color="auto" w:sz="4" w:space="0"/>
              <w:left w:val="single" w:color="auto" w:sz="4" w:space="0"/>
              <w:bottom w:val="single" w:color="auto" w:sz="4" w:space="0"/>
              <w:right w:val="single" w:color="auto" w:sz="4" w:space="0"/>
            </w:tcBorders>
            <w:vAlign w:val="center"/>
          </w:tcPr>
          <w:p w14:paraId="760D9052">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无《参与编制经济标投标文件人员名单》的；</w:t>
            </w:r>
          </w:p>
        </w:tc>
        <w:tc>
          <w:tcPr>
            <w:tcW w:w="261" w:type="pct"/>
            <w:tcBorders>
              <w:top w:val="single" w:color="auto" w:sz="4" w:space="0"/>
              <w:left w:val="single" w:color="auto" w:sz="4" w:space="0"/>
              <w:bottom w:val="single" w:color="auto" w:sz="4" w:space="0"/>
              <w:right w:val="single" w:color="auto" w:sz="4" w:space="0"/>
            </w:tcBorders>
          </w:tcPr>
          <w:p w14:paraId="08E684B1">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4DF4842C">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60E51783">
            <w:pPr>
              <w:keepNext w:val="0"/>
              <w:keepLines w:val="0"/>
              <w:suppressLineNumbers w:val="0"/>
              <w:spacing w:before="0" w:beforeAutospacing="0" w:after="0" w:afterAutospacing="0"/>
              <w:ind w:left="0" w:right="0"/>
              <w:rPr>
                <w:rFonts w:hint="default"/>
                <w:color w:val="auto"/>
                <w:szCs w:val="21"/>
                <w:highlight w:val="none"/>
              </w:rPr>
            </w:pPr>
          </w:p>
        </w:tc>
      </w:tr>
      <w:tr w14:paraId="7423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9" w:type="pct"/>
            <w:tcBorders>
              <w:top w:val="single" w:color="auto" w:sz="4" w:space="0"/>
              <w:left w:val="single" w:color="auto" w:sz="4" w:space="0"/>
              <w:bottom w:val="single" w:color="auto" w:sz="4" w:space="0"/>
              <w:right w:val="single" w:color="auto" w:sz="4" w:space="0"/>
            </w:tcBorders>
            <w:vAlign w:val="center"/>
          </w:tcPr>
          <w:p w14:paraId="2911262B">
            <w:pPr>
              <w:keepNext w:val="0"/>
              <w:keepLines w:val="0"/>
              <w:suppressLineNumbers w:val="0"/>
              <w:spacing w:before="0" w:beforeAutospacing="0" w:after="0" w:afterAutospacing="0"/>
              <w:ind w:left="0" w:right="0"/>
              <w:jc w:val="center"/>
              <w:rPr>
                <w:rFonts w:hint="eastAsia" w:eastAsia="宋体"/>
                <w:color w:val="auto"/>
                <w:szCs w:val="21"/>
                <w:highlight w:val="none"/>
                <w:lang w:eastAsia="zh-CN"/>
              </w:rPr>
            </w:pPr>
            <w:r>
              <w:rPr>
                <w:rFonts w:hint="eastAsia"/>
                <w:color w:val="auto"/>
                <w:szCs w:val="21"/>
                <w:highlight w:val="none"/>
                <w:lang w:val="en-US" w:eastAsia="zh-CN"/>
              </w:rPr>
              <w:t>7</w:t>
            </w:r>
          </w:p>
        </w:tc>
        <w:tc>
          <w:tcPr>
            <w:tcW w:w="4007" w:type="pct"/>
            <w:tcBorders>
              <w:top w:val="single" w:color="auto" w:sz="4" w:space="0"/>
              <w:left w:val="single" w:color="auto" w:sz="4" w:space="0"/>
              <w:bottom w:val="single" w:color="auto" w:sz="4" w:space="0"/>
              <w:right w:val="single" w:color="auto" w:sz="4" w:space="0"/>
            </w:tcBorders>
            <w:vAlign w:val="center"/>
          </w:tcPr>
          <w:p w14:paraId="30D5DF83">
            <w:pPr>
              <w:keepNext w:val="0"/>
              <w:keepLines w:val="0"/>
              <w:suppressLineNumbers w:val="0"/>
              <w:spacing w:before="0" w:beforeAutospacing="0" w:after="0" w:afterAutospacing="0"/>
              <w:ind w:left="0" w:right="0"/>
              <w:rPr>
                <w:rFonts w:hint="eastAsia" w:eastAsia="宋体"/>
                <w:color w:val="auto"/>
                <w:szCs w:val="21"/>
                <w:highlight w:val="none"/>
                <w:lang w:eastAsia="zh-CN"/>
              </w:rPr>
            </w:pPr>
            <w:r>
              <w:rPr>
                <w:rFonts w:hint="eastAsia"/>
                <w:color w:val="auto"/>
                <w:szCs w:val="21"/>
                <w:highlight w:val="none"/>
              </w:rPr>
              <w:t>无《对投标文件编制的承诺》</w:t>
            </w:r>
            <w:r>
              <w:rPr>
                <w:rFonts w:hint="eastAsia"/>
                <w:color w:val="auto"/>
                <w:szCs w:val="21"/>
                <w:highlight w:val="none"/>
                <w:lang w:eastAsia="zh-CN"/>
              </w:rPr>
              <w:t>；</w:t>
            </w:r>
          </w:p>
        </w:tc>
        <w:tc>
          <w:tcPr>
            <w:tcW w:w="261" w:type="pct"/>
            <w:tcBorders>
              <w:top w:val="single" w:color="auto" w:sz="4" w:space="0"/>
              <w:left w:val="single" w:color="auto" w:sz="4" w:space="0"/>
              <w:bottom w:val="single" w:color="auto" w:sz="4" w:space="0"/>
              <w:right w:val="single" w:color="auto" w:sz="4" w:space="0"/>
            </w:tcBorders>
          </w:tcPr>
          <w:p w14:paraId="3957CC24">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2D3979B7">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1F43DD4C">
            <w:pPr>
              <w:keepNext w:val="0"/>
              <w:keepLines w:val="0"/>
              <w:suppressLineNumbers w:val="0"/>
              <w:spacing w:before="0" w:beforeAutospacing="0" w:after="0" w:afterAutospacing="0"/>
              <w:ind w:left="0" w:right="0"/>
              <w:rPr>
                <w:rFonts w:hint="default"/>
                <w:color w:val="auto"/>
                <w:szCs w:val="21"/>
                <w:highlight w:val="none"/>
              </w:rPr>
            </w:pPr>
          </w:p>
        </w:tc>
      </w:tr>
      <w:tr w14:paraId="2142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9" w:type="pct"/>
            <w:tcBorders>
              <w:top w:val="single" w:color="auto" w:sz="4" w:space="0"/>
              <w:left w:val="single" w:color="auto" w:sz="4" w:space="0"/>
              <w:bottom w:val="single" w:color="auto" w:sz="4" w:space="0"/>
              <w:right w:val="single" w:color="auto" w:sz="4" w:space="0"/>
            </w:tcBorders>
            <w:vAlign w:val="center"/>
          </w:tcPr>
          <w:p w14:paraId="7F004E00">
            <w:pPr>
              <w:keepNext w:val="0"/>
              <w:keepLines w:val="0"/>
              <w:suppressLineNumbers w:val="0"/>
              <w:spacing w:before="0" w:beforeAutospacing="0" w:after="0" w:afterAutospacing="0"/>
              <w:ind w:left="0" w:right="0"/>
              <w:jc w:val="center"/>
              <w:rPr>
                <w:rFonts w:hint="eastAsia" w:eastAsia="宋体"/>
                <w:color w:val="auto"/>
                <w:szCs w:val="21"/>
                <w:highlight w:val="none"/>
                <w:lang w:eastAsia="zh-CN"/>
              </w:rPr>
            </w:pPr>
            <w:r>
              <w:rPr>
                <w:rFonts w:hint="eastAsia"/>
                <w:color w:val="auto"/>
                <w:szCs w:val="21"/>
                <w:highlight w:val="none"/>
                <w:lang w:val="en-US" w:eastAsia="zh-CN"/>
              </w:rPr>
              <w:t>8</w:t>
            </w:r>
          </w:p>
        </w:tc>
        <w:tc>
          <w:tcPr>
            <w:tcW w:w="4007" w:type="pct"/>
            <w:tcBorders>
              <w:top w:val="single" w:color="auto" w:sz="4" w:space="0"/>
              <w:left w:val="single" w:color="auto" w:sz="4" w:space="0"/>
              <w:bottom w:val="single" w:color="auto" w:sz="4" w:space="0"/>
              <w:right w:val="single" w:color="auto" w:sz="4" w:space="0"/>
            </w:tcBorders>
            <w:vAlign w:val="center"/>
          </w:tcPr>
          <w:p w14:paraId="14365DE0">
            <w:pPr>
              <w:keepNext w:val="0"/>
              <w:keepLines w:val="0"/>
              <w:suppressLineNumbers w:val="0"/>
              <w:snapToGrid w:val="0"/>
              <w:spacing w:before="0" w:beforeAutospacing="0" w:after="0" w:afterAutospacing="0"/>
              <w:ind w:left="0" w:right="0"/>
              <w:rPr>
                <w:rFonts w:hint="eastAsia" w:eastAsia="宋体"/>
                <w:color w:val="auto"/>
                <w:szCs w:val="21"/>
                <w:highlight w:val="none"/>
                <w:lang w:eastAsia="zh-CN"/>
              </w:rPr>
            </w:pPr>
            <w:r>
              <w:rPr>
                <w:rFonts w:hint="eastAsia"/>
                <w:color w:val="auto"/>
                <w:szCs w:val="21"/>
                <w:highlight w:val="none"/>
              </w:rPr>
              <w:t>投标人与本项目其他投标人的投标文件工程量清单编制机器硬件信息一致的（以交易平台评标系统的检索信息为准）</w:t>
            </w:r>
            <w:r>
              <w:rPr>
                <w:rFonts w:hint="eastAsia"/>
                <w:color w:val="auto"/>
                <w:szCs w:val="21"/>
                <w:highlight w:val="none"/>
                <w:lang w:eastAsia="zh-CN"/>
              </w:rPr>
              <w:t>；</w:t>
            </w:r>
          </w:p>
        </w:tc>
        <w:tc>
          <w:tcPr>
            <w:tcW w:w="261" w:type="pct"/>
            <w:tcBorders>
              <w:top w:val="single" w:color="auto" w:sz="4" w:space="0"/>
              <w:left w:val="single" w:color="auto" w:sz="4" w:space="0"/>
              <w:bottom w:val="single" w:color="auto" w:sz="4" w:space="0"/>
              <w:right w:val="single" w:color="auto" w:sz="4" w:space="0"/>
            </w:tcBorders>
          </w:tcPr>
          <w:p w14:paraId="34E27ABF">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6AE2963B">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3A51E894">
            <w:pPr>
              <w:keepNext w:val="0"/>
              <w:keepLines w:val="0"/>
              <w:suppressLineNumbers w:val="0"/>
              <w:spacing w:before="0" w:beforeAutospacing="0" w:after="0" w:afterAutospacing="0"/>
              <w:ind w:left="0" w:right="0"/>
              <w:rPr>
                <w:rFonts w:hint="default"/>
                <w:color w:val="auto"/>
                <w:szCs w:val="21"/>
                <w:highlight w:val="none"/>
              </w:rPr>
            </w:pPr>
          </w:p>
        </w:tc>
      </w:tr>
    </w:tbl>
    <w:p w14:paraId="01283C14">
      <w:pPr>
        <w:ind w:firstLine="458"/>
        <w:rPr>
          <w:color w:val="auto"/>
          <w:szCs w:val="21"/>
          <w:highlight w:val="none"/>
        </w:rPr>
      </w:pPr>
      <w:r>
        <w:rPr>
          <w:rFonts w:hint="eastAsia"/>
          <w:color w:val="auto"/>
          <w:szCs w:val="21"/>
          <w:highlight w:val="none"/>
        </w:rPr>
        <w:t>注：</w:t>
      </w:r>
      <w:r>
        <w:rPr>
          <w:color w:val="auto"/>
          <w:szCs w:val="21"/>
          <w:highlight w:val="none"/>
        </w:rPr>
        <w:t>1.本表使用GZZB2018-3招标文件范本，与范本内容不同之处均以下划线标明。</w:t>
      </w:r>
    </w:p>
    <w:p w14:paraId="372FCA11">
      <w:pPr>
        <w:ind w:firstLine="458"/>
        <w:rPr>
          <w:color w:val="auto"/>
          <w:szCs w:val="21"/>
          <w:highlight w:val="none"/>
        </w:rPr>
      </w:pPr>
      <w:r>
        <w:rPr>
          <w:color w:val="auto"/>
          <w:szCs w:val="21"/>
          <w:highlight w:val="none"/>
        </w:rPr>
        <w:t>2.凡出现以上任何一项情形，结论均为无效，否则就为有效。</w:t>
      </w:r>
    </w:p>
    <w:p w14:paraId="1F052A72">
      <w:pPr>
        <w:ind w:firstLine="458"/>
        <w:rPr>
          <w:color w:val="auto"/>
          <w:szCs w:val="21"/>
          <w:highlight w:val="none"/>
        </w:rPr>
      </w:pPr>
      <w:r>
        <w:rPr>
          <w:color w:val="auto"/>
          <w:szCs w:val="21"/>
          <w:highlight w:val="none"/>
        </w:rPr>
        <w:t>3.如对本表中某种情形的评审意见不一致时，以评标委员会过半数成员的意见作为评标委员会对该情形的认定结论。</w:t>
      </w:r>
    </w:p>
    <w:p w14:paraId="5E351B37">
      <w:pPr>
        <w:ind w:firstLine="458"/>
        <w:rPr>
          <w:color w:val="auto"/>
          <w:szCs w:val="21"/>
          <w:highlight w:val="none"/>
        </w:rPr>
      </w:pPr>
      <w:r>
        <w:rPr>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32C6DD77">
      <w:pPr>
        <w:pStyle w:val="19"/>
        <w:ind w:firstLine="458"/>
        <w:rPr>
          <w:rFonts w:ascii="宋体" w:hAnsi="宋体"/>
          <w:color w:val="auto"/>
          <w:szCs w:val="21"/>
          <w:highlight w:val="none"/>
        </w:rPr>
        <w:sectPr>
          <w:pgSz w:w="15840" w:h="12240" w:orient="landscape"/>
          <w:pgMar w:top="1803" w:right="1440" w:bottom="1803" w:left="1440" w:header="720" w:footer="720" w:gutter="0"/>
          <w:pgNumType w:fmt="decimal"/>
          <w:cols w:space="720" w:num="1"/>
        </w:sectPr>
      </w:pPr>
      <w:r>
        <w:rPr>
          <w:rFonts w:hint="eastAsia" w:ascii="宋体" w:hAnsi="宋体"/>
          <w:color w:val="auto"/>
          <w:szCs w:val="21"/>
          <w:highlight w:val="none"/>
        </w:rPr>
        <w:t>评委签名：</w:t>
      </w:r>
    </w:p>
    <w:p w14:paraId="4BD5E842">
      <w:pPr>
        <w:pStyle w:val="19"/>
        <w:jc w:val="left"/>
        <w:rPr>
          <w:color w:val="auto"/>
          <w:highlight w:val="none"/>
        </w:rPr>
      </w:pPr>
      <w:r>
        <w:rPr>
          <w:rFonts w:hint="eastAsia"/>
          <w:color w:val="auto"/>
          <w:szCs w:val="21"/>
          <w:highlight w:val="none"/>
        </w:rPr>
        <w:t>附表四</w:t>
      </w:r>
    </w:p>
    <w:p w14:paraId="702018A4">
      <w:pPr>
        <w:pStyle w:val="19"/>
        <w:jc w:val="center"/>
        <w:rPr>
          <w:rFonts w:hint="default" w:ascii="Times New Roman" w:hAnsi="Times New Roman" w:cs="Times New Roman"/>
          <w:color w:val="auto"/>
          <w:highlight w:val="none"/>
        </w:rPr>
      </w:pPr>
      <w:r>
        <w:rPr>
          <w:rFonts w:hint="default" w:ascii="Times New Roman" w:hAnsi="Times New Roman" w:cs="Times New Roman"/>
          <w:b/>
          <w:color w:val="auto"/>
          <w:sz w:val="36"/>
          <w:szCs w:val="36"/>
          <w:highlight w:val="none"/>
        </w:rPr>
        <w:t>技术标详细审查评分表</w:t>
      </w:r>
    </w:p>
    <w:p w14:paraId="5C3DA1FF">
      <w:pPr>
        <w:ind w:firstLine="420" w:firstLineChars="200"/>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工程名称：</w:t>
      </w:r>
    </w:p>
    <w:tbl>
      <w:tblPr>
        <w:tblStyle w:val="28"/>
        <w:tblW w:w="4808" w:type="pct"/>
        <w:tblInd w:w="467" w:type="dxa"/>
        <w:tblBorders>
          <w:top w:val="single" w:color="080000" w:sz="6" w:space="0"/>
          <w:left w:val="single" w:color="080000" w:sz="6" w:space="0"/>
          <w:bottom w:val="single" w:color="080000" w:sz="6" w:space="0"/>
          <w:right w:val="single" w:color="080000" w:sz="6" w:space="0"/>
          <w:insideH w:val="single" w:color="080000" w:sz="6" w:space="0"/>
          <w:insideV w:val="single" w:color="080000" w:sz="6" w:space="0"/>
        </w:tblBorders>
        <w:tblLayout w:type="fixed"/>
        <w:tblCellMar>
          <w:top w:w="0" w:type="dxa"/>
          <w:left w:w="0" w:type="dxa"/>
          <w:bottom w:w="0" w:type="dxa"/>
          <w:right w:w="0" w:type="dxa"/>
        </w:tblCellMar>
      </w:tblPr>
      <w:tblGrid>
        <w:gridCol w:w="630"/>
        <w:gridCol w:w="1370"/>
        <w:gridCol w:w="1236"/>
        <w:gridCol w:w="846"/>
        <w:gridCol w:w="9355"/>
      </w:tblGrid>
      <w:tr w14:paraId="40B9CD94">
        <w:tblPrEx>
          <w:tblBorders>
            <w:top w:val="single" w:color="080000" w:sz="6" w:space="0"/>
            <w:left w:val="single" w:color="080000" w:sz="6" w:space="0"/>
            <w:bottom w:val="single" w:color="080000" w:sz="6" w:space="0"/>
            <w:right w:val="single" w:color="080000" w:sz="6" w:space="0"/>
            <w:insideH w:val="single" w:color="080000" w:sz="6" w:space="0"/>
            <w:insideV w:val="single" w:color="080000" w:sz="6" w:space="0"/>
          </w:tblBorders>
          <w:tblCellMar>
            <w:top w:w="0" w:type="dxa"/>
            <w:left w:w="0" w:type="dxa"/>
            <w:bottom w:w="0" w:type="dxa"/>
            <w:right w:w="0" w:type="dxa"/>
          </w:tblCellMar>
        </w:tblPrEx>
        <w:trPr>
          <w:trHeight w:val="328" w:hRule="atLeast"/>
        </w:trPr>
        <w:tc>
          <w:tcPr>
            <w:tcW w:w="233" w:type="pct"/>
            <w:vAlign w:val="top"/>
          </w:tcPr>
          <w:p w14:paraId="165B06E7">
            <w:pPr>
              <w:pStyle w:val="27"/>
              <w:spacing w:before="100" w:line="240" w:lineRule="auto"/>
              <w:ind w:left="157"/>
              <w:rPr>
                <w:rFonts w:hint="default" w:ascii="Times New Roman" w:hAnsi="Times New Roman" w:cs="Times New Roman"/>
                <w:color w:val="auto"/>
                <w:highlight w:val="none"/>
              </w:rPr>
            </w:pPr>
            <w:r>
              <w:rPr>
                <w:rFonts w:hint="default" w:ascii="Times New Roman" w:hAnsi="Times New Roman" w:cs="Times New Roman"/>
                <w:b/>
                <w:bCs/>
                <w:color w:val="auto"/>
                <w:spacing w:val="4"/>
                <w:highlight w:val="none"/>
              </w:rPr>
              <w:t>序号</w:t>
            </w:r>
          </w:p>
        </w:tc>
        <w:tc>
          <w:tcPr>
            <w:tcW w:w="509" w:type="pct"/>
            <w:vAlign w:val="top"/>
          </w:tcPr>
          <w:p w14:paraId="4F88D605">
            <w:pPr>
              <w:pStyle w:val="27"/>
              <w:spacing w:before="101" w:line="240" w:lineRule="auto"/>
              <w:ind w:left="158"/>
              <w:rPr>
                <w:rFonts w:hint="default" w:ascii="Times New Roman" w:hAnsi="Times New Roman" w:cs="Times New Roman"/>
                <w:color w:val="auto"/>
                <w:highlight w:val="none"/>
              </w:rPr>
            </w:pPr>
            <w:r>
              <w:rPr>
                <w:rFonts w:hint="default" w:ascii="Times New Roman" w:hAnsi="Times New Roman" w:cs="Times New Roman"/>
                <w:b/>
                <w:bCs/>
                <w:color w:val="auto"/>
                <w:spacing w:val="6"/>
                <w:highlight w:val="none"/>
              </w:rPr>
              <w:t>评分项目</w:t>
            </w:r>
          </w:p>
        </w:tc>
        <w:tc>
          <w:tcPr>
            <w:tcW w:w="460" w:type="pct"/>
            <w:vAlign w:val="top"/>
          </w:tcPr>
          <w:p w14:paraId="1F646528">
            <w:pPr>
              <w:pStyle w:val="27"/>
              <w:spacing w:before="100" w:line="240" w:lineRule="auto"/>
              <w:ind w:left="157"/>
              <w:rPr>
                <w:rFonts w:hint="default" w:ascii="Times New Roman" w:hAnsi="Times New Roman" w:cs="Times New Roman"/>
                <w:color w:val="auto"/>
                <w:highlight w:val="none"/>
              </w:rPr>
            </w:pPr>
            <w:r>
              <w:rPr>
                <w:rFonts w:hint="default" w:ascii="Times New Roman" w:hAnsi="Times New Roman" w:cs="Times New Roman"/>
                <w:b/>
                <w:bCs/>
                <w:color w:val="auto"/>
                <w:spacing w:val="6"/>
                <w:highlight w:val="none"/>
              </w:rPr>
              <w:t>评分内容</w:t>
            </w:r>
          </w:p>
        </w:tc>
        <w:tc>
          <w:tcPr>
            <w:tcW w:w="314" w:type="pct"/>
            <w:vAlign w:val="top"/>
          </w:tcPr>
          <w:p w14:paraId="36C1A75A">
            <w:pPr>
              <w:pStyle w:val="27"/>
              <w:spacing w:before="100" w:line="240" w:lineRule="auto"/>
              <w:ind w:left="145"/>
              <w:rPr>
                <w:rFonts w:hint="default" w:ascii="Times New Roman" w:hAnsi="Times New Roman" w:cs="Times New Roman"/>
                <w:color w:val="auto"/>
                <w:highlight w:val="none"/>
              </w:rPr>
            </w:pPr>
            <w:r>
              <w:rPr>
                <w:rFonts w:hint="default" w:ascii="Times New Roman" w:hAnsi="Times New Roman" w:cs="Times New Roman"/>
                <w:b/>
                <w:bCs/>
                <w:color w:val="auto"/>
                <w:spacing w:val="2"/>
                <w:highlight w:val="none"/>
              </w:rPr>
              <w:t>分值</w:t>
            </w:r>
          </w:p>
        </w:tc>
        <w:tc>
          <w:tcPr>
            <w:tcW w:w="3481" w:type="pct"/>
            <w:vAlign w:val="top"/>
          </w:tcPr>
          <w:p w14:paraId="5434E821">
            <w:pPr>
              <w:pStyle w:val="27"/>
              <w:spacing w:before="101" w:line="240" w:lineRule="auto"/>
              <w:ind w:left="5269"/>
              <w:rPr>
                <w:rFonts w:hint="default" w:ascii="Times New Roman" w:hAnsi="Times New Roman" w:cs="Times New Roman"/>
                <w:color w:val="auto"/>
                <w:highlight w:val="none"/>
              </w:rPr>
            </w:pPr>
            <w:r>
              <w:rPr>
                <w:rFonts w:hint="default" w:ascii="Times New Roman" w:hAnsi="Times New Roman" w:cs="Times New Roman"/>
                <w:b/>
                <w:bCs/>
                <w:color w:val="auto"/>
                <w:spacing w:val="6"/>
                <w:highlight w:val="none"/>
              </w:rPr>
              <w:t>评审标准</w:t>
            </w:r>
          </w:p>
        </w:tc>
      </w:tr>
      <w:tr w14:paraId="07C9EF37">
        <w:tblPrEx>
          <w:tblBorders>
            <w:top w:val="single" w:color="080000" w:sz="6" w:space="0"/>
            <w:left w:val="single" w:color="080000" w:sz="6" w:space="0"/>
            <w:bottom w:val="single" w:color="080000" w:sz="6" w:space="0"/>
            <w:right w:val="single" w:color="080000" w:sz="6" w:space="0"/>
            <w:insideH w:val="single" w:color="080000" w:sz="6" w:space="0"/>
            <w:insideV w:val="single" w:color="080000" w:sz="6" w:space="0"/>
          </w:tblBorders>
          <w:tblCellMar>
            <w:top w:w="0" w:type="dxa"/>
            <w:left w:w="0" w:type="dxa"/>
            <w:bottom w:w="0" w:type="dxa"/>
            <w:right w:w="0" w:type="dxa"/>
          </w:tblCellMar>
        </w:tblPrEx>
        <w:trPr>
          <w:trHeight w:val="1890" w:hRule="atLeast"/>
        </w:trPr>
        <w:tc>
          <w:tcPr>
            <w:tcW w:w="233" w:type="pct"/>
            <w:vMerge w:val="restart"/>
            <w:tcBorders>
              <w:bottom w:val="nil"/>
            </w:tcBorders>
            <w:vAlign w:val="top"/>
          </w:tcPr>
          <w:p w14:paraId="3029C1B3">
            <w:pPr>
              <w:spacing w:line="240" w:lineRule="auto"/>
              <w:rPr>
                <w:rFonts w:hint="default" w:ascii="Times New Roman" w:hAnsi="Times New Roman" w:cs="Times New Roman"/>
                <w:color w:val="auto"/>
                <w:sz w:val="21"/>
                <w:highlight w:val="none"/>
              </w:rPr>
            </w:pPr>
          </w:p>
          <w:p w14:paraId="1A8542A0">
            <w:pPr>
              <w:spacing w:line="240" w:lineRule="auto"/>
              <w:rPr>
                <w:rFonts w:hint="default" w:ascii="Times New Roman" w:hAnsi="Times New Roman" w:cs="Times New Roman"/>
                <w:color w:val="auto"/>
                <w:sz w:val="21"/>
                <w:highlight w:val="none"/>
              </w:rPr>
            </w:pPr>
          </w:p>
          <w:p w14:paraId="29F8585A">
            <w:pPr>
              <w:spacing w:line="240" w:lineRule="auto"/>
              <w:rPr>
                <w:rFonts w:hint="default" w:ascii="Times New Roman" w:hAnsi="Times New Roman" w:cs="Times New Roman"/>
                <w:color w:val="auto"/>
                <w:sz w:val="21"/>
                <w:highlight w:val="none"/>
              </w:rPr>
            </w:pPr>
          </w:p>
          <w:p w14:paraId="4AC54822">
            <w:pPr>
              <w:spacing w:line="240" w:lineRule="auto"/>
              <w:rPr>
                <w:rFonts w:hint="default" w:ascii="Times New Roman" w:hAnsi="Times New Roman" w:cs="Times New Roman"/>
                <w:color w:val="auto"/>
                <w:sz w:val="21"/>
                <w:highlight w:val="none"/>
              </w:rPr>
            </w:pPr>
          </w:p>
          <w:p w14:paraId="6885A9EF">
            <w:pPr>
              <w:spacing w:line="240" w:lineRule="auto"/>
              <w:rPr>
                <w:rFonts w:hint="default" w:ascii="Times New Roman" w:hAnsi="Times New Roman" w:cs="Times New Roman"/>
                <w:color w:val="auto"/>
                <w:sz w:val="21"/>
                <w:highlight w:val="none"/>
              </w:rPr>
            </w:pPr>
          </w:p>
          <w:p w14:paraId="182E76B0">
            <w:pPr>
              <w:spacing w:line="240" w:lineRule="auto"/>
              <w:rPr>
                <w:rFonts w:hint="default" w:ascii="Times New Roman" w:hAnsi="Times New Roman" w:cs="Times New Roman"/>
                <w:color w:val="auto"/>
                <w:sz w:val="21"/>
                <w:highlight w:val="none"/>
              </w:rPr>
            </w:pPr>
          </w:p>
          <w:p w14:paraId="1CBC1E70">
            <w:pPr>
              <w:spacing w:line="240" w:lineRule="auto"/>
              <w:rPr>
                <w:rFonts w:hint="default" w:ascii="Times New Roman" w:hAnsi="Times New Roman" w:cs="Times New Roman"/>
                <w:color w:val="auto"/>
                <w:sz w:val="21"/>
                <w:highlight w:val="none"/>
              </w:rPr>
            </w:pPr>
          </w:p>
          <w:p w14:paraId="372DFABA">
            <w:pPr>
              <w:spacing w:line="240" w:lineRule="auto"/>
              <w:rPr>
                <w:rFonts w:hint="default" w:ascii="Times New Roman" w:hAnsi="Times New Roman" w:cs="Times New Roman"/>
                <w:color w:val="auto"/>
                <w:sz w:val="21"/>
                <w:highlight w:val="none"/>
              </w:rPr>
            </w:pPr>
          </w:p>
          <w:p w14:paraId="203B483B">
            <w:pPr>
              <w:spacing w:line="240" w:lineRule="auto"/>
              <w:rPr>
                <w:rFonts w:hint="default" w:ascii="Times New Roman" w:hAnsi="Times New Roman" w:cs="Times New Roman"/>
                <w:color w:val="auto"/>
                <w:sz w:val="21"/>
                <w:highlight w:val="none"/>
              </w:rPr>
            </w:pPr>
          </w:p>
          <w:p w14:paraId="6831319D">
            <w:pPr>
              <w:spacing w:line="240" w:lineRule="auto"/>
              <w:rPr>
                <w:rFonts w:hint="default" w:ascii="Times New Roman" w:hAnsi="Times New Roman" w:cs="Times New Roman"/>
                <w:color w:val="auto"/>
                <w:sz w:val="21"/>
                <w:highlight w:val="none"/>
              </w:rPr>
            </w:pPr>
          </w:p>
          <w:p w14:paraId="000D8B3E">
            <w:pPr>
              <w:spacing w:line="240" w:lineRule="auto"/>
              <w:rPr>
                <w:rFonts w:hint="default" w:ascii="Times New Roman" w:hAnsi="Times New Roman" w:cs="Times New Roman"/>
                <w:color w:val="auto"/>
                <w:sz w:val="21"/>
                <w:highlight w:val="none"/>
              </w:rPr>
            </w:pPr>
          </w:p>
          <w:p w14:paraId="07D3D1B2">
            <w:pPr>
              <w:spacing w:line="240" w:lineRule="auto"/>
              <w:rPr>
                <w:rFonts w:hint="default" w:ascii="Times New Roman" w:hAnsi="Times New Roman" w:cs="Times New Roman"/>
                <w:color w:val="auto"/>
                <w:sz w:val="21"/>
                <w:highlight w:val="none"/>
              </w:rPr>
            </w:pPr>
          </w:p>
          <w:p w14:paraId="16C7A558">
            <w:pPr>
              <w:spacing w:line="240" w:lineRule="auto"/>
              <w:rPr>
                <w:rFonts w:hint="default" w:ascii="Times New Roman" w:hAnsi="Times New Roman" w:cs="Times New Roman"/>
                <w:color w:val="auto"/>
                <w:sz w:val="21"/>
                <w:highlight w:val="none"/>
              </w:rPr>
            </w:pPr>
          </w:p>
          <w:p w14:paraId="535ACD47">
            <w:pPr>
              <w:spacing w:line="240" w:lineRule="auto"/>
              <w:rPr>
                <w:rFonts w:hint="default" w:ascii="Times New Roman" w:hAnsi="Times New Roman" w:cs="Times New Roman"/>
                <w:color w:val="auto"/>
                <w:sz w:val="21"/>
                <w:highlight w:val="none"/>
              </w:rPr>
            </w:pPr>
          </w:p>
          <w:p w14:paraId="0AD3698F">
            <w:pPr>
              <w:spacing w:line="240" w:lineRule="auto"/>
              <w:rPr>
                <w:rFonts w:hint="default" w:ascii="Times New Roman" w:hAnsi="Times New Roman" w:cs="Times New Roman"/>
                <w:color w:val="auto"/>
                <w:sz w:val="21"/>
                <w:highlight w:val="none"/>
              </w:rPr>
            </w:pPr>
          </w:p>
          <w:p w14:paraId="2BAE8257">
            <w:pPr>
              <w:pStyle w:val="27"/>
              <w:spacing w:before="65" w:line="240" w:lineRule="auto"/>
              <w:ind w:left="270"/>
              <w:rPr>
                <w:rFonts w:hint="default" w:ascii="Times New Roman" w:hAnsi="Times New Roman" w:cs="Times New Roman"/>
                <w:color w:val="auto"/>
                <w:highlight w:val="none"/>
              </w:rPr>
            </w:pPr>
            <w:r>
              <w:rPr>
                <w:rFonts w:hint="default" w:ascii="Times New Roman" w:hAnsi="Times New Roman" w:cs="Times New Roman"/>
                <w:color w:val="auto"/>
                <w:position w:val="-4"/>
                <w:highlight w:val="none"/>
              </w:rPr>
              <w:t>一</w:t>
            </w:r>
          </w:p>
        </w:tc>
        <w:tc>
          <w:tcPr>
            <w:tcW w:w="509" w:type="pct"/>
            <w:vMerge w:val="restart"/>
            <w:tcBorders>
              <w:bottom w:val="nil"/>
            </w:tcBorders>
            <w:vAlign w:val="top"/>
          </w:tcPr>
          <w:p w14:paraId="4D269BC1">
            <w:pPr>
              <w:spacing w:line="240" w:lineRule="auto"/>
              <w:rPr>
                <w:rFonts w:hint="default" w:ascii="Times New Roman" w:hAnsi="Times New Roman" w:cs="Times New Roman"/>
                <w:color w:val="auto"/>
                <w:sz w:val="21"/>
                <w:highlight w:val="none"/>
              </w:rPr>
            </w:pPr>
          </w:p>
          <w:p w14:paraId="1C71A7B6">
            <w:pPr>
              <w:spacing w:line="240" w:lineRule="auto"/>
              <w:rPr>
                <w:rFonts w:hint="default" w:ascii="Times New Roman" w:hAnsi="Times New Roman" w:cs="Times New Roman"/>
                <w:color w:val="auto"/>
                <w:sz w:val="21"/>
                <w:highlight w:val="none"/>
              </w:rPr>
            </w:pPr>
          </w:p>
          <w:p w14:paraId="6DE67127">
            <w:pPr>
              <w:spacing w:line="240" w:lineRule="auto"/>
              <w:rPr>
                <w:rFonts w:hint="default" w:ascii="Times New Roman" w:hAnsi="Times New Roman" w:cs="Times New Roman"/>
                <w:color w:val="auto"/>
                <w:sz w:val="21"/>
                <w:highlight w:val="none"/>
              </w:rPr>
            </w:pPr>
          </w:p>
          <w:p w14:paraId="352DACD3">
            <w:pPr>
              <w:spacing w:line="240" w:lineRule="auto"/>
              <w:rPr>
                <w:rFonts w:hint="default" w:ascii="Times New Roman" w:hAnsi="Times New Roman" w:cs="Times New Roman"/>
                <w:color w:val="auto"/>
                <w:sz w:val="21"/>
                <w:highlight w:val="none"/>
              </w:rPr>
            </w:pPr>
          </w:p>
          <w:p w14:paraId="7836FB37">
            <w:pPr>
              <w:spacing w:line="240" w:lineRule="auto"/>
              <w:rPr>
                <w:rFonts w:hint="default" w:ascii="Times New Roman" w:hAnsi="Times New Roman" w:cs="Times New Roman"/>
                <w:color w:val="auto"/>
                <w:sz w:val="21"/>
                <w:highlight w:val="none"/>
              </w:rPr>
            </w:pPr>
          </w:p>
          <w:p w14:paraId="4FDA290B">
            <w:pPr>
              <w:spacing w:line="240" w:lineRule="auto"/>
              <w:rPr>
                <w:rFonts w:hint="default" w:ascii="Times New Roman" w:hAnsi="Times New Roman" w:cs="Times New Roman"/>
                <w:color w:val="auto"/>
                <w:sz w:val="21"/>
                <w:highlight w:val="none"/>
              </w:rPr>
            </w:pPr>
          </w:p>
          <w:p w14:paraId="260AD308">
            <w:pPr>
              <w:spacing w:line="240" w:lineRule="auto"/>
              <w:rPr>
                <w:rFonts w:hint="default" w:ascii="Times New Roman" w:hAnsi="Times New Roman" w:cs="Times New Roman"/>
                <w:color w:val="auto"/>
                <w:sz w:val="21"/>
                <w:highlight w:val="none"/>
              </w:rPr>
            </w:pPr>
          </w:p>
          <w:p w14:paraId="53B531BA">
            <w:pPr>
              <w:spacing w:line="240" w:lineRule="auto"/>
              <w:rPr>
                <w:rFonts w:hint="default" w:ascii="Times New Roman" w:hAnsi="Times New Roman" w:cs="Times New Roman"/>
                <w:color w:val="auto"/>
                <w:sz w:val="21"/>
                <w:highlight w:val="none"/>
              </w:rPr>
            </w:pPr>
          </w:p>
          <w:p w14:paraId="42358663">
            <w:pPr>
              <w:spacing w:line="240" w:lineRule="auto"/>
              <w:rPr>
                <w:rFonts w:hint="default" w:ascii="Times New Roman" w:hAnsi="Times New Roman" w:cs="Times New Roman"/>
                <w:color w:val="auto"/>
                <w:sz w:val="21"/>
                <w:highlight w:val="none"/>
              </w:rPr>
            </w:pPr>
          </w:p>
          <w:p w14:paraId="5D3A879E">
            <w:pPr>
              <w:spacing w:line="240" w:lineRule="auto"/>
              <w:rPr>
                <w:rFonts w:hint="default" w:ascii="Times New Roman" w:hAnsi="Times New Roman" w:cs="Times New Roman"/>
                <w:color w:val="auto"/>
                <w:sz w:val="21"/>
                <w:highlight w:val="none"/>
              </w:rPr>
            </w:pPr>
          </w:p>
          <w:p w14:paraId="119C049A">
            <w:pPr>
              <w:spacing w:line="240" w:lineRule="auto"/>
              <w:rPr>
                <w:rFonts w:hint="default" w:ascii="Times New Roman" w:hAnsi="Times New Roman" w:cs="Times New Roman"/>
                <w:color w:val="auto"/>
                <w:sz w:val="21"/>
                <w:highlight w:val="none"/>
              </w:rPr>
            </w:pPr>
          </w:p>
          <w:p w14:paraId="699219E5">
            <w:pPr>
              <w:spacing w:line="240" w:lineRule="auto"/>
              <w:rPr>
                <w:rFonts w:hint="default" w:ascii="Times New Roman" w:hAnsi="Times New Roman" w:cs="Times New Roman"/>
                <w:color w:val="auto"/>
                <w:sz w:val="21"/>
                <w:highlight w:val="none"/>
              </w:rPr>
            </w:pPr>
          </w:p>
          <w:p w14:paraId="48D054C1">
            <w:pPr>
              <w:spacing w:line="240" w:lineRule="auto"/>
              <w:rPr>
                <w:rFonts w:hint="default" w:ascii="Times New Roman" w:hAnsi="Times New Roman" w:cs="Times New Roman"/>
                <w:color w:val="auto"/>
                <w:sz w:val="21"/>
                <w:highlight w:val="none"/>
              </w:rPr>
            </w:pPr>
          </w:p>
          <w:p w14:paraId="7AB9B00A">
            <w:pPr>
              <w:spacing w:line="240" w:lineRule="auto"/>
              <w:rPr>
                <w:rFonts w:hint="default" w:ascii="Times New Roman" w:hAnsi="Times New Roman" w:cs="Times New Roman"/>
                <w:color w:val="auto"/>
                <w:sz w:val="21"/>
                <w:highlight w:val="none"/>
              </w:rPr>
            </w:pPr>
          </w:p>
          <w:p w14:paraId="24DA01FC">
            <w:pPr>
              <w:pStyle w:val="27"/>
              <w:spacing w:before="65" w:line="240" w:lineRule="auto"/>
              <w:ind w:left="145" w:right="164" w:firstLine="19"/>
              <w:rPr>
                <w:rFonts w:hint="default" w:ascii="Times New Roman" w:hAnsi="Times New Roman" w:cs="Times New Roman"/>
                <w:color w:val="auto"/>
                <w:highlight w:val="none"/>
              </w:rPr>
            </w:pPr>
            <w:r>
              <w:rPr>
                <w:rFonts w:hint="default" w:ascii="Times New Roman" w:hAnsi="Times New Roman" w:cs="Times New Roman"/>
                <w:color w:val="auto"/>
                <w:spacing w:val="6"/>
                <w:highlight w:val="none"/>
              </w:rPr>
              <w:t>企业资信</w:t>
            </w:r>
            <w:r>
              <w:rPr>
                <w:rFonts w:hint="default" w:ascii="Times New Roman" w:hAnsi="Times New Roman" w:cs="Times New Roman"/>
                <w:color w:val="auto"/>
                <w:spacing w:val="-3"/>
                <w:highlight w:val="none"/>
              </w:rPr>
              <w:t>（</w:t>
            </w:r>
            <w:r>
              <w:rPr>
                <w:rFonts w:hint="default" w:ascii="Times New Roman" w:hAnsi="Times New Roman" w:cs="Times New Roman"/>
                <w:color w:val="auto"/>
                <w:spacing w:val="-3"/>
                <w:highlight w:val="none"/>
                <w:lang w:val="en-US" w:eastAsia="zh-CN"/>
              </w:rPr>
              <w:t>4</w:t>
            </w:r>
            <w:r>
              <w:rPr>
                <w:rFonts w:hint="default" w:ascii="Times New Roman" w:hAnsi="Times New Roman" w:cs="Times New Roman"/>
                <w:color w:val="auto"/>
                <w:spacing w:val="-3"/>
                <w:highlight w:val="none"/>
              </w:rPr>
              <w:t>0分）</w:t>
            </w:r>
          </w:p>
        </w:tc>
        <w:tc>
          <w:tcPr>
            <w:tcW w:w="460" w:type="pct"/>
            <w:vAlign w:val="top"/>
          </w:tcPr>
          <w:p w14:paraId="192ECA5C">
            <w:pPr>
              <w:spacing w:line="240" w:lineRule="auto"/>
              <w:jc w:val="left"/>
              <w:rPr>
                <w:rFonts w:hint="default" w:ascii="Times New Roman" w:hAnsi="Times New Roman" w:cs="Times New Roman"/>
                <w:color w:val="auto"/>
                <w:sz w:val="21"/>
                <w:highlight w:val="none"/>
              </w:rPr>
            </w:pPr>
          </w:p>
          <w:p w14:paraId="73025600">
            <w:pPr>
              <w:spacing w:line="240" w:lineRule="auto"/>
              <w:jc w:val="left"/>
              <w:rPr>
                <w:rFonts w:hint="default" w:ascii="Times New Roman" w:hAnsi="Times New Roman" w:cs="Times New Roman"/>
                <w:color w:val="auto"/>
                <w:sz w:val="21"/>
                <w:highlight w:val="none"/>
              </w:rPr>
            </w:pPr>
          </w:p>
          <w:p w14:paraId="0C7DF032">
            <w:pPr>
              <w:spacing w:line="240" w:lineRule="auto"/>
              <w:jc w:val="left"/>
              <w:rPr>
                <w:rFonts w:hint="default" w:ascii="Times New Roman" w:hAnsi="Times New Roman" w:cs="Times New Roman"/>
                <w:color w:val="auto"/>
                <w:sz w:val="21"/>
                <w:highlight w:val="none"/>
              </w:rPr>
            </w:pPr>
          </w:p>
          <w:p w14:paraId="7B23DFFD">
            <w:pPr>
              <w:pStyle w:val="27"/>
              <w:spacing w:before="65" w:line="240" w:lineRule="auto"/>
              <w:ind w:left="161"/>
              <w:jc w:val="left"/>
              <w:rPr>
                <w:rFonts w:hint="default" w:ascii="Times New Roman" w:hAnsi="Times New Roman" w:cs="Times New Roman"/>
                <w:color w:val="auto"/>
                <w:highlight w:val="none"/>
              </w:rPr>
            </w:pPr>
            <w:r>
              <w:rPr>
                <w:rFonts w:hint="default" w:ascii="Times New Roman" w:hAnsi="Times New Roman" w:cs="Times New Roman"/>
                <w:color w:val="auto"/>
                <w:spacing w:val="6"/>
                <w:highlight w:val="none"/>
              </w:rPr>
              <w:t>企业业绩</w:t>
            </w:r>
          </w:p>
        </w:tc>
        <w:tc>
          <w:tcPr>
            <w:tcW w:w="314" w:type="pct"/>
            <w:vAlign w:val="top"/>
          </w:tcPr>
          <w:p w14:paraId="1352AF9E">
            <w:pPr>
              <w:spacing w:line="240" w:lineRule="auto"/>
              <w:rPr>
                <w:rFonts w:hint="default" w:ascii="Times New Roman" w:hAnsi="Times New Roman" w:cs="Times New Roman"/>
                <w:color w:val="auto"/>
                <w:sz w:val="21"/>
                <w:highlight w:val="none"/>
              </w:rPr>
            </w:pPr>
          </w:p>
          <w:p w14:paraId="02A47794">
            <w:pPr>
              <w:spacing w:line="240" w:lineRule="auto"/>
              <w:rPr>
                <w:rFonts w:hint="default" w:ascii="Times New Roman" w:hAnsi="Times New Roman" w:cs="Times New Roman"/>
                <w:color w:val="auto"/>
                <w:sz w:val="21"/>
                <w:highlight w:val="none"/>
              </w:rPr>
            </w:pPr>
          </w:p>
          <w:p w14:paraId="56A98FCA">
            <w:pPr>
              <w:spacing w:line="240" w:lineRule="auto"/>
              <w:rPr>
                <w:rFonts w:hint="default" w:ascii="Times New Roman" w:hAnsi="Times New Roman" w:cs="Times New Roman"/>
                <w:color w:val="auto"/>
                <w:sz w:val="21"/>
                <w:highlight w:val="none"/>
              </w:rPr>
            </w:pPr>
          </w:p>
          <w:p w14:paraId="051BA1CF">
            <w:pPr>
              <w:pStyle w:val="27"/>
              <w:spacing w:before="65" w:line="240" w:lineRule="auto"/>
              <w:ind w:left="302"/>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12</w:t>
            </w:r>
          </w:p>
        </w:tc>
        <w:tc>
          <w:tcPr>
            <w:tcW w:w="3481" w:type="pct"/>
            <w:vAlign w:val="top"/>
          </w:tcPr>
          <w:p w14:paraId="6A25FE9E">
            <w:pPr>
              <w:pStyle w:val="27"/>
              <w:spacing w:before="118" w:line="240" w:lineRule="auto"/>
              <w:ind w:left="193" w:right="181" w:firstLine="6"/>
              <w:jc w:val="left"/>
              <w:rPr>
                <w:rFonts w:hint="default" w:ascii="Times New Roman" w:hAnsi="Times New Roman" w:cs="Times New Roman"/>
                <w:color w:val="auto"/>
                <w:highlight w:val="none"/>
              </w:rPr>
            </w:pPr>
            <w:r>
              <w:rPr>
                <w:rFonts w:hint="default" w:ascii="Times New Roman" w:hAnsi="Times New Roman" w:cs="Times New Roman"/>
                <w:color w:val="auto"/>
                <w:spacing w:val="5"/>
                <w:highlight w:val="none"/>
              </w:rPr>
              <w:t>投标人自202</w:t>
            </w:r>
            <w:r>
              <w:rPr>
                <w:rFonts w:hint="default" w:ascii="Times New Roman" w:hAnsi="Times New Roman" w:cs="Times New Roman"/>
                <w:color w:val="auto"/>
                <w:spacing w:val="5"/>
                <w:highlight w:val="none"/>
                <w:lang w:val="en-US" w:eastAsia="zh-CN"/>
              </w:rPr>
              <w:t>1</w:t>
            </w:r>
            <w:r>
              <w:rPr>
                <w:rFonts w:hint="default" w:ascii="Times New Roman" w:hAnsi="Times New Roman" w:cs="Times New Roman"/>
                <w:color w:val="auto"/>
                <w:spacing w:val="5"/>
                <w:highlight w:val="none"/>
              </w:rPr>
              <w:t>年1月1日至今，完成过</w:t>
            </w:r>
            <w:r>
              <w:rPr>
                <w:rFonts w:hint="default" w:ascii="Times New Roman" w:hAnsi="Times New Roman" w:eastAsia="新宋体" w:cs="Times New Roman"/>
                <w:color w:val="auto"/>
                <w:spacing w:val="5"/>
                <w:highlight w:val="none"/>
              </w:rPr>
              <w:t>质量合格的金额大于或等于</w:t>
            </w:r>
            <w:r>
              <w:rPr>
                <w:rFonts w:hint="default" w:ascii="Times New Roman" w:hAnsi="Times New Roman" w:eastAsia="新宋体" w:cs="Times New Roman"/>
                <w:color w:val="auto"/>
                <w:spacing w:val="5"/>
                <w:highlight w:val="none"/>
                <w:lang w:val="en-US" w:eastAsia="zh-CN"/>
              </w:rPr>
              <w:t>9</w:t>
            </w:r>
            <w:r>
              <w:rPr>
                <w:rFonts w:hint="default" w:ascii="Times New Roman" w:hAnsi="Times New Roman" w:cs="Times New Roman"/>
                <w:color w:val="auto"/>
                <w:spacing w:val="5"/>
                <w:highlight w:val="none"/>
              </w:rPr>
              <w:t>000万元的建筑工程施工总承包</w:t>
            </w:r>
            <w:r>
              <w:rPr>
                <w:rFonts w:hint="default" w:ascii="Times New Roman" w:hAnsi="Times New Roman" w:cs="Times New Roman"/>
                <w:color w:val="auto"/>
                <w:spacing w:val="3"/>
                <w:highlight w:val="none"/>
              </w:rPr>
              <w:t>：</w:t>
            </w:r>
          </w:p>
          <w:p w14:paraId="42D7CA7F">
            <w:pPr>
              <w:pStyle w:val="27"/>
              <w:numPr>
                <w:ilvl w:val="-1"/>
                <w:numId w:val="0"/>
              </w:numPr>
              <w:spacing w:before="118" w:line="240" w:lineRule="auto"/>
              <w:ind w:left="193" w:right="181" w:firstLine="6"/>
              <w:jc w:val="left"/>
              <w:rPr>
                <w:rFonts w:hint="default" w:ascii="Times New Roman" w:hAnsi="Times New Roman" w:eastAsia="宋体" w:cs="Times New Roman"/>
                <w:color w:val="auto"/>
                <w:spacing w:val="5"/>
                <w:highlight w:val="none"/>
                <w:lang w:eastAsia="zh-CN"/>
              </w:rPr>
            </w:pPr>
            <w:r>
              <w:rPr>
                <w:rFonts w:hint="default" w:ascii="Times New Roman" w:hAnsi="Times New Roman" w:eastAsia="宋体" w:cs="Times New Roman"/>
                <w:color w:val="auto"/>
                <w:spacing w:val="5"/>
                <w:kern w:val="2"/>
                <w:sz w:val="20"/>
                <w:szCs w:val="20"/>
                <w:highlight w:val="none"/>
                <w:lang w:val="en-US" w:eastAsia="en-US" w:bidi="ar-SA"/>
              </w:rPr>
              <w:t>（1）</w:t>
            </w:r>
            <w:r>
              <w:rPr>
                <w:rFonts w:hint="default" w:ascii="Times New Roman" w:hAnsi="Times New Roman" w:eastAsia="宋体" w:cs="Times New Roman"/>
                <w:color w:val="auto"/>
                <w:spacing w:val="5"/>
                <w:highlight w:val="none"/>
              </w:rPr>
              <w:t>完成业绩的数量为15个</w:t>
            </w:r>
            <w:r>
              <w:rPr>
                <w:rFonts w:hint="default" w:ascii="Times New Roman" w:hAnsi="Times New Roman" w:cs="Times New Roman"/>
                <w:color w:val="auto"/>
                <w:spacing w:val="5"/>
                <w:highlight w:val="none"/>
                <w:lang w:val="en-US" w:eastAsia="zh-CN"/>
              </w:rPr>
              <w:t>或</w:t>
            </w:r>
            <w:r>
              <w:rPr>
                <w:rFonts w:hint="default" w:ascii="Times New Roman" w:hAnsi="Times New Roman" w:eastAsia="宋体" w:cs="Times New Roman"/>
                <w:color w:val="auto"/>
                <w:spacing w:val="5"/>
                <w:highlight w:val="none"/>
              </w:rPr>
              <w:t>以上</w:t>
            </w:r>
            <w:r>
              <w:rPr>
                <w:rFonts w:hint="default" w:ascii="Times New Roman" w:hAnsi="Times New Roman" w:cs="Times New Roman"/>
                <w:color w:val="auto"/>
                <w:spacing w:val="5"/>
                <w:highlight w:val="none"/>
                <w:lang w:eastAsia="zh-CN"/>
              </w:rPr>
              <w:t>，</w:t>
            </w:r>
            <w:r>
              <w:rPr>
                <w:rFonts w:hint="default" w:ascii="Times New Roman" w:hAnsi="Times New Roman" w:eastAsia="宋体" w:cs="Times New Roman"/>
                <w:color w:val="auto"/>
                <w:spacing w:val="5"/>
                <w:highlight w:val="none"/>
              </w:rPr>
              <w:t>得</w:t>
            </w:r>
            <w:r>
              <w:rPr>
                <w:rFonts w:hint="default" w:ascii="Times New Roman" w:hAnsi="Times New Roman" w:cs="Times New Roman"/>
                <w:color w:val="auto"/>
                <w:spacing w:val="5"/>
                <w:highlight w:val="none"/>
                <w:lang w:val="en-US" w:eastAsia="zh-CN"/>
              </w:rPr>
              <w:t>12</w:t>
            </w:r>
            <w:r>
              <w:rPr>
                <w:rFonts w:hint="default" w:ascii="Times New Roman" w:hAnsi="Times New Roman" w:eastAsia="宋体" w:cs="Times New Roman"/>
                <w:color w:val="auto"/>
                <w:spacing w:val="5"/>
                <w:highlight w:val="none"/>
              </w:rPr>
              <w:t>分</w:t>
            </w:r>
            <w:r>
              <w:rPr>
                <w:rFonts w:hint="default" w:ascii="Times New Roman" w:hAnsi="Times New Roman" w:cs="Times New Roman"/>
                <w:color w:val="auto"/>
                <w:spacing w:val="5"/>
                <w:highlight w:val="none"/>
                <w:lang w:eastAsia="zh-CN"/>
              </w:rPr>
              <w:t>。</w:t>
            </w:r>
          </w:p>
          <w:p w14:paraId="4CA5BB2F">
            <w:pPr>
              <w:pStyle w:val="27"/>
              <w:numPr>
                <w:ilvl w:val="-1"/>
                <w:numId w:val="0"/>
              </w:numPr>
              <w:spacing w:before="118" w:line="240" w:lineRule="auto"/>
              <w:ind w:left="193" w:right="181" w:firstLine="6"/>
              <w:jc w:val="left"/>
              <w:rPr>
                <w:rFonts w:hint="default" w:ascii="Times New Roman" w:hAnsi="Times New Roman" w:eastAsia="宋体" w:cs="Times New Roman"/>
                <w:color w:val="auto"/>
                <w:spacing w:val="5"/>
                <w:highlight w:val="none"/>
                <w:lang w:eastAsia="zh-CN"/>
              </w:rPr>
            </w:pPr>
            <w:r>
              <w:rPr>
                <w:rFonts w:hint="default" w:ascii="Times New Roman" w:hAnsi="Times New Roman" w:eastAsia="宋体" w:cs="Times New Roman"/>
                <w:color w:val="auto"/>
                <w:spacing w:val="5"/>
                <w:kern w:val="2"/>
                <w:sz w:val="20"/>
                <w:szCs w:val="20"/>
                <w:highlight w:val="none"/>
                <w:lang w:val="en-US" w:eastAsia="en-US" w:bidi="ar-SA"/>
              </w:rPr>
              <w:t>（2）</w:t>
            </w:r>
            <w:r>
              <w:rPr>
                <w:rFonts w:hint="default" w:ascii="Times New Roman" w:hAnsi="Times New Roman" w:eastAsia="宋体" w:cs="Times New Roman"/>
                <w:color w:val="auto"/>
                <w:spacing w:val="5"/>
                <w:highlight w:val="none"/>
              </w:rPr>
              <w:t>完成业绩的数量为10-1</w:t>
            </w:r>
            <w:r>
              <w:rPr>
                <w:rFonts w:hint="default" w:ascii="Times New Roman" w:hAnsi="Times New Roman" w:cs="Times New Roman"/>
                <w:color w:val="auto"/>
                <w:spacing w:val="5"/>
                <w:highlight w:val="none"/>
                <w:lang w:val="en-US" w:eastAsia="zh-CN"/>
              </w:rPr>
              <w:t>4</w:t>
            </w:r>
            <w:r>
              <w:rPr>
                <w:rFonts w:hint="default" w:ascii="Times New Roman" w:hAnsi="Times New Roman" w:eastAsia="宋体" w:cs="Times New Roman"/>
                <w:color w:val="auto"/>
                <w:spacing w:val="5"/>
                <w:highlight w:val="none"/>
              </w:rPr>
              <w:t>个，得</w:t>
            </w:r>
            <w:r>
              <w:rPr>
                <w:rFonts w:hint="default" w:ascii="Times New Roman" w:hAnsi="Times New Roman" w:cs="Times New Roman"/>
                <w:color w:val="auto"/>
                <w:spacing w:val="5"/>
                <w:highlight w:val="none"/>
                <w:lang w:val="en-US" w:eastAsia="zh-CN"/>
              </w:rPr>
              <w:t>8</w:t>
            </w:r>
            <w:r>
              <w:rPr>
                <w:rFonts w:hint="default" w:ascii="Times New Roman" w:hAnsi="Times New Roman" w:eastAsia="宋体" w:cs="Times New Roman"/>
                <w:color w:val="auto"/>
                <w:spacing w:val="5"/>
                <w:highlight w:val="none"/>
              </w:rPr>
              <w:t>分</w:t>
            </w:r>
            <w:r>
              <w:rPr>
                <w:rFonts w:hint="default" w:ascii="Times New Roman" w:hAnsi="Times New Roman" w:cs="Times New Roman"/>
                <w:color w:val="auto"/>
                <w:spacing w:val="5"/>
                <w:highlight w:val="none"/>
                <w:lang w:eastAsia="zh-CN"/>
              </w:rPr>
              <w:t>。</w:t>
            </w:r>
          </w:p>
          <w:p w14:paraId="76FEFFFE">
            <w:pPr>
              <w:pStyle w:val="27"/>
              <w:numPr>
                <w:ilvl w:val="-1"/>
                <w:numId w:val="0"/>
              </w:numPr>
              <w:spacing w:before="118" w:line="240" w:lineRule="auto"/>
              <w:ind w:left="193" w:right="181" w:firstLine="6"/>
              <w:jc w:val="left"/>
              <w:rPr>
                <w:rFonts w:hint="default" w:ascii="Times New Roman" w:hAnsi="Times New Roman" w:eastAsia="宋体" w:cs="Times New Roman"/>
                <w:color w:val="auto"/>
                <w:spacing w:val="5"/>
                <w:highlight w:val="none"/>
              </w:rPr>
            </w:pPr>
            <w:r>
              <w:rPr>
                <w:rFonts w:hint="default" w:ascii="Times New Roman" w:hAnsi="Times New Roman" w:eastAsia="宋体" w:cs="Times New Roman"/>
                <w:color w:val="auto"/>
                <w:spacing w:val="5"/>
                <w:highlight w:val="none"/>
              </w:rPr>
              <w:t>（3）完成业绩的数量为1-9个，得</w:t>
            </w:r>
            <w:r>
              <w:rPr>
                <w:rFonts w:hint="default" w:ascii="Times New Roman" w:hAnsi="Times New Roman" w:cs="Times New Roman"/>
                <w:color w:val="auto"/>
                <w:spacing w:val="5"/>
                <w:highlight w:val="none"/>
                <w:lang w:val="en-US" w:eastAsia="zh-CN"/>
              </w:rPr>
              <w:t>4</w:t>
            </w:r>
            <w:r>
              <w:rPr>
                <w:rFonts w:hint="default" w:ascii="Times New Roman" w:hAnsi="Times New Roman" w:eastAsia="宋体" w:cs="Times New Roman"/>
                <w:color w:val="auto"/>
                <w:spacing w:val="5"/>
                <w:highlight w:val="none"/>
              </w:rPr>
              <w:t>分。</w:t>
            </w:r>
          </w:p>
          <w:p w14:paraId="25DD23F3">
            <w:pPr>
              <w:pStyle w:val="27"/>
              <w:spacing w:before="118" w:line="240" w:lineRule="auto"/>
              <w:ind w:left="193" w:right="181" w:firstLine="6"/>
              <w:jc w:val="left"/>
              <w:rPr>
                <w:rFonts w:hint="default" w:ascii="Times New Roman" w:hAnsi="Times New Roman" w:cs="Times New Roman"/>
                <w:color w:val="auto"/>
                <w:highlight w:val="none"/>
              </w:rPr>
            </w:pPr>
            <w:r>
              <w:rPr>
                <w:rFonts w:hint="default" w:ascii="Times New Roman" w:hAnsi="Times New Roman" w:eastAsia="宋体" w:cs="Times New Roman"/>
                <w:color w:val="auto"/>
                <w:spacing w:val="5"/>
                <w:highlight w:val="none"/>
              </w:rPr>
              <w:t>不符合上述条件的不得分，本项最高得</w:t>
            </w:r>
            <w:r>
              <w:rPr>
                <w:rFonts w:hint="default" w:ascii="Times New Roman" w:hAnsi="Times New Roman" w:cs="Times New Roman"/>
                <w:color w:val="auto"/>
                <w:spacing w:val="5"/>
                <w:highlight w:val="none"/>
                <w:lang w:val="en-US" w:eastAsia="zh-CN"/>
              </w:rPr>
              <w:t>12</w:t>
            </w:r>
            <w:r>
              <w:rPr>
                <w:rFonts w:hint="default" w:ascii="Times New Roman" w:hAnsi="Times New Roman" w:eastAsia="宋体" w:cs="Times New Roman"/>
                <w:color w:val="auto"/>
                <w:spacing w:val="5"/>
                <w:highlight w:val="none"/>
              </w:rPr>
              <w:t>分。</w:t>
            </w:r>
          </w:p>
        </w:tc>
      </w:tr>
      <w:tr w14:paraId="7024A279">
        <w:tblPrEx>
          <w:tblBorders>
            <w:top w:val="single" w:color="080000" w:sz="6" w:space="0"/>
            <w:left w:val="single" w:color="080000" w:sz="6" w:space="0"/>
            <w:bottom w:val="single" w:color="080000" w:sz="6" w:space="0"/>
            <w:right w:val="single" w:color="080000" w:sz="6" w:space="0"/>
            <w:insideH w:val="single" w:color="080000" w:sz="6" w:space="0"/>
            <w:insideV w:val="single" w:color="080000" w:sz="6" w:space="0"/>
          </w:tblBorders>
          <w:tblCellMar>
            <w:top w:w="0" w:type="dxa"/>
            <w:left w:w="0" w:type="dxa"/>
            <w:bottom w:w="0" w:type="dxa"/>
            <w:right w:w="0" w:type="dxa"/>
          </w:tblCellMar>
        </w:tblPrEx>
        <w:trPr>
          <w:trHeight w:val="2190" w:hRule="atLeast"/>
        </w:trPr>
        <w:tc>
          <w:tcPr>
            <w:tcW w:w="233" w:type="pct"/>
            <w:vMerge w:val="continue"/>
            <w:tcBorders>
              <w:top w:val="nil"/>
              <w:bottom w:val="nil"/>
            </w:tcBorders>
            <w:vAlign w:val="top"/>
          </w:tcPr>
          <w:p w14:paraId="1010C010">
            <w:pPr>
              <w:rPr>
                <w:rFonts w:hint="default" w:ascii="Times New Roman" w:hAnsi="Times New Roman" w:cs="Times New Roman"/>
                <w:color w:val="auto"/>
                <w:sz w:val="21"/>
                <w:highlight w:val="none"/>
              </w:rPr>
            </w:pPr>
          </w:p>
        </w:tc>
        <w:tc>
          <w:tcPr>
            <w:tcW w:w="509" w:type="pct"/>
            <w:vMerge w:val="continue"/>
            <w:tcBorders>
              <w:top w:val="nil"/>
              <w:bottom w:val="nil"/>
            </w:tcBorders>
            <w:vAlign w:val="top"/>
          </w:tcPr>
          <w:p w14:paraId="65D3A249">
            <w:pPr>
              <w:rPr>
                <w:rFonts w:hint="default" w:ascii="Times New Roman" w:hAnsi="Times New Roman" w:cs="Times New Roman"/>
                <w:color w:val="auto"/>
                <w:sz w:val="21"/>
                <w:highlight w:val="none"/>
              </w:rPr>
            </w:pPr>
          </w:p>
        </w:tc>
        <w:tc>
          <w:tcPr>
            <w:tcW w:w="460" w:type="pct"/>
            <w:vAlign w:val="top"/>
          </w:tcPr>
          <w:p w14:paraId="27E7BFEE">
            <w:pPr>
              <w:spacing w:line="240" w:lineRule="auto"/>
              <w:jc w:val="left"/>
              <w:rPr>
                <w:rFonts w:hint="default" w:ascii="Times New Roman" w:hAnsi="Times New Roman" w:cs="Times New Roman"/>
                <w:color w:val="auto"/>
                <w:sz w:val="21"/>
                <w:highlight w:val="none"/>
              </w:rPr>
            </w:pPr>
          </w:p>
          <w:p w14:paraId="19F59FD5">
            <w:pPr>
              <w:spacing w:line="240" w:lineRule="auto"/>
              <w:jc w:val="left"/>
              <w:rPr>
                <w:rFonts w:hint="default" w:ascii="Times New Roman" w:hAnsi="Times New Roman" w:cs="Times New Roman"/>
                <w:color w:val="auto"/>
                <w:sz w:val="21"/>
                <w:highlight w:val="none"/>
              </w:rPr>
            </w:pPr>
          </w:p>
          <w:p w14:paraId="77B2B7CD">
            <w:pPr>
              <w:pStyle w:val="27"/>
              <w:spacing w:before="65" w:line="240" w:lineRule="auto"/>
              <w:ind w:left="161"/>
              <w:jc w:val="left"/>
              <w:rPr>
                <w:rFonts w:hint="default" w:ascii="Times New Roman" w:hAnsi="Times New Roman" w:cs="Times New Roman"/>
                <w:color w:val="auto"/>
                <w:highlight w:val="none"/>
              </w:rPr>
            </w:pPr>
            <w:r>
              <w:rPr>
                <w:rFonts w:hint="default" w:ascii="Times New Roman" w:hAnsi="Times New Roman" w:cs="Times New Roman"/>
                <w:color w:val="auto"/>
                <w:spacing w:val="6"/>
                <w:highlight w:val="none"/>
              </w:rPr>
              <w:t>企业获奖</w:t>
            </w:r>
          </w:p>
        </w:tc>
        <w:tc>
          <w:tcPr>
            <w:tcW w:w="314" w:type="pct"/>
            <w:vAlign w:val="top"/>
          </w:tcPr>
          <w:p w14:paraId="684314D3">
            <w:pPr>
              <w:spacing w:line="240" w:lineRule="auto"/>
              <w:rPr>
                <w:rFonts w:hint="default" w:ascii="Times New Roman" w:hAnsi="Times New Roman" w:cs="Times New Roman"/>
                <w:color w:val="auto"/>
                <w:sz w:val="21"/>
                <w:highlight w:val="none"/>
              </w:rPr>
            </w:pPr>
          </w:p>
          <w:p w14:paraId="108F6B0C">
            <w:pPr>
              <w:spacing w:line="240" w:lineRule="auto"/>
              <w:rPr>
                <w:rFonts w:hint="default" w:ascii="Times New Roman" w:hAnsi="Times New Roman" w:cs="Times New Roman"/>
                <w:color w:val="auto"/>
                <w:sz w:val="21"/>
                <w:highlight w:val="none"/>
              </w:rPr>
            </w:pPr>
          </w:p>
          <w:p w14:paraId="1CBC0F21">
            <w:pPr>
              <w:spacing w:line="240" w:lineRule="auto"/>
              <w:rPr>
                <w:rFonts w:hint="default" w:ascii="Times New Roman" w:hAnsi="Times New Roman" w:cs="Times New Roman"/>
                <w:color w:val="auto"/>
                <w:sz w:val="21"/>
                <w:highlight w:val="none"/>
              </w:rPr>
            </w:pPr>
          </w:p>
          <w:p w14:paraId="3B078CF0">
            <w:pPr>
              <w:pStyle w:val="27"/>
              <w:spacing w:before="65" w:line="240" w:lineRule="auto"/>
              <w:ind w:left="303"/>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val="en-US" w:eastAsia="zh-CN"/>
              </w:rPr>
              <w:t>8</w:t>
            </w:r>
          </w:p>
        </w:tc>
        <w:tc>
          <w:tcPr>
            <w:tcW w:w="3481" w:type="pct"/>
            <w:vAlign w:val="top"/>
          </w:tcPr>
          <w:p w14:paraId="7F2F858D">
            <w:pPr>
              <w:pStyle w:val="27"/>
              <w:spacing w:before="118" w:line="240" w:lineRule="auto"/>
              <w:ind w:left="193" w:right="181" w:firstLine="6"/>
              <w:jc w:val="left"/>
              <w:rPr>
                <w:rFonts w:hint="default" w:ascii="Times New Roman" w:hAnsi="Times New Roman" w:eastAsia="宋体" w:cs="Times New Roman"/>
                <w:color w:val="auto"/>
                <w:spacing w:val="5"/>
                <w:highlight w:val="none"/>
              </w:rPr>
            </w:pPr>
            <w:r>
              <w:rPr>
                <w:rFonts w:hint="default" w:ascii="Times New Roman" w:hAnsi="Times New Roman" w:eastAsia="宋体" w:cs="Times New Roman"/>
                <w:color w:val="auto"/>
                <w:spacing w:val="5"/>
                <w:highlight w:val="none"/>
              </w:rPr>
              <w:t>投标人自202</w:t>
            </w:r>
            <w:r>
              <w:rPr>
                <w:rFonts w:hint="default" w:ascii="Times New Roman" w:hAnsi="Times New Roman" w:cs="Times New Roman"/>
                <w:color w:val="auto"/>
                <w:spacing w:val="5"/>
                <w:highlight w:val="none"/>
                <w:lang w:val="en-US" w:eastAsia="zh-CN"/>
              </w:rPr>
              <w:t>1</w:t>
            </w:r>
            <w:r>
              <w:rPr>
                <w:rFonts w:hint="default" w:ascii="Times New Roman" w:hAnsi="Times New Roman" w:eastAsia="宋体" w:cs="Times New Roman"/>
                <w:color w:val="auto"/>
                <w:spacing w:val="5"/>
                <w:highlight w:val="none"/>
              </w:rPr>
              <w:t>年1月1日至投标截止时间（以获奖证书颁发时间为准）完成的建筑工程施工总承包：</w:t>
            </w:r>
          </w:p>
          <w:p w14:paraId="6CFE22E2">
            <w:pPr>
              <w:pStyle w:val="27"/>
              <w:numPr>
                <w:ilvl w:val="0"/>
                <w:numId w:val="0"/>
              </w:numPr>
              <w:spacing w:before="118" w:line="240" w:lineRule="auto"/>
              <w:ind w:left="193" w:leftChars="0" w:right="181" w:rightChars="0" w:firstLine="6" w:firstLineChars="0"/>
              <w:jc w:val="left"/>
              <w:rPr>
                <w:rFonts w:hint="default" w:ascii="Times New Roman" w:hAnsi="Times New Roman" w:eastAsia="宋体" w:cs="Times New Roman"/>
                <w:color w:val="auto"/>
                <w:spacing w:val="5"/>
                <w:highlight w:val="none"/>
                <w:lang w:eastAsia="zh-CN"/>
              </w:rPr>
            </w:pPr>
            <w:r>
              <w:rPr>
                <w:rFonts w:hint="default" w:ascii="Times New Roman" w:hAnsi="Times New Roman" w:eastAsia="宋体" w:cs="Times New Roman"/>
                <w:color w:val="auto"/>
                <w:spacing w:val="5"/>
                <w:kern w:val="2"/>
                <w:sz w:val="20"/>
                <w:szCs w:val="20"/>
                <w:highlight w:val="none"/>
                <w:lang w:val="en-US" w:eastAsia="en-US" w:bidi="ar-SA"/>
              </w:rPr>
              <w:t>（1）</w:t>
            </w:r>
            <w:r>
              <w:rPr>
                <w:rFonts w:hint="default" w:ascii="Times New Roman" w:hAnsi="Times New Roman" w:eastAsia="宋体" w:cs="Times New Roman"/>
                <w:color w:val="auto"/>
                <w:spacing w:val="5"/>
                <w:highlight w:val="none"/>
              </w:rPr>
              <w:t>获得过国家级质量工程奖项，每项得1</w:t>
            </w:r>
            <w:r>
              <w:rPr>
                <w:rFonts w:hint="default" w:ascii="Times New Roman" w:hAnsi="Times New Roman" w:cs="Times New Roman"/>
                <w:color w:val="auto"/>
                <w:spacing w:val="5"/>
                <w:highlight w:val="none"/>
                <w:lang w:val="en-US" w:eastAsia="zh-CN"/>
              </w:rPr>
              <w:t>.5</w:t>
            </w:r>
            <w:r>
              <w:rPr>
                <w:rFonts w:hint="default" w:ascii="Times New Roman" w:hAnsi="Times New Roman" w:eastAsia="宋体" w:cs="Times New Roman"/>
                <w:color w:val="auto"/>
                <w:spacing w:val="5"/>
                <w:highlight w:val="none"/>
              </w:rPr>
              <w:t>分</w:t>
            </w:r>
            <w:r>
              <w:rPr>
                <w:rFonts w:hint="default" w:ascii="Times New Roman" w:hAnsi="Times New Roman" w:cs="Times New Roman"/>
                <w:color w:val="auto"/>
                <w:spacing w:val="5"/>
                <w:highlight w:val="none"/>
                <w:lang w:eastAsia="zh-CN"/>
              </w:rPr>
              <w:t>。</w:t>
            </w:r>
          </w:p>
          <w:p w14:paraId="0BFA4528">
            <w:pPr>
              <w:pStyle w:val="27"/>
              <w:numPr>
                <w:ilvl w:val="-1"/>
                <w:numId w:val="0"/>
              </w:numPr>
              <w:spacing w:before="118" w:line="240" w:lineRule="auto"/>
              <w:ind w:left="199" w:right="181" w:firstLine="0"/>
              <w:jc w:val="left"/>
              <w:rPr>
                <w:rFonts w:hint="default" w:ascii="Times New Roman" w:hAnsi="Times New Roman" w:eastAsia="宋体" w:cs="Times New Roman"/>
                <w:color w:val="auto"/>
                <w:spacing w:val="5"/>
                <w:highlight w:val="none"/>
                <w:lang w:eastAsia="zh-CN"/>
              </w:rPr>
            </w:pPr>
            <w:r>
              <w:rPr>
                <w:rFonts w:hint="default" w:ascii="Times New Roman" w:hAnsi="Times New Roman" w:eastAsia="宋体" w:cs="Times New Roman"/>
                <w:color w:val="auto"/>
                <w:spacing w:val="5"/>
                <w:highlight w:val="none"/>
              </w:rPr>
              <w:t>（2）获得过省级质量工程奖项的，每项得0.</w:t>
            </w:r>
            <w:r>
              <w:rPr>
                <w:rFonts w:hint="default" w:ascii="Times New Roman" w:hAnsi="Times New Roman" w:cs="Times New Roman"/>
                <w:color w:val="auto"/>
                <w:spacing w:val="5"/>
                <w:highlight w:val="none"/>
                <w:lang w:val="en-US" w:eastAsia="zh-CN"/>
              </w:rPr>
              <w:t>8</w:t>
            </w:r>
            <w:r>
              <w:rPr>
                <w:rFonts w:hint="default" w:ascii="Times New Roman" w:hAnsi="Times New Roman" w:eastAsia="宋体" w:cs="Times New Roman"/>
                <w:color w:val="auto"/>
                <w:spacing w:val="5"/>
                <w:highlight w:val="none"/>
              </w:rPr>
              <w:t>分</w:t>
            </w:r>
            <w:r>
              <w:rPr>
                <w:rFonts w:hint="default" w:ascii="Times New Roman" w:hAnsi="Times New Roman" w:cs="Times New Roman"/>
                <w:color w:val="auto"/>
                <w:spacing w:val="5"/>
                <w:highlight w:val="none"/>
                <w:lang w:eastAsia="zh-CN"/>
              </w:rPr>
              <w:t>。</w:t>
            </w:r>
          </w:p>
          <w:p w14:paraId="0529FFBC">
            <w:pPr>
              <w:pStyle w:val="27"/>
              <w:numPr>
                <w:ilvl w:val="-1"/>
                <w:numId w:val="0"/>
              </w:numPr>
              <w:spacing w:before="118" w:line="240" w:lineRule="auto"/>
              <w:ind w:left="199" w:right="181" w:firstLine="0"/>
              <w:jc w:val="left"/>
              <w:rPr>
                <w:rFonts w:hint="default" w:ascii="Times New Roman" w:hAnsi="Times New Roman" w:eastAsia="宋体" w:cs="Times New Roman"/>
                <w:color w:val="auto"/>
                <w:spacing w:val="5"/>
                <w:highlight w:val="none"/>
              </w:rPr>
            </w:pPr>
            <w:r>
              <w:rPr>
                <w:rFonts w:hint="default" w:ascii="Times New Roman" w:hAnsi="Times New Roman" w:eastAsia="宋体" w:cs="Times New Roman"/>
                <w:color w:val="auto"/>
                <w:spacing w:val="5"/>
                <w:highlight w:val="none"/>
              </w:rPr>
              <w:t>（3）获得过市级质量工程奖项的，每项得0.</w:t>
            </w:r>
            <w:r>
              <w:rPr>
                <w:rFonts w:hint="default" w:ascii="Times New Roman" w:hAnsi="Times New Roman" w:cs="Times New Roman"/>
                <w:color w:val="auto"/>
                <w:spacing w:val="5"/>
                <w:highlight w:val="none"/>
                <w:lang w:val="en-US" w:eastAsia="zh-CN"/>
              </w:rPr>
              <w:t>4</w:t>
            </w:r>
            <w:r>
              <w:rPr>
                <w:rFonts w:hint="default" w:ascii="Times New Roman" w:hAnsi="Times New Roman" w:eastAsia="宋体" w:cs="Times New Roman"/>
                <w:color w:val="auto"/>
                <w:spacing w:val="5"/>
                <w:highlight w:val="none"/>
              </w:rPr>
              <w:t>分。</w:t>
            </w:r>
          </w:p>
          <w:p w14:paraId="287382E9">
            <w:pPr>
              <w:pStyle w:val="27"/>
              <w:numPr>
                <w:ilvl w:val="-1"/>
                <w:numId w:val="0"/>
              </w:numPr>
              <w:spacing w:before="118" w:line="240" w:lineRule="auto"/>
              <w:ind w:left="199" w:right="181" w:firstLine="0"/>
              <w:jc w:val="left"/>
              <w:rPr>
                <w:rFonts w:hint="default" w:ascii="Times New Roman" w:hAnsi="Times New Roman" w:eastAsia="宋体" w:cs="Times New Roman"/>
                <w:color w:val="auto"/>
                <w:spacing w:val="5"/>
                <w:highlight w:val="none"/>
                <w:lang w:eastAsia="zh-CN"/>
              </w:rPr>
            </w:pPr>
            <w:r>
              <w:rPr>
                <w:rFonts w:hint="default" w:ascii="Times New Roman" w:hAnsi="Times New Roman" w:eastAsia="宋体" w:cs="Times New Roman"/>
                <w:color w:val="auto"/>
                <w:spacing w:val="5"/>
                <w:highlight w:val="none"/>
              </w:rPr>
              <w:t>不符合上述条件的不得分，本项最高得</w:t>
            </w:r>
            <w:r>
              <w:rPr>
                <w:rFonts w:hint="default" w:ascii="Times New Roman" w:hAnsi="Times New Roman" w:cs="Times New Roman"/>
                <w:color w:val="auto"/>
                <w:spacing w:val="5"/>
                <w:highlight w:val="none"/>
                <w:lang w:val="en-US" w:eastAsia="zh-CN"/>
              </w:rPr>
              <w:t>8</w:t>
            </w:r>
            <w:r>
              <w:rPr>
                <w:rFonts w:hint="default" w:ascii="Times New Roman" w:hAnsi="Times New Roman" w:eastAsia="宋体" w:cs="Times New Roman"/>
                <w:color w:val="auto"/>
                <w:spacing w:val="5"/>
                <w:highlight w:val="none"/>
              </w:rPr>
              <w:t>分。</w:t>
            </w:r>
          </w:p>
        </w:tc>
      </w:tr>
      <w:tr w14:paraId="43771D25">
        <w:tblPrEx>
          <w:tblBorders>
            <w:top w:val="single" w:color="080000" w:sz="6" w:space="0"/>
            <w:left w:val="single" w:color="080000" w:sz="6" w:space="0"/>
            <w:bottom w:val="single" w:color="080000" w:sz="6" w:space="0"/>
            <w:right w:val="single" w:color="080000" w:sz="6" w:space="0"/>
            <w:insideH w:val="single" w:color="080000" w:sz="6" w:space="0"/>
            <w:insideV w:val="single" w:color="080000" w:sz="6" w:space="0"/>
          </w:tblBorders>
          <w:tblCellMar>
            <w:top w:w="0" w:type="dxa"/>
            <w:left w:w="0" w:type="dxa"/>
            <w:bottom w:w="0" w:type="dxa"/>
            <w:right w:w="0" w:type="dxa"/>
          </w:tblCellMar>
        </w:tblPrEx>
        <w:trPr>
          <w:trHeight w:val="1255" w:hRule="atLeast"/>
        </w:trPr>
        <w:tc>
          <w:tcPr>
            <w:tcW w:w="233" w:type="pct"/>
            <w:vMerge w:val="continue"/>
            <w:tcBorders>
              <w:top w:val="nil"/>
              <w:bottom w:val="nil"/>
            </w:tcBorders>
            <w:vAlign w:val="top"/>
          </w:tcPr>
          <w:p w14:paraId="6E0835D8">
            <w:pPr>
              <w:rPr>
                <w:rFonts w:hint="default" w:ascii="Times New Roman" w:hAnsi="Times New Roman" w:cs="Times New Roman"/>
                <w:color w:val="auto"/>
                <w:sz w:val="21"/>
                <w:highlight w:val="none"/>
              </w:rPr>
            </w:pPr>
          </w:p>
        </w:tc>
        <w:tc>
          <w:tcPr>
            <w:tcW w:w="509" w:type="pct"/>
            <w:vMerge w:val="continue"/>
            <w:tcBorders>
              <w:top w:val="nil"/>
              <w:bottom w:val="nil"/>
            </w:tcBorders>
            <w:vAlign w:val="top"/>
          </w:tcPr>
          <w:p w14:paraId="6D8FFF02">
            <w:pPr>
              <w:rPr>
                <w:rFonts w:hint="default" w:ascii="Times New Roman" w:hAnsi="Times New Roman" w:cs="Times New Roman"/>
                <w:color w:val="auto"/>
                <w:sz w:val="21"/>
                <w:highlight w:val="none"/>
              </w:rPr>
            </w:pPr>
          </w:p>
        </w:tc>
        <w:tc>
          <w:tcPr>
            <w:tcW w:w="1236" w:type="dxa"/>
            <w:vAlign w:val="top"/>
          </w:tcPr>
          <w:p w14:paraId="0C346C43">
            <w:pPr>
              <w:spacing w:line="240" w:lineRule="auto"/>
              <w:jc w:val="left"/>
              <w:rPr>
                <w:rFonts w:hint="default" w:ascii="Times New Roman" w:hAnsi="Times New Roman" w:cs="Times New Roman"/>
                <w:b/>
                <w:bCs/>
                <w:color w:val="FF0000"/>
                <w:sz w:val="21"/>
                <w:highlight w:val="none"/>
                <w:u w:val="single"/>
              </w:rPr>
            </w:pPr>
          </w:p>
          <w:p w14:paraId="2FDB3575">
            <w:pPr>
              <w:spacing w:line="240" w:lineRule="auto"/>
              <w:jc w:val="left"/>
              <w:rPr>
                <w:rFonts w:hint="default" w:ascii="Times New Roman" w:hAnsi="Times New Roman" w:cs="Times New Roman"/>
                <w:b/>
                <w:bCs/>
                <w:color w:val="FF0000"/>
                <w:sz w:val="21"/>
                <w:highlight w:val="none"/>
                <w:u w:val="single"/>
              </w:rPr>
            </w:pPr>
          </w:p>
          <w:p w14:paraId="1AFA7949">
            <w:pPr>
              <w:pStyle w:val="27"/>
              <w:spacing w:before="65" w:line="240" w:lineRule="auto"/>
              <w:ind w:left="377" w:leftChars="0" w:right="166" w:rightChars="0" w:hanging="216" w:firstLineChars="0"/>
              <w:jc w:val="left"/>
              <w:rPr>
                <w:rFonts w:hint="default" w:ascii="Times New Roman" w:hAnsi="Times New Roman" w:cs="Times New Roman"/>
                <w:b/>
                <w:bCs/>
                <w:color w:val="FF0000"/>
                <w:highlight w:val="none"/>
                <w:u w:val="single"/>
              </w:rPr>
            </w:pPr>
            <w:r>
              <w:rPr>
                <w:rFonts w:hint="default" w:ascii="Times New Roman" w:hAnsi="Times New Roman" w:cs="Times New Roman"/>
                <w:b/>
                <w:bCs/>
                <w:color w:val="FF0000"/>
                <w:spacing w:val="6"/>
                <w:highlight w:val="none"/>
                <w:u w:val="single"/>
              </w:rPr>
              <w:t>工程研发</w:t>
            </w:r>
            <w:r>
              <w:rPr>
                <w:rFonts w:hint="default" w:ascii="Times New Roman" w:hAnsi="Times New Roman" w:cs="Times New Roman"/>
                <w:b/>
                <w:bCs/>
                <w:color w:val="FF0000"/>
                <w:highlight w:val="none"/>
                <w:u w:val="single"/>
              </w:rPr>
              <w:t>能力</w:t>
            </w:r>
          </w:p>
        </w:tc>
        <w:tc>
          <w:tcPr>
            <w:tcW w:w="846" w:type="dxa"/>
            <w:vAlign w:val="top"/>
          </w:tcPr>
          <w:p w14:paraId="60224BC4">
            <w:pPr>
              <w:spacing w:line="240" w:lineRule="auto"/>
              <w:rPr>
                <w:rFonts w:hint="default" w:ascii="Times New Roman" w:hAnsi="Times New Roman" w:cs="Times New Roman"/>
                <w:b/>
                <w:bCs/>
                <w:color w:val="FF0000"/>
                <w:sz w:val="21"/>
                <w:highlight w:val="none"/>
                <w:u w:val="single"/>
              </w:rPr>
            </w:pPr>
          </w:p>
          <w:p w14:paraId="29439183">
            <w:pPr>
              <w:spacing w:line="240" w:lineRule="auto"/>
              <w:rPr>
                <w:rFonts w:hint="default" w:ascii="Times New Roman" w:hAnsi="Times New Roman" w:cs="Times New Roman"/>
                <w:b/>
                <w:bCs/>
                <w:color w:val="FF0000"/>
                <w:sz w:val="21"/>
                <w:highlight w:val="none"/>
                <w:u w:val="single"/>
              </w:rPr>
            </w:pPr>
          </w:p>
          <w:p w14:paraId="401833EE">
            <w:pPr>
              <w:spacing w:line="240" w:lineRule="auto"/>
              <w:rPr>
                <w:rFonts w:hint="default" w:ascii="Times New Roman" w:hAnsi="Times New Roman" w:cs="Times New Roman"/>
                <w:b/>
                <w:bCs/>
                <w:color w:val="FF0000"/>
                <w:sz w:val="21"/>
                <w:highlight w:val="none"/>
                <w:u w:val="single"/>
              </w:rPr>
            </w:pPr>
          </w:p>
          <w:p w14:paraId="723318B9">
            <w:pPr>
              <w:pStyle w:val="27"/>
              <w:spacing w:before="65" w:line="240" w:lineRule="auto"/>
              <w:ind w:left="302" w:leftChars="0"/>
              <w:rPr>
                <w:rFonts w:hint="default" w:ascii="Times New Roman" w:hAnsi="Times New Roman" w:eastAsia="宋体" w:cs="Times New Roman"/>
                <w:b/>
                <w:bCs/>
                <w:color w:val="FF0000"/>
                <w:highlight w:val="none"/>
                <w:u w:val="single"/>
                <w:lang w:val="en-US" w:eastAsia="zh-CN"/>
              </w:rPr>
            </w:pPr>
            <w:r>
              <w:rPr>
                <w:rFonts w:hint="default" w:ascii="Times New Roman" w:hAnsi="Times New Roman" w:cs="Times New Roman"/>
                <w:b/>
                <w:bCs/>
                <w:color w:val="FF0000"/>
                <w:highlight w:val="none"/>
                <w:u w:val="single"/>
                <w:lang w:val="en-US" w:eastAsia="zh-CN"/>
              </w:rPr>
              <w:t>12</w:t>
            </w:r>
          </w:p>
        </w:tc>
        <w:tc>
          <w:tcPr>
            <w:tcW w:w="9356" w:type="dxa"/>
            <w:vAlign w:val="top"/>
          </w:tcPr>
          <w:p w14:paraId="1830CFC7">
            <w:pPr>
              <w:pStyle w:val="27"/>
              <w:spacing w:before="118" w:line="240" w:lineRule="auto"/>
              <w:ind w:left="193" w:right="181" w:firstLine="6"/>
              <w:jc w:val="left"/>
              <w:rPr>
                <w:rFonts w:hint="default" w:ascii="Times New Roman" w:hAnsi="Times New Roman" w:cs="Times New Roman"/>
                <w:b/>
                <w:bCs/>
                <w:color w:val="FF0000"/>
                <w:spacing w:val="5"/>
                <w:highlight w:val="none"/>
                <w:u w:val="single"/>
                <w:lang w:eastAsia="zh-CN"/>
              </w:rPr>
            </w:pPr>
            <w:r>
              <w:rPr>
                <w:rFonts w:hint="default" w:ascii="Times New Roman" w:hAnsi="Times New Roman" w:eastAsia="宋体" w:cs="Times New Roman"/>
                <w:b/>
                <w:bCs/>
                <w:color w:val="FF0000"/>
                <w:spacing w:val="5"/>
                <w:highlight w:val="none"/>
                <w:u w:val="single"/>
              </w:rPr>
              <w:t>自202</w:t>
            </w:r>
            <w:r>
              <w:rPr>
                <w:rFonts w:hint="default" w:ascii="Times New Roman" w:hAnsi="Times New Roman" w:cs="Times New Roman"/>
                <w:b/>
                <w:bCs/>
                <w:color w:val="FF0000"/>
                <w:spacing w:val="5"/>
                <w:highlight w:val="none"/>
                <w:u w:val="single"/>
                <w:lang w:val="en-US" w:eastAsia="zh-CN"/>
              </w:rPr>
              <w:t>1</w:t>
            </w:r>
            <w:r>
              <w:rPr>
                <w:rFonts w:hint="default" w:ascii="Times New Roman" w:hAnsi="Times New Roman" w:eastAsia="宋体" w:cs="Times New Roman"/>
                <w:b/>
                <w:bCs/>
                <w:color w:val="FF0000"/>
                <w:spacing w:val="5"/>
                <w:highlight w:val="none"/>
                <w:u w:val="single"/>
              </w:rPr>
              <w:t>年1月1日至投标截止时间止，获得过房屋建筑工程</w:t>
            </w:r>
            <w:r>
              <w:rPr>
                <w:rFonts w:hint="default" w:ascii="Times New Roman" w:hAnsi="Times New Roman" w:cs="Times New Roman"/>
                <w:b/>
                <w:bCs/>
                <w:color w:val="FF0000"/>
                <w:spacing w:val="5"/>
                <w:highlight w:val="none"/>
                <w:u w:val="single"/>
                <w:lang w:val="en-US" w:eastAsia="zh-CN"/>
              </w:rPr>
              <w:t>类</w:t>
            </w:r>
            <w:r>
              <w:rPr>
                <w:rFonts w:hint="default" w:ascii="Times New Roman" w:hAnsi="Times New Roman" w:eastAsia="宋体" w:cs="Times New Roman"/>
                <w:b/>
                <w:bCs/>
                <w:color w:val="FF0000"/>
                <w:spacing w:val="5"/>
                <w:highlight w:val="none"/>
                <w:u w:val="single"/>
              </w:rPr>
              <w:t>工法证书</w:t>
            </w:r>
            <w:r>
              <w:rPr>
                <w:rFonts w:hint="default" w:ascii="Times New Roman" w:hAnsi="Times New Roman" w:cs="Times New Roman"/>
                <w:b/>
                <w:bCs/>
                <w:color w:val="FF0000"/>
                <w:spacing w:val="5"/>
                <w:highlight w:val="none"/>
                <w:u w:val="single"/>
                <w:lang w:eastAsia="zh-CN"/>
              </w:rPr>
              <w:t>：</w:t>
            </w:r>
          </w:p>
          <w:p w14:paraId="2C52DC80">
            <w:pPr>
              <w:pStyle w:val="27"/>
              <w:numPr>
                <w:ilvl w:val="0"/>
                <w:numId w:val="0"/>
              </w:numPr>
              <w:spacing w:before="118" w:line="240" w:lineRule="auto"/>
              <w:ind w:left="193" w:leftChars="0" w:right="181" w:rightChars="0" w:firstLine="6" w:firstLineChars="0"/>
              <w:jc w:val="left"/>
              <w:rPr>
                <w:rFonts w:hint="default" w:ascii="Times New Roman" w:hAnsi="Times New Roman" w:cs="Times New Roman"/>
                <w:b/>
                <w:bCs/>
                <w:color w:val="FF0000"/>
                <w:spacing w:val="5"/>
                <w:highlight w:val="none"/>
                <w:u w:val="single"/>
                <w:lang w:eastAsia="zh-CN"/>
              </w:rPr>
            </w:pPr>
            <w:r>
              <w:rPr>
                <w:rFonts w:hint="default" w:ascii="Times New Roman" w:hAnsi="Times New Roman" w:eastAsia="宋体" w:cs="Times New Roman"/>
                <w:b/>
                <w:bCs/>
                <w:color w:val="FF0000"/>
                <w:spacing w:val="5"/>
                <w:highlight w:val="none"/>
                <w:u w:val="single"/>
              </w:rPr>
              <w:t>获得过</w:t>
            </w:r>
            <w:r>
              <w:rPr>
                <w:rFonts w:hint="default" w:ascii="Times New Roman" w:hAnsi="Times New Roman" w:cs="Times New Roman"/>
                <w:b/>
                <w:bCs/>
                <w:color w:val="FF0000"/>
                <w:spacing w:val="5"/>
                <w:highlight w:val="none"/>
                <w:u w:val="single"/>
                <w:lang w:val="en-US" w:eastAsia="zh-CN"/>
              </w:rPr>
              <w:t>省</w:t>
            </w:r>
            <w:r>
              <w:rPr>
                <w:rFonts w:hint="default" w:ascii="Times New Roman" w:hAnsi="Times New Roman" w:eastAsia="宋体" w:cs="Times New Roman"/>
                <w:b/>
                <w:bCs/>
                <w:color w:val="FF0000"/>
                <w:spacing w:val="5"/>
                <w:highlight w:val="none"/>
                <w:u w:val="single"/>
              </w:rPr>
              <w:t>级</w:t>
            </w:r>
            <w:r>
              <w:rPr>
                <w:rFonts w:hint="default" w:ascii="Times New Roman" w:hAnsi="Times New Roman" w:cs="Times New Roman"/>
                <w:b/>
                <w:bCs/>
                <w:color w:val="FF0000"/>
                <w:spacing w:val="5"/>
                <w:highlight w:val="none"/>
                <w:u w:val="single"/>
                <w:lang w:val="en-US" w:eastAsia="zh-CN"/>
              </w:rPr>
              <w:t>或以上</w:t>
            </w:r>
            <w:r>
              <w:rPr>
                <w:rFonts w:hint="default" w:ascii="Times New Roman" w:hAnsi="Times New Roman" w:eastAsia="宋体" w:cs="Times New Roman"/>
                <w:b/>
                <w:bCs/>
                <w:color w:val="FF0000"/>
                <w:spacing w:val="5"/>
                <w:highlight w:val="none"/>
                <w:u w:val="single"/>
              </w:rPr>
              <w:t>工法证书，</w:t>
            </w:r>
            <w:r>
              <w:rPr>
                <w:rFonts w:hint="default" w:ascii="Times New Roman" w:hAnsi="Times New Roman" w:cs="Times New Roman"/>
                <w:b/>
                <w:bCs/>
                <w:color w:val="FF0000"/>
                <w:spacing w:val="5"/>
                <w:highlight w:val="none"/>
                <w:u w:val="single"/>
                <w:lang w:val="en-US" w:eastAsia="zh-CN"/>
              </w:rPr>
              <w:t>每项</w:t>
            </w:r>
            <w:r>
              <w:rPr>
                <w:rFonts w:hint="default" w:ascii="Times New Roman" w:hAnsi="Times New Roman" w:eastAsia="宋体" w:cs="Times New Roman"/>
                <w:b/>
                <w:bCs/>
                <w:color w:val="FF0000"/>
                <w:spacing w:val="5"/>
                <w:highlight w:val="none"/>
                <w:u w:val="single"/>
              </w:rPr>
              <w:t>得</w:t>
            </w:r>
            <w:r>
              <w:rPr>
                <w:rFonts w:hint="default" w:ascii="Times New Roman" w:hAnsi="Times New Roman" w:cs="Times New Roman"/>
                <w:b/>
                <w:bCs/>
                <w:color w:val="FF0000"/>
                <w:spacing w:val="5"/>
                <w:highlight w:val="none"/>
                <w:u w:val="single"/>
                <w:lang w:val="en-US" w:eastAsia="zh-CN"/>
              </w:rPr>
              <w:t>1.5</w:t>
            </w:r>
            <w:r>
              <w:rPr>
                <w:rFonts w:hint="default" w:ascii="Times New Roman" w:hAnsi="Times New Roman" w:eastAsia="宋体" w:cs="Times New Roman"/>
                <w:b/>
                <w:bCs/>
                <w:color w:val="FF0000"/>
                <w:spacing w:val="5"/>
                <w:highlight w:val="none"/>
                <w:u w:val="single"/>
              </w:rPr>
              <w:t>分</w:t>
            </w:r>
            <w:r>
              <w:rPr>
                <w:rFonts w:hint="default" w:ascii="Times New Roman" w:hAnsi="Times New Roman" w:cs="Times New Roman"/>
                <w:b/>
                <w:bCs/>
                <w:color w:val="FF0000"/>
                <w:spacing w:val="5"/>
                <w:highlight w:val="none"/>
                <w:u w:val="single"/>
                <w:lang w:eastAsia="zh-CN"/>
              </w:rPr>
              <w:t>。</w:t>
            </w:r>
          </w:p>
          <w:p w14:paraId="64C3C76E">
            <w:pPr>
              <w:pStyle w:val="27"/>
              <w:spacing w:before="118" w:line="240" w:lineRule="auto"/>
              <w:ind w:left="193" w:leftChars="0" w:right="181" w:rightChars="0" w:firstLine="6" w:firstLineChars="0"/>
              <w:jc w:val="left"/>
              <w:rPr>
                <w:rFonts w:hint="default" w:ascii="Times New Roman" w:hAnsi="Times New Roman" w:eastAsia="宋体" w:cs="Times New Roman"/>
                <w:b/>
                <w:bCs/>
                <w:color w:val="FF0000"/>
                <w:spacing w:val="5"/>
                <w:highlight w:val="none"/>
                <w:u w:val="single"/>
              </w:rPr>
            </w:pPr>
            <w:r>
              <w:rPr>
                <w:rFonts w:hint="default" w:ascii="Times New Roman" w:hAnsi="Times New Roman" w:eastAsia="宋体" w:cs="Times New Roman"/>
                <w:b/>
                <w:bCs/>
                <w:color w:val="FF0000"/>
                <w:spacing w:val="5"/>
                <w:highlight w:val="none"/>
                <w:u w:val="single"/>
              </w:rPr>
              <w:t>本项最</w:t>
            </w:r>
            <w:r>
              <w:rPr>
                <w:rFonts w:hint="default" w:ascii="Times New Roman" w:hAnsi="Times New Roman" w:cs="Times New Roman"/>
                <w:b/>
                <w:bCs/>
                <w:color w:val="FF0000"/>
                <w:spacing w:val="5"/>
                <w:highlight w:val="none"/>
                <w:u w:val="single"/>
                <w:lang w:val="en-US" w:eastAsia="zh-CN"/>
              </w:rPr>
              <w:t>高</w:t>
            </w:r>
            <w:r>
              <w:rPr>
                <w:rFonts w:hint="default" w:ascii="Times New Roman" w:hAnsi="Times New Roman" w:eastAsia="宋体" w:cs="Times New Roman"/>
                <w:b/>
                <w:bCs/>
                <w:color w:val="FF0000"/>
                <w:spacing w:val="5"/>
                <w:highlight w:val="none"/>
                <w:u w:val="single"/>
              </w:rPr>
              <w:t>得</w:t>
            </w:r>
            <w:r>
              <w:rPr>
                <w:rFonts w:hint="default" w:ascii="Times New Roman" w:hAnsi="Times New Roman" w:cs="Times New Roman"/>
                <w:b/>
                <w:bCs/>
                <w:color w:val="FF0000"/>
                <w:spacing w:val="5"/>
                <w:highlight w:val="none"/>
                <w:u w:val="single"/>
                <w:lang w:val="en-US" w:eastAsia="zh-CN"/>
              </w:rPr>
              <w:t>12</w:t>
            </w:r>
            <w:r>
              <w:rPr>
                <w:rFonts w:hint="default" w:ascii="Times New Roman" w:hAnsi="Times New Roman" w:eastAsia="宋体" w:cs="Times New Roman"/>
                <w:b/>
                <w:bCs/>
                <w:color w:val="FF0000"/>
                <w:spacing w:val="5"/>
                <w:highlight w:val="none"/>
                <w:u w:val="single"/>
              </w:rPr>
              <w:t>分。</w:t>
            </w:r>
          </w:p>
        </w:tc>
      </w:tr>
      <w:tr w14:paraId="3F9699F8">
        <w:tblPrEx>
          <w:tblBorders>
            <w:top w:val="single" w:color="080000" w:sz="6" w:space="0"/>
            <w:left w:val="single" w:color="080000" w:sz="6" w:space="0"/>
            <w:bottom w:val="single" w:color="080000" w:sz="6" w:space="0"/>
            <w:right w:val="single" w:color="080000" w:sz="6" w:space="0"/>
            <w:insideH w:val="single" w:color="080000" w:sz="6" w:space="0"/>
            <w:insideV w:val="single" w:color="080000" w:sz="6" w:space="0"/>
          </w:tblBorders>
          <w:tblCellMar>
            <w:top w:w="0" w:type="dxa"/>
            <w:left w:w="0" w:type="dxa"/>
            <w:bottom w:w="0" w:type="dxa"/>
            <w:right w:w="0" w:type="dxa"/>
          </w:tblCellMar>
        </w:tblPrEx>
        <w:trPr>
          <w:trHeight w:val="1283" w:hRule="atLeast"/>
        </w:trPr>
        <w:tc>
          <w:tcPr>
            <w:tcW w:w="233" w:type="pct"/>
            <w:vMerge w:val="continue"/>
            <w:tcBorders>
              <w:top w:val="nil"/>
            </w:tcBorders>
            <w:vAlign w:val="top"/>
          </w:tcPr>
          <w:p w14:paraId="7BE566B0">
            <w:pPr>
              <w:rPr>
                <w:rFonts w:hint="default" w:ascii="Times New Roman" w:hAnsi="Times New Roman" w:cs="Times New Roman"/>
                <w:color w:val="auto"/>
                <w:sz w:val="21"/>
                <w:highlight w:val="none"/>
              </w:rPr>
            </w:pPr>
          </w:p>
        </w:tc>
        <w:tc>
          <w:tcPr>
            <w:tcW w:w="509" w:type="pct"/>
            <w:vMerge w:val="continue"/>
            <w:tcBorders>
              <w:top w:val="nil"/>
            </w:tcBorders>
            <w:vAlign w:val="top"/>
          </w:tcPr>
          <w:p w14:paraId="39050E33">
            <w:pPr>
              <w:rPr>
                <w:rFonts w:hint="default" w:ascii="Times New Roman" w:hAnsi="Times New Roman" w:cs="Times New Roman"/>
                <w:color w:val="auto"/>
                <w:sz w:val="21"/>
                <w:highlight w:val="none"/>
              </w:rPr>
            </w:pPr>
          </w:p>
        </w:tc>
        <w:tc>
          <w:tcPr>
            <w:tcW w:w="460" w:type="pct"/>
            <w:vAlign w:val="top"/>
          </w:tcPr>
          <w:p w14:paraId="036E1AA8">
            <w:pPr>
              <w:spacing w:line="240" w:lineRule="auto"/>
              <w:jc w:val="left"/>
              <w:rPr>
                <w:rFonts w:hint="default" w:ascii="Times New Roman" w:hAnsi="Times New Roman" w:cs="Times New Roman"/>
                <w:b/>
                <w:bCs/>
                <w:color w:val="FF0000"/>
                <w:sz w:val="21"/>
                <w:highlight w:val="none"/>
                <w:u w:val="single"/>
              </w:rPr>
            </w:pPr>
          </w:p>
          <w:p w14:paraId="3536811C">
            <w:pPr>
              <w:pStyle w:val="27"/>
              <w:spacing w:before="65" w:line="240" w:lineRule="auto"/>
              <w:ind w:left="368" w:right="270" w:hanging="104"/>
              <w:jc w:val="left"/>
              <w:rPr>
                <w:rFonts w:hint="default" w:ascii="Times New Roman" w:hAnsi="Times New Roman" w:cs="Times New Roman"/>
                <w:b/>
                <w:bCs/>
                <w:color w:val="FF0000"/>
                <w:highlight w:val="none"/>
                <w:u w:val="single"/>
              </w:rPr>
            </w:pPr>
            <w:r>
              <w:rPr>
                <w:rFonts w:hint="default" w:ascii="Times New Roman" w:hAnsi="Times New Roman" w:cs="Times New Roman"/>
                <w:b/>
                <w:bCs/>
                <w:color w:val="FF0000"/>
                <w:spacing w:val="6"/>
                <w:highlight w:val="none"/>
                <w:u w:val="single"/>
              </w:rPr>
              <w:t>第三方</w:t>
            </w:r>
            <w:r>
              <w:rPr>
                <w:rFonts w:hint="default" w:ascii="Times New Roman" w:hAnsi="Times New Roman" w:cs="Times New Roman"/>
                <w:b/>
                <w:bCs/>
                <w:color w:val="FF0000"/>
                <w:spacing w:val="5"/>
                <w:highlight w:val="none"/>
                <w:u w:val="single"/>
              </w:rPr>
              <w:t>评价</w:t>
            </w:r>
          </w:p>
        </w:tc>
        <w:tc>
          <w:tcPr>
            <w:tcW w:w="846" w:type="dxa"/>
            <w:vAlign w:val="center"/>
          </w:tcPr>
          <w:p w14:paraId="1A1972E5">
            <w:pPr>
              <w:spacing w:line="240" w:lineRule="auto"/>
              <w:jc w:val="left"/>
              <w:rPr>
                <w:rFonts w:hint="default" w:ascii="Times New Roman" w:hAnsi="Times New Roman" w:cs="Times New Roman"/>
                <w:b/>
                <w:bCs/>
                <w:color w:val="FF0000"/>
                <w:sz w:val="21"/>
                <w:highlight w:val="none"/>
                <w:u w:val="single"/>
              </w:rPr>
            </w:pPr>
          </w:p>
          <w:p w14:paraId="40A7FFAC">
            <w:pPr>
              <w:pStyle w:val="27"/>
              <w:spacing w:before="65" w:line="240" w:lineRule="auto"/>
              <w:ind w:left="303" w:leftChars="0"/>
              <w:jc w:val="left"/>
              <w:rPr>
                <w:rFonts w:hint="default" w:ascii="Times New Roman" w:hAnsi="Times New Roman" w:eastAsia="宋体" w:cs="Times New Roman"/>
                <w:b/>
                <w:bCs/>
                <w:color w:val="FF0000"/>
                <w:highlight w:val="none"/>
                <w:u w:val="single"/>
                <w:lang w:eastAsia="zh-CN"/>
              </w:rPr>
            </w:pPr>
            <w:r>
              <w:rPr>
                <w:rFonts w:hint="default" w:ascii="Times New Roman" w:hAnsi="Times New Roman" w:cs="Times New Roman"/>
                <w:b/>
                <w:bCs/>
                <w:color w:val="FF0000"/>
                <w:highlight w:val="none"/>
                <w:u w:val="single"/>
                <w:lang w:val="en-US" w:eastAsia="zh-CN"/>
              </w:rPr>
              <w:t>8</w:t>
            </w:r>
          </w:p>
        </w:tc>
        <w:tc>
          <w:tcPr>
            <w:tcW w:w="9356" w:type="dxa"/>
            <w:vAlign w:val="center"/>
          </w:tcPr>
          <w:p w14:paraId="03480036">
            <w:pPr>
              <w:pStyle w:val="27"/>
              <w:spacing w:before="118" w:line="240" w:lineRule="auto"/>
              <w:ind w:left="193" w:right="181" w:firstLine="6"/>
              <w:jc w:val="left"/>
              <w:rPr>
                <w:rFonts w:hint="default" w:ascii="Times New Roman" w:hAnsi="Times New Roman" w:eastAsia="宋体" w:cs="Times New Roman"/>
                <w:b/>
                <w:bCs/>
                <w:color w:val="FF0000"/>
                <w:spacing w:val="5"/>
                <w:highlight w:val="none"/>
                <w:u w:val="single"/>
              </w:rPr>
            </w:pPr>
            <w:r>
              <w:rPr>
                <w:rFonts w:hint="default" w:ascii="Times New Roman" w:hAnsi="Times New Roman" w:eastAsia="宋体" w:cs="Times New Roman"/>
                <w:b/>
                <w:bCs/>
                <w:color w:val="FF0000"/>
                <w:spacing w:val="5"/>
                <w:highlight w:val="none"/>
                <w:u w:val="single"/>
              </w:rPr>
              <w:t>1、投标人自202</w:t>
            </w:r>
            <w:r>
              <w:rPr>
                <w:rFonts w:hint="default" w:ascii="Times New Roman" w:hAnsi="Times New Roman" w:cs="Times New Roman"/>
                <w:b/>
                <w:bCs/>
                <w:color w:val="FF0000"/>
                <w:spacing w:val="5"/>
                <w:highlight w:val="none"/>
                <w:u w:val="single"/>
                <w:lang w:val="en-US" w:eastAsia="zh-CN"/>
              </w:rPr>
              <w:t>1</w:t>
            </w:r>
            <w:r>
              <w:rPr>
                <w:rFonts w:hint="default" w:ascii="Times New Roman" w:hAnsi="Times New Roman" w:eastAsia="宋体" w:cs="Times New Roman"/>
                <w:b/>
                <w:bCs/>
                <w:color w:val="FF0000"/>
                <w:spacing w:val="5"/>
                <w:highlight w:val="none"/>
                <w:u w:val="single"/>
              </w:rPr>
              <w:t>年1月1日至投标截止时间止，获得过省级或以上“科技创新企业”类相关证书每项得</w:t>
            </w:r>
            <w:r>
              <w:rPr>
                <w:rFonts w:hint="default" w:ascii="Times New Roman" w:hAnsi="Times New Roman" w:cs="Times New Roman"/>
                <w:b/>
                <w:bCs/>
                <w:color w:val="FF0000"/>
                <w:spacing w:val="5"/>
                <w:highlight w:val="none"/>
                <w:u w:val="single"/>
                <w:lang w:val="en-US" w:eastAsia="zh-CN"/>
              </w:rPr>
              <w:t>5</w:t>
            </w:r>
            <w:r>
              <w:rPr>
                <w:rFonts w:hint="default" w:ascii="Times New Roman" w:hAnsi="Times New Roman" w:eastAsia="宋体" w:cs="Times New Roman"/>
                <w:b/>
                <w:bCs/>
                <w:color w:val="FF0000"/>
                <w:spacing w:val="5"/>
                <w:highlight w:val="none"/>
                <w:u w:val="single"/>
              </w:rPr>
              <w:t>分，</w:t>
            </w:r>
            <w:r>
              <w:rPr>
                <w:rFonts w:hint="default" w:ascii="Times New Roman" w:hAnsi="Times New Roman" w:cs="Times New Roman"/>
                <w:b/>
                <w:bCs/>
                <w:color w:val="FF0000"/>
                <w:spacing w:val="5"/>
                <w:highlight w:val="none"/>
                <w:u w:val="single"/>
                <w:lang w:val="en-US" w:eastAsia="zh-CN"/>
              </w:rPr>
              <w:t>本小项</w:t>
            </w:r>
            <w:r>
              <w:rPr>
                <w:rFonts w:hint="default" w:ascii="Times New Roman" w:hAnsi="Times New Roman" w:eastAsia="宋体" w:cs="Times New Roman"/>
                <w:b/>
                <w:bCs/>
                <w:color w:val="FF0000"/>
                <w:spacing w:val="5"/>
                <w:highlight w:val="none"/>
                <w:u w:val="single"/>
              </w:rPr>
              <w:t>最高得</w:t>
            </w:r>
            <w:r>
              <w:rPr>
                <w:rFonts w:hint="default" w:ascii="Times New Roman" w:hAnsi="Times New Roman" w:cs="Times New Roman"/>
                <w:b/>
                <w:bCs/>
                <w:color w:val="FF0000"/>
                <w:spacing w:val="5"/>
                <w:highlight w:val="none"/>
                <w:u w:val="single"/>
                <w:lang w:val="en-US" w:eastAsia="zh-CN"/>
              </w:rPr>
              <w:t>5</w:t>
            </w:r>
            <w:r>
              <w:rPr>
                <w:rFonts w:hint="default" w:ascii="Times New Roman" w:hAnsi="Times New Roman" w:eastAsia="宋体" w:cs="Times New Roman"/>
                <w:b/>
                <w:bCs/>
                <w:color w:val="FF0000"/>
                <w:spacing w:val="5"/>
                <w:highlight w:val="none"/>
                <w:u w:val="single"/>
              </w:rPr>
              <w:t>分。</w:t>
            </w:r>
          </w:p>
          <w:p w14:paraId="06177DC1">
            <w:pPr>
              <w:pStyle w:val="27"/>
              <w:spacing w:before="118" w:line="240" w:lineRule="auto"/>
              <w:ind w:left="193" w:right="181" w:firstLine="6"/>
              <w:jc w:val="left"/>
              <w:rPr>
                <w:rFonts w:hint="default" w:ascii="Times New Roman" w:hAnsi="Times New Roman" w:eastAsia="宋体" w:cs="Times New Roman"/>
                <w:b/>
                <w:bCs/>
                <w:color w:val="FF0000"/>
                <w:spacing w:val="5"/>
                <w:highlight w:val="none"/>
                <w:u w:val="single"/>
              </w:rPr>
            </w:pPr>
            <w:r>
              <w:rPr>
                <w:rFonts w:hint="default" w:ascii="Times New Roman" w:hAnsi="Times New Roman" w:eastAsia="宋体" w:cs="Times New Roman"/>
                <w:b/>
                <w:bCs/>
                <w:color w:val="FF0000"/>
                <w:spacing w:val="5"/>
                <w:highlight w:val="none"/>
                <w:u w:val="single"/>
              </w:rPr>
              <w:t>2、投标人有效期内的质量管理体系认证、职业健康安全管理体系认证、环境管理体系认证。</w:t>
            </w:r>
            <w:r>
              <w:rPr>
                <w:rFonts w:hint="default" w:ascii="Times New Roman" w:hAnsi="Times New Roman" w:cs="Times New Roman"/>
                <w:b/>
                <w:bCs/>
                <w:color w:val="FF0000"/>
                <w:spacing w:val="5"/>
                <w:highlight w:val="none"/>
                <w:u w:val="single"/>
                <w:lang w:val="en-US" w:eastAsia="zh-CN"/>
              </w:rPr>
              <w:t>每项得1分</w:t>
            </w:r>
            <w:r>
              <w:rPr>
                <w:rFonts w:hint="default" w:ascii="Times New Roman" w:hAnsi="Times New Roman" w:eastAsia="宋体" w:cs="Times New Roman"/>
                <w:b/>
                <w:bCs/>
                <w:color w:val="FF0000"/>
                <w:spacing w:val="5"/>
                <w:highlight w:val="none"/>
                <w:u w:val="single"/>
              </w:rPr>
              <w:t>；不符合上述条件的不得分，本</w:t>
            </w:r>
            <w:r>
              <w:rPr>
                <w:rFonts w:hint="default" w:ascii="Times New Roman" w:hAnsi="Times New Roman" w:cs="Times New Roman"/>
                <w:b/>
                <w:bCs/>
                <w:color w:val="FF0000"/>
                <w:spacing w:val="5"/>
                <w:highlight w:val="none"/>
                <w:u w:val="single"/>
                <w:lang w:val="en-US" w:eastAsia="zh-CN"/>
              </w:rPr>
              <w:t>小</w:t>
            </w:r>
            <w:r>
              <w:rPr>
                <w:rFonts w:hint="default" w:ascii="Times New Roman" w:hAnsi="Times New Roman" w:eastAsia="宋体" w:cs="Times New Roman"/>
                <w:b/>
                <w:bCs/>
                <w:color w:val="FF0000"/>
                <w:spacing w:val="5"/>
                <w:highlight w:val="none"/>
                <w:u w:val="single"/>
              </w:rPr>
              <w:t>项最高得</w:t>
            </w:r>
            <w:r>
              <w:rPr>
                <w:rFonts w:hint="default" w:ascii="Times New Roman" w:hAnsi="Times New Roman" w:cs="Times New Roman"/>
                <w:b/>
                <w:bCs/>
                <w:color w:val="FF0000"/>
                <w:spacing w:val="5"/>
                <w:highlight w:val="none"/>
                <w:u w:val="single"/>
                <w:lang w:val="en-US" w:eastAsia="zh-CN"/>
              </w:rPr>
              <w:t>3</w:t>
            </w:r>
            <w:r>
              <w:rPr>
                <w:rFonts w:hint="default" w:ascii="Times New Roman" w:hAnsi="Times New Roman" w:eastAsia="宋体" w:cs="Times New Roman"/>
                <w:b/>
                <w:bCs/>
                <w:color w:val="FF0000"/>
                <w:spacing w:val="5"/>
                <w:highlight w:val="none"/>
                <w:u w:val="single"/>
              </w:rPr>
              <w:t>分。</w:t>
            </w:r>
          </w:p>
          <w:p w14:paraId="3C7ADF68">
            <w:pPr>
              <w:pStyle w:val="27"/>
              <w:spacing w:before="118" w:line="240" w:lineRule="auto"/>
              <w:ind w:left="193" w:right="181" w:firstLine="6"/>
              <w:jc w:val="left"/>
              <w:rPr>
                <w:rFonts w:hint="default" w:ascii="Times New Roman" w:hAnsi="Times New Roman" w:eastAsia="宋体" w:cs="Times New Roman"/>
                <w:b/>
                <w:bCs/>
                <w:color w:val="FF0000"/>
                <w:spacing w:val="5"/>
                <w:highlight w:val="none"/>
                <w:u w:val="single"/>
              </w:rPr>
            </w:pPr>
            <w:r>
              <w:rPr>
                <w:rFonts w:hint="default" w:ascii="Times New Roman" w:hAnsi="Times New Roman" w:eastAsia="宋体" w:cs="Times New Roman"/>
                <w:b/>
                <w:bCs/>
                <w:color w:val="FF0000"/>
                <w:spacing w:val="5"/>
                <w:highlight w:val="none"/>
                <w:u w:val="single"/>
              </w:rPr>
              <w:t>本项最高得</w:t>
            </w:r>
            <w:r>
              <w:rPr>
                <w:rFonts w:hint="default" w:ascii="Times New Roman" w:hAnsi="Times New Roman" w:cs="Times New Roman"/>
                <w:b/>
                <w:bCs/>
                <w:color w:val="FF0000"/>
                <w:spacing w:val="5"/>
                <w:highlight w:val="none"/>
                <w:u w:val="single"/>
                <w:lang w:val="en-US" w:eastAsia="zh-CN"/>
              </w:rPr>
              <w:t>8</w:t>
            </w:r>
            <w:r>
              <w:rPr>
                <w:rFonts w:hint="default" w:ascii="Times New Roman" w:hAnsi="Times New Roman" w:eastAsia="宋体" w:cs="Times New Roman"/>
                <w:b/>
                <w:bCs/>
                <w:color w:val="FF0000"/>
                <w:spacing w:val="5"/>
                <w:highlight w:val="none"/>
                <w:u w:val="single"/>
              </w:rPr>
              <w:t>分。</w:t>
            </w:r>
          </w:p>
          <w:p w14:paraId="63098FA1">
            <w:pPr>
              <w:pStyle w:val="27"/>
              <w:spacing w:before="118" w:line="240" w:lineRule="auto"/>
              <w:ind w:left="193" w:leftChars="0" w:right="181" w:rightChars="0" w:firstLine="6" w:firstLineChars="0"/>
              <w:jc w:val="left"/>
              <w:rPr>
                <w:rFonts w:hint="default" w:ascii="Times New Roman" w:hAnsi="Times New Roman" w:eastAsia="宋体" w:cs="Times New Roman"/>
                <w:b/>
                <w:bCs/>
                <w:color w:val="FF0000"/>
                <w:spacing w:val="5"/>
                <w:highlight w:val="none"/>
                <w:u w:val="single"/>
              </w:rPr>
            </w:pPr>
            <w:r>
              <w:rPr>
                <w:rFonts w:hint="default" w:ascii="Times New Roman" w:hAnsi="Times New Roman" w:eastAsia="宋体" w:cs="Times New Roman"/>
                <w:b/>
                <w:bCs/>
                <w:color w:val="FF0000"/>
                <w:spacing w:val="5"/>
                <w:highlight w:val="none"/>
                <w:u w:val="single"/>
                <w:lang w:val="en-US" w:eastAsia="zh-CN"/>
              </w:rPr>
              <w:t>注：</w:t>
            </w:r>
            <w:r>
              <w:rPr>
                <w:rFonts w:hint="default" w:ascii="Times New Roman" w:hAnsi="Times New Roman" w:eastAsia="宋体" w:cs="Times New Roman"/>
                <w:b/>
                <w:bCs/>
                <w:color w:val="FF0000"/>
                <w:spacing w:val="5"/>
                <w:highlight w:val="none"/>
                <w:u w:val="single"/>
              </w:rPr>
              <w:t>体系认证</w:t>
            </w:r>
            <w:r>
              <w:rPr>
                <w:rFonts w:hint="default" w:ascii="Times New Roman" w:hAnsi="Times New Roman" w:eastAsia="宋体" w:cs="Times New Roman"/>
                <w:b/>
                <w:bCs/>
                <w:color w:val="FF0000"/>
                <w:spacing w:val="5"/>
                <w:highlight w:val="none"/>
                <w:u w:val="single"/>
                <w:lang w:val="en-US" w:eastAsia="zh-CN"/>
              </w:rPr>
              <w:t>需</w:t>
            </w:r>
            <w:r>
              <w:rPr>
                <w:rFonts w:hint="default" w:ascii="Times New Roman" w:hAnsi="Times New Roman" w:cs="Times New Roman"/>
                <w:b/>
                <w:bCs/>
                <w:color w:val="FF0000"/>
                <w:spacing w:val="5"/>
                <w:highlight w:val="none"/>
                <w:u w:val="single"/>
              </w:rPr>
              <w:t>提供证书扫描件及在全国认证认可信息公共服务平台</w:t>
            </w:r>
            <w:r>
              <w:rPr>
                <w:rFonts w:hint="default" w:ascii="Times New Roman" w:hAnsi="Times New Roman" w:cs="Times New Roman"/>
                <w:b/>
                <w:bCs/>
                <w:color w:val="FF0000"/>
                <w:spacing w:val="5"/>
                <w:highlight w:val="none"/>
                <w:u w:val="single"/>
                <w:lang w:eastAsia="zh-CN"/>
              </w:rPr>
              <w:t>（</w:t>
            </w:r>
            <w:r>
              <w:rPr>
                <w:rFonts w:hint="default" w:ascii="Times New Roman" w:hAnsi="Times New Roman" w:cs="Times New Roman"/>
                <w:b/>
                <w:bCs/>
                <w:color w:val="FF0000"/>
                <w:spacing w:val="5"/>
                <w:highlight w:val="none"/>
                <w:u w:val="single"/>
                <w:lang w:val="en-US" w:eastAsia="zh-CN"/>
              </w:rPr>
              <w:t>网址：http://cx.cnca.cn/</w:t>
            </w:r>
            <w:r>
              <w:rPr>
                <w:rFonts w:hint="default" w:ascii="Times New Roman" w:hAnsi="Times New Roman" w:cs="Times New Roman"/>
                <w:b/>
                <w:bCs/>
                <w:color w:val="FF0000"/>
                <w:spacing w:val="5"/>
                <w:highlight w:val="none"/>
                <w:u w:val="single"/>
                <w:lang w:eastAsia="zh-CN"/>
              </w:rPr>
              <w:t>）</w:t>
            </w:r>
            <w:r>
              <w:rPr>
                <w:rFonts w:hint="default" w:ascii="Times New Roman" w:hAnsi="Times New Roman" w:cs="Times New Roman"/>
                <w:b/>
                <w:bCs/>
                <w:color w:val="FF0000"/>
                <w:spacing w:val="5"/>
                <w:highlight w:val="none"/>
                <w:u w:val="single"/>
              </w:rPr>
              <w:t>上对证书的查询结果截图为证明材料。</w:t>
            </w:r>
          </w:p>
        </w:tc>
      </w:tr>
      <w:tr w14:paraId="1F28FF36">
        <w:tblPrEx>
          <w:tblBorders>
            <w:top w:val="single" w:color="080000" w:sz="6" w:space="0"/>
            <w:left w:val="single" w:color="080000" w:sz="6" w:space="0"/>
            <w:bottom w:val="single" w:color="080000" w:sz="6" w:space="0"/>
            <w:right w:val="single" w:color="080000" w:sz="6" w:space="0"/>
            <w:insideH w:val="single" w:color="080000" w:sz="6" w:space="0"/>
            <w:insideV w:val="single" w:color="080000" w:sz="6" w:space="0"/>
          </w:tblBorders>
          <w:tblCellMar>
            <w:top w:w="0" w:type="dxa"/>
            <w:left w:w="0" w:type="dxa"/>
            <w:bottom w:w="0" w:type="dxa"/>
            <w:right w:w="0" w:type="dxa"/>
          </w:tblCellMar>
        </w:tblPrEx>
        <w:trPr>
          <w:trHeight w:val="705" w:hRule="atLeast"/>
        </w:trPr>
        <w:tc>
          <w:tcPr>
            <w:tcW w:w="233" w:type="pct"/>
            <w:vMerge w:val="restart"/>
            <w:tcBorders>
              <w:bottom w:val="nil"/>
            </w:tcBorders>
            <w:vAlign w:val="top"/>
          </w:tcPr>
          <w:p w14:paraId="3B82E743">
            <w:pPr>
              <w:spacing w:line="240" w:lineRule="auto"/>
              <w:rPr>
                <w:rFonts w:hint="default" w:ascii="Times New Roman" w:hAnsi="Times New Roman" w:cs="Times New Roman"/>
                <w:color w:val="auto"/>
                <w:sz w:val="21"/>
                <w:highlight w:val="none"/>
              </w:rPr>
            </w:pPr>
          </w:p>
          <w:p w14:paraId="5A21E47F">
            <w:pPr>
              <w:spacing w:line="240" w:lineRule="auto"/>
              <w:rPr>
                <w:rFonts w:hint="default" w:ascii="Times New Roman" w:hAnsi="Times New Roman" w:cs="Times New Roman"/>
                <w:color w:val="auto"/>
                <w:sz w:val="21"/>
                <w:highlight w:val="none"/>
              </w:rPr>
            </w:pPr>
          </w:p>
          <w:p w14:paraId="0D760C5C">
            <w:pPr>
              <w:spacing w:line="240" w:lineRule="auto"/>
              <w:rPr>
                <w:rFonts w:hint="default" w:ascii="Times New Roman" w:hAnsi="Times New Roman" w:cs="Times New Roman"/>
                <w:color w:val="auto"/>
                <w:sz w:val="21"/>
                <w:highlight w:val="none"/>
              </w:rPr>
            </w:pPr>
          </w:p>
          <w:p w14:paraId="1F50C6D6">
            <w:pPr>
              <w:spacing w:line="240" w:lineRule="auto"/>
              <w:rPr>
                <w:rFonts w:hint="default" w:ascii="Times New Roman" w:hAnsi="Times New Roman" w:cs="Times New Roman"/>
                <w:color w:val="auto"/>
                <w:sz w:val="21"/>
                <w:highlight w:val="none"/>
              </w:rPr>
            </w:pPr>
          </w:p>
          <w:p w14:paraId="3EC2D7F0">
            <w:pPr>
              <w:spacing w:line="240" w:lineRule="auto"/>
              <w:rPr>
                <w:rFonts w:hint="default" w:ascii="Times New Roman" w:hAnsi="Times New Roman" w:cs="Times New Roman"/>
                <w:color w:val="auto"/>
                <w:sz w:val="21"/>
                <w:highlight w:val="none"/>
              </w:rPr>
            </w:pPr>
          </w:p>
          <w:p w14:paraId="1C5201D4">
            <w:pPr>
              <w:spacing w:line="240" w:lineRule="auto"/>
              <w:rPr>
                <w:rFonts w:hint="default" w:ascii="Times New Roman" w:hAnsi="Times New Roman" w:cs="Times New Roman"/>
                <w:color w:val="auto"/>
                <w:sz w:val="21"/>
                <w:highlight w:val="none"/>
              </w:rPr>
            </w:pPr>
          </w:p>
          <w:p w14:paraId="19C2548C">
            <w:pPr>
              <w:pStyle w:val="27"/>
              <w:spacing w:before="65" w:line="240" w:lineRule="auto"/>
              <w:ind w:left="270"/>
              <w:rPr>
                <w:rFonts w:hint="default" w:ascii="Times New Roman" w:hAnsi="Times New Roman" w:cs="Times New Roman"/>
                <w:color w:val="auto"/>
                <w:highlight w:val="none"/>
              </w:rPr>
            </w:pPr>
            <w:r>
              <w:rPr>
                <w:rFonts w:hint="default" w:ascii="Times New Roman" w:hAnsi="Times New Roman" w:cs="Times New Roman"/>
                <w:color w:val="auto"/>
                <w:highlight w:val="none"/>
              </w:rPr>
              <w:t>二</w:t>
            </w:r>
          </w:p>
        </w:tc>
        <w:tc>
          <w:tcPr>
            <w:tcW w:w="509" w:type="pct"/>
            <w:vMerge w:val="restart"/>
            <w:tcBorders>
              <w:bottom w:val="nil"/>
            </w:tcBorders>
            <w:vAlign w:val="top"/>
          </w:tcPr>
          <w:p w14:paraId="1F05FBA8">
            <w:pPr>
              <w:spacing w:line="240" w:lineRule="auto"/>
              <w:rPr>
                <w:rFonts w:hint="default" w:ascii="Times New Roman" w:hAnsi="Times New Roman" w:cs="Times New Roman"/>
                <w:color w:val="auto"/>
                <w:sz w:val="21"/>
                <w:highlight w:val="none"/>
              </w:rPr>
            </w:pPr>
          </w:p>
          <w:p w14:paraId="39BDD225">
            <w:pPr>
              <w:spacing w:line="240" w:lineRule="auto"/>
              <w:rPr>
                <w:rFonts w:hint="default" w:ascii="Times New Roman" w:hAnsi="Times New Roman" w:cs="Times New Roman"/>
                <w:color w:val="auto"/>
                <w:sz w:val="21"/>
                <w:highlight w:val="none"/>
              </w:rPr>
            </w:pPr>
          </w:p>
          <w:p w14:paraId="2DD108C6">
            <w:pPr>
              <w:spacing w:line="240" w:lineRule="auto"/>
              <w:rPr>
                <w:rFonts w:hint="default" w:ascii="Times New Roman" w:hAnsi="Times New Roman" w:cs="Times New Roman"/>
                <w:color w:val="auto"/>
                <w:sz w:val="21"/>
                <w:highlight w:val="none"/>
              </w:rPr>
            </w:pPr>
          </w:p>
          <w:p w14:paraId="691FC301">
            <w:pPr>
              <w:spacing w:line="240" w:lineRule="auto"/>
              <w:rPr>
                <w:rFonts w:hint="default" w:ascii="Times New Roman" w:hAnsi="Times New Roman" w:cs="Times New Roman"/>
                <w:color w:val="auto"/>
                <w:sz w:val="21"/>
                <w:highlight w:val="none"/>
              </w:rPr>
            </w:pPr>
          </w:p>
          <w:p w14:paraId="3638EE32">
            <w:pPr>
              <w:pStyle w:val="27"/>
              <w:spacing w:before="65" w:line="240" w:lineRule="auto"/>
              <w:ind w:left="269" w:right="64" w:hanging="210"/>
              <w:rPr>
                <w:rFonts w:hint="default" w:ascii="Times New Roman" w:hAnsi="Times New Roman" w:cs="Times New Roman"/>
                <w:color w:val="auto"/>
                <w:spacing w:val="-1"/>
                <w:highlight w:val="none"/>
              </w:rPr>
            </w:pPr>
            <w:r>
              <w:rPr>
                <w:rFonts w:hint="default" w:ascii="Times New Roman" w:hAnsi="Times New Roman" w:cs="Times New Roman"/>
                <w:color w:val="auto"/>
                <w:spacing w:val="7"/>
                <w:highlight w:val="none"/>
              </w:rPr>
              <w:t>项目管理机</w:t>
            </w:r>
            <w:r>
              <w:rPr>
                <w:rFonts w:hint="default" w:ascii="Times New Roman" w:hAnsi="Times New Roman" w:cs="Times New Roman"/>
                <w:color w:val="auto"/>
                <w:spacing w:val="6"/>
                <w:highlight w:val="none"/>
              </w:rPr>
              <w:t>构能力</w:t>
            </w:r>
            <w:r>
              <w:rPr>
                <w:rFonts w:hint="default" w:ascii="Times New Roman" w:hAnsi="Times New Roman" w:cs="Times New Roman"/>
                <w:color w:val="auto"/>
                <w:spacing w:val="-1"/>
                <w:highlight w:val="none"/>
              </w:rPr>
              <w:t>（</w:t>
            </w:r>
            <w:r>
              <w:rPr>
                <w:rFonts w:hint="default" w:ascii="Times New Roman" w:hAnsi="Times New Roman" w:cs="Times New Roman"/>
                <w:color w:val="auto"/>
                <w:spacing w:val="-1"/>
                <w:highlight w:val="none"/>
                <w:lang w:val="en-US" w:eastAsia="zh-CN"/>
              </w:rPr>
              <w:t>4</w:t>
            </w:r>
            <w:r>
              <w:rPr>
                <w:rFonts w:hint="default" w:ascii="Times New Roman" w:hAnsi="Times New Roman" w:cs="Times New Roman"/>
                <w:color w:val="auto"/>
                <w:spacing w:val="-1"/>
                <w:highlight w:val="none"/>
              </w:rPr>
              <w:t>0分）</w:t>
            </w:r>
          </w:p>
          <w:p w14:paraId="073B93C2">
            <w:pPr>
              <w:pStyle w:val="27"/>
              <w:spacing w:before="65" w:line="240" w:lineRule="auto"/>
              <w:ind w:left="269" w:right="64" w:hanging="210"/>
              <w:rPr>
                <w:rFonts w:hint="default" w:ascii="Times New Roman" w:hAnsi="Times New Roman" w:cs="Times New Roman"/>
                <w:color w:val="auto"/>
                <w:spacing w:val="-1"/>
                <w:highlight w:val="none"/>
              </w:rPr>
            </w:pPr>
          </w:p>
          <w:p w14:paraId="6BCD3F91">
            <w:pPr>
              <w:pStyle w:val="27"/>
              <w:spacing w:before="65" w:line="240" w:lineRule="auto"/>
              <w:ind w:left="269" w:right="64" w:hanging="210"/>
              <w:rPr>
                <w:rFonts w:hint="default" w:ascii="Times New Roman" w:hAnsi="Times New Roman" w:eastAsia="宋体" w:cs="Times New Roman"/>
                <w:color w:val="auto"/>
                <w:spacing w:val="-1"/>
                <w:highlight w:val="none"/>
                <w:lang w:eastAsia="zh-CN"/>
              </w:rPr>
            </w:pPr>
          </w:p>
        </w:tc>
        <w:tc>
          <w:tcPr>
            <w:tcW w:w="460" w:type="pct"/>
            <w:vAlign w:val="top"/>
          </w:tcPr>
          <w:p w14:paraId="2B48A581">
            <w:pPr>
              <w:pStyle w:val="27"/>
              <w:spacing w:before="273" w:line="240" w:lineRule="auto"/>
              <w:ind w:left="53" w:leftChars="0"/>
              <w:jc w:val="left"/>
              <w:rPr>
                <w:rFonts w:hint="default" w:ascii="Times New Roman" w:hAnsi="Times New Roman" w:cs="Times New Roman"/>
                <w:b/>
                <w:bCs/>
                <w:color w:val="FF0000"/>
                <w:highlight w:val="none"/>
                <w:u w:val="single"/>
              </w:rPr>
            </w:pPr>
            <w:r>
              <w:rPr>
                <w:rFonts w:hint="default" w:ascii="Times New Roman" w:hAnsi="Times New Roman" w:cs="Times New Roman"/>
                <w:b/>
                <w:bCs/>
                <w:color w:val="FF0000"/>
                <w:spacing w:val="8"/>
                <w:highlight w:val="none"/>
                <w:u w:val="single"/>
                <w:lang w:val="en-US" w:eastAsia="zh-CN"/>
              </w:rPr>
              <w:t>项目</w:t>
            </w:r>
            <w:r>
              <w:rPr>
                <w:rFonts w:hint="default" w:ascii="Times New Roman" w:hAnsi="Times New Roman" w:cs="Times New Roman"/>
                <w:b/>
                <w:bCs/>
                <w:color w:val="FF0000"/>
                <w:spacing w:val="8"/>
                <w:highlight w:val="none"/>
                <w:u w:val="single"/>
              </w:rPr>
              <w:t>负责人</w:t>
            </w:r>
          </w:p>
        </w:tc>
        <w:tc>
          <w:tcPr>
            <w:tcW w:w="314" w:type="pct"/>
            <w:vAlign w:val="center"/>
          </w:tcPr>
          <w:p w14:paraId="76B1C447">
            <w:pPr>
              <w:pStyle w:val="27"/>
              <w:tabs>
                <w:tab w:val="left" w:pos="679"/>
              </w:tabs>
              <w:spacing w:before="305" w:line="240" w:lineRule="auto"/>
              <w:ind w:left="266" w:leftChars="0"/>
              <w:rPr>
                <w:rFonts w:hint="default" w:ascii="Times New Roman" w:hAnsi="Times New Roman" w:eastAsia="宋体" w:cs="Times New Roman"/>
                <w:b/>
                <w:bCs/>
                <w:color w:val="FF0000"/>
                <w:highlight w:val="none"/>
                <w:u w:val="single"/>
                <w:lang w:val="en-US" w:eastAsia="zh-CN"/>
              </w:rPr>
            </w:pPr>
            <w:r>
              <w:rPr>
                <w:rFonts w:hint="default" w:ascii="Times New Roman" w:hAnsi="Times New Roman" w:cs="Times New Roman"/>
                <w:b/>
                <w:bCs/>
                <w:color w:val="FF0000"/>
                <w:spacing w:val="-7"/>
                <w:highlight w:val="none"/>
                <w:u w:val="single"/>
                <w:lang w:val="en-US" w:eastAsia="zh-CN"/>
              </w:rPr>
              <w:t>14</w:t>
            </w:r>
          </w:p>
        </w:tc>
        <w:tc>
          <w:tcPr>
            <w:tcW w:w="3481" w:type="pct"/>
            <w:vAlign w:val="top"/>
          </w:tcPr>
          <w:p w14:paraId="49109981">
            <w:pPr>
              <w:pStyle w:val="27"/>
              <w:numPr>
                <w:ilvl w:val="0"/>
                <w:numId w:val="0"/>
              </w:numPr>
              <w:spacing w:before="122" w:line="240" w:lineRule="auto"/>
              <w:ind w:left="103"/>
              <w:rPr>
                <w:rFonts w:hint="default" w:ascii="Times New Roman" w:hAnsi="Times New Roman" w:cs="Times New Roman"/>
                <w:b/>
                <w:bCs/>
                <w:color w:val="FF0000"/>
                <w:spacing w:val="7"/>
                <w:highlight w:val="none"/>
                <w:u w:val="single"/>
              </w:rPr>
            </w:pPr>
            <w:r>
              <w:rPr>
                <w:rFonts w:hint="default" w:ascii="Times New Roman" w:hAnsi="Times New Roman" w:eastAsia="宋体" w:cs="Times New Roman"/>
                <w:b/>
                <w:bCs/>
                <w:color w:val="FF0000"/>
                <w:spacing w:val="7"/>
                <w:kern w:val="2"/>
                <w:sz w:val="20"/>
                <w:szCs w:val="20"/>
                <w:highlight w:val="none"/>
                <w:u w:val="single"/>
                <w:lang w:val="en-US" w:eastAsia="en-US" w:bidi="ar-SA"/>
              </w:rPr>
              <w:t>1.</w:t>
            </w:r>
            <w:r>
              <w:rPr>
                <w:rFonts w:hint="default" w:ascii="Times New Roman" w:hAnsi="Times New Roman" w:cs="Times New Roman"/>
                <w:b/>
                <w:bCs/>
                <w:color w:val="FF0000"/>
                <w:spacing w:val="8"/>
                <w:highlight w:val="none"/>
                <w:u w:val="single"/>
              </w:rPr>
              <w:t>具有建筑工程相关专业高级或以上技术职称的，得</w:t>
            </w:r>
            <w:r>
              <w:rPr>
                <w:rFonts w:hint="default" w:ascii="Times New Roman" w:hAnsi="Times New Roman" w:cs="Times New Roman"/>
                <w:b/>
                <w:bCs/>
                <w:color w:val="FF0000"/>
                <w:spacing w:val="8"/>
                <w:highlight w:val="none"/>
                <w:u w:val="single"/>
                <w:lang w:val="en-US" w:eastAsia="zh-CN"/>
              </w:rPr>
              <w:t>8</w:t>
            </w:r>
            <w:r>
              <w:rPr>
                <w:rFonts w:hint="default" w:ascii="Times New Roman" w:hAnsi="Times New Roman" w:cs="Times New Roman"/>
                <w:b/>
                <w:bCs/>
                <w:color w:val="FF0000"/>
                <w:spacing w:val="8"/>
                <w:highlight w:val="none"/>
                <w:u w:val="single"/>
              </w:rPr>
              <w:t>分；具有建筑工程相关专业中级技术职</w:t>
            </w:r>
            <w:r>
              <w:rPr>
                <w:rFonts w:hint="default" w:ascii="Times New Roman" w:hAnsi="Times New Roman" w:cs="Times New Roman"/>
                <w:b/>
                <w:bCs/>
                <w:color w:val="FF0000"/>
                <w:spacing w:val="7"/>
                <w:highlight w:val="none"/>
                <w:u w:val="single"/>
              </w:rPr>
              <w:t>称的，得</w:t>
            </w:r>
            <w:r>
              <w:rPr>
                <w:rFonts w:hint="default" w:ascii="Times New Roman" w:hAnsi="Times New Roman" w:cs="Times New Roman"/>
                <w:b/>
                <w:bCs/>
                <w:color w:val="FF0000"/>
                <w:spacing w:val="7"/>
                <w:highlight w:val="none"/>
                <w:u w:val="single"/>
                <w:lang w:val="en-US" w:eastAsia="zh-CN"/>
              </w:rPr>
              <w:t>4</w:t>
            </w:r>
            <w:r>
              <w:rPr>
                <w:rFonts w:hint="default" w:ascii="Times New Roman" w:hAnsi="Times New Roman" w:cs="Times New Roman"/>
                <w:b/>
                <w:bCs/>
                <w:color w:val="FF0000"/>
                <w:spacing w:val="7"/>
                <w:highlight w:val="none"/>
                <w:u w:val="single"/>
              </w:rPr>
              <w:t>分；</w:t>
            </w:r>
            <w:r>
              <w:rPr>
                <w:rFonts w:hint="default" w:ascii="Times New Roman" w:hAnsi="Times New Roman" w:eastAsia="宋体" w:cs="Times New Roman"/>
                <w:b/>
                <w:bCs/>
                <w:color w:val="FF0000"/>
                <w:szCs w:val="21"/>
                <w:highlight w:val="none"/>
                <w:u w:val="single"/>
                <w:lang w:bidi="ar"/>
              </w:rPr>
              <w:t>本小项最高得</w:t>
            </w:r>
            <w:r>
              <w:rPr>
                <w:rFonts w:hint="default" w:ascii="Times New Roman" w:hAnsi="Times New Roman" w:cs="Times New Roman"/>
                <w:b/>
                <w:bCs/>
                <w:color w:val="FF0000"/>
                <w:szCs w:val="21"/>
                <w:highlight w:val="none"/>
                <w:u w:val="single"/>
                <w:lang w:val="en-US" w:eastAsia="zh-CN" w:bidi="ar"/>
              </w:rPr>
              <w:t>8</w:t>
            </w:r>
            <w:r>
              <w:rPr>
                <w:rFonts w:hint="default" w:ascii="Times New Roman" w:hAnsi="Times New Roman" w:eastAsia="宋体" w:cs="Times New Roman"/>
                <w:b/>
                <w:bCs/>
                <w:color w:val="FF0000"/>
                <w:szCs w:val="21"/>
                <w:highlight w:val="none"/>
                <w:u w:val="single"/>
                <w:lang w:bidi="ar"/>
              </w:rPr>
              <w:t>分。</w:t>
            </w:r>
          </w:p>
          <w:p w14:paraId="1FC9EEDA">
            <w:pPr>
              <w:pStyle w:val="27"/>
              <w:numPr>
                <w:ilvl w:val="0"/>
                <w:numId w:val="0"/>
              </w:numPr>
              <w:spacing w:before="122" w:line="240" w:lineRule="auto"/>
              <w:ind w:left="103"/>
              <w:rPr>
                <w:rFonts w:hint="default" w:ascii="Times New Roman" w:hAnsi="Times New Roman" w:eastAsia="宋体" w:cs="Times New Roman"/>
                <w:b/>
                <w:bCs/>
                <w:color w:val="FF0000"/>
                <w:spacing w:val="7"/>
                <w:highlight w:val="none"/>
                <w:u w:val="single"/>
                <w:lang w:val="en-US" w:eastAsia="zh-CN"/>
              </w:rPr>
            </w:pPr>
            <w:r>
              <w:rPr>
                <w:rFonts w:hint="default" w:ascii="Times New Roman" w:hAnsi="Times New Roman" w:cs="Times New Roman"/>
                <w:b/>
                <w:bCs/>
                <w:color w:val="FF0000"/>
                <w:spacing w:val="7"/>
                <w:highlight w:val="none"/>
                <w:u w:val="single"/>
                <w:lang w:val="en-US" w:eastAsia="zh-CN"/>
              </w:rPr>
              <w:t>2.工作经历：</w:t>
            </w:r>
            <w:r>
              <w:rPr>
                <w:rFonts w:hint="default" w:ascii="Times New Roman" w:hAnsi="Times New Roman" w:eastAsia="宋体" w:cs="Times New Roman"/>
                <w:b/>
                <w:bCs/>
                <w:color w:val="FF0000"/>
                <w:szCs w:val="21"/>
                <w:highlight w:val="none"/>
                <w:u w:val="single"/>
                <w:lang w:val="en-US" w:eastAsia="zh-CN" w:bidi="ar"/>
              </w:rPr>
              <w:t>在20</w:t>
            </w:r>
            <w:r>
              <w:rPr>
                <w:rFonts w:hint="default" w:ascii="Times New Roman" w:hAnsi="Times New Roman" w:eastAsia="宋体" w:cs="Times New Roman"/>
                <w:b/>
                <w:bCs/>
                <w:color w:val="FF0000"/>
                <w:szCs w:val="21"/>
                <w:highlight w:val="none"/>
                <w:u w:val="single"/>
                <w:lang w:bidi="ar"/>
              </w:rPr>
              <w:t>年以上得</w:t>
            </w:r>
            <w:r>
              <w:rPr>
                <w:rFonts w:hint="default" w:ascii="Times New Roman" w:hAnsi="Times New Roman" w:cs="Times New Roman"/>
                <w:b/>
                <w:bCs/>
                <w:color w:val="FF0000"/>
                <w:szCs w:val="21"/>
                <w:highlight w:val="none"/>
                <w:u w:val="single"/>
                <w:lang w:val="en-US" w:eastAsia="zh-CN" w:bidi="ar"/>
              </w:rPr>
              <w:t>6</w:t>
            </w:r>
            <w:r>
              <w:rPr>
                <w:rFonts w:hint="default" w:ascii="Times New Roman" w:hAnsi="Times New Roman" w:eastAsia="宋体" w:cs="Times New Roman"/>
                <w:b/>
                <w:bCs/>
                <w:color w:val="FF0000"/>
                <w:szCs w:val="21"/>
                <w:highlight w:val="none"/>
                <w:u w:val="single"/>
                <w:lang w:bidi="ar"/>
              </w:rPr>
              <w:t>分；</w:t>
            </w:r>
            <w:r>
              <w:rPr>
                <w:rFonts w:hint="eastAsia" w:ascii="Times New Roman" w:hAnsi="Times New Roman" w:cs="Times New Roman"/>
                <w:b/>
                <w:bCs/>
                <w:color w:val="FF0000"/>
                <w:szCs w:val="21"/>
                <w:highlight w:val="none"/>
                <w:u w:val="single"/>
                <w:lang w:val="en-US" w:eastAsia="zh-CN" w:bidi="ar"/>
              </w:rPr>
              <w:t>工作</w:t>
            </w:r>
            <w:r>
              <w:rPr>
                <w:rFonts w:hint="default" w:ascii="Times New Roman" w:hAnsi="Times New Roman" w:eastAsia="宋体" w:cs="Times New Roman"/>
                <w:b/>
                <w:bCs/>
                <w:color w:val="FF0000"/>
                <w:szCs w:val="21"/>
                <w:highlight w:val="none"/>
                <w:u w:val="single"/>
                <w:lang w:bidi="ar"/>
              </w:rPr>
              <w:t>经历</w:t>
            </w:r>
            <w:r>
              <w:rPr>
                <w:rFonts w:hint="default" w:ascii="Times New Roman" w:hAnsi="Times New Roman" w:eastAsia="宋体" w:cs="Times New Roman"/>
                <w:b/>
                <w:bCs/>
                <w:color w:val="FF0000"/>
                <w:szCs w:val="21"/>
                <w:highlight w:val="none"/>
                <w:u w:val="single"/>
                <w:lang w:val="en-US" w:eastAsia="zh-CN" w:bidi="ar"/>
              </w:rPr>
              <w:t>在</w:t>
            </w:r>
            <w:r>
              <w:rPr>
                <w:rFonts w:hint="default" w:ascii="Times New Roman" w:hAnsi="Times New Roman" w:cs="Times New Roman"/>
                <w:b/>
                <w:bCs/>
                <w:color w:val="FF0000"/>
                <w:szCs w:val="21"/>
                <w:highlight w:val="none"/>
                <w:u w:val="single"/>
                <w:lang w:val="en-US" w:eastAsia="zh-CN" w:bidi="ar"/>
              </w:rPr>
              <w:t>10</w:t>
            </w:r>
            <w:r>
              <w:rPr>
                <w:rFonts w:hint="default" w:ascii="Times New Roman" w:hAnsi="Times New Roman" w:eastAsia="宋体" w:cs="Times New Roman"/>
                <w:b/>
                <w:bCs/>
                <w:color w:val="FF0000"/>
                <w:szCs w:val="21"/>
                <w:highlight w:val="none"/>
                <w:u w:val="single"/>
                <w:lang w:val="en-US" w:eastAsia="zh-CN" w:bidi="ar"/>
              </w:rPr>
              <w:t>（不含）-</w:t>
            </w:r>
            <w:r>
              <w:rPr>
                <w:rFonts w:hint="default" w:ascii="Times New Roman" w:hAnsi="Times New Roman" w:cs="Times New Roman"/>
                <w:b/>
                <w:bCs/>
                <w:color w:val="FF0000"/>
                <w:szCs w:val="21"/>
                <w:highlight w:val="none"/>
                <w:u w:val="single"/>
                <w:lang w:val="en-US" w:eastAsia="zh-CN" w:bidi="ar"/>
              </w:rPr>
              <w:t>2</w:t>
            </w:r>
            <w:r>
              <w:rPr>
                <w:rFonts w:hint="default" w:ascii="Times New Roman" w:hAnsi="Times New Roman" w:eastAsia="宋体" w:cs="Times New Roman"/>
                <w:b/>
                <w:bCs/>
                <w:color w:val="FF0000"/>
                <w:szCs w:val="21"/>
                <w:highlight w:val="none"/>
                <w:u w:val="single"/>
                <w:lang w:val="en-US" w:eastAsia="zh-CN" w:bidi="ar"/>
              </w:rPr>
              <w:t>0</w:t>
            </w:r>
            <w:r>
              <w:rPr>
                <w:rFonts w:hint="default" w:ascii="Times New Roman" w:hAnsi="Times New Roman" w:eastAsia="宋体" w:cs="Times New Roman"/>
                <w:b/>
                <w:bCs/>
                <w:color w:val="FF0000"/>
                <w:szCs w:val="21"/>
                <w:highlight w:val="none"/>
                <w:u w:val="single"/>
                <w:lang w:bidi="ar"/>
              </w:rPr>
              <w:t>年（含</w:t>
            </w:r>
            <w:r>
              <w:rPr>
                <w:rFonts w:hint="default" w:ascii="Times New Roman" w:hAnsi="Times New Roman" w:cs="Times New Roman"/>
                <w:b/>
                <w:bCs/>
                <w:color w:val="FF0000"/>
                <w:szCs w:val="21"/>
                <w:highlight w:val="none"/>
                <w:u w:val="single"/>
                <w:lang w:val="en-US" w:eastAsia="zh-CN" w:bidi="ar"/>
              </w:rPr>
              <w:t>20</w:t>
            </w:r>
            <w:r>
              <w:rPr>
                <w:rFonts w:hint="default" w:ascii="Times New Roman" w:hAnsi="Times New Roman" w:eastAsia="宋体" w:cs="Times New Roman"/>
                <w:b/>
                <w:bCs/>
                <w:color w:val="FF0000"/>
                <w:szCs w:val="21"/>
                <w:highlight w:val="none"/>
                <w:u w:val="single"/>
                <w:lang w:bidi="ar"/>
              </w:rPr>
              <w:t>年）得</w:t>
            </w:r>
            <w:r>
              <w:rPr>
                <w:rFonts w:hint="default" w:ascii="Times New Roman" w:hAnsi="Times New Roman" w:cs="Times New Roman"/>
                <w:b/>
                <w:bCs/>
                <w:color w:val="FF0000"/>
                <w:szCs w:val="21"/>
                <w:highlight w:val="none"/>
                <w:u w:val="single"/>
                <w:lang w:val="en-US" w:eastAsia="zh-CN" w:bidi="ar"/>
              </w:rPr>
              <w:t>4</w:t>
            </w:r>
            <w:r>
              <w:rPr>
                <w:rFonts w:hint="default" w:ascii="Times New Roman" w:hAnsi="Times New Roman" w:eastAsia="宋体" w:cs="Times New Roman"/>
                <w:b/>
                <w:bCs/>
                <w:color w:val="FF0000"/>
                <w:szCs w:val="21"/>
                <w:highlight w:val="none"/>
                <w:u w:val="single"/>
                <w:lang w:bidi="ar"/>
              </w:rPr>
              <w:t>分；</w:t>
            </w:r>
            <w:r>
              <w:rPr>
                <w:rFonts w:hint="eastAsia" w:ascii="Times New Roman" w:hAnsi="Times New Roman" w:cs="Times New Roman"/>
                <w:b/>
                <w:bCs/>
                <w:color w:val="FF0000"/>
                <w:szCs w:val="21"/>
                <w:highlight w:val="none"/>
                <w:u w:val="single"/>
                <w:lang w:val="en-US" w:eastAsia="zh-CN" w:bidi="ar"/>
              </w:rPr>
              <w:t>工作</w:t>
            </w:r>
            <w:r>
              <w:rPr>
                <w:rFonts w:hint="default" w:ascii="Times New Roman" w:hAnsi="Times New Roman" w:eastAsia="宋体" w:cs="Times New Roman"/>
                <w:b/>
                <w:bCs/>
                <w:color w:val="FF0000"/>
                <w:szCs w:val="21"/>
                <w:highlight w:val="none"/>
                <w:u w:val="single"/>
                <w:lang w:bidi="ar"/>
              </w:rPr>
              <w:t>经历</w:t>
            </w:r>
            <w:r>
              <w:rPr>
                <w:rFonts w:hint="default" w:ascii="Times New Roman" w:hAnsi="Times New Roman" w:eastAsia="宋体" w:cs="Times New Roman"/>
                <w:b/>
                <w:bCs/>
                <w:color w:val="FF0000"/>
                <w:szCs w:val="21"/>
                <w:highlight w:val="none"/>
                <w:u w:val="single"/>
                <w:lang w:val="en-US" w:eastAsia="zh-CN" w:bidi="ar"/>
              </w:rPr>
              <w:t>5（不含）-</w:t>
            </w:r>
            <w:r>
              <w:rPr>
                <w:rFonts w:hint="default" w:ascii="Times New Roman" w:hAnsi="Times New Roman" w:cs="Times New Roman"/>
                <w:b/>
                <w:bCs/>
                <w:color w:val="FF0000"/>
                <w:szCs w:val="21"/>
                <w:highlight w:val="none"/>
                <w:u w:val="single"/>
                <w:lang w:val="en-US" w:eastAsia="zh-CN" w:bidi="ar"/>
              </w:rPr>
              <w:t>10</w:t>
            </w:r>
            <w:r>
              <w:rPr>
                <w:rFonts w:hint="default" w:ascii="Times New Roman" w:hAnsi="Times New Roman" w:eastAsia="宋体" w:cs="Times New Roman"/>
                <w:b/>
                <w:bCs/>
                <w:color w:val="FF0000"/>
                <w:szCs w:val="21"/>
                <w:highlight w:val="none"/>
                <w:u w:val="single"/>
                <w:lang w:bidi="ar"/>
              </w:rPr>
              <w:t>年（含</w:t>
            </w:r>
            <w:r>
              <w:rPr>
                <w:rFonts w:hint="default" w:ascii="Times New Roman" w:hAnsi="Times New Roman" w:cs="Times New Roman"/>
                <w:b/>
                <w:bCs/>
                <w:color w:val="FF0000"/>
                <w:szCs w:val="21"/>
                <w:highlight w:val="none"/>
                <w:u w:val="single"/>
                <w:lang w:val="en-US" w:eastAsia="zh-CN" w:bidi="ar"/>
              </w:rPr>
              <w:t>10</w:t>
            </w:r>
            <w:r>
              <w:rPr>
                <w:rFonts w:hint="default" w:ascii="Times New Roman" w:hAnsi="Times New Roman" w:eastAsia="宋体" w:cs="Times New Roman"/>
                <w:b/>
                <w:bCs/>
                <w:color w:val="FF0000"/>
                <w:szCs w:val="21"/>
                <w:highlight w:val="none"/>
                <w:u w:val="single"/>
                <w:lang w:bidi="ar"/>
              </w:rPr>
              <w:t>年）得</w:t>
            </w:r>
            <w:r>
              <w:rPr>
                <w:rFonts w:hint="default" w:ascii="Times New Roman" w:hAnsi="Times New Roman" w:cs="Times New Roman"/>
                <w:b/>
                <w:bCs/>
                <w:color w:val="FF0000"/>
                <w:szCs w:val="21"/>
                <w:highlight w:val="none"/>
                <w:u w:val="single"/>
                <w:lang w:val="en-US" w:eastAsia="zh-CN" w:bidi="ar"/>
              </w:rPr>
              <w:t>2</w:t>
            </w:r>
            <w:r>
              <w:rPr>
                <w:rFonts w:hint="default" w:ascii="Times New Roman" w:hAnsi="Times New Roman" w:eastAsia="宋体" w:cs="Times New Roman"/>
                <w:b/>
                <w:bCs/>
                <w:color w:val="FF0000"/>
                <w:szCs w:val="21"/>
                <w:highlight w:val="none"/>
                <w:u w:val="single"/>
                <w:lang w:bidi="ar"/>
              </w:rPr>
              <w:t>分；</w:t>
            </w:r>
            <w:r>
              <w:rPr>
                <w:rFonts w:hint="eastAsia" w:ascii="Times New Roman" w:hAnsi="Times New Roman" w:cs="Times New Roman"/>
                <w:b/>
                <w:bCs/>
                <w:color w:val="FF0000"/>
                <w:szCs w:val="21"/>
                <w:highlight w:val="none"/>
                <w:u w:val="single"/>
                <w:lang w:val="en-US" w:eastAsia="zh-CN" w:bidi="ar"/>
              </w:rPr>
              <w:t>工作</w:t>
            </w:r>
            <w:r>
              <w:rPr>
                <w:rFonts w:hint="default" w:ascii="Times New Roman" w:hAnsi="Times New Roman" w:eastAsia="宋体" w:cs="Times New Roman"/>
                <w:b/>
                <w:bCs/>
                <w:color w:val="FF0000"/>
                <w:szCs w:val="21"/>
                <w:highlight w:val="none"/>
                <w:u w:val="single"/>
                <w:lang w:bidi="ar"/>
              </w:rPr>
              <w:t>经历</w:t>
            </w:r>
            <w:r>
              <w:rPr>
                <w:rFonts w:hint="default" w:ascii="Times New Roman" w:hAnsi="Times New Roman" w:eastAsia="宋体" w:cs="Times New Roman"/>
                <w:b/>
                <w:bCs/>
                <w:color w:val="FF0000"/>
                <w:szCs w:val="21"/>
                <w:highlight w:val="none"/>
                <w:u w:val="single"/>
                <w:lang w:val="en-US" w:eastAsia="zh-CN" w:bidi="ar"/>
              </w:rPr>
              <w:t>5</w:t>
            </w:r>
            <w:r>
              <w:rPr>
                <w:rFonts w:hint="default" w:ascii="Times New Roman" w:hAnsi="Times New Roman" w:eastAsia="宋体" w:cs="Times New Roman"/>
                <w:b/>
                <w:bCs/>
                <w:color w:val="FF0000"/>
                <w:szCs w:val="21"/>
                <w:highlight w:val="none"/>
                <w:u w:val="single"/>
                <w:lang w:bidi="ar"/>
              </w:rPr>
              <w:t>年</w:t>
            </w:r>
            <w:r>
              <w:rPr>
                <w:rFonts w:hint="default" w:ascii="Times New Roman" w:hAnsi="Times New Roman" w:eastAsia="宋体" w:cs="Times New Roman"/>
                <w:b/>
                <w:bCs/>
                <w:color w:val="FF0000"/>
                <w:szCs w:val="21"/>
                <w:highlight w:val="none"/>
                <w:u w:val="single"/>
                <w:lang w:val="en-US" w:eastAsia="zh-CN" w:bidi="ar"/>
              </w:rPr>
              <w:t>及以下的</w:t>
            </w:r>
            <w:r>
              <w:rPr>
                <w:rFonts w:hint="default" w:ascii="Times New Roman" w:hAnsi="Times New Roman" w:eastAsia="宋体" w:cs="Times New Roman"/>
                <w:b/>
                <w:bCs/>
                <w:color w:val="FF0000"/>
                <w:szCs w:val="21"/>
                <w:highlight w:val="none"/>
                <w:u w:val="single"/>
                <w:lang w:bidi="ar"/>
              </w:rPr>
              <w:t>得</w:t>
            </w:r>
            <w:r>
              <w:rPr>
                <w:rFonts w:hint="default" w:ascii="Times New Roman" w:hAnsi="Times New Roman" w:eastAsia="宋体" w:cs="Times New Roman"/>
                <w:b/>
                <w:bCs/>
                <w:color w:val="FF0000"/>
                <w:szCs w:val="21"/>
                <w:highlight w:val="none"/>
                <w:u w:val="single"/>
                <w:lang w:val="en-US" w:eastAsia="zh-CN" w:bidi="ar"/>
              </w:rPr>
              <w:t>0</w:t>
            </w:r>
            <w:r>
              <w:rPr>
                <w:rFonts w:hint="default" w:ascii="Times New Roman" w:hAnsi="Times New Roman" w:eastAsia="宋体" w:cs="Times New Roman"/>
                <w:b/>
                <w:bCs/>
                <w:color w:val="FF0000"/>
                <w:szCs w:val="21"/>
                <w:highlight w:val="none"/>
                <w:u w:val="single"/>
                <w:lang w:bidi="ar"/>
              </w:rPr>
              <w:t>分</w:t>
            </w:r>
            <w:r>
              <w:rPr>
                <w:rFonts w:hint="default" w:ascii="Times New Roman" w:hAnsi="Times New Roman" w:eastAsia="宋体" w:cs="Times New Roman"/>
                <w:b/>
                <w:bCs/>
                <w:color w:val="FF0000"/>
                <w:szCs w:val="21"/>
                <w:highlight w:val="none"/>
                <w:u w:val="single"/>
                <w:lang w:eastAsia="zh-CN" w:bidi="ar"/>
              </w:rPr>
              <w:t>；</w:t>
            </w:r>
            <w:r>
              <w:rPr>
                <w:rFonts w:hint="default" w:ascii="Times New Roman" w:hAnsi="Times New Roman" w:eastAsia="宋体" w:cs="Times New Roman"/>
                <w:b/>
                <w:bCs/>
                <w:color w:val="FF0000"/>
                <w:szCs w:val="21"/>
                <w:highlight w:val="none"/>
                <w:u w:val="single"/>
                <w:lang w:bidi="ar"/>
              </w:rPr>
              <w:t>本小项最高得</w:t>
            </w:r>
            <w:r>
              <w:rPr>
                <w:rFonts w:hint="default" w:ascii="Times New Roman" w:hAnsi="Times New Roman" w:cs="Times New Roman"/>
                <w:b/>
                <w:bCs/>
                <w:color w:val="FF0000"/>
                <w:szCs w:val="21"/>
                <w:highlight w:val="none"/>
                <w:u w:val="single"/>
                <w:lang w:val="en-US" w:eastAsia="zh-CN" w:bidi="ar"/>
              </w:rPr>
              <w:t>6</w:t>
            </w:r>
            <w:r>
              <w:rPr>
                <w:rFonts w:hint="default" w:ascii="Times New Roman" w:hAnsi="Times New Roman" w:eastAsia="宋体" w:cs="Times New Roman"/>
                <w:b/>
                <w:bCs/>
                <w:color w:val="FF0000"/>
                <w:szCs w:val="21"/>
                <w:highlight w:val="none"/>
                <w:u w:val="single"/>
                <w:lang w:bidi="ar"/>
              </w:rPr>
              <w:t>分。</w:t>
            </w:r>
          </w:p>
          <w:p w14:paraId="165E3AE7">
            <w:pPr>
              <w:pStyle w:val="27"/>
              <w:spacing w:before="122" w:line="240" w:lineRule="auto"/>
              <w:ind w:left="103" w:leftChars="0"/>
              <w:rPr>
                <w:rFonts w:hint="default" w:ascii="Times New Roman" w:hAnsi="Times New Roman" w:eastAsia="宋体" w:cs="Times New Roman"/>
                <w:b/>
                <w:bCs/>
                <w:color w:val="FF0000"/>
                <w:spacing w:val="5"/>
                <w:highlight w:val="none"/>
                <w:u w:val="single"/>
                <w:lang w:eastAsia="zh-CN"/>
              </w:rPr>
            </w:pPr>
            <w:r>
              <w:rPr>
                <w:rFonts w:hint="default" w:ascii="Times New Roman" w:hAnsi="Times New Roman" w:cs="Times New Roman"/>
                <w:b/>
                <w:bCs/>
                <w:color w:val="FF0000"/>
                <w:spacing w:val="5"/>
                <w:highlight w:val="none"/>
                <w:u w:val="single"/>
              </w:rPr>
              <w:t>注：不符合上述条件的不得分，本项最高得</w:t>
            </w:r>
            <w:r>
              <w:rPr>
                <w:rFonts w:hint="default" w:ascii="Times New Roman" w:hAnsi="Times New Roman" w:cs="Times New Roman"/>
                <w:b/>
                <w:bCs/>
                <w:color w:val="FF0000"/>
                <w:spacing w:val="5"/>
                <w:highlight w:val="none"/>
                <w:u w:val="single"/>
                <w:lang w:val="en-US" w:eastAsia="zh-CN"/>
              </w:rPr>
              <w:t>14</w:t>
            </w:r>
            <w:r>
              <w:rPr>
                <w:rFonts w:hint="default" w:ascii="Times New Roman" w:hAnsi="Times New Roman" w:cs="Times New Roman"/>
                <w:b/>
                <w:bCs/>
                <w:color w:val="FF0000"/>
                <w:spacing w:val="5"/>
                <w:highlight w:val="none"/>
                <w:u w:val="single"/>
              </w:rPr>
              <w:t>分。</w:t>
            </w:r>
          </w:p>
        </w:tc>
      </w:tr>
      <w:tr w14:paraId="42DA7529">
        <w:tblPrEx>
          <w:tblBorders>
            <w:top w:val="single" w:color="080000" w:sz="6" w:space="0"/>
            <w:left w:val="single" w:color="080000" w:sz="6" w:space="0"/>
            <w:bottom w:val="single" w:color="080000" w:sz="6" w:space="0"/>
            <w:right w:val="single" w:color="080000" w:sz="6" w:space="0"/>
            <w:insideH w:val="single" w:color="080000" w:sz="6" w:space="0"/>
            <w:insideV w:val="single" w:color="080000" w:sz="6" w:space="0"/>
          </w:tblBorders>
          <w:tblCellMar>
            <w:top w:w="0" w:type="dxa"/>
            <w:left w:w="0" w:type="dxa"/>
            <w:bottom w:w="0" w:type="dxa"/>
            <w:right w:w="0" w:type="dxa"/>
          </w:tblCellMar>
        </w:tblPrEx>
        <w:trPr>
          <w:trHeight w:val="705" w:hRule="atLeast"/>
        </w:trPr>
        <w:tc>
          <w:tcPr>
            <w:tcW w:w="233" w:type="pct"/>
            <w:vMerge w:val="continue"/>
            <w:vAlign w:val="top"/>
          </w:tcPr>
          <w:p w14:paraId="0F148C68">
            <w:pPr>
              <w:pStyle w:val="27"/>
              <w:spacing w:before="65" w:line="240" w:lineRule="auto"/>
              <w:ind w:left="270"/>
              <w:rPr>
                <w:rFonts w:hint="default" w:ascii="Times New Roman" w:hAnsi="Times New Roman" w:cs="Times New Roman"/>
                <w:color w:val="auto"/>
                <w:highlight w:val="none"/>
              </w:rPr>
            </w:pPr>
          </w:p>
        </w:tc>
        <w:tc>
          <w:tcPr>
            <w:tcW w:w="509" w:type="pct"/>
            <w:vMerge w:val="continue"/>
            <w:vAlign w:val="top"/>
          </w:tcPr>
          <w:p w14:paraId="386D5968">
            <w:pPr>
              <w:pStyle w:val="27"/>
              <w:spacing w:before="65" w:line="240" w:lineRule="auto"/>
              <w:ind w:left="269" w:right="64" w:hanging="210"/>
              <w:rPr>
                <w:rFonts w:hint="default" w:ascii="Times New Roman" w:hAnsi="Times New Roman" w:cs="Times New Roman"/>
                <w:color w:val="auto"/>
                <w:spacing w:val="7"/>
                <w:highlight w:val="none"/>
              </w:rPr>
            </w:pPr>
          </w:p>
        </w:tc>
        <w:tc>
          <w:tcPr>
            <w:tcW w:w="460" w:type="pct"/>
            <w:shd w:val="clear" w:color="auto" w:fill="auto"/>
            <w:vAlign w:val="top"/>
          </w:tcPr>
          <w:p w14:paraId="6C854C22">
            <w:pPr>
              <w:pStyle w:val="27"/>
              <w:spacing w:before="273" w:line="240" w:lineRule="auto"/>
              <w:ind w:left="53" w:leftChars="0"/>
              <w:jc w:val="left"/>
              <w:rPr>
                <w:rFonts w:hint="default" w:ascii="Times New Roman" w:hAnsi="Times New Roman" w:eastAsia="宋体" w:cs="Times New Roman"/>
                <w:b/>
                <w:bCs/>
                <w:color w:val="FF0000"/>
                <w:kern w:val="2"/>
                <w:sz w:val="20"/>
                <w:szCs w:val="20"/>
                <w:highlight w:val="none"/>
                <w:u w:val="single"/>
                <w:lang w:val="en-US" w:eastAsia="en-US" w:bidi="ar-SA"/>
              </w:rPr>
            </w:pPr>
            <w:r>
              <w:rPr>
                <w:rFonts w:hint="default" w:ascii="Times New Roman" w:hAnsi="Times New Roman" w:cs="Times New Roman"/>
                <w:b/>
                <w:bCs/>
                <w:color w:val="FF0000"/>
                <w:spacing w:val="8"/>
                <w:highlight w:val="none"/>
                <w:u w:val="single"/>
              </w:rPr>
              <w:t>技术负责人</w:t>
            </w:r>
          </w:p>
        </w:tc>
        <w:tc>
          <w:tcPr>
            <w:tcW w:w="314" w:type="pct"/>
            <w:shd w:val="clear" w:color="auto" w:fill="auto"/>
            <w:vAlign w:val="center"/>
          </w:tcPr>
          <w:p w14:paraId="26BFB03C">
            <w:pPr>
              <w:pStyle w:val="27"/>
              <w:spacing w:before="305" w:line="240" w:lineRule="auto"/>
              <w:ind w:left="266" w:leftChars="0"/>
              <w:rPr>
                <w:rFonts w:hint="default" w:ascii="Times New Roman" w:hAnsi="Times New Roman" w:eastAsia="宋体" w:cs="Times New Roman"/>
                <w:b/>
                <w:bCs/>
                <w:color w:val="FF0000"/>
                <w:kern w:val="2"/>
                <w:sz w:val="20"/>
                <w:szCs w:val="20"/>
                <w:highlight w:val="none"/>
                <w:u w:val="single"/>
                <w:lang w:val="en-US" w:eastAsia="zh-CN" w:bidi="ar-SA"/>
              </w:rPr>
            </w:pPr>
            <w:r>
              <w:rPr>
                <w:rFonts w:hint="default" w:ascii="Times New Roman" w:hAnsi="Times New Roman" w:cs="Times New Roman"/>
                <w:b/>
                <w:bCs/>
                <w:color w:val="FF0000"/>
                <w:spacing w:val="-7"/>
                <w:highlight w:val="none"/>
                <w:u w:val="single"/>
                <w:lang w:val="en-US" w:eastAsia="zh-CN"/>
              </w:rPr>
              <w:t>14</w:t>
            </w:r>
          </w:p>
        </w:tc>
        <w:tc>
          <w:tcPr>
            <w:tcW w:w="3481" w:type="pct"/>
            <w:shd w:val="clear" w:color="auto" w:fill="auto"/>
            <w:vAlign w:val="top"/>
          </w:tcPr>
          <w:p w14:paraId="2D9406FF">
            <w:pPr>
              <w:pStyle w:val="27"/>
              <w:spacing w:before="88" w:line="240" w:lineRule="auto"/>
              <w:ind w:left="107"/>
              <w:rPr>
                <w:rFonts w:hint="default" w:ascii="Times New Roman" w:hAnsi="Times New Roman" w:cs="Times New Roman"/>
                <w:b/>
                <w:bCs/>
                <w:color w:val="FF0000"/>
                <w:spacing w:val="7"/>
                <w:highlight w:val="none"/>
                <w:u w:val="single"/>
              </w:rPr>
            </w:pPr>
            <w:r>
              <w:rPr>
                <w:rFonts w:hint="default" w:ascii="Times New Roman" w:hAnsi="Times New Roman" w:cs="Times New Roman"/>
                <w:b/>
                <w:bCs/>
                <w:color w:val="FF0000"/>
                <w:spacing w:val="8"/>
                <w:highlight w:val="none"/>
                <w:u w:val="single"/>
                <w:lang w:val="en-US" w:eastAsia="zh-CN"/>
              </w:rPr>
              <w:t>1.</w:t>
            </w:r>
            <w:r>
              <w:rPr>
                <w:rFonts w:hint="default" w:ascii="Times New Roman" w:hAnsi="Times New Roman" w:cs="Times New Roman"/>
                <w:b/>
                <w:bCs/>
                <w:color w:val="FF0000"/>
                <w:spacing w:val="8"/>
                <w:highlight w:val="none"/>
                <w:u w:val="single"/>
              </w:rPr>
              <w:t>具有建筑工程相关专业高级或以上技术职称的，得</w:t>
            </w:r>
            <w:r>
              <w:rPr>
                <w:rFonts w:hint="default" w:ascii="Times New Roman" w:hAnsi="Times New Roman" w:cs="Times New Roman"/>
                <w:b/>
                <w:bCs/>
                <w:color w:val="FF0000"/>
                <w:spacing w:val="8"/>
                <w:highlight w:val="none"/>
                <w:u w:val="single"/>
                <w:lang w:val="en-US" w:eastAsia="zh-CN"/>
              </w:rPr>
              <w:t>8</w:t>
            </w:r>
            <w:r>
              <w:rPr>
                <w:rFonts w:hint="default" w:ascii="Times New Roman" w:hAnsi="Times New Roman" w:cs="Times New Roman"/>
                <w:b/>
                <w:bCs/>
                <w:color w:val="FF0000"/>
                <w:spacing w:val="8"/>
                <w:highlight w:val="none"/>
                <w:u w:val="single"/>
              </w:rPr>
              <w:t>分；具有建筑工程相关专业中级技术职</w:t>
            </w:r>
            <w:r>
              <w:rPr>
                <w:rFonts w:hint="default" w:ascii="Times New Roman" w:hAnsi="Times New Roman" w:cs="Times New Roman"/>
                <w:b/>
                <w:bCs/>
                <w:color w:val="FF0000"/>
                <w:spacing w:val="7"/>
                <w:highlight w:val="none"/>
                <w:u w:val="single"/>
              </w:rPr>
              <w:t>称的，得</w:t>
            </w:r>
            <w:r>
              <w:rPr>
                <w:rFonts w:hint="default" w:ascii="Times New Roman" w:hAnsi="Times New Roman" w:cs="Times New Roman"/>
                <w:b/>
                <w:bCs/>
                <w:color w:val="FF0000"/>
                <w:spacing w:val="7"/>
                <w:highlight w:val="none"/>
                <w:u w:val="single"/>
                <w:lang w:val="en-US" w:eastAsia="zh-CN"/>
              </w:rPr>
              <w:t>4</w:t>
            </w:r>
            <w:r>
              <w:rPr>
                <w:rFonts w:hint="default" w:ascii="Times New Roman" w:hAnsi="Times New Roman" w:cs="Times New Roman"/>
                <w:b/>
                <w:bCs/>
                <w:color w:val="FF0000"/>
                <w:spacing w:val="7"/>
                <w:highlight w:val="none"/>
                <w:u w:val="single"/>
              </w:rPr>
              <w:t>分；</w:t>
            </w:r>
            <w:r>
              <w:rPr>
                <w:rFonts w:hint="default" w:ascii="Times New Roman" w:hAnsi="Times New Roman" w:eastAsia="宋体" w:cs="Times New Roman"/>
                <w:b/>
                <w:bCs/>
                <w:color w:val="FF0000"/>
                <w:szCs w:val="21"/>
                <w:highlight w:val="none"/>
                <w:u w:val="single"/>
                <w:lang w:bidi="ar"/>
              </w:rPr>
              <w:t>本小项最高得</w:t>
            </w:r>
            <w:r>
              <w:rPr>
                <w:rFonts w:hint="default" w:ascii="Times New Roman" w:hAnsi="Times New Roman" w:cs="Times New Roman"/>
                <w:b/>
                <w:bCs/>
                <w:color w:val="FF0000"/>
                <w:szCs w:val="21"/>
                <w:highlight w:val="none"/>
                <w:u w:val="single"/>
                <w:lang w:val="en-US" w:eastAsia="zh-CN" w:bidi="ar"/>
              </w:rPr>
              <w:t>8</w:t>
            </w:r>
            <w:r>
              <w:rPr>
                <w:rFonts w:hint="default" w:ascii="Times New Roman" w:hAnsi="Times New Roman" w:eastAsia="宋体" w:cs="Times New Roman"/>
                <w:b/>
                <w:bCs/>
                <w:color w:val="FF0000"/>
                <w:szCs w:val="21"/>
                <w:highlight w:val="none"/>
                <w:u w:val="single"/>
                <w:lang w:bidi="ar"/>
              </w:rPr>
              <w:t>分。</w:t>
            </w:r>
          </w:p>
          <w:p w14:paraId="3BE12047">
            <w:pPr>
              <w:pStyle w:val="27"/>
              <w:spacing w:before="88" w:line="240" w:lineRule="auto"/>
              <w:ind w:left="107"/>
              <w:rPr>
                <w:rFonts w:hint="default" w:ascii="Times New Roman" w:hAnsi="Times New Roman" w:eastAsia="宋体" w:cs="Times New Roman"/>
                <w:b/>
                <w:bCs/>
                <w:color w:val="FF0000"/>
                <w:spacing w:val="7"/>
                <w:highlight w:val="none"/>
                <w:u w:val="single"/>
                <w:lang w:val="en-US" w:eastAsia="zh-CN"/>
              </w:rPr>
            </w:pPr>
            <w:r>
              <w:rPr>
                <w:rFonts w:hint="default" w:ascii="Times New Roman" w:hAnsi="Times New Roman" w:cs="Times New Roman"/>
                <w:b/>
                <w:bCs/>
                <w:color w:val="FF0000"/>
                <w:spacing w:val="7"/>
                <w:highlight w:val="none"/>
                <w:u w:val="single"/>
                <w:lang w:val="en-US" w:eastAsia="zh-CN"/>
              </w:rPr>
              <w:t>2.工作经历：</w:t>
            </w:r>
            <w:r>
              <w:rPr>
                <w:rFonts w:hint="default" w:ascii="Times New Roman" w:hAnsi="Times New Roman" w:eastAsia="宋体" w:cs="Times New Roman"/>
                <w:b/>
                <w:bCs/>
                <w:color w:val="FF0000"/>
                <w:szCs w:val="21"/>
                <w:highlight w:val="none"/>
                <w:u w:val="single"/>
                <w:lang w:val="en-US" w:eastAsia="zh-CN" w:bidi="ar"/>
              </w:rPr>
              <w:t>在20</w:t>
            </w:r>
            <w:r>
              <w:rPr>
                <w:rFonts w:hint="default" w:ascii="Times New Roman" w:hAnsi="Times New Roman" w:eastAsia="宋体" w:cs="Times New Roman"/>
                <w:b/>
                <w:bCs/>
                <w:color w:val="FF0000"/>
                <w:szCs w:val="21"/>
                <w:highlight w:val="none"/>
                <w:u w:val="single"/>
                <w:lang w:bidi="ar"/>
              </w:rPr>
              <w:t>年以上得</w:t>
            </w:r>
            <w:r>
              <w:rPr>
                <w:rFonts w:hint="default" w:ascii="Times New Roman" w:hAnsi="Times New Roman" w:cs="Times New Roman"/>
                <w:b/>
                <w:bCs/>
                <w:color w:val="FF0000"/>
                <w:szCs w:val="21"/>
                <w:highlight w:val="none"/>
                <w:u w:val="single"/>
                <w:lang w:val="en-US" w:eastAsia="zh-CN" w:bidi="ar"/>
              </w:rPr>
              <w:t>6</w:t>
            </w:r>
            <w:r>
              <w:rPr>
                <w:rFonts w:hint="default" w:ascii="Times New Roman" w:hAnsi="Times New Roman" w:eastAsia="宋体" w:cs="Times New Roman"/>
                <w:b/>
                <w:bCs/>
                <w:color w:val="FF0000"/>
                <w:szCs w:val="21"/>
                <w:highlight w:val="none"/>
                <w:u w:val="single"/>
                <w:lang w:bidi="ar"/>
              </w:rPr>
              <w:t>分；</w:t>
            </w:r>
            <w:r>
              <w:rPr>
                <w:rFonts w:hint="eastAsia" w:ascii="Times New Roman" w:hAnsi="Times New Roman" w:cs="Times New Roman"/>
                <w:b/>
                <w:bCs/>
                <w:color w:val="FF0000"/>
                <w:szCs w:val="21"/>
                <w:highlight w:val="none"/>
                <w:u w:val="single"/>
                <w:lang w:val="en-US" w:eastAsia="zh-CN" w:bidi="ar"/>
              </w:rPr>
              <w:t>工作</w:t>
            </w:r>
            <w:r>
              <w:rPr>
                <w:rFonts w:hint="default" w:ascii="Times New Roman" w:hAnsi="Times New Roman" w:eastAsia="宋体" w:cs="Times New Roman"/>
                <w:b/>
                <w:bCs/>
                <w:color w:val="FF0000"/>
                <w:szCs w:val="21"/>
                <w:highlight w:val="none"/>
                <w:u w:val="single"/>
                <w:lang w:bidi="ar"/>
              </w:rPr>
              <w:t>经历</w:t>
            </w:r>
            <w:r>
              <w:rPr>
                <w:rFonts w:hint="default" w:ascii="Times New Roman" w:hAnsi="Times New Roman" w:eastAsia="宋体" w:cs="Times New Roman"/>
                <w:b/>
                <w:bCs/>
                <w:color w:val="FF0000"/>
                <w:szCs w:val="21"/>
                <w:highlight w:val="none"/>
                <w:u w:val="single"/>
                <w:lang w:val="en-US" w:eastAsia="zh-CN" w:bidi="ar"/>
              </w:rPr>
              <w:t>在</w:t>
            </w:r>
            <w:r>
              <w:rPr>
                <w:rFonts w:hint="default" w:ascii="Times New Roman" w:hAnsi="Times New Roman" w:cs="Times New Roman"/>
                <w:b/>
                <w:bCs/>
                <w:color w:val="FF0000"/>
                <w:szCs w:val="21"/>
                <w:highlight w:val="none"/>
                <w:u w:val="single"/>
                <w:lang w:val="en-US" w:eastAsia="zh-CN" w:bidi="ar"/>
              </w:rPr>
              <w:t>10</w:t>
            </w:r>
            <w:r>
              <w:rPr>
                <w:rFonts w:hint="default" w:ascii="Times New Roman" w:hAnsi="Times New Roman" w:eastAsia="宋体" w:cs="Times New Roman"/>
                <w:b/>
                <w:bCs/>
                <w:color w:val="FF0000"/>
                <w:szCs w:val="21"/>
                <w:highlight w:val="none"/>
                <w:u w:val="single"/>
                <w:lang w:val="en-US" w:eastAsia="zh-CN" w:bidi="ar"/>
              </w:rPr>
              <w:t>（不含）-</w:t>
            </w:r>
            <w:r>
              <w:rPr>
                <w:rFonts w:hint="default" w:ascii="Times New Roman" w:hAnsi="Times New Roman" w:cs="Times New Roman"/>
                <w:b/>
                <w:bCs/>
                <w:color w:val="FF0000"/>
                <w:szCs w:val="21"/>
                <w:highlight w:val="none"/>
                <w:u w:val="single"/>
                <w:lang w:val="en-US" w:eastAsia="zh-CN" w:bidi="ar"/>
              </w:rPr>
              <w:t>20</w:t>
            </w:r>
            <w:r>
              <w:rPr>
                <w:rFonts w:hint="default" w:ascii="Times New Roman" w:hAnsi="Times New Roman" w:eastAsia="宋体" w:cs="Times New Roman"/>
                <w:b/>
                <w:bCs/>
                <w:color w:val="FF0000"/>
                <w:szCs w:val="21"/>
                <w:highlight w:val="none"/>
                <w:u w:val="single"/>
                <w:lang w:bidi="ar"/>
              </w:rPr>
              <w:t>年（含</w:t>
            </w:r>
            <w:r>
              <w:rPr>
                <w:rFonts w:hint="default" w:ascii="Times New Roman" w:hAnsi="Times New Roman" w:cs="Times New Roman"/>
                <w:b/>
                <w:bCs/>
                <w:color w:val="FF0000"/>
                <w:szCs w:val="21"/>
                <w:highlight w:val="none"/>
                <w:u w:val="single"/>
                <w:lang w:val="en-US" w:eastAsia="zh-CN" w:bidi="ar"/>
              </w:rPr>
              <w:t>2</w:t>
            </w:r>
            <w:r>
              <w:rPr>
                <w:rFonts w:hint="default" w:ascii="Times New Roman" w:hAnsi="Times New Roman" w:eastAsia="宋体" w:cs="Times New Roman"/>
                <w:b/>
                <w:bCs/>
                <w:color w:val="FF0000"/>
                <w:szCs w:val="21"/>
                <w:highlight w:val="none"/>
                <w:u w:val="single"/>
                <w:lang w:val="en-US" w:eastAsia="zh-CN" w:bidi="ar"/>
              </w:rPr>
              <w:t>0</w:t>
            </w:r>
            <w:r>
              <w:rPr>
                <w:rFonts w:hint="default" w:ascii="Times New Roman" w:hAnsi="Times New Roman" w:eastAsia="宋体" w:cs="Times New Roman"/>
                <w:b/>
                <w:bCs/>
                <w:color w:val="FF0000"/>
                <w:szCs w:val="21"/>
                <w:highlight w:val="none"/>
                <w:u w:val="single"/>
                <w:lang w:bidi="ar"/>
              </w:rPr>
              <w:t>年）得</w:t>
            </w:r>
            <w:r>
              <w:rPr>
                <w:rFonts w:hint="default" w:ascii="Times New Roman" w:hAnsi="Times New Roman" w:cs="Times New Roman"/>
                <w:b/>
                <w:bCs/>
                <w:color w:val="FF0000"/>
                <w:szCs w:val="21"/>
                <w:highlight w:val="none"/>
                <w:u w:val="single"/>
                <w:lang w:val="en-US" w:eastAsia="zh-CN" w:bidi="ar"/>
              </w:rPr>
              <w:t>4</w:t>
            </w:r>
            <w:r>
              <w:rPr>
                <w:rFonts w:hint="default" w:ascii="Times New Roman" w:hAnsi="Times New Roman" w:eastAsia="宋体" w:cs="Times New Roman"/>
                <w:b/>
                <w:bCs/>
                <w:color w:val="FF0000"/>
                <w:szCs w:val="21"/>
                <w:highlight w:val="none"/>
                <w:u w:val="single"/>
                <w:lang w:bidi="ar"/>
              </w:rPr>
              <w:t>分；</w:t>
            </w:r>
            <w:r>
              <w:rPr>
                <w:rFonts w:hint="eastAsia" w:ascii="Times New Roman" w:hAnsi="Times New Roman" w:cs="Times New Roman"/>
                <w:b/>
                <w:bCs/>
                <w:color w:val="FF0000"/>
                <w:szCs w:val="21"/>
                <w:highlight w:val="none"/>
                <w:u w:val="single"/>
                <w:lang w:val="en-US" w:eastAsia="zh-CN" w:bidi="ar"/>
              </w:rPr>
              <w:t>工作</w:t>
            </w:r>
            <w:r>
              <w:rPr>
                <w:rFonts w:hint="default" w:ascii="Times New Roman" w:hAnsi="Times New Roman" w:eastAsia="宋体" w:cs="Times New Roman"/>
                <w:b/>
                <w:bCs/>
                <w:color w:val="FF0000"/>
                <w:szCs w:val="21"/>
                <w:highlight w:val="none"/>
                <w:u w:val="single"/>
                <w:lang w:bidi="ar"/>
              </w:rPr>
              <w:t>经历</w:t>
            </w:r>
            <w:r>
              <w:rPr>
                <w:rFonts w:hint="default" w:ascii="Times New Roman" w:hAnsi="Times New Roman" w:eastAsia="宋体" w:cs="Times New Roman"/>
                <w:b/>
                <w:bCs/>
                <w:color w:val="FF0000"/>
                <w:szCs w:val="21"/>
                <w:highlight w:val="none"/>
                <w:u w:val="single"/>
                <w:lang w:val="en-US" w:eastAsia="zh-CN" w:bidi="ar"/>
              </w:rPr>
              <w:t>5（不含）-</w:t>
            </w:r>
            <w:r>
              <w:rPr>
                <w:rFonts w:hint="default" w:ascii="Times New Roman" w:hAnsi="Times New Roman" w:cs="Times New Roman"/>
                <w:b/>
                <w:bCs/>
                <w:color w:val="FF0000"/>
                <w:szCs w:val="21"/>
                <w:highlight w:val="none"/>
                <w:u w:val="single"/>
                <w:lang w:val="en-US" w:eastAsia="zh-CN" w:bidi="ar"/>
              </w:rPr>
              <w:t>10</w:t>
            </w:r>
            <w:r>
              <w:rPr>
                <w:rFonts w:hint="default" w:ascii="Times New Roman" w:hAnsi="Times New Roman" w:eastAsia="宋体" w:cs="Times New Roman"/>
                <w:b/>
                <w:bCs/>
                <w:color w:val="FF0000"/>
                <w:szCs w:val="21"/>
                <w:highlight w:val="none"/>
                <w:u w:val="single"/>
                <w:lang w:bidi="ar"/>
              </w:rPr>
              <w:t>年（含</w:t>
            </w:r>
            <w:r>
              <w:rPr>
                <w:rFonts w:hint="default" w:ascii="Times New Roman" w:hAnsi="Times New Roman" w:cs="Times New Roman"/>
                <w:b/>
                <w:bCs/>
                <w:color w:val="FF0000"/>
                <w:szCs w:val="21"/>
                <w:highlight w:val="none"/>
                <w:u w:val="single"/>
                <w:lang w:val="en-US" w:eastAsia="zh-CN" w:bidi="ar"/>
              </w:rPr>
              <w:t>10</w:t>
            </w:r>
            <w:r>
              <w:rPr>
                <w:rFonts w:hint="default" w:ascii="Times New Roman" w:hAnsi="Times New Roman" w:eastAsia="宋体" w:cs="Times New Roman"/>
                <w:b/>
                <w:bCs/>
                <w:color w:val="FF0000"/>
                <w:szCs w:val="21"/>
                <w:highlight w:val="none"/>
                <w:u w:val="single"/>
                <w:lang w:bidi="ar"/>
              </w:rPr>
              <w:t>年）得</w:t>
            </w:r>
            <w:r>
              <w:rPr>
                <w:rFonts w:hint="default" w:ascii="Times New Roman" w:hAnsi="Times New Roman" w:cs="Times New Roman"/>
                <w:b/>
                <w:bCs/>
                <w:color w:val="FF0000"/>
                <w:szCs w:val="21"/>
                <w:highlight w:val="none"/>
                <w:u w:val="single"/>
                <w:lang w:val="en-US" w:eastAsia="zh-CN" w:bidi="ar"/>
              </w:rPr>
              <w:t>2</w:t>
            </w:r>
            <w:r>
              <w:rPr>
                <w:rFonts w:hint="default" w:ascii="Times New Roman" w:hAnsi="Times New Roman" w:eastAsia="宋体" w:cs="Times New Roman"/>
                <w:b/>
                <w:bCs/>
                <w:color w:val="FF0000"/>
                <w:szCs w:val="21"/>
                <w:highlight w:val="none"/>
                <w:u w:val="single"/>
                <w:lang w:bidi="ar"/>
              </w:rPr>
              <w:t>分；</w:t>
            </w:r>
            <w:r>
              <w:rPr>
                <w:rFonts w:hint="eastAsia" w:ascii="Times New Roman" w:hAnsi="Times New Roman" w:cs="Times New Roman"/>
                <w:b/>
                <w:bCs/>
                <w:color w:val="FF0000"/>
                <w:szCs w:val="21"/>
                <w:highlight w:val="none"/>
                <w:u w:val="single"/>
                <w:lang w:val="en-US" w:eastAsia="zh-CN" w:bidi="ar"/>
              </w:rPr>
              <w:t>工作</w:t>
            </w:r>
            <w:r>
              <w:rPr>
                <w:rFonts w:hint="default" w:ascii="Times New Roman" w:hAnsi="Times New Roman" w:eastAsia="宋体" w:cs="Times New Roman"/>
                <w:b/>
                <w:bCs/>
                <w:color w:val="FF0000"/>
                <w:szCs w:val="21"/>
                <w:highlight w:val="none"/>
                <w:u w:val="single"/>
                <w:lang w:bidi="ar"/>
              </w:rPr>
              <w:t>经历</w:t>
            </w:r>
            <w:r>
              <w:rPr>
                <w:rFonts w:hint="default" w:ascii="Times New Roman" w:hAnsi="Times New Roman" w:eastAsia="宋体" w:cs="Times New Roman"/>
                <w:b/>
                <w:bCs/>
                <w:color w:val="FF0000"/>
                <w:szCs w:val="21"/>
                <w:highlight w:val="none"/>
                <w:u w:val="single"/>
                <w:lang w:val="en-US" w:eastAsia="zh-CN" w:bidi="ar"/>
              </w:rPr>
              <w:t>5</w:t>
            </w:r>
            <w:r>
              <w:rPr>
                <w:rFonts w:hint="default" w:ascii="Times New Roman" w:hAnsi="Times New Roman" w:eastAsia="宋体" w:cs="Times New Roman"/>
                <w:b/>
                <w:bCs/>
                <w:color w:val="FF0000"/>
                <w:szCs w:val="21"/>
                <w:highlight w:val="none"/>
                <w:u w:val="single"/>
                <w:lang w:bidi="ar"/>
              </w:rPr>
              <w:t>年</w:t>
            </w:r>
            <w:r>
              <w:rPr>
                <w:rFonts w:hint="default" w:ascii="Times New Roman" w:hAnsi="Times New Roman" w:eastAsia="宋体" w:cs="Times New Roman"/>
                <w:b/>
                <w:bCs/>
                <w:color w:val="FF0000"/>
                <w:szCs w:val="21"/>
                <w:highlight w:val="none"/>
                <w:u w:val="single"/>
                <w:lang w:val="en-US" w:eastAsia="zh-CN" w:bidi="ar"/>
              </w:rPr>
              <w:t>及以下的</w:t>
            </w:r>
            <w:r>
              <w:rPr>
                <w:rFonts w:hint="default" w:ascii="Times New Roman" w:hAnsi="Times New Roman" w:eastAsia="宋体" w:cs="Times New Roman"/>
                <w:b/>
                <w:bCs/>
                <w:color w:val="FF0000"/>
                <w:szCs w:val="21"/>
                <w:highlight w:val="none"/>
                <w:u w:val="single"/>
                <w:lang w:bidi="ar"/>
              </w:rPr>
              <w:t>得</w:t>
            </w:r>
            <w:r>
              <w:rPr>
                <w:rFonts w:hint="default" w:ascii="Times New Roman" w:hAnsi="Times New Roman" w:eastAsia="宋体" w:cs="Times New Roman"/>
                <w:b/>
                <w:bCs/>
                <w:color w:val="FF0000"/>
                <w:szCs w:val="21"/>
                <w:highlight w:val="none"/>
                <w:u w:val="single"/>
                <w:lang w:val="en-US" w:eastAsia="zh-CN" w:bidi="ar"/>
              </w:rPr>
              <w:t>0</w:t>
            </w:r>
            <w:r>
              <w:rPr>
                <w:rFonts w:hint="default" w:ascii="Times New Roman" w:hAnsi="Times New Roman" w:eastAsia="宋体" w:cs="Times New Roman"/>
                <w:b/>
                <w:bCs/>
                <w:color w:val="FF0000"/>
                <w:szCs w:val="21"/>
                <w:highlight w:val="none"/>
                <w:u w:val="single"/>
                <w:lang w:bidi="ar"/>
              </w:rPr>
              <w:t>分</w:t>
            </w:r>
            <w:r>
              <w:rPr>
                <w:rFonts w:hint="default" w:ascii="Times New Roman" w:hAnsi="Times New Roman" w:eastAsia="宋体" w:cs="Times New Roman"/>
                <w:b/>
                <w:bCs/>
                <w:color w:val="FF0000"/>
                <w:szCs w:val="21"/>
                <w:highlight w:val="none"/>
                <w:u w:val="single"/>
                <w:lang w:eastAsia="zh-CN" w:bidi="ar"/>
              </w:rPr>
              <w:t>；</w:t>
            </w:r>
            <w:r>
              <w:rPr>
                <w:rFonts w:hint="default" w:ascii="Times New Roman" w:hAnsi="Times New Roman" w:eastAsia="宋体" w:cs="Times New Roman"/>
                <w:b/>
                <w:bCs/>
                <w:color w:val="FF0000"/>
                <w:szCs w:val="21"/>
                <w:highlight w:val="none"/>
                <w:u w:val="single"/>
                <w:lang w:bidi="ar"/>
              </w:rPr>
              <w:t>本小项最高得</w:t>
            </w:r>
            <w:r>
              <w:rPr>
                <w:rFonts w:hint="default" w:ascii="Times New Roman" w:hAnsi="Times New Roman" w:cs="Times New Roman"/>
                <w:b/>
                <w:bCs/>
                <w:color w:val="FF0000"/>
                <w:szCs w:val="21"/>
                <w:highlight w:val="none"/>
                <w:u w:val="single"/>
                <w:lang w:val="en-US" w:eastAsia="zh-CN" w:bidi="ar"/>
              </w:rPr>
              <w:t>6</w:t>
            </w:r>
            <w:r>
              <w:rPr>
                <w:rFonts w:hint="default" w:ascii="Times New Roman" w:hAnsi="Times New Roman" w:eastAsia="宋体" w:cs="Times New Roman"/>
                <w:b/>
                <w:bCs/>
                <w:color w:val="FF0000"/>
                <w:szCs w:val="21"/>
                <w:highlight w:val="none"/>
                <w:u w:val="single"/>
                <w:lang w:bidi="ar"/>
              </w:rPr>
              <w:t>分。</w:t>
            </w:r>
          </w:p>
          <w:p w14:paraId="64DD247E">
            <w:pPr>
              <w:pStyle w:val="27"/>
              <w:spacing w:before="122" w:line="240" w:lineRule="auto"/>
              <w:ind w:left="103" w:leftChars="0"/>
              <w:rPr>
                <w:rFonts w:hint="default" w:ascii="Times New Roman" w:hAnsi="Times New Roman" w:eastAsia="宋体" w:cs="Times New Roman"/>
                <w:b/>
                <w:bCs/>
                <w:color w:val="FF0000"/>
                <w:kern w:val="2"/>
                <w:sz w:val="20"/>
                <w:szCs w:val="20"/>
                <w:highlight w:val="none"/>
                <w:u w:val="single"/>
                <w:lang w:val="en-US" w:eastAsia="en-US" w:bidi="ar-SA"/>
              </w:rPr>
            </w:pPr>
            <w:r>
              <w:rPr>
                <w:rFonts w:hint="default" w:ascii="Times New Roman" w:hAnsi="Times New Roman" w:cs="Times New Roman"/>
                <w:b/>
                <w:bCs/>
                <w:color w:val="FF0000"/>
                <w:spacing w:val="5"/>
                <w:highlight w:val="none"/>
                <w:u w:val="single"/>
              </w:rPr>
              <w:t>注：不符合上述条件的不得分，本项最高得</w:t>
            </w:r>
            <w:r>
              <w:rPr>
                <w:rFonts w:hint="default" w:ascii="Times New Roman" w:hAnsi="Times New Roman" w:cs="Times New Roman"/>
                <w:b/>
                <w:bCs/>
                <w:color w:val="FF0000"/>
                <w:spacing w:val="5"/>
                <w:highlight w:val="none"/>
                <w:u w:val="single"/>
                <w:lang w:val="en-US" w:eastAsia="zh-CN"/>
              </w:rPr>
              <w:t>14</w:t>
            </w:r>
            <w:r>
              <w:rPr>
                <w:rFonts w:hint="default" w:ascii="Times New Roman" w:hAnsi="Times New Roman" w:cs="Times New Roman"/>
                <w:b/>
                <w:bCs/>
                <w:color w:val="FF0000"/>
                <w:spacing w:val="5"/>
                <w:highlight w:val="none"/>
                <w:u w:val="single"/>
              </w:rPr>
              <w:t>分。</w:t>
            </w:r>
          </w:p>
        </w:tc>
      </w:tr>
      <w:tr w14:paraId="5C4691FB">
        <w:tblPrEx>
          <w:tblBorders>
            <w:top w:val="single" w:color="080000" w:sz="6" w:space="0"/>
            <w:left w:val="single" w:color="080000" w:sz="6" w:space="0"/>
            <w:bottom w:val="single" w:color="080000" w:sz="6" w:space="0"/>
            <w:right w:val="single" w:color="080000" w:sz="6" w:space="0"/>
            <w:insideH w:val="single" w:color="080000" w:sz="6" w:space="0"/>
            <w:insideV w:val="single" w:color="080000" w:sz="6" w:space="0"/>
          </w:tblBorders>
          <w:tblCellMar>
            <w:top w:w="0" w:type="dxa"/>
            <w:left w:w="0" w:type="dxa"/>
            <w:bottom w:w="0" w:type="dxa"/>
            <w:right w:w="0" w:type="dxa"/>
          </w:tblCellMar>
        </w:tblPrEx>
        <w:trPr>
          <w:trHeight w:val="735" w:hRule="atLeast"/>
        </w:trPr>
        <w:tc>
          <w:tcPr>
            <w:tcW w:w="233" w:type="pct"/>
            <w:vMerge w:val="continue"/>
            <w:tcBorders>
              <w:top w:val="nil"/>
              <w:bottom w:val="nil"/>
            </w:tcBorders>
            <w:vAlign w:val="top"/>
          </w:tcPr>
          <w:p w14:paraId="7AD4BFB2">
            <w:pPr>
              <w:rPr>
                <w:rFonts w:hint="default" w:ascii="Times New Roman" w:hAnsi="Times New Roman" w:cs="Times New Roman"/>
                <w:color w:val="auto"/>
                <w:sz w:val="21"/>
                <w:highlight w:val="none"/>
              </w:rPr>
            </w:pPr>
          </w:p>
        </w:tc>
        <w:tc>
          <w:tcPr>
            <w:tcW w:w="509" w:type="pct"/>
            <w:vMerge w:val="continue"/>
            <w:tcBorders>
              <w:top w:val="nil"/>
              <w:bottom w:val="nil"/>
            </w:tcBorders>
            <w:vAlign w:val="top"/>
          </w:tcPr>
          <w:p w14:paraId="3CDA84EC">
            <w:pPr>
              <w:rPr>
                <w:rFonts w:hint="default" w:ascii="Times New Roman" w:hAnsi="Times New Roman" w:cs="Times New Roman"/>
                <w:color w:val="auto"/>
                <w:sz w:val="21"/>
                <w:highlight w:val="none"/>
              </w:rPr>
            </w:pPr>
          </w:p>
        </w:tc>
        <w:tc>
          <w:tcPr>
            <w:tcW w:w="460" w:type="pct"/>
            <w:vAlign w:val="top"/>
          </w:tcPr>
          <w:p w14:paraId="2407E751">
            <w:pPr>
              <w:spacing w:line="240" w:lineRule="auto"/>
              <w:jc w:val="left"/>
              <w:rPr>
                <w:rFonts w:hint="default" w:ascii="Times New Roman" w:hAnsi="Times New Roman" w:cs="Times New Roman"/>
                <w:color w:val="auto"/>
                <w:sz w:val="21"/>
                <w:highlight w:val="none"/>
              </w:rPr>
            </w:pPr>
          </w:p>
          <w:p w14:paraId="782920FD">
            <w:pPr>
              <w:pStyle w:val="27"/>
              <w:spacing w:before="65" w:line="240" w:lineRule="auto"/>
              <w:ind w:left="53"/>
              <w:jc w:val="left"/>
              <w:rPr>
                <w:rFonts w:hint="default" w:ascii="Times New Roman" w:hAnsi="Times New Roman" w:cs="Times New Roman"/>
                <w:color w:val="auto"/>
                <w:highlight w:val="none"/>
              </w:rPr>
            </w:pPr>
            <w:r>
              <w:rPr>
                <w:rFonts w:hint="default" w:ascii="Times New Roman" w:hAnsi="Times New Roman" w:cs="Times New Roman"/>
                <w:color w:val="auto"/>
                <w:spacing w:val="8"/>
                <w:highlight w:val="none"/>
              </w:rPr>
              <w:t>质量负责人</w:t>
            </w:r>
          </w:p>
        </w:tc>
        <w:tc>
          <w:tcPr>
            <w:tcW w:w="314" w:type="pct"/>
            <w:vAlign w:val="top"/>
          </w:tcPr>
          <w:p w14:paraId="18507155">
            <w:pPr>
              <w:spacing w:line="240" w:lineRule="auto"/>
              <w:rPr>
                <w:rFonts w:hint="default" w:ascii="Times New Roman" w:hAnsi="Times New Roman" w:cs="Times New Roman"/>
                <w:color w:val="auto"/>
                <w:sz w:val="21"/>
                <w:highlight w:val="none"/>
              </w:rPr>
            </w:pPr>
          </w:p>
          <w:p w14:paraId="25310C30">
            <w:pPr>
              <w:pStyle w:val="27"/>
              <w:spacing w:before="65" w:line="240" w:lineRule="auto"/>
              <w:ind w:left="266"/>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spacing w:val="-7"/>
                <w:highlight w:val="none"/>
                <w:lang w:val="en-US" w:eastAsia="zh-CN"/>
              </w:rPr>
              <w:t>4</w:t>
            </w:r>
          </w:p>
        </w:tc>
        <w:tc>
          <w:tcPr>
            <w:tcW w:w="3481" w:type="pct"/>
            <w:vAlign w:val="top"/>
          </w:tcPr>
          <w:p w14:paraId="5E85C149">
            <w:pPr>
              <w:pStyle w:val="27"/>
              <w:spacing w:before="153" w:line="240" w:lineRule="auto"/>
              <w:ind w:left="107"/>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spacing w:val="8"/>
                <w:highlight w:val="none"/>
              </w:rPr>
              <w:t>具有建筑工程相关专业中级</w:t>
            </w:r>
            <w:r>
              <w:rPr>
                <w:rFonts w:hint="default" w:ascii="Times New Roman" w:hAnsi="Times New Roman" w:cs="Times New Roman"/>
                <w:color w:val="auto"/>
                <w:spacing w:val="8"/>
                <w:highlight w:val="none"/>
                <w:lang w:val="en-US" w:eastAsia="zh-CN"/>
              </w:rPr>
              <w:t>或以上</w:t>
            </w:r>
            <w:r>
              <w:rPr>
                <w:rFonts w:hint="default" w:ascii="Times New Roman" w:hAnsi="Times New Roman" w:cs="Times New Roman"/>
                <w:color w:val="auto"/>
                <w:spacing w:val="8"/>
                <w:highlight w:val="none"/>
              </w:rPr>
              <w:t>技术职</w:t>
            </w:r>
            <w:r>
              <w:rPr>
                <w:rFonts w:hint="default" w:ascii="Times New Roman" w:hAnsi="Times New Roman" w:cs="Times New Roman"/>
                <w:color w:val="auto"/>
                <w:spacing w:val="7"/>
                <w:highlight w:val="none"/>
              </w:rPr>
              <w:t>称的，得</w:t>
            </w:r>
            <w:r>
              <w:rPr>
                <w:rFonts w:hint="default" w:ascii="Times New Roman" w:hAnsi="Times New Roman" w:cs="Times New Roman"/>
                <w:color w:val="auto"/>
                <w:spacing w:val="7"/>
                <w:highlight w:val="none"/>
                <w:lang w:val="en-US" w:eastAsia="zh-CN"/>
              </w:rPr>
              <w:t>4</w:t>
            </w:r>
            <w:r>
              <w:rPr>
                <w:rFonts w:hint="default" w:ascii="Times New Roman" w:hAnsi="Times New Roman" w:cs="Times New Roman"/>
                <w:color w:val="auto"/>
                <w:spacing w:val="7"/>
                <w:highlight w:val="none"/>
              </w:rPr>
              <w:t>分</w:t>
            </w:r>
            <w:r>
              <w:rPr>
                <w:rFonts w:hint="default" w:ascii="Times New Roman" w:hAnsi="Times New Roman" w:cs="Times New Roman"/>
                <w:color w:val="auto"/>
                <w:spacing w:val="7"/>
                <w:highlight w:val="none"/>
                <w:lang w:eastAsia="zh-CN"/>
              </w:rPr>
              <w:t>。</w:t>
            </w:r>
          </w:p>
          <w:p w14:paraId="5957C928">
            <w:pPr>
              <w:pStyle w:val="27"/>
              <w:spacing w:before="122" w:line="240" w:lineRule="auto"/>
              <w:ind w:left="103"/>
              <w:rPr>
                <w:rFonts w:hint="default" w:ascii="Times New Roman" w:hAnsi="Times New Roman" w:cs="Times New Roman"/>
                <w:color w:val="auto"/>
                <w:highlight w:val="none"/>
              </w:rPr>
            </w:pPr>
            <w:r>
              <w:rPr>
                <w:rFonts w:hint="default" w:ascii="Times New Roman" w:hAnsi="Times New Roman" w:cs="Times New Roman"/>
                <w:b/>
                <w:bCs/>
                <w:color w:val="auto"/>
                <w:spacing w:val="5"/>
                <w:highlight w:val="none"/>
              </w:rPr>
              <w:t>注：不符合上述条件的不得分，本项最高得</w:t>
            </w:r>
            <w:r>
              <w:rPr>
                <w:rFonts w:hint="default" w:ascii="Times New Roman" w:hAnsi="Times New Roman" w:cs="Times New Roman"/>
                <w:b/>
                <w:bCs/>
                <w:color w:val="auto"/>
                <w:spacing w:val="5"/>
                <w:highlight w:val="none"/>
                <w:lang w:val="en-US" w:eastAsia="zh-CN"/>
              </w:rPr>
              <w:t>4</w:t>
            </w:r>
            <w:r>
              <w:rPr>
                <w:rFonts w:hint="default" w:ascii="Times New Roman" w:hAnsi="Times New Roman" w:cs="Times New Roman"/>
                <w:b/>
                <w:bCs/>
                <w:color w:val="auto"/>
                <w:spacing w:val="5"/>
                <w:highlight w:val="none"/>
              </w:rPr>
              <w:t>分。</w:t>
            </w:r>
          </w:p>
        </w:tc>
      </w:tr>
      <w:tr w14:paraId="71A0E9FC">
        <w:tblPrEx>
          <w:tblBorders>
            <w:top w:val="single" w:color="080000" w:sz="6" w:space="0"/>
            <w:left w:val="single" w:color="080000" w:sz="6" w:space="0"/>
            <w:bottom w:val="single" w:color="080000" w:sz="6" w:space="0"/>
            <w:right w:val="single" w:color="080000" w:sz="6" w:space="0"/>
            <w:insideH w:val="single" w:color="080000" w:sz="6" w:space="0"/>
            <w:insideV w:val="single" w:color="080000" w:sz="6" w:space="0"/>
          </w:tblBorders>
          <w:tblCellMar>
            <w:top w:w="0" w:type="dxa"/>
            <w:left w:w="0" w:type="dxa"/>
            <w:bottom w:w="0" w:type="dxa"/>
            <w:right w:w="0" w:type="dxa"/>
          </w:tblCellMar>
        </w:tblPrEx>
        <w:trPr>
          <w:trHeight w:val="735" w:hRule="atLeast"/>
        </w:trPr>
        <w:tc>
          <w:tcPr>
            <w:tcW w:w="233" w:type="pct"/>
            <w:vMerge w:val="continue"/>
            <w:tcBorders>
              <w:top w:val="nil"/>
              <w:bottom w:val="nil"/>
            </w:tcBorders>
            <w:vAlign w:val="top"/>
          </w:tcPr>
          <w:p w14:paraId="093DBAC5">
            <w:pPr>
              <w:rPr>
                <w:rFonts w:hint="default" w:ascii="Times New Roman" w:hAnsi="Times New Roman" w:cs="Times New Roman"/>
                <w:color w:val="auto"/>
                <w:sz w:val="21"/>
                <w:highlight w:val="none"/>
              </w:rPr>
            </w:pPr>
          </w:p>
        </w:tc>
        <w:tc>
          <w:tcPr>
            <w:tcW w:w="509" w:type="pct"/>
            <w:vMerge w:val="continue"/>
            <w:tcBorders>
              <w:top w:val="nil"/>
              <w:bottom w:val="nil"/>
            </w:tcBorders>
            <w:vAlign w:val="top"/>
          </w:tcPr>
          <w:p w14:paraId="4DD31541">
            <w:pPr>
              <w:rPr>
                <w:rFonts w:hint="default" w:ascii="Times New Roman" w:hAnsi="Times New Roman" w:cs="Times New Roman"/>
                <w:color w:val="auto"/>
                <w:sz w:val="21"/>
                <w:highlight w:val="none"/>
              </w:rPr>
            </w:pPr>
          </w:p>
        </w:tc>
        <w:tc>
          <w:tcPr>
            <w:tcW w:w="460" w:type="pct"/>
            <w:vAlign w:val="top"/>
          </w:tcPr>
          <w:p w14:paraId="7E1E1CBF">
            <w:pPr>
              <w:spacing w:line="240" w:lineRule="auto"/>
              <w:jc w:val="left"/>
              <w:rPr>
                <w:rFonts w:hint="default" w:ascii="Times New Roman" w:hAnsi="Times New Roman" w:cs="Times New Roman"/>
                <w:color w:val="auto"/>
                <w:sz w:val="21"/>
                <w:highlight w:val="none"/>
              </w:rPr>
            </w:pPr>
          </w:p>
          <w:p w14:paraId="075D60C8">
            <w:pPr>
              <w:pStyle w:val="27"/>
              <w:spacing w:before="65" w:line="240" w:lineRule="auto"/>
              <w:ind w:left="57"/>
              <w:jc w:val="left"/>
              <w:rPr>
                <w:rFonts w:hint="default" w:ascii="Times New Roman" w:hAnsi="Times New Roman" w:cs="Times New Roman"/>
                <w:color w:val="auto"/>
                <w:highlight w:val="none"/>
              </w:rPr>
            </w:pPr>
            <w:r>
              <w:rPr>
                <w:rFonts w:hint="default" w:ascii="Times New Roman" w:hAnsi="Times New Roman" w:cs="Times New Roman"/>
                <w:color w:val="auto"/>
                <w:spacing w:val="7"/>
                <w:highlight w:val="none"/>
              </w:rPr>
              <w:t>安全负责人</w:t>
            </w:r>
          </w:p>
        </w:tc>
        <w:tc>
          <w:tcPr>
            <w:tcW w:w="314" w:type="pct"/>
            <w:vAlign w:val="top"/>
          </w:tcPr>
          <w:p w14:paraId="6D8D218A">
            <w:pPr>
              <w:spacing w:line="240" w:lineRule="auto"/>
              <w:rPr>
                <w:rFonts w:hint="default" w:ascii="Times New Roman" w:hAnsi="Times New Roman" w:cs="Times New Roman"/>
                <w:color w:val="auto"/>
                <w:sz w:val="21"/>
                <w:highlight w:val="none"/>
              </w:rPr>
            </w:pPr>
          </w:p>
          <w:p w14:paraId="4B9B52FD">
            <w:pPr>
              <w:pStyle w:val="27"/>
              <w:spacing w:before="65" w:line="240" w:lineRule="auto"/>
              <w:ind w:left="266"/>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spacing w:val="-7"/>
                <w:highlight w:val="none"/>
                <w:lang w:val="en-US" w:eastAsia="zh-CN"/>
              </w:rPr>
              <w:t>4</w:t>
            </w:r>
          </w:p>
        </w:tc>
        <w:tc>
          <w:tcPr>
            <w:tcW w:w="3481" w:type="pct"/>
            <w:vAlign w:val="top"/>
          </w:tcPr>
          <w:p w14:paraId="02A6B645">
            <w:pPr>
              <w:pStyle w:val="27"/>
              <w:spacing w:before="152" w:line="240" w:lineRule="auto"/>
              <w:ind w:left="107"/>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spacing w:val="8"/>
                <w:highlight w:val="none"/>
              </w:rPr>
              <w:t>具有建筑工程相关专业中级</w:t>
            </w:r>
            <w:r>
              <w:rPr>
                <w:rFonts w:hint="default" w:ascii="Times New Roman" w:hAnsi="Times New Roman" w:cs="Times New Roman"/>
                <w:color w:val="auto"/>
                <w:spacing w:val="8"/>
                <w:highlight w:val="none"/>
                <w:lang w:val="en-US" w:eastAsia="zh-CN"/>
              </w:rPr>
              <w:t>或以上</w:t>
            </w:r>
            <w:r>
              <w:rPr>
                <w:rFonts w:hint="default" w:ascii="Times New Roman" w:hAnsi="Times New Roman" w:cs="Times New Roman"/>
                <w:color w:val="auto"/>
                <w:spacing w:val="8"/>
                <w:highlight w:val="none"/>
              </w:rPr>
              <w:t>技术职</w:t>
            </w:r>
            <w:r>
              <w:rPr>
                <w:rFonts w:hint="default" w:ascii="Times New Roman" w:hAnsi="Times New Roman" w:cs="Times New Roman"/>
                <w:color w:val="auto"/>
                <w:spacing w:val="7"/>
                <w:highlight w:val="none"/>
              </w:rPr>
              <w:t>称的，得</w:t>
            </w:r>
            <w:r>
              <w:rPr>
                <w:rFonts w:hint="default" w:ascii="Times New Roman" w:hAnsi="Times New Roman" w:cs="Times New Roman"/>
                <w:color w:val="auto"/>
                <w:spacing w:val="7"/>
                <w:highlight w:val="none"/>
                <w:lang w:val="en-US" w:eastAsia="zh-CN"/>
              </w:rPr>
              <w:t>4</w:t>
            </w:r>
            <w:r>
              <w:rPr>
                <w:rFonts w:hint="default" w:ascii="Times New Roman" w:hAnsi="Times New Roman" w:cs="Times New Roman"/>
                <w:color w:val="auto"/>
                <w:spacing w:val="7"/>
                <w:highlight w:val="none"/>
              </w:rPr>
              <w:t>分</w:t>
            </w:r>
            <w:r>
              <w:rPr>
                <w:rFonts w:hint="default" w:ascii="Times New Roman" w:hAnsi="Times New Roman" w:cs="Times New Roman"/>
                <w:color w:val="auto"/>
                <w:spacing w:val="7"/>
                <w:highlight w:val="none"/>
                <w:lang w:eastAsia="zh-CN"/>
              </w:rPr>
              <w:t>。</w:t>
            </w:r>
          </w:p>
          <w:p w14:paraId="15E73FB5">
            <w:pPr>
              <w:pStyle w:val="27"/>
              <w:spacing w:before="125" w:line="240" w:lineRule="auto"/>
              <w:ind w:left="103"/>
              <w:rPr>
                <w:rFonts w:hint="default" w:ascii="Times New Roman" w:hAnsi="Times New Roman" w:cs="Times New Roman"/>
                <w:color w:val="auto"/>
                <w:highlight w:val="none"/>
              </w:rPr>
            </w:pPr>
            <w:r>
              <w:rPr>
                <w:rFonts w:hint="default" w:ascii="Times New Roman" w:hAnsi="Times New Roman" w:cs="Times New Roman"/>
                <w:b/>
                <w:bCs/>
                <w:color w:val="auto"/>
                <w:spacing w:val="5"/>
                <w:highlight w:val="none"/>
              </w:rPr>
              <w:t>注：不符合上述条件的不得分，本项最高得</w:t>
            </w:r>
            <w:r>
              <w:rPr>
                <w:rFonts w:hint="default" w:ascii="Times New Roman" w:hAnsi="Times New Roman" w:cs="Times New Roman"/>
                <w:b/>
                <w:bCs/>
                <w:color w:val="auto"/>
                <w:spacing w:val="5"/>
                <w:highlight w:val="none"/>
                <w:lang w:val="en-US" w:eastAsia="zh-CN"/>
              </w:rPr>
              <w:t>4</w:t>
            </w:r>
            <w:r>
              <w:rPr>
                <w:rFonts w:hint="default" w:ascii="Times New Roman" w:hAnsi="Times New Roman" w:cs="Times New Roman"/>
                <w:b/>
                <w:bCs/>
                <w:color w:val="auto"/>
                <w:spacing w:val="5"/>
                <w:highlight w:val="none"/>
              </w:rPr>
              <w:t>分。</w:t>
            </w:r>
          </w:p>
        </w:tc>
      </w:tr>
      <w:tr w14:paraId="480A413F">
        <w:tblPrEx>
          <w:tblBorders>
            <w:top w:val="single" w:color="080000" w:sz="6" w:space="0"/>
            <w:left w:val="single" w:color="080000" w:sz="6" w:space="0"/>
            <w:bottom w:val="single" w:color="080000" w:sz="6" w:space="0"/>
            <w:right w:val="single" w:color="080000" w:sz="6" w:space="0"/>
            <w:insideH w:val="single" w:color="080000" w:sz="6" w:space="0"/>
            <w:insideV w:val="single" w:color="080000" w:sz="6" w:space="0"/>
          </w:tblBorders>
          <w:tblCellMar>
            <w:top w:w="0" w:type="dxa"/>
            <w:left w:w="0" w:type="dxa"/>
            <w:bottom w:w="0" w:type="dxa"/>
            <w:right w:w="0" w:type="dxa"/>
          </w:tblCellMar>
        </w:tblPrEx>
        <w:trPr>
          <w:trHeight w:val="938" w:hRule="atLeast"/>
        </w:trPr>
        <w:tc>
          <w:tcPr>
            <w:tcW w:w="233" w:type="pct"/>
            <w:vMerge w:val="continue"/>
            <w:tcBorders>
              <w:top w:val="nil"/>
              <w:bottom w:val="single" w:color="auto" w:sz="4" w:space="0"/>
            </w:tcBorders>
            <w:vAlign w:val="top"/>
          </w:tcPr>
          <w:p w14:paraId="13D1D9F8">
            <w:pPr>
              <w:rPr>
                <w:rFonts w:hint="default" w:ascii="Times New Roman" w:hAnsi="Times New Roman" w:cs="Times New Roman"/>
                <w:color w:val="auto"/>
                <w:sz w:val="21"/>
                <w:highlight w:val="none"/>
              </w:rPr>
            </w:pPr>
          </w:p>
        </w:tc>
        <w:tc>
          <w:tcPr>
            <w:tcW w:w="509" w:type="pct"/>
            <w:vMerge w:val="continue"/>
            <w:tcBorders>
              <w:top w:val="nil"/>
              <w:bottom w:val="single" w:color="auto" w:sz="4" w:space="0"/>
            </w:tcBorders>
            <w:vAlign w:val="top"/>
          </w:tcPr>
          <w:p w14:paraId="4A4778F2">
            <w:pPr>
              <w:rPr>
                <w:rFonts w:hint="default" w:ascii="Times New Roman" w:hAnsi="Times New Roman" w:cs="Times New Roman"/>
                <w:color w:val="auto"/>
                <w:sz w:val="21"/>
                <w:highlight w:val="none"/>
              </w:rPr>
            </w:pPr>
          </w:p>
        </w:tc>
        <w:tc>
          <w:tcPr>
            <w:tcW w:w="460" w:type="pct"/>
            <w:tcBorders>
              <w:bottom w:val="single" w:color="auto" w:sz="4" w:space="0"/>
            </w:tcBorders>
            <w:vAlign w:val="top"/>
          </w:tcPr>
          <w:p w14:paraId="070524EC">
            <w:pPr>
              <w:spacing w:line="240" w:lineRule="auto"/>
              <w:jc w:val="left"/>
              <w:rPr>
                <w:rFonts w:hint="default" w:ascii="Times New Roman" w:hAnsi="Times New Roman" w:cs="Times New Roman"/>
                <w:color w:val="auto"/>
                <w:sz w:val="21"/>
                <w:highlight w:val="none"/>
              </w:rPr>
            </w:pPr>
          </w:p>
          <w:p w14:paraId="4D9DF790">
            <w:pPr>
              <w:pStyle w:val="27"/>
              <w:spacing w:before="65" w:line="240" w:lineRule="auto"/>
              <w:ind w:left="52"/>
              <w:jc w:val="left"/>
              <w:rPr>
                <w:rFonts w:hint="default" w:ascii="Times New Roman" w:hAnsi="Times New Roman" w:cs="Times New Roman"/>
                <w:color w:val="auto"/>
                <w:highlight w:val="none"/>
              </w:rPr>
            </w:pPr>
            <w:r>
              <w:rPr>
                <w:rFonts w:hint="default" w:ascii="Times New Roman" w:hAnsi="Times New Roman" w:cs="Times New Roman"/>
                <w:color w:val="auto"/>
                <w:spacing w:val="8"/>
                <w:highlight w:val="none"/>
              </w:rPr>
              <w:t>造价负责人</w:t>
            </w:r>
          </w:p>
        </w:tc>
        <w:tc>
          <w:tcPr>
            <w:tcW w:w="314" w:type="pct"/>
            <w:tcBorders>
              <w:bottom w:val="single" w:color="auto" w:sz="4" w:space="0"/>
            </w:tcBorders>
            <w:vAlign w:val="top"/>
          </w:tcPr>
          <w:p w14:paraId="1FC1A946">
            <w:pPr>
              <w:spacing w:line="240" w:lineRule="auto"/>
              <w:rPr>
                <w:rFonts w:hint="default" w:ascii="Times New Roman" w:hAnsi="Times New Roman" w:cs="Times New Roman"/>
                <w:color w:val="auto"/>
                <w:sz w:val="21"/>
                <w:highlight w:val="none"/>
              </w:rPr>
            </w:pPr>
          </w:p>
          <w:p w14:paraId="6DA751CB">
            <w:pPr>
              <w:pStyle w:val="27"/>
              <w:tabs>
                <w:tab w:val="left" w:pos="597"/>
              </w:tabs>
              <w:spacing w:before="65" w:line="240" w:lineRule="auto"/>
              <w:ind w:left="266"/>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spacing w:val="-7"/>
                <w:highlight w:val="none"/>
                <w:lang w:val="en-US" w:eastAsia="zh-CN"/>
              </w:rPr>
              <w:t>4</w:t>
            </w:r>
            <w:r>
              <w:rPr>
                <w:rFonts w:hint="default" w:ascii="Times New Roman" w:hAnsi="Times New Roman" w:cs="Times New Roman"/>
                <w:color w:val="auto"/>
                <w:spacing w:val="-7"/>
                <w:highlight w:val="none"/>
                <w:lang w:val="en-US" w:eastAsia="zh-CN"/>
              </w:rPr>
              <w:tab/>
            </w:r>
          </w:p>
        </w:tc>
        <w:tc>
          <w:tcPr>
            <w:tcW w:w="3481" w:type="pct"/>
            <w:tcBorders>
              <w:bottom w:val="single" w:color="auto" w:sz="4" w:space="0"/>
            </w:tcBorders>
            <w:vAlign w:val="top"/>
          </w:tcPr>
          <w:p w14:paraId="2935F0BA">
            <w:pPr>
              <w:pStyle w:val="27"/>
              <w:spacing w:before="157" w:line="240" w:lineRule="auto"/>
              <w:ind w:left="107"/>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spacing w:val="8"/>
                <w:highlight w:val="none"/>
              </w:rPr>
              <w:t>具有建筑工程造价相关专业中级</w:t>
            </w:r>
            <w:r>
              <w:rPr>
                <w:rFonts w:hint="default" w:ascii="Times New Roman" w:hAnsi="Times New Roman" w:cs="Times New Roman"/>
                <w:color w:val="auto"/>
                <w:spacing w:val="8"/>
                <w:highlight w:val="none"/>
                <w:lang w:val="en-US" w:eastAsia="zh-CN"/>
              </w:rPr>
              <w:t>或以上</w:t>
            </w:r>
            <w:r>
              <w:rPr>
                <w:rFonts w:hint="default" w:ascii="Times New Roman" w:hAnsi="Times New Roman" w:cs="Times New Roman"/>
                <w:color w:val="auto"/>
                <w:spacing w:val="8"/>
                <w:highlight w:val="none"/>
              </w:rPr>
              <w:t>技术职称的，得</w:t>
            </w:r>
            <w:r>
              <w:rPr>
                <w:rFonts w:hint="default" w:ascii="Times New Roman" w:hAnsi="Times New Roman" w:cs="Times New Roman"/>
                <w:color w:val="auto"/>
                <w:spacing w:val="8"/>
                <w:highlight w:val="none"/>
                <w:lang w:val="en-US" w:eastAsia="zh-CN"/>
              </w:rPr>
              <w:t>4</w:t>
            </w:r>
            <w:r>
              <w:rPr>
                <w:rFonts w:hint="default" w:ascii="Times New Roman" w:hAnsi="Times New Roman" w:cs="Times New Roman"/>
                <w:color w:val="auto"/>
                <w:spacing w:val="8"/>
                <w:highlight w:val="none"/>
              </w:rPr>
              <w:t>分</w:t>
            </w:r>
            <w:r>
              <w:rPr>
                <w:rFonts w:hint="default" w:ascii="Times New Roman" w:hAnsi="Times New Roman" w:cs="Times New Roman"/>
                <w:color w:val="auto"/>
                <w:spacing w:val="8"/>
                <w:highlight w:val="none"/>
                <w:lang w:eastAsia="zh-CN"/>
              </w:rPr>
              <w:t>。</w:t>
            </w:r>
          </w:p>
          <w:p w14:paraId="143545B2">
            <w:pPr>
              <w:pStyle w:val="27"/>
              <w:spacing w:before="122" w:line="240" w:lineRule="auto"/>
              <w:ind w:left="103"/>
              <w:rPr>
                <w:rFonts w:hint="default" w:ascii="Times New Roman" w:hAnsi="Times New Roman" w:cs="Times New Roman"/>
                <w:color w:val="auto"/>
                <w:highlight w:val="none"/>
              </w:rPr>
            </w:pPr>
            <w:r>
              <w:rPr>
                <w:rFonts w:hint="default" w:ascii="Times New Roman" w:hAnsi="Times New Roman" w:cs="Times New Roman"/>
                <w:b/>
                <w:bCs/>
                <w:color w:val="auto"/>
                <w:spacing w:val="5"/>
                <w:highlight w:val="none"/>
              </w:rPr>
              <w:t>注：不符合上述条件的不得分，本项最高得</w:t>
            </w:r>
            <w:r>
              <w:rPr>
                <w:rFonts w:hint="default" w:ascii="Times New Roman" w:hAnsi="Times New Roman" w:cs="Times New Roman"/>
                <w:b/>
                <w:bCs/>
                <w:color w:val="auto"/>
                <w:spacing w:val="5"/>
                <w:highlight w:val="none"/>
                <w:lang w:val="en-US" w:eastAsia="zh-CN"/>
              </w:rPr>
              <w:t>4</w:t>
            </w:r>
            <w:r>
              <w:rPr>
                <w:rFonts w:hint="default" w:ascii="Times New Roman" w:hAnsi="Times New Roman" w:cs="Times New Roman"/>
                <w:b/>
                <w:bCs/>
                <w:color w:val="auto"/>
                <w:spacing w:val="5"/>
                <w:highlight w:val="none"/>
              </w:rPr>
              <w:t>分。</w:t>
            </w:r>
          </w:p>
        </w:tc>
      </w:tr>
      <w:tr w14:paraId="26B19E81">
        <w:tblPrEx>
          <w:tblBorders>
            <w:top w:val="single" w:color="080000" w:sz="6" w:space="0"/>
            <w:left w:val="single" w:color="080000" w:sz="6" w:space="0"/>
            <w:bottom w:val="single" w:color="080000" w:sz="6" w:space="0"/>
            <w:right w:val="single" w:color="080000" w:sz="6" w:space="0"/>
            <w:insideH w:val="single" w:color="080000" w:sz="6" w:space="0"/>
            <w:insideV w:val="single" w:color="080000" w:sz="6" w:space="0"/>
          </w:tblBorders>
          <w:tblCellMar>
            <w:top w:w="0" w:type="dxa"/>
            <w:left w:w="0" w:type="dxa"/>
            <w:bottom w:w="0" w:type="dxa"/>
            <w:right w:w="0" w:type="dxa"/>
          </w:tblCellMar>
        </w:tblPrEx>
        <w:trPr>
          <w:trHeight w:val="4104" w:hRule="atLeast"/>
        </w:trPr>
        <w:tc>
          <w:tcPr>
            <w:tcW w:w="233" w:type="pct"/>
            <w:tcBorders>
              <w:top w:val="single" w:color="auto" w:sz="4" w:space="0"/>
              <w:left w:val="single" w:color="auto" w:sz="4" w:space="0"/>
              <w:bottom w:val="single" w:color="auto" w:sz="4" w:space="0"/>
              <w:right w:val="single" w:color="auto" w:sz="4" w:space="0"/>
            </w:tcBorders>
            <w:vAlign w:val="top"/>
          </w:tcPr>
          <w:p w14:paraId="3E4F1788">
            <w:pPr>
              <w:spacing w:line="240" w:lineRule="auto"/>
              <w:rPr>
                <w:rFonts w:hint="default" w:ascii="Times New Roman" w:hAnsi="Times New Roman" w:cs="Times New Roman"/>
                <w:color w:val="auto"/>
                <w:sz w:val="21"/>
                <w:highlight w:val="none"/>
              </w:rPr>
            </w:pPr>
          </w:p>
          <w:p w14:paraId="25896A37">
            <w:pPr>
              <w:spacing w:line="240" w:lineRule="auto"/>
              <w:rPr>
                <w:rFonts w:hint="default" w:ascii="Times New Roman" w:hAnsi="Times New Roman" w:cs="Times New Roman"/>
                <w:color w:val="auto"/>
                <w:sz w:val="21"/>
                <w:highlight w:val="none"/>
              </w:rPr>
            </w:pPr>
          </w:p>
          <w:p w14:paraId="0220C504">
            <w:pPr>
              <w:spacing w:line="240" w:lineRule="auto"/>
              <w:rPr>
                <w:rFonts w:hint="default" w:ascii="Times New Roman" w:hAnsi="Times New Roman" w:cs="Times New Roman"/>
                <w:color w:val="auto"/>
                <w:sz w:val="21"/>
                <w:highlight w:val="none"/>
              </w:rPr>
            </w:pPr>
          </w:p>
          <w:p w14:paraId="564F9ED5">
            <w:pPr>
              <w:spacing w:line="240" w:lineRule="auto"/>
              <w:rPr>
                <w:rFonts w:hint="default" w:ascii="Times New Roman" w:hAnsi="Times New Roman" w:cs="Times New Roman"/>
                <w:color w:val="auto"/>
                <w:sz w:val="21"/>
                <w:highlight w:val="none"/>
              </w:rPr>
            </w:pPr>
          </w:p>
          <w:p w14:paraId="37C75C16">
            <w:pPr>
              <w:spacing w:line="240" w:lineRule="auto"/>
              <w:rPr>
                <w:rFonts w:hint="default" w:ascii="Times New Roman" w:hAnsi="Times New Roman" w:cs="Times New Roman"/>
                <w:color w:val="auto"/>
                <w:sz w:val="21"/>
                <w:highlight w:val="none"/>
              </w:rPr>
            </w:pPr>
          </w:p>
          <w:p w14:paraId="2A9B015D">
            <w:pPr>
              <w:spacing w:line="240" w:lineRule="auto"/>
              <w:rPr>
                <w:rFonts w:hint="default" w:ascii="Times New Roman" w:hAnsi="Times New Roman" w:cs="Times New Roman"/>
                <w:color w:val="auto"/>
                <w:sz w:val="21"/>
                <w:highlight w:val="none"/>
              </w:rPr>
            </w:pPr>
          </w:p>
          <w:p w14:paraId="4BFBD882">
            <w:pPr>
              <w:spacing w:line="240" w:lineRule="auto"/>
              <w:rPr>
                <w:rFonts w:hint="default" w:ascii="Times New Roman" w:hAnsi="Times New Roman" w:cs="Times New Roman"/>
                <w:color w:val="auto"/>
                <w:sz w:val="21"/>
                <w:highlight w:val="none"/>
              </w:rPr>
            </w:pPr>
          </w:p>
          <w:p w14:paraId="27B4CB03">
            <w:pPr>
              <w:spacing w:line="240" w:lineRule="auto"/>
              <w:rPr>
                <w:rFonts w:hint="default" w:ascii="Times New Roman" w:hAnsi="Times New Roman" w:cs="Times New Roman"/>
                <w:color w:val="auto"/>
                <w:sz w:val="21"/>
                <w:highlight w:val="none"/>
              </w:rPr>
            </w:pPr>
          </w:p>
          <w:p w14:paraId="466CD589">
            <w:pPr>
              <w:spacing w:line="240" w:lineRule="auto"/>
              <w:rPr>
                <w:rFonts w:hint="default" w:ascii="Times New Roman" w:hAnsi="Times New Roman" w:cs="Times New Roman"/>
                <w:color w:val="auto"/>
                <w:sz w:val="21"/>
                <w:highlight w:val="none"/>
              </w:rPr>
            </w:pPr>
          </w:p>
          <w:p w14:paraId="1B0732DB">
            <w:pPr>
              <w:spacing w:line="240" w:lineRule="auto"/>
              <w:rPr>
                <w:rFonts w:hint="default" w:ascii="Times New Roman" w:hAnsi="Times New Roman" w:cs="Times New Roman"/>
                <w:color w:val="auto"/>
                <w:sz w:val="21"/>
                <w:highlight w:val="none"/>
              </w:rPr>
            </w:pPr>
          </w:p>
          <w:p w14:paraId="639B0864">
            <w:pPr>
              <w:pStyle w:val="27"/>
              <w:spacing w:before="65" w:line="240" w:lineRule="auto"/>
              <w:ind w:left="266"/>
              <w:rPr>
                <w:rFonts w:hint="default" w:ascii="Times New Roman" w:hAnsi="Times New Roman" w:cs="Times New Roman"/>
                <w:color w:val="auto"/>
                <w:highlight w:val="none"/>
              </w:rPr>
            </w:pPr>
            <w:r>
              <w:rPr>
                <w:rFonts w:hint="default" w:ascii="Times New Roman" w:hAnsi="Times New Roman" w:cs="Times New Roman"/>
                <w:color w:val="auto"/>
                <w:position w:val="1"/>
                <w:highlight w:val="none"/>
              </w:rPr>
              <w:t>三</w:t>
            </w:r>
          </w:p>
        </w:tc>
        <w:tc>
          <w:tcPr>
            <w:tcW w:w="509" w:type="pct"/>
            <w:tcBorders>
              <w:top w:val="single" w:color="auto" w:sz="4" w:space="0"/>
              <w:left w:val="single" w:color="auto" w:sz="4" w:space="0"/>
              <w:bottom w:val="single" w:color="auto" w:sz="4" w:space="0"/>
              <w:right w:val="single" w:color="auto" w:sz="4" w:space="0"/>
            </w:tcBorders>
            <w:vAlign w:val="top"/>
          </w:tcPr>
          <w:p w14:paraId="751386CC">
            <w:pPr>
              <w:spacing w:line="240" w:lineRule="auto"/>
              <w:rPr>
                <w:rFonts w:hint="default" w:ascii="Times New Roman" w:hAnsi="Times New Roman" w:cs="Times New Roman"/>
                <w:color w:val="auto"/>
                <w:sz w:val="21"/>
                <w:highlight w:val="none"/>
              </w:rPr>
            </w:pPr>
          </w:p>
          <w:p w14:paraId="18EB1DF4">
            <w:pPr>
              <w:spacing w:line="240" w:lineRule="auto"/>
              <w:rPr>
                <w:rFonts w:hint="default" w:ascii="Times New Roman" w:hAnsi="Times New Roman" w:cs="Times New Roman"/>
                <w:color w:val="auto"/>
                <w:sz w:val="21"/>
                <w:highlight w:val="none"/>
              </w:rPr>
            </w:pPr>
          </w:p>
          <w:p w14:paraId="568AC964">
            <w:pPr>
              <w:spacing w:line="240" w:lineRule="auto"/>
              <w:rPr>
                <w:rFonts w:hint="default" w:ascii="Times New Roman" w:hAnsi="Times New Roman" w:cs="Times New Roman"/>
                <w:color w:val="auto"/>
                <w:sz w:val="21"/>
                <w:highlight w:val="none"/>
              </w:rPr>
            </w:pPr>
          </w:p>
          <w:p w14:paraId="1B2A9612">
            <w:pPr>
              <w:spacing w:line="240" w:lineRule="auto"/>
              <w:rPr>
                <w:rFonts w:hint="default" w:ascii="Times New Roman" w:hAnsi="Times New Roman" w:cs="Times New Roman"/>
                <w:color w:val="auto"/>
                <w:sz w:val="21"/>
                <w:highlight w:val="none"/>
              </w:rPr>
            </w:pPr>
          </w:p>
          <w:p w14:paraId="74410812">
            <w:pPr>
              <w:spacing w:line="240" w:lineRule="auto"/>
              <w:rPr>
                <w:rFonts w:hint="default" w:ascii="Times New Roman" w:hAnsi="Times New Roman" w:cs="Times New Roman"/>
                <w:color w:val="auto"/>
                <w:sz w:val="21"/>
                <w:highlight w:val="none"/>
              </w:rPr>
            </w:pPr>
          </w:p>
          <w:p w14:paraId="774B6698">
            <w:pPr>
              <w:spacing w:line="240" w:lineRule="auto"/>
              <w:rPr>
                <w:rFonts w:hint="default" w:ascii="Times New Roman" w:hAnsi="Times New Roman" w:cs="Times New Roman"/>
                <w:color w:val="auto"/>
                <w:sz w:val="21"/>
                <w:highlight w:val="none"/>
              </w:rPr>
            </w:pPr>
          </w:p>
          <w:p w14:paraId="60827091">
            <w:pPr>
              <w:spacing w:line="240" w:lineRule="auto"/>
              <w:rPr>
                <w:rFonts w:hint="default" w:ascii="Times New Roman" w:hAnsi="Times New Roman" w:cs="Times New Roman"/>
                <w:color w:val="auto"/>
                <w:sz w:val="21"/>
                <w:highlight w:val="none"/>
              </w:rPr>
            </w:pPr>
          </w:p>
          <w:p w14:paraId="6E7D6314">
            <w:pPr>
              <w:spacing w:line="240" w:lineRule="auto"/>
              <w:rPr>
                <w:rFonts w:hint="default" w:ascii="Times New Roman" w:hAnsi="Times New Roman" w:cs="Times New Roman"/>
                <w:color w:val="auto"/>
                <w:sz w:val="21"/>
                <w:highlight w:val="none"/>
              </w:rPr>
            </w:pPr>
          </w:p>
          <w:p w14:paraId="2DEC70DF">
            <w:pPr>
              <w:pStyle w:val="27"/>
              <w:spacing w:before="65" w:line="240" w:lineRule="auto"/>
              <w:ind w:left="59"/>
              <w:rPr>
                <w:rFonts w:hint="default" w:ascii="Times New Roman" w:hAnsi="Times New Roman" w:cs="Times New Roman"/>
                <w:color w:val="auto"/>
                <w:highlight w:val="none"/>
              </w:rPr>
            </w:pPr>
            <w:r>
              <w:rPr>
                <w:rFonts w:hint="default" w:ascii="Times New Roman" w:hAnsi="Times New Roman" w:cs="Times New Roman"/>
                <w:color w:val="auto"/>
                <w:spacing w:val="7"/>
                <w:highlight w:val="none"/>
              </w:rPr>
              <w:t>项目管理团</w:t>
            </w:r>
          </w:p>
          <w:p w14:paraId="7D10E91B">
            <w:pPr>
              <w:pStyle w:val="27"/>
              <w:spacing w:before="122" w:line="240" w:lineRule="auto"/>
              <w:ind w:left="372" w:right="63" w:hanging="300"/>
              <w:rPr>
                <w:rFonts w:hint="default" w:ascii="Times New Roman" w:hAnsi="Times New Roman" w:cs="Times New Roman"/>
                <w:color w:val="auto"/>
                <w:highlight w:val="none"/>
              </w:rPr>
            </w:pPr>
            <w:r>
              <w:rPr>
                <w:rFonts w:hint="default" w:ascii="Times New Roman" w:hAnsi="Times New Roman" w:cs="Times New Roman"/>
                <w:color w:val="auto"/>
                <w:spacing w:val="4"/>
                <w:highlight w:val="none"/>
              </w:rPr>
              <w:t>队答辩（</w:t>
            </w:r>
            <w:r>
              <w:rPr>
                <w:rFonts w:hint="default" w:ascii="Times New Roman" w:hAnsi="Times New Roman" w:cs="Times New Roman"/>
                <w:color w:val="auto"/>
                <w:spacing w:val="4"/>
                <w:highlight w:val="none"/>
                <w:lang w:val="en-US" w:eastAsia="zh-CN"/>
              </w:rPr>
              <w:t>20</w:t>
            </w:r>
            <w:r>
              <w:rPr>
                <w:rFonts w:hint="default" w:ascii="Times New Roman" w:hAnsi="Times New Roman" w:cs="Times New Roman"/>
                <w:color w:val="auto"/>
                <w:spacing w:val="-1"/>
                <w:highlight w:val="none"/>
              </w:rPr>
              <w:t>分）</w:t>
            </w:r>
          </w:p>
        </w:tc>
        <w:tc>
          <w:tcPr>
            <w:tcW w:w="460" w:type="pct"/>
            <w:tcBorders>
              <w:top w:val="single" w:color="auto" w:sz="4" w:space="0"/>
              <w:left w:val="single" w:color="auto" w:sz="4" w:space="0"/>
              <w:bottom w:val="single" w:color="auto" w:sz="4" w:space="0"/>
              <w:right w:val="single" w:color="auto" w:sz="4" w:space="0"/>
            </w:tcBorders>
            <w:vAlign w:val="center"/>
          </w:tcPr>
          <w:p w14:paraId="0AD5D7E7">
            <w:pPr>
              <w:pStyle w:val="27"/>
              <w:numPr>
                <w:ilvl w:val="0"/>
                <w:numId w:val="0"/>
              </w:numPr>
              <w:spacing w:before="120" w:line="240" w:lineRule="auto"/>
              <w:ind w:left="0" w:leftChars="0" w:right="0" w:rightChars="0" w:firstLine="0" w:firstLineChars="0"/>
              <w:jc w:val="center"/>
              <w:rPr>
                <w:rFonts w:hint="default" w:ascii="Times New Roman" w:hAnsi="Times New Roman" w:cs="Times New Roman"/>
                <w:b/>
                <w:bCs/>
                <w:color w:val="FF0000"/>
                <w:spacing w:val="-1"/>
                <w:highlight w:val="none"/>
                <w:u w:val="single"/>
              </w:rPr>
            </w:pPr>
            <w:r>
              <w:rPr>
                <w:rFonts w:hint="default" w:ascii="Times New Roman" w:hAnsi="Times New Roman" w:eastAsia="宋体" w:cs="Times New Roman"/>
                <w:b/>
                <w:bCs/>
                <w:color w:val="FF0000"/>
                <w:spacing w:val="-1"/>
                <w:kern w:val="2"/>
                <w:sz w:val="20"/>
                <w:szCs w:val="20"/>
                <w:u w:val="single"/>
                <w:lang w:val="en-US" w:eastAsia="en-US" w:bidi="ar-SA"/>
              </w:rPr>
              <w:t>1、</w:t>
            </w:r>
            <w:r>
              <w:rPr>
                <w:rFonts w:hint="default" w:ascii="Times New Roman" w:hAnsi="Times New Roman" w:cs="Times New Roman"/>
                <w:b/>
                <w:bCs/>
                <w:color w:val="FF0000"/>
                <w:spacing w:val="3"/>
                <w:highlight w:val="none"/>
                <w:u w:val="single"/>
              </w:rPr>
              <w:t>管理团队</w:t>
            </w:r>
            <w:r>
              <w:rPr>
                <w:rFonts w:hint="default" w:ascii="Times New Roman" w:hAnsi="Times New Roman" w:cs="Times New Roman"/>
                <w:b/>
                <w:bCs/>
                <w:color w:val="FF0000"/>
                <w:spacing w:val="-1"/>
                <w:highlight w:val="none"/>
                <w:u w:val="single"/>
              </w:rPr>
              <w:t>陈述；</w:t>
            </w:r>
          </w:p>
          <w:p w14:paraId="65D915E5">
            <w:pPr>
              <w:pStyle w:val="27"/>
              <w:spacing w:before="120" w:line="240" w:lineRule="auto"/>
              <w:ind w:left="0" w:right="0" w:firstLine="0"/>
              <w:jc w:val="center"/>
              <w:rPr>
                <w:rFonts w:hint="default" w:ascii="Times New Roman" w:hAnsi="Times New Roman" w:cs="Times New Roman"/>
                <w:b/>
                <w:bCs/>
                <w:color w:val="FF0000"/>
                <w:highlight w:val="none"/>
                <w:u w:val="single"/>
              </w:rPr>
            </w:pPr>
            <w:r>
              <w:rPr>
                <w:rFonts w:hint="default" w:ascii="Times New Roman" w:hAnsi="Times New Roman" w:cs="Times New Roman"/>
                <w:b/>
                <w:bCs/>
                <w:color w:val="FF0000"/>
                <w:spacing w:val="6"/>
                <w:highlight w:val="none"/>
                <w:u w:val="single"/>
              </w:rPr>
              <w:t>2、</w:t>
            </w:r>
            <w:r>
              <w:rPr>
                <w:rFonts w:hint="default" w:ascii="Times New Roman" w:hAnsi="Times New Roman" w:cs="Times New Roman"/>
                <w:b/>
                <w:bCs/>
                <w:color w:val="FF0000"/>
                <w:spacing w:val="7"/>
                <w:highlight w:val="none"/>
                <w:u w:val="single"/>
              </w:rPr>
              <w:t>评委针对其陈述内容及方案</w:t>
            </w:r>
            <w:r>
              <w:rPr>
                <w:rFonts w:hint="default" w:ascii="Times New Roman" w:hAnsi="Times New Roman" w:cs="Times New Roman"/>
                <w:b/>
                <w:bCs/>
                <w:color w:val="FF0000"/>
                <w:spacing w:val="7"/>
                <w:highlight w:val="none"/>
                <w:u w:val="single"/>
                <w:lang w:val="en-US" w:eastAsia="zh-CN"/>
              </w:rPr>
              <w:t>进行提问</w:t>
            </w:r>
            <w:r>
              <w:rPr>
                <w:rFonts w:hint="default" w:ascii="Times New Roman" w:hAnsi="Times New Roman" w:cs="Times New Roman"/>
                <w:b/>
                <w:bCs/>
                <w:color w:val="FF0000"/>
                <w:spacing w:val="7"/>
                <w:highlight w:val="none"/>
                <w:u w:val="single"/>
              </w:rPr>
              <w:t>，由讲解人员进行</w:t>
            </w:r>
            <w:r>
              <w:rPr>
                <w:rFonts w:hint="default" w:ascii="Times New Roman" w:hAnsi="Times New Roman" w:cs="Times New Roman"/>
                <w:b/>
                <w:bCs/>
                <w:color w:val="FF0000"/>
                <w:spacing w:val="7"/>
                <w:highlight w:val="none"/>
                <w:u w:val="single"/>
                <w:lang w:val="en-US" w:eastAsia="zh-CN"/>
              </w:rPr>
              <w:t>答辩</w:t>
            </w:r>
            <w:r>
              <w:rPr>
                <w:rFonts w:hint="default" w:ascii="Times New Roman" w:hAnsi="Times New Roman" w:cs="Times New Roman"/>
                <w:b/>
                <w:bCs/>
                <w:color w:val="FF0000"/>
                <w:spacing w:val="7"/>
                <w:highlight w:val="none"/>
                <w:u w:val="single"/>
              </w:rPr>
              <w:t>。</w:t>
            </w:r>
          </w:p>
        </w:tc>
        <w:tc>
          <w:tcPr>
            <w:tcW w:w="846" w:type="dxa"/>
            <w:tcBorders>
              <w:top w:val="single" w:color="auto" w:sz="4" w:space="0"/>
              <w:left w:val="single" w:color="auto" w:sz="4" w:space="0"/>
              <w:bottom w:val="single" w:color="auto" w:sz="4" w:space="0"/>
              <w:right w:val="single" w:color="auto" w:sz="4" w:space="0"/>
            </w:tcBorders>
            <w:vAlign w:val="top"/>
          </w:tcPr>
          <w:p w14:paraId="3F52FB8B">
            <w:pPr>
              <w:spacing w:line="240" w:lineRule="auto"/>
              <w:rPr>
                <w:rFonts w:hint="default" w:ascii="Times New Roman" w:hAnsi="Times New Roman" w:cs="Times New Roman"/>
                <w:b/>
                <w:bCs/>
                <w:color w:val="FF0000"/>
                <w:sz w:val="21"/>
                <w:highlight w:val="none"/>
                <w:u w:val="single"/>
              </w:rPr>
            </w:pPr>
          </w:p>
          <w:p w14:paraId="29C8EE62">
            <w:pPr>
              <w:spacing w:line="240" w:lineRule="auto"/>
              <w:rPr>
                <w:rFonts w:hint="default" w:ascii="Times New Roman" w:hAnsi="Times New Roman" w:cs="Times New Roman"/>
                <w:b/>
                <w:bCs/>
                <w:color w:val="FF0000"/>
                <w:sz w:val="21"/>
                <w:highlight w:val="none"/>
                <w:u w:val="single"/>
              </w:rPr>
            </w:pPr>
          </w:p>
          <w:p w14:paraId="15BEB94F">
            <w:pPr>
              <w:spacing w:line="240" w:lineRule="auto"/>
              <w:rPr>
                <w:rFonts w:hint="default" w:ascii="Times New Roman" w:hAnsi="Times New Roman" w:cs="Times New Roman"/>
                <w:b/>
                <w:bCs/>
                <w:color w:val="FF0000"/>
                <w:sz w:val="21"/>
                <w:highlight w:val="none"/>
                <w:u w:val="single"/>
              </w:rPr>
            </w:pPr>
          </w:p>
          <w:p w14:paraId="13D0D827">
            <w:pPr>
              <w:spacing w:line="240" w:lineRule="auto"/>
              <w:rPr>
                <w:rFonts w:hint="default" w:ascii="Times New Roman" w:hAnsi="Times New Roman" w:cs="Times New Roman"/>
                <w:b/>
                <w:bCs/>
                <w:color w:val="FF0000"/>
                <w:sz w:val="21"/>
                <w:highlight w:val="none"/>
                <w:u w:val="single"/>
              </w:rPr>
            </w:pPr>
          </w:p>
          <w:p w14:paraId="1D6F37AA">
            <w:pPr>
              <w:spacing w:line="240" w:lineRule="auto"/>
              <w:rPr>
                <w:rFonts w:hint="default" w:ascii="Times New Roman" w:hAnsi="Times New Roman" w:cs="Times New Roman"/>
                <w:b/>
                <w:bCs/>
                <w:color w:val="FF0000"/>
                <w:sz w:val="21"/>
                <w:highlight w:val="none"/>
                <w:u w:val="single"/>
              </w:rPr>
            </w:pPr>
          </w:p>
          <w:p w14:paraId="492FD8C1">
            <w:pPr>
              <w:spacing w:line="240" w:lineRule="auto"/>
              <w:rPr>
                <w:rFonts w:hint="default" w:ascii="Times New Roman" w:hAnsi="Times New Roman" w:cs="Times New Roman"/>
                <w:b/>
                <w:bCs/>
                <w:color w:val="FF0000"/>
                <w:sz w:val="21"/>
                <w:highlight w:val="none"/>
                <w:u w:val="single"/>
              </w:rPr>
            </w:pPr>
          </w:p>
          <w:p w14:paraId="4FDA39AA">
            <w:pPr>
              <w:spacing w:line="240" w:lineRule="auto"/>
              <w:rPr>
                <w:rFonts w:hint="default" w:ascii="Times New Roman" w:hAnsi="Times New Roman" w:cs="Times New Roman"/>
                <w:b/>
                <w:bCs/>
                <w:color w:val="FF0000"/>
                <w:sz w:val="21"/>
                <w:highlight w:val="none"/>
                <w:u w:val="single"/>
              </w:rPr>
            </w:pPr>
          </w:p>
          <w:p w14:paraId="6AD12EC1">
            <w:pPr>
              <w:spacing w:line="240" w:lineRule="auto"/>
              <w:rPr>
                <w:rFonts w:hint="default" w:ascii="Times New Roman" w:hAnsi="Times New Roman" w:cs="Times New Roman"/>
                <w:b/>
                <w:bCs/>
                <w:color w:val="FF0000"/>
                <w:sz w:val="21"/>
                <w:highlight w:val="none"/>
                <w:u w:val="single"/>
              </w:rPr>
            </w:pPr>
          </w:p>
          <w:p w14:paraId="2B4EEC23">
            <w:pPr>
              <w:spacing w:line="240" w:lineRule="auto"/>
              <w:rPr>
                <w:rFonts w:hint="default" w:ascii="Times New Roman" w:hAnsi="Times New Roman" w:cs="Times New Roman"/>
                <w:b/>
                <w:bCs/>
                <w:color w:val="FF0000"/>
                <w:sz w:val="21"/>
                <w:highlight w:val="none"/>
                <w:u w:val="single"/>
              </w:rPr>
            </w:pPr>
          </w:p>
          <w:p w14:paraId="0D0EA7FA">
            <w:pPr>
              <w:spacing w:line="240" w:lineRule="auto"/>
              <w:rPr>
                <w:rFonts w:hint="default" w:ascii="Times New Roman" w:hAnsi="Times New Roman" w:cs="Times New Roman"/>
                <w:b/>
                <w:bCs/>
                <w:color w:val="FF0000"/>
                <w:sz w:val="21"/>
                <w:highlight w:val="none"/>
                <w:u w:val="single"/>
              </w:rPr>
            </w:pPr>
          </w:p>
          <w:p w14:paraId="6174FE0C">
            <w:pPr>
              <w:pStyle w:val="27"/>
              <w:spacing w:before="65" w:line="240" w:lineRule="auto"/>
              <w:ind w:left="255" w:leftChars="0"/>
              <w:rPr>
                <w:rFonts w:hint="default" w:ascii="Times New Roman" w:hAnsi="Times New Roman" w:eastAsia="宋体" w:cs="Times New Roman"/>
                <w:b/>
                <w:bCs/>
                <w:color w:val="FF0000"/>
                <w:highlight w:val="none"/>
                <w:u w:val="single"/>
                <w:lang w:val="en-US" w:eastAsia="zh-CN"/>
              </w:rPr>
            </w:pPr>
            <w:r>
              <w:rPr>
                <w:rFonts w:hint="default" w:ascii="Times New Roman" w:hAnsi="Times New Roman" w:cs="Times New Roman"/>
                <w:b/>
                <w:bCs/>
                <w:color w:val="FF0000"/>
                <w:spacing w:val="-3"/>
                <w:highlight w:val="none"/>
                <w:u w:val="single"/>
                <w:lang w:val="en-US" w:eastAsia="zh-CN"/>
              </w:rPr>
              <w:t>20</w:t>
            </w:r>
          </w:p>
        </w:tc>
        <w:tc>
          <w:tcPr>
            <w:tcW w:w="9356" w:type="dxa"/>
            <w:tcBorders>
              <w:top w:val="single" w:color="auto" w:sz="4" w:space="0"/>
              <w:left w:val="single" w:color="auto" w:sz="4" w:space="0"/>
              <w:bottom w:val="single" w:color="auto" w:sz="4" w:space="0"/>
              <w:right w:val="single" w:color="auto" w:sz="4" w:space="0"/>
            </w:tcBorders>
            <w:vAlign w:val="top"/>
          </w:tcPr>
          <w:p w14:paraId="1C02E442">
            <w:pPr>
              <w:pStyle w:val="27"/>
              <w:spacing w:before="95" w:line="240" w:lineRule="auto"/>
              <w:ind w:left="118"/>
              <w:rPr>
                <w:rFonts w:hint="default" w:ascii="Times New Roman" w:hAnsi="Times New Roman" w:cs="Times New Roman"/>
                <w:b/>
                <w:bCs/>
                <w:color w:val="FF0000"/>
                <w:highlight w:val="none"/>
                <w:u w:val="single"/>
              </w:rPr>
            </w:pPr>
            <w:r>
              <w:rPr>
                <w:rFonts w:hint="default" w:ascii="Times New Roman" w:hAnsi="Times New Roman" w:cs="Times New Roman"/>
                <w:b/>
                <w:bCs/>
                <w:color w:val="FF0000"/>
                <w:spacing w:val="8"/>
                <w:highlight w:val="none"/>
                <w:u w:val="single"/>
              </w:rPr>
              <w:t>1、管理团队陈述（包括但不限于以下</w:t>
            </w:r>
            <w:r>
              <w:rPr>
                <w:rFonts w:hint="default" w:ascii="Times New Roman" w:hAnsi="Times New Roman" w:cs="Times New Roman"/>
                <w:b/>
                <w:bCs/>
                <w:color w:val="FF0000"/>
                <w:spacing w:val="1"/>
                <w:highlight w:val="none"/>
                <w:u w:val="single"/>
              </w:rPr>
              <w:t>）：</w:t>
            </w:r>
          </w:p>
          <w:p w14:paraId="11555DCD">
            <w:pPr>
              <w:pStyle w:val="27"/>
              <w:spacing w:before="121" w:line="240" w:lineRule="auto"/>
              <w:ind w:left="113"/>
              <w:rPr>
                <w:rFonts w:hint="default" w:ascii="Times New Roman" w:hAnsi="Times New Roman" w:cs="Times New Roman"/>
                <w:b/>
                <w:bCs/>
                <w:color w:val="FF0000"/>
                <w:highlight w:val="none"/>
                <w:u w:val="single"/>
              </w:rPr>
            </w:pPr>
            <w:r>
              <w:rPr>
                <w:rFonts w:hint="default" w:ascii="Times New Roman" w:hAnsi="Times New Roman" w:cs="Times New Roman"/>
                <w:b/>
                <w:bCs/>
                <w:color w:val="FF0000"/>
                <w:spacing w:val="7"/>
                <w:highlight w:val="none"/>
                <w:u w:val="single"/>
              </w:rPr>
              <w:t>（1）施工组织方案要点</w:t>
            </w:r>
            <w:r>
              <w:rPr>
                <w:rFonts w:hint="default" w:ascii="Times New Roman" w:hAnsi="Times New Roman" w:cs="Times New Roman"/>
                <w:b/>
                <w:bCs/>
                <w:color w:val="FF0000"/>
                <w:spacing w:val="7"/>
                <w:highlight w:val="none"/>
                <w:u w:val="single"/>
                <w:lang w:eastAsia="zh-CN"/>
              </w:rPr>
              <w:t>。</w:t>
            </w:r>
          </w:p>
          <w:p w14:paraId="58EDD73C">
            <w:pPr>
              <w:pStyle w:val="27"/>
              <w:spacing w:before="125" w:line="240" w:lineRule="auto"/>
              <w:ind w:left="113"/>
              <w:rPr>
                <w:rFonts w:hint="default" w:ascii="Times New Roman" w:hAnsi="Times New Roman" w:eastAsia="宋体" w:cs="Times New Roman"/>
                <w:b/>
                <w:bCs/>
                <w:color w:val="FF0000"/>
                <w:highlight w:val="none"/>
                <w:u w:val="single"/>
                <w:lang w:eastAsia="zh-CN"/>
              </w:rPr>
            </w:pPr>
            <w:r>
              <w:rPr>
                <w:rFonts w:hint="default" w:ascii="Times New Roman" w:hAnsi="Times New Roman" w:cs="Times New Roman"/>
                <w:b/>
                <w:bCs/>
                <w:color w:val="FF0000"/>
                <w:spacing w:val="8"/>
                <w:highlight w:val="none"/>
                <w:u w:val="single"/>
              </w:rPr>
              <w:t>（2）项目施工组织的重点、难点分析及应对措施</w:t>
            </w:r>
            <w:r>
              <w:rPr>
                <w:rFonts w:hint="default" w:ascii="Times New Roman" w:hAnsi="Times New Roman" w:cs="Times New Roman"/>
                <w:b/>
                <w:bCs/>
                <w:color w:val="FF0000"/>
                <w:spacing w:val="8"/>
                <w:highlight w:val="none"/>
                <w:u w:val="single"/>
                <w:lang w:eastAsia="zh-CN"/>
              </w:rPr>
              <w:t>。</w:t>
            </w:r>
          </w:p>
          <w:p w14:paraId="30D5E1D4">
            <w:pPr>
              <w:pStyle w:val="27"/>
              <w:spacing w:before="122" w:line="240" w:lineRule="auto"/>
              <w:ind w:left="113"/>
              <w:rPr>
                <w:rFonts w:hint="default" w:ascii="Times New Roman" w:hAnsi="Times New Roman" w:cs="Times New Roman"/>
                <w:b/>
                <w:bCs/>
                <w:color w:val="FF0000"/>
                <w:highlight w:val="none"/>
                <w:u w:val="single"/>
              </w:rPr>
            </w:pPr>
            <w:r>
              <w:rPr>
                <w:rFonts w:hint="default" w:ascii="Times New Roman" w:hAnsi="Times New Roman" w:cs="Times New Roman"/>
                <w:b/>
                <w:bCs/>
                <w:color w:val="FF0000"/>
                <w:spacing w:val="7"/>
                <w:highlight w:val="none"/>
                <w:u w:val="single"/>
              </w:rPr>
              <w:t>（3）人员、设备投入计划。</w:t>
            </w:r>
          </w:p>
          <w:p w14:paraId="08881E43">
            <w:pPr>
              <w:pStyle w:val="27"/>
              <w:spacing w:before="120" w:line="240" w:lineRule="auto"/>
              <w:ind w:left="105"/>
              <w:rPr>
                <w:rFonts w:hint="default" w:ascii="Times New Roman" w:hAnsi="Times New Roman" w:cs="Times New Roman"/>
                <w:b/>
                <w:bCs/>
                <w:color w:val="FF0000"/>
                <w:highlight w:val="none"/>
                <w:u w:val="single"/>
              </w:rPr>
            </w:pPr>
            <w:r>
              <w:rPr>
                <w:rFonts w:hint="default" w:ascii="Times New Roman" w:hAnsi="Times New Roman" w:cs="Times New Roman"/>
                <w:b/>
                <w:bCs/>
                <w:color w:val="FF0000"/>
                <w:spacing w:val="7"/>
                <w:highlight w:val="none"/>
                <w:u w:val="single"/>
              </w:rPr>
              <w:t>2、评委针对其陈述内容及方案</w:t>
            </w:r>
            <w:r>
              <w:rPr>
                <w:rFonts w:hint="default" w:ascii="Times New Roman" w:hAnsi="Times New Roman" w:cs="Times New Roman"/>
                <w:b/>
                <w:bCs/>
                <w:color w:val="FF0000"/>
                <w:spacing w:val="7"/>
                <w:highlight w:val="none"/>
                <w:u w:val="single"/>
                <w:lang w:val="en-US" w:eastAsia="zh-CN"/>
              </w:rPr>
              <w:t>进行提问</w:t>
            </w:r>
            <w:r>
              <w:rPr>
                <w:rFonts w:hint="default" w:ascii="Times New Roman" w:hAnsi="Times New Roman" w:cs="Times New Roman"/>
                <w:b/>
                <w:bCs/>
                <w:color w:val="FF0000"/>
                <w:spacing w:val="7"/>
                <w:highlight w:val="none"/>
                <w:u w:val="single"/>
              </w:rPr>
              <w:t>，由讲解人员进行</w:t>
            </w:r>
            <w:r>
              <w:rPr>
                <w:rFonts w:hint="default" w:ascii="Times New Roman" w:hAnsi="Times New Roman" w:cs="Times New Roman"/>
                <w:b/>
                <w:bCs/>
                <w:color w:val="FF0000"/>
                <w:spacing w:val="7"/>
                <w:highlight w:val="none"/>
                <w:u w:val="single"/>
                <w:lang w:val="en-US" w:eastAsia="zh-CN"/>
              </w:rPr>
              <w:t>答辩</w:t>
            </w:r>
            <w:r>
              <w:rPr>
                <w:rFonts w:hint="default" w:ascii="Times New Roman" w:hAnsi="Times New Roman" w:cs="Times New Roman"/>
                <w:b/>
                <w:bCs/>
                <w:color w:val="FF0000"/>
                <w:spacing w:val="7"/>
                <w:highlight w:val="none"/>
                <w:u w:val="single"/>
              </w:rPr>
              <w:t>。</w:t>
            </w:r>
          </w:p>
          <w:p w14:paraId="70A68645">
            <w:pPr>
              <w:pStyle w:val="27"/>
              <w:spacing w:before="120" w:line="240" w:lineRule="auto"/>
              <w:ind w:left="103" w:right="104" w:hanging="1"/>
              <w:rPr>
                <w:rFonts w:hint="default" w:ascii="Times New Roman" w:hAnsi="Times New Roman" w:cs="Times New Roman"/>
                <w:b/>
                <w:bCs/>
                <w:color w:val="FF0000"/>
                <w:highlight w:val="none"/>
                <w:u w:val="single"/>
              </w:rPr>
            </w:pPr>
            <w:r>
              <w:rPr>
                <w:rFonts w:hint="default" w:ascii="Times New Roman" w:hAnsi="Times New Roman" w:cs="Times New Roman"/>
                <w:b/>
                <w:bCs/>
                <w:color w:val="FF0000"/>
                <w:spacing w:val="9"/>
                <w:highlight w:val="none"/>
                <w:u w:val="single"/>
                <w:lang w:eastAsia="zh-CN"/>
              </w:rPr>
              <w:t>（</w:t>
            </w:r>
            <w:r>
              <w:rPr>
                <w:rFonts w:hint="default" w:ascii="Times New Roman" w:hAnsi="Times New Roman" w:cs="Times New Roman"/>
                <w:b/>
                <w:bCs/>
                <w:color w:val="FF0000"/>
                <w:spacing w:val="9"/>
                <w:highlight w:val="none"/>
                <w:u w:val="single"/>
                <w:lang w:val="en-US" w:eastAsia="zh-CN"/>
              </w:rPr>
              <w:t>1</w:t>
            </w:r>
            <w:r>
              <w:rPr>
                <w:rFonts w:hint="default" w:ascii="Times New Roman" w:hAnsi="Times New Roman" w:cs="Times New Roman"/>
                <w:b/>
                <w:bCs/>
                <w:color w:val="FF0000"/>
                <w:spacing w:val="9"/>
                <w:highlight w:val="none"/>
                <w:u w:val="single"/>
                <w:lang w:eastAsia="zh-CN"/>
              </w:rPr>
              <w:t>）</w:t>
            </w:r>
            <w:r>
              <w:rPr>
                <w:rFonts w:hint="default" w:ascii="Times New Roman" w:hAnsi="Times New Roman" w:cs="Times New Roman"/>
                <w:b/>
                <w:bCs/>
                <w:color w:val="FF0000"/>
                <w:spacing w:val="9"/>
                <w:highlight w:val="none"/>
                <w:u w:val="single"/>
              </w:rPr>
              <w:t>优，</w:t>
            </w:r>
            <w:r>
              <w:rPr>
                <w:rFonts w:hint="default" w:ascii="Times New Roman" w:hAnsi="Times New Roman" w:cs="Times New Roman"/>
                <w:b/>
                <w:bCs/>
                <w:color w:val="FF0000"/>
                <w:spacing w:val="9"/>
                <w:highlight w:val="none"/>
                <w:u w:val="single"/>
                <w:lang w:val="en-US" w:eastAsia="zh-CN"/>
              </w:rPr>
              <w:t>20</w:t>
            </w:r>
            <w:r>
              <w:rPr>
                <w:rFonts w:hint="default" w:ascii="Times New Roman" w:hAnsi="Times New Roman" w:cs="Times New Roman"/>
                <w:b/>
                <w:bCs/>
                <w:color w:val="FF0000"/>
                <w:spacing w:val="9"/>
                <w:highlight w:val="none"/>
                <w:u w:val="single"/>
              </w:rPr>
              <w:t>分：对施工组织方案认识清晰，对施工的重点、难点认识深刻，人员、设备投入计划对工程进度有保障，对设计工作的配合方案合理可行，施工组织方案对工程质量、工期的保证合理可行；回</w:t>
            </w:r>
            <w:r>
              <w:rPr>
                <w:rFonts w:hint="default" w:ascii="Times New Roman" w:hAnsi="Times New Roman" w:cs="Times New Roman"/>
                <w:b/>
                <w:bCs/>
                <w:color w:val="FF0000"/>
                <w:spacing w:val="8"/>
                <w:highlight w:val="none"/>
                <w:u w:val="single"/>
              </w:rPr>
              <w:t>答评委提问思路清晰、内容准确。</w:t>
            </w:r>
          </w:p>
          <w:p w14:paraId="7B5E6542">
            <w:pPr>
              <w:pStyle w:val="27"/>
              <w:spacing w:before="30" w:line="240" w:lineRule="auto"/>
              <w:ind w:left="103" w:right="104" w:firstLine="33"/>
              <w:jc w:val="both"/>
              <w:rPr>
                <w:rFonts w:hint="default" w:ascii="Times New Roman" w:hAnsi="Times New Roman" w:cs="Times New Roman"/>
                <w:b/>
                <w:bCs/>
                <w:color w:val="FF0000"/>
                <w:highlight w:val="none"/>
                <w:u w:val="single"/>
              </w:rPr>
            </w:pPr>
            <w:r>
              <w:rPr>
                <w:rFonts w:hint="default" w:ascii="Times New Roman" w:hAnsi="Times New Roman" w:cs="Times New Roman"/>
                <w:b/>
                <w:bCs/>
                <w:color w:val="FF0000"/>
                <w:spacing w:val="9"/>
                <w:highlight w:val="none"/>
                <w:u w:val="single"/>
                <w:lang w:eastAsia="zh-CN"/>
              </w:rPr>
              <w:t>（</w:t>
            </w:r>
            <w:r>
              <w:rPr>
                <w:rFonts w:hint="default" w:ascii="Times New Roman" w:hAnsi="Times New Roman" w:cs="Times New Roman"/>
                <w:b/>
                <w:bCs/>
                <w:color w:val="FF0000"/>
                <w:spacing w:val="9"/>
                <w:highlight w:val="none"/>
                <w:u w:val="single"/>
                <w:lang w:val="en-US" w:eastAsia="zh-CN"/>
              </w:rPr>
              <w:t>2</w:t>
            </w:r>
            <w:r>
              <w:rPr>
                <w:rFonts w:hint="default" w:ascii="Times New Roman" w:hAnsi="Times New Roman" w:cs="Times New Roman"/>
                <w:b/>
                <w:bCs/>
                <w:color w:val="FF0000"/>
                <w:spacing w:val="9"/>
                <w:highlight w:val="none"/>
                <w:u w:val="single"/>
                <w:lang w:eastAsia="zh-CN"/>
              </w:rPr>
              <w:t>）</w:t>
            </w:r>
            <w:r>
              <w:rPr>
                <w:rFonts w:hint="default" w:ascii="Times New Roman" w:hAnsi="Times New Roman" w:cs="Times New Roman"/>
                <w:b/>
                <w:bCs/>
                <w:color w:val="FF0000"/>
                <w:spacing w:val="9"/>
                <w:highlight w:val="none"/>
                <w:u w:val="single"/>
              </w:rPr>
              <w:t>良，</w:t>
            </w:r>
            <w:r>
              <w:rPr>
                <w:rFonts w:hint="default" w:ascii="Times New Roman" w:hAnsi="Times New Roman" w:cs="Times New Roman"/>
                <w:b/>
                <w:bCs/>
                <w:color w:val="FF0000"/>
                <w:spacing w:val="9"/>
                <w:highlight w:val="none"/>
                <w:u w:val="single"/>
                <w:lang w:val="en-US" w:eastAsia="zh-CN"/>
              </w:rPr>
              <w:t>13</w:t>
            </w:r>
            <w:r>
              <w:rPr>
                <w:rFonts w:hint="default" w:ascii="Times New Roman" w:hAnsi="Times New Roman" w:cs="Times New Roman"/>
                <w:b/>
                <w:bCs/>
                <w:color w:val="FF0000"/>
                <w:spacing w:val="9"/>
                <w:highlight w:val="none"/>
                <w:u w:val="single"/>
              </w:rPr>
              <w:t>分：对施工组织方案认识较清晰，对施工的重点、难点认识到位，人员</w:t>
            </w:r>
            <w:r>
              <w:rPr>
                <w:rFonts w:hint="default" w:ascii="Times New Roman" w:hAnsi="Times New Roman" w:cs="Times New Roman"/>
                <w:b/>
                <w:bCs/>
                <w:color w:val="FF0000"/>
                <w:spacing w:val="8"/>
                <w:highlight w:val="none"/>
                <w:u w:val="single"/>
              </w:rPr>
              <w:t>、设备投入计划对工程进度</w:t>
            </w:r>
            <w:r>
              <w:rPr>
                <w:rFonts w:hint="default" w:ascii="Times New Roman" w:hAnsi="Times New Roman" w:cs="Times New Roman"/>
                <w:b/>
                <w:bCs/>
                <w:color w:val="FF0000"/>
                <w:spacing w:val="8"/>
                <w:highlight w:val="none"/>
                <w:u w:val="single"/>
                <w:lang w:val="en-US" w:eastAsia="zh-CN"/>
              </w:rPr>
              <w:t>较为</w:t>
            </w:r>
            <w:r>
              <w:rPr>
                <w:rFonts w:hint="default" w:ascii="Times New Roman" w:hAnsi="Times New Roman" w:cs="Times New Roman"/>
                <w:b/>
                <w:bCs/>
                <w:color w:val="FF0000"/>
                <w:spacing w:val="8"/>
                <w:highlight w:val="none"/>
                <w:u w:val="single"/>
              </w:rPr>
              <w:t>有保障，对</w:t>
            </w:r>
            <w:r>
              <w:rPr>
                <w:rFonts w:hint="default" w:ascii="Times New Roman" w:hAnsi="Times New Roman" w:cs="Times New Roman"/>
                <w:b/>
                <w:bCs/>
                <w:color w:val="FF0000"/>
                <w:spacing w:val="10"/>
                <w:highlight w:val="none"/>
                <w:u w:val="single"/>
              </w:rPr>
              <w:t>设计工作的配合方案</w:t>
            </w:r>
            <w:r>
              <w:rPr>
                <w:rFonts w:hint="default" w:ascii="Times New Roman" w:hAnsi="Times New Roman" w:cs="Times New Roman"/>
                <w:b/>
                <w:bCs/>
                <w:color w:val="FF0000"/>
                <w:spacing w:val="10"/>
                <w:highlight w:val="none"/>
                <w:u w:val="single"/>
                <w:lang w:val="en-US" w:eastAsia="zh-CN"/>
              </w:rPr>
              <w:t>较为</w:t>
            </w:r>
            <w:r>
              <w:rPr>
                <w:rFonts w:hint="default" w:ascii="Times New Roman" w:hAnsi="Times New Roman" w:cs="Times New Roman"/>
                <w:b/>
                <w:bCs/>
                <w:color w:val="FF0000"/>
                <w:spacing w:val="10"/>
                <w:highlight w:val="none"/>
                <w:u w:val="single"/>
              </w:rPr>
              <w:t>可行，施工组织方案对工程质量、工期的保证</w:t>
            </w:r>
            <w:r>
              <w:rPr>
                <w:rFonts w:hint="default" w:ascii="Times New Roman" w:hAnsi="Times New Roman" w:cs="Times New Roman"/>
                <w:b/>
                <w:bCs/>
                <w:color w:val="FF0000"/>
                <w:spacing w:val="8"/>
                <w:highlight w:val="none"/>
                <w:u w:val="single"/>
                <w:lang w:val="en-US" w:eastAsia="zh-CN"/>
              </w:rPr>
              <w:t>较为</w:t>
            </w:r>
            <w:r>
              <w:rPr>
                <w:rFonts w:hint="default" w:ascii="Times New Roman" w:hAnsi="Times New Roman" w:cs="Times New Roman"/>
                <w:b/>
                <w:bCs/>
                <w:color w:val="FF0000"/>
                <w:spacing w:val="10"/>
                <w:highlight w:val="none"/>
                <w:u w:val="single"/>
              </w:rPr>
              <w:t>可行；回答评委</w:t>
            </w:r>
            <w:r>
              <w:rPr>
                <w:rFonts w:hint="default" w:ascii="Times New Roman" w:hAnsi="Times New Roman" w:cs="Times New Roman"/>
                <w:b/>
                <w:bCs/>
                <w:color w:val="FF0000"/>
                <w:spacing w:val="9"/>
                <w:highlight w:val="none"/>
                <w:u w:val="single"/>
              </w:rPr>
              <w:t>提问思路比较清晰、内容</w:t>
            </w:r>
            <w:r>
              <w:rPr>
                <w:rFonts w:hint="default" w:ascii="Times New Roman" w:hAnsi="Times New Roman" w:cs="Times New Roman"/>
                <w:b/>
                <w:bCs/>
                <w:color w:val="FF0000"/>
                <w:spacing w:val="8"/>
                <w:highlight w:val="none"/>
                <w:u w:val="single"/>
                <w:lang w:val="en-US" w:eastAsia="zh-CN"/>
              </w:rPr>
              <w:t>较为</w:t>
            </w:r>
            <w:r>
              <w:rPr>
                <w:rFonts w:hint="default" w:ascii="Times New Roman" w:hAnsi="Times New Roman" w:cs="Times New Roman"/>
                <w:b/>
                <w:bCs/>
                <w:color w:val="FF0000"/>
                <w:spacing w:val="5"/>
                <w:highlight w:val="none"/>
                <w:u w:val="single"/>
              </w:rPr>
              <w:t>准确。</w:t>
            </w:r>
          </w:p>
          <w:p w14:paraId="4A19AD87">
            <w:pPr>
              <w:pStyle w:val="27"/>
              <w:spacing w:before="31" w:line="240" w:lineRule="auto"/>
              <w:ind w:left="103" w:right="104" w:firstLine="19"/>
              <w:jc w:val="both"/>
              <w:rPr>
                <w:rFonts w:hint="default" w:ascii="Times New Roman" w:hAnsi="Times New Roman" w:cs="Times New Roman"/>
                <w:b/>
                <w:bCs/>
                <w:color w:val="FF0000"/>
                <w:highlight w:val="none"/>
                <w:u w:val="single"/>
              </w:rPr>
            </w:pPr>
            <w:r>
              <w:rPr>
                <w:rFonts w:hint="default" w:ascii="Times New Roman" w:hAnsi="Times New Roman" w:cs="Times New Roman"/>
                <w:b/>
                <w:bCs/>
                <w:color w:val="FF0000"/>
                <w:spacing w:val="9"/>
                <w:highlight w:val="none"/>
                <w:u w:val="single"/>
                <w:lang w:eastAsia="zh-CN"/>
              </w:rPr>
              <w:t>（</w:t>
            </w:r>
            <w:r>
              <w:rPr>
                <w:rFonts w:hint="default" w:ascii="Times New Roman" w:hAnsi="Times New Roman" w:cs="Times New Roman"/>
                <w:b/>
                <w:bCs/>
                <w:color w:val="FF0000"/>
                <w:spacing w:val="9"/>
                <w:highlight w:val="none"/>
                <w:u w:val="single"/>
                <w:lang w:val="en-US" w:eastAsia="zh-CN"/>
              </w:rPr>
              <w:t>3</w:t>
            </w:r>
            <w:r>
              <w:rPr>
                <w:rFonts w:hint="default" w:ascii="Times New Roman" w:hAnsi="Times New Roman" w:cs="Times New Roman"/>
                <w:b/>
                <w:bCs/>
                <w:color w:val="FF0000"/>
                <w:spacing w:val="9"/>
                <w:highlight w:val="none"/>
                <w:u w:val="single"/>
                <w:lang w:eastAsia="zh-CN"/>
              </w:rPr>
              <w:t>）</w:t>
            </w:r>
            <w:r>
              <w:rPr>
                <w:rFonts w:hint="default" w:ascii="Times New Roman" w:hAnsi="Times New Roman" w:cs="Times New Roman"/>
                <w:b/>
                <w:bCs/>
                <w:color w:val="FF0000"/>
                <w:spacing w:val="9"/>
                <w:highlight w:val="none"/>
                <w:u w:val="single"/>
              </w:rPr>
              <w:t>中，</w:t>
            </w:r>
            <w:r>
              <w:rPr>
                <w:rFonts w:hint="default" w:ascii="Times New Roman" w:hAnsi="Times New Roman" w:cs="Times New Roman"/>
                <w:b/>
                <w:bCs/>
                <w:color w:val="FF0000"/>
                <w:spacing w:val="9"/>
                <w:highlight w:val="none"/>
                <w:u w:val="single"/>
                <w:lang w:val="en-US" w:eastAsia="zh-CN"/>
              </w:rPr>
              <w:t>6</w:t>
            </w:r>
            <w:r>
              <w:rPr>
                <w:rFonts w:hint="default" w:ascii="Times New Roman" w:hAnsi="Times New Roman" w:cs="Times New Roman"/>
                <w:b/>
                <w:bCs/>
                <w:color w:val="FF0000"/>
                <w:spacing w:val="9"/>
                <w:highlight w:val="none"/>
                <w:u w:val="single"/>
              </w:rPr>
              <w:t>分：对施工组织方案认识一般；或未能把握施工的重点、难点，或人员、设备投入计划对工程进度保障</w:t>
            </w:r>
            <w:r>
              <w:rPr>
                <w:rFonts w:hint="default" w:ascii="Times New Roman" w:hAnsi="Times New Roman" w:cs="Times New Roman"/>
                <w:b/>
                <w:bCs/>
                <w:color w:val="FF0000"/>
                <w:spacing w:val="8"/>
                <w:highlight w:val="none"/>
                <w:u w:val="single"/>
              </w:rPr>
              <w:t>差；或对设</w:t>
            </w:r>
            <w:r>
              <w:rPr>
                <w:rFonts w:hint="default" w:ascii="Times New Roman" w:hAnsi="Times New Roman" w:cs="Times New Roman"/>
                <w:b/>
                <w:bCs/>
                <w:color w:val="FF0000"/>
                <w:spacing w:val="10"/>
                <w:highlight w:val="none"/>
                <w:u w:val="single"/>
              </w:rPr>
              <w:t>计工作的配合方案可行性较差，施工组织方案对工程质量、工期的保证可行性较差；或回答评委</w:t>
            </w:r>
            <w:r>
              <w:rPr>
                <w:rFonts w:hint="default" w:ascii="Times New Roman" w:hAnsi="Times New Roman" w:cs="Times New Roman"/>
                <w:b/>
                <w:bCs/>
                <w:color w:val="FF0000"/>
                <w:spacing w:val="9"/>
                <w:highlight w:val="none"/>
                <w:u w:val="single"/>
              </w:rPr>
              <w:t>提问思路不清晰、答非所</w:t>
            </w:r>
            <w:r>
              <w:rPr>
                <w:rFonts w:hint="default" w:ascii="Times New Roman" w:hAnsi="Times New Roman" w:cs="Times New Roman"/>
                <w:b/>
                <w:bCs/>
                <w:color w:val="FF0000"/>
                <w:highlight w:val="none"/>
                <w:u w:val="single"/>
              </w:rPr>
              <w:t>问。</w:t>
            </w:r>
          </w:p>
          <w:p w14:paraId="58CF94F3">
            <w:pPr>
              <w:pStyle w:val="27"/>
              <w:spacing w:before="29" w:line="240" w:lineRule="auto"/>
              <w:ind w:left="105" w:leftChars="0"/>
              <w:rPr>
                <w:rFonts w:hint="default" w:ascii="Times New Roman" w:hAnsi="Times New Roman" w:cs="Times New Roman"/>
                <w:b/>
                <w:bCs/>
                <w:color w:val="FF0000"/>
                <w:highlight w:val="none"/>
                <w:u w:val="single"/>
              </w:rPr>
            </w:pPr>
            <w:r>
              <w:rPr>
                <w:rFonts w:hint="default" w:ascii="Times New Roman" w:hAnsi="Times New Roman" w:cs="Times New Roman"/>
                <w:b/>
                <w:bCs/>
                <w:color w:val="FF0000"/>
                <w:spacing w:val="7"/>
                <w:highlight w:val="none"/>
                <w:u w:val="single"/>
                <w:lang w:eastAsia="zh-CN"/>
              </w:rPr>
              <w:t>（</w:t>
            </w:r>
            <w:r>
              <w:rPr>
                <w:rFonts w:hint="default" w:ascii="Times New Roman" w:hAnsi="Times New Roman" w:cs="Times New Roman"/>
                <w:b/>
                <w:bCs/>
                <w:color w:val="FF0000"/>
                <w:spacing w:val="7"/>
                <w:highlight w:val="none"/>
                <w:u w:val="single"/>
                <w:lang w:val="en-US" w:eastAsia="zh-CN"/>
              </w:rPr>
              <w:t>4</w:t>
            </w:r>
            <w:r>
              <w:rPr>
                <w:rFonts w:hint="default" w:ascii="Times New Roman" w:hAnsi="Times New Roman" w:cs="Times New Roman"/>
                <w:b/>
                <w:bCs/>
                <w:color w:val="FF0000"/>
                <w:spacing w:val="7"/>
                <w:highlight w:val="none"/>
                <w:u w:val="single"/>
                <w:lang w:eastAsia="zh-CN"/>
              </w:rPr>
              <w:t>）</w:t>
            </w:r>
            <w:r>
              <w:rPr>
                <w:rFonts w:hint="default" w:ascii="Times New Roman" w:hAnsi="Times New Roman" w:cs="Times New Roman"/>
                <w:b/>
                <w:bCs/>
                <w:color w:val="FF0000"/>
                <w:spacing w:val="7"/>
                <w:highlight w:val="none"/>
                <w:u w:val="single"/>
              </w:rPr>
              <w:t>差，0分：未参加答辩的不得分。</w:t>
            </w:r>
          </w:p>
        </w:tc>
      </w:tr>
      <w:tr w14:paraId="54E4FB00">
        <w:tblPrEx>
          <w:tblBorders>
            <w:top w:val="single" w:color="080000" w:sz="6" w:space="0"/>
            <w:left w:val="single" w:color="080000" w:sz="6" w:space="0"/>
            <w:bottom w:val="single" w:color="080000" w:sz="6" w:space="0"/>
            <w:right w:val="single" w:color="080000" w:sz="6" w:space="0"/>
            <w:insideH w:val="single" w:color="080000" w:sz="6" w:space="0"/>
            <w:insideV w:val="single" w:color="080000" w:sz="6" w:space="0"/>
          </w:tblBorders>
          <w:tblCellMar>
            <w:top w:w="0" w:type="dxa"/>
            <w:left w:w="0" w:type="dxa"/>
            <w:bottom w:w="0" w:type="dxa"/>
            <w:right w:w="0" w:type="dxa"/>
          </w:tblCellMar>
        </w:tblPrEx>
        <w:trPr>
          <w:trHeight w:val="425" w:hRule="atLeast"/>
        </w:trPr>
        <w:tc>
          <w:tcPr>
            <w:tcW w:w="1203" w:type="pct"/>
            <w:gridSpan w:val="3"/>
            <w:vAlign w:val="center"/>
          </w:tcPr>
          <w:p w14:paraId="02340857">
            <w:pPr>
              <w:pStyle w:val="27"/>
              <w:spacing w:line="240" w:lineRule="auto"/>
              <w:ind w:left="0"/>
              <w:jc w:val="center"/>
              <w:rPr>
                <w:rFonts w:hint="default" w:ascii="Times New Roman" w:hAnsi="Times New Roman" w:cs="Times New Roman"/>
                <w:color w:val="auto"/>
                <w:highlight w:val="none"/>
              </w:rPr>
            </w:pPr>
            <w:r>
              <w:rPr>
                <w:rFonts w:hint="default" w:ascii="Times New Roman" w:hAnsi="Times New Roman" w:cs="Times New Roman"/>
                <w:color w:val="auto"/>
                <w:spacing w:val="2"/>
                <w:highlight w:val="none"/>
              </w:rPr>
              <w:t>总分</w:t>
            </w:r>
          </w:p>
        </w:tc>
        <w:tc>
          <w:tcPr>
            <w:tcW w:w="314" w:type="pct"/>
            <w:vAlign w:val="top"/>
          </w:tcPr>
          <w:p w14:paraId="41BF77A0">
            <w:pPr>
              <w:pStyle w:val="27"/>
              <w:spacing w:before="187" w:line="240" w:lineRule="auto"/>
              <w:ind w:left="211"/>
              <w:rPr>
                <w:rFonts w:hint="default" w:ascii="Times New Roman" w:hAnsi="Times New Roman" w:cs="Times New Roman"/>
                <w:color w:val="auto"/>
                <w:highlight w:val="none"/>
              </w:rPr>
            </w:pPr>
            <w:r>
              <w:rPr>
                <w:rFonts w:hint="default" w:ascii="Times New Roman" w:hAnsi="Times New Roman" w:cs="Times New Roman"/>
                <w:color w:val="auto"/>
                <w:spacing w:val="-2"/>
                <w:highlight w:val="none"/>
              </w:rPr>
              <w:t>100</w:t>
            </w:r>
          </w:p>
        </w:tc>
        <w:tc>
          <w:tcPr>
            <w:tcW w:w="3481" w:type="pct"/>
            <w:vAlign w:val="top"/>
          </w:tcPr>
          <w:p w14:paraId="090DC595">
            <w:pPr>
              <w:rPr>
                <w:rFonts w:hint="default" w:ascii="Times New Roman" w:hAnsi="Times New Roman" w:eastAsia="宋体" w:cs="Times New Roman"/>
                <w:color w:val="auto"/>
                <w:sz w:val="21"/>
                <w:highlight w:val="none"/>
                <w:lang w:eastAsia="zh-CN"/>
              </w:rPr>
            </w:pPr>
          </w:p>
        </w:tc>
      </w:tr>
    </w:tbl>
    <w:p w14:paraId="2ACEA134">
      <w:pPr>
        <w:pStyle w:val="7"/>
        <w:spacing w:line="227" w:lineRule="auto"/>
        <w:ind w:left="0"/>
        <w:outlineLvl w:val="1"/>
        <w:rPr>
          <w:rFonts w:hint="default" w:ascii="Times New Roman" w:hAnsi="Times New Roman" w:cs="Times New Roman"/>
          <w:b/>
          <w:bCs/>
          <w:color w:val="auto"/>
          <w:spacing w:val="5"/>
          <w:highlight w:val="none"/>
          <w:lang w:val="en-US" w:eastAsia="zh-CN"/>
        </w:rPr>
      </w:pPr>
    </w:p>
    <w:p w14:paraId="13BA8FE8">
      <w:pPr>
        <w:pStyle w:val="7"/>
        <w:spacing w:line="227" w:lineRule="auto"/>
        <w:ind w:left="0"/>
        <w:outlineLvl w:val="1"/>
        <w:rPr>
          <w:rFonts w:hint="default" w:ascii="Times New Roman" w:hAnsi="Times New Roman" w:eastAsia="宋体" w:cs="Times New Roman"/>
          <w:b/>
          <w:bCs/>
          <w:color w:val="auto"/>
          <w:spacing w:val="5"/>
          <w:highlight w:val="none"/>
          <w:lang w:val="en-US" w:eastAsia="zh-CN"/>
        </w:rPr>
      </w:pPr>
      <w:bookmarkStart w:id="19" w:name="_Toc5813"/>
      <w:r>
        <w:rPr>
          <w:rFonts w:hint="default" w:ascii="Times New Roman" w:hAnsi="Times New Roman" w:cs="Times New Roman"/>
          <w:b/>
          <w:bCs/>
          <w:color w:val="auto"/>
          <w:spacing w:val="5"/>
          <w:highlight w:val="none"/>
          <w:lang w:val="en-US" w:eastAsia="zh-CN"/>
        </w:rPr>
        <w:t>备注：</w:t>
      </w:r>
      <w:bookmarkEnd w:id="19"/>
    </w:p>
    <w:p w14:paraId="57C4F8E4">
      <w:pPr>
        <w:widowControl/>
        <w:numPr>
          <w:ilvl w:val="0"/>
          <w:numId w:val="0"/>
        </w:numPr>
        <w:shd w:val="clear" w:color="auto" w:fill="FFFFFF"/>
        <w:rPr>
          <w:rFonts w:hint="default" w:ascii="Times New Roman" w:hAnsi="Times New Roman" w:cs="Times New Roman"/>
          <w:b/>
          <w:color w:val="auto"/>
          <w:szCs w:val="21"/>
          <w:highlight w:val="none"/>
        </w:rPr>
      </w:pPr>
      <w:r>
        <w:rPr>
          <w:rFonts w:hint="default" w:ascii="Times New Roman" w:hAnsi="Times New Roman" w:cs="Times New Roman"/>
          <w:b/>
          <w:bCs w:val="0"/>
          <w:color w:val="auto"/>
          <w:spacing w:val="0"/>
          <w:szCs w:val="21"/>
          <w:highlight w:val="none"/>
        </w:rPr>
        <w:t>1、企业类似工程业绩：</w:t>
      </w:r>
    </w:p>
    <w:p w14:paraId="19F835A3">
      <w:pPr>
        <w:pStyle w:val="7"/>
        <w:spacing w:before="75" w:after="0" w:line="262" w:lineRule="auto"/>
        <w:ind w:left="25" w:right="68" w:firstLine="436" w:firstLineChars="200"/>
        <w:rPr>
          <w:rFonts w:hint="default" w:ascii="Times New Roman" w:hAnsi="Times New Roman" w:cs="Times New Roman"/>
          <w:color w:val="auto"/>
          <w:spacing w:val="9"/>
          <w:highlight w:val="none"/>
        </w:rPr>
      </w:pPr>
      <w:r>
        <w:rPr>
          <w:rFonts w:hint="default" w:ascii="Times New Roman" w:hAnsi="Times New Roman" w:cs="Times New Roman"/>
          <w:color w:val="auto"/>
          <w:spacing w:val="9"/>
          <w:highlight w:val="none"/>
        </w:rPr>
        <w:t>业绩取自广州市住建行业信用管理平台。投标人须同时提供类似工程业绩在广州市住建行业信用管理平台的项目名称、项目编号及网页信息截图（网页信息截图须能清晰显示带有“住建行业信用管理平台”名称，并至少包含“项目基本信息”等信息）（业绩相关附件的上传件可不提交）。用于本项目投标的类似业绩，在平台中"工程对应的企业资质"栏中须登记有与本项目要求相对应的资质(具体资质要求:建筑工程施工总承包(原房屋建筑工程施工总承包)资质)。若投标人提供的项目名称与项目编号不一致：①项目名称和项目编号在平台内分别对应不同业绩的，以项目名称对应的业绩为准</w:t>
      </w:r>
      <w:r>
        <w:rPr>
          <w:rFonts w:hint="default" w:ascii="Times New Roman" w:hAnsi="Times New Roman" w:cs="Times New Roman"/>
          <w:color w:val="auto"/>
          <w:spacing w:val="9"/>
          <w:highlight w:val="none"/>
          <w:lang w:eastAsia="zh-CN"/>
        </w:rPr>
        <w:t>。</w:t>
      </w:r>
      <w:r>
        <w:rPr>
          <w:rFonts w:hint="default" w:ascii="Times New Roman" w:hAnsi="Times New Roman" w:cs="Times New Roman"/>
          <w:color w:val="auto"/>
          <w:spacing w:val="9"/>
          <w:highlight w:val="none"/>
        </w:rPr>
        <w:t>②项目名称存在对应业绩的，项目编号在平台内不存在对应业绩，以项目名称对应的业绩为准</w:t>
      </w:r>
      <w:r>
        <w:rPr>
          <w:rFonts w:hint="default" w:ascii="Times New Roman" w:hAnsi="Times New Roman" w:cs="Times New Roman"/>
          <w:color w:val="auto"/>
          <w:spacing w:val="9"/>
          <w:highlight w:val="none"/>
          <w:lang w:eastAsia="zh-CN"/>
        </w:rPr>
        <w:t>。</w:t>
      </w:r>
      <w:r>
        <w:rPr>
          <w:rFonts w:hint="default" w:ascii="Times New Roman" w:hAnsi="Times New Roman" w:cs="Times New Roman"/>
          <w:color w:val="auto"/>
          <w:spacing w:val="9"/>
          <w:highlight w:val="none"/>
        </w:rPr>
        <w:t>③项目名称在平台内不存在对应业绩，项目编号存在对应业绩的，以项目编号对应的业绩为准。完成时间以竣工验收文件为准。验收文件至少具有建设单位、设计、施工和监理单位盖章。</w:t>
      </w:r>
      <w:r>
        <w:rPr>
          <w:rFonts w:hint="default" w:ascii="Times New Roman" w:hAnsi="Times New Roman" w:cs="Times New Roman"/>
          <w:color w:val="auto"/>
          <w:spacing w:val="9"/>
          <w:highlight w:val="none"/>
          <w:lang w:val="en-US" w:eastAsia="zh-CN"/>
        </w:rPr>
        <w:t>④</w:t>
      </w:r>
      <w:r>
        <w:rPr>
          <w:rFonts w:hint="default" w:ascii="Times New Roman" w:hAnsi="Times New Roman" w:cs="Times New Roman"/>
          <w:color w:val="auto"/>
          <w:spacing w:val="9"/>
          <w:highlight w:val="none"/>
        </w:rPr>
        <w:t>业绩金额以中标通知书载明的施工费用为准，中标通知书上没有金额或免招标的，以施工合同（不含补充合同）为准。评标委员会对业绩的评审以投标截止时间在平台内业绩上传件为依据。广州市住建行业信用管理平台内业绩上传件不符合上述要求的或登记的工程资质内容与施工合同等业绩证明资料不相符的，该项业绩不予认定。</w:t>
      </w:r>
    </w:p>
    <w:p w14:paraId="06F7F6AF">
      <w:pPr>
        <w:widowControl/>
        <w:numPr>
          <w:ilvl w:val="0"/>
          <w:numId w:val="0"/>
        </w:numPr>
        <w:shd w:val="clear" w:color="auto" w:fill="FFFFFF"/>
        <w:rPr>
          <w:rFonts w:hint="default" w:ascii="Times New Roman" w:hAnsi="Times New Roman" w:cs="Times New Roman"/>
          <w:b/>
          <w:color w:val="FF0000"/>
          <w:szCs w:val="21"/>
          <w:highlight w:val="none"/>
        </w:rPr>
      </w:pPr>
      <w:r>
        <w:rPr>
          <w:rFonts w:hint="default" w:ascii="Times New Roman" w:hAnsi="Times New Roman" w:cs="Times New Roman"/>
          <w:b/>
          <w:bCs w:val="0"/>
          <w:color w:val="FF0000"/>
          <w:spacing w:val="0"/>
          <w:szCs w:val="21"/>
          <w:highlight w:val="none"/>
        </w:rPr>
        <w:t>2、</w:t>
      </w:r>
      <w:r>
        <w:rPr>
          <w:rFonts w:hint="default" w:ascii="Times New Roman" w:hAnsi="Times New Roman" w:cs="Times New Roman"/>
          <w:b/>
          <w:color w:val="FF0000"/>
          <w:spacing w:val="0"/>
          <w:szCs w:val="21"/>
          <w:highlight w:val="none"/>
        </w:rPr>
        <w:t>企业获奖</w:t>
      </w:r>
      <w:r>
        <w:rPr>
          <w:rFonts w:hint="default" w:ascii="Times New Roman" w:hAnsi="Times New Roman" w:cs="Times New Roman"/>
          <w:b/>
          <w:bCs w:val="0"/>
          <w:color w:val="FF0000"/>
          <w:spacing w:val="0"/>
          <w:szCs w:val="21"/>
          <w:highlight w:val="none"/>
        </w:rPr>
        <w:t>：</w:t>
      </w:r>
    </w:p>
    <w:p w14:paraId="1B98DBFC">
      <w:pPr>
        <w:keepNext w:val="0"/>
        <w:keepLines w:val="0"/>
        <w:widowControl/>
        <w:suppressLineNumbers w:val="0"/>
        <w:shd w:val="clear" w:fill="FFFFFF"/>
        <w:spacing w:before="0" w:beforeAutospacing="0" w:after="0" w:afterAutospacing="0"/>
        <w:ind w:left="0" w:right="0" w:firstLine="422" w:firstLineChars="200"/>
        <w:jc w:val="both"/>
        <w:rPr>
          <w:rFonts w:hint="default" w:ascii="Times New Roman" w:hAnsi="Times New Roman" w:eastAsia="宋体" w:cs="Times New Roman"/>
          <w:b/>
          <w:bCs/>
          <w:color w:val="FF0000"/>
          <w:kern w:val="0"/>
          <w:sz w:val="21"/>
          <w:szCs w:val="21"/>
          <w:highlight w:val="none"/>
          <w:u w:val="single"/>
          <w:shd w:val="clear" w:fill="FFFFFF"/>
          <w:lang w:val="en-US" w:eastAsia="zh-CN" w:bidi="ar"/>
        </w:rPr>
      </w:pPr>
      <w:r>
        <w:rPr>
          <w:rFonts w:hint="default" w:ascii="Times New Roman" w:hAnsi="Times New Roman" w:eastAsia="宋体" w:cs="Times New Roman"/>
          <w:b/>
          <w:bCs/>
          <w:color w:val="FF0000"/>
          <w:kern w:val="0"/>
          <w:sz w:val="21"/>
          <w:szCs w:val="21"/>
          <w:highlight w:val="none"/>
          <w:u w:val="single"/>
          <w:shd w:val="clear" w:fill="FFFFFF"/>
          <w:lang w:val="en-US" w:eastAsia="zh-CN" w:bidi="ar"/>
        </w:rPr>
        <w:t>（1）质量工程奖项获奖可取自广州市住建行业信用管理平台或提供获奖证书扫描件。①国家级工程质量奖项指的是中国建设工程鲁班奖、国家优质工程金奖、国家优质工程奖、中国土木工程詹天佑奖；省或市级奖项包括：由省、市级建设行政主管部门或</w:t>
      </w:r>
      <w:r>
        <w:rPr>
          <w:rFonts w:hint="default" w:ascii="Times New Roman" w:hAnsi="Times New Roman" w:cs="Times New Roman"/>
          <w:b/>
          <w:bCs/>
          <w:color w:val="FF0000"/>
          <w:kern w:val="0"/>
          <w:sz w:val="21"/>
          <w:szCs w:val="21"/>
          <w:highlight w:val="none"/>
          <w:u w:val="single"/>
          <w:shd w:val="clear" w:fill="FFFFFF"/>
          <w:lang w:eastAsia="zh-CN" w:bidi="ar"/>
        </w:rPr>
        <w:t>建筑相关</w:t>
      </w:r>
      <w:r>
        <w:rPr>
          <w:rFonts w:hint="default" w:ascii="Times New Roman" w:hAnsi="Times New Roman" w:eastAsia="宋体" w:cs="Times New Roman"/>
          <w:b/>
          <w:bCs/>
          <w:color w:val="FF0000"/>
          <w:kern w:val="0"/>
          <w:sz w:val="21"/>
          <w:szCs w:val="21"/>
          <w:highlight w:val="none"/>
          <w:u w:val="single"/>
          <w:shd w:val="clear" w:fill="FFFFFF"/>
          <w:lang w:val="en-US" w:eastAsia="zh-CN" w:bidi="ar"/>
        </w:rPr>
        <w:t>行业协会（行业协会须在民政部门取得成立登记批准）颁发的质量类工程奖项</w:t>
      </w:r>
      <w:r>
        <w:rPr>
          <w:rFonts w:hint="default" w:ascii="Times New Roman" w:hAnsi="Times New Roman" w:cs="Times New Roman"/>
          <w:b/>
          <w:bCs/>
          <w:color w:val="FF0000"/>
          <w:kern w:val="0"/>
          <w:sz w:val="21"/>
          <w:szCs w:val="21"/>
          <w:highlight w:val="none"/>
          <w:u w:val="single"/>
          <w:shd w:val="clear" w:fill="FFFFFF"/>
          <w:lang w:eastAsia="zh-CN" w:bidi="ar"/>
        </w:rPr>
        <w:t>或优质工程评价或质量评价优良或质量水平评价A级（或以上）</w:t>
      </w:r>
      <w:r>
        <w:rPr>
          <w:rFonts w:hint="default" w:ascii="Times New Roman" w:hAnsi="Times New Roman" w:eastAsia="宋体" w:cs="Times New Roman"/>
          <w:b/>
          <w:bCs/>
          <w:color w:val="FF0000"/>
          <w:kern w:val="0"/>
          <w:sz w:val="21"/>
          <w:szCs w:val="21"/>
          <w:highlight w:val="none"/>
          <w:u w:val="single"/>
          <w:shd w:val="clear" w:fill="FFFFFF"/>
          <w:lang w:val="en-US" w:eastAsia="zh-CN" w:bidi="ar"/>
        </w:rPr>
        <w:t>，其它如安全文明、绿色施工、技术创新、QC成果、装修、钢结构、机电安装、科技进步及技术应用类奖项不参与计分；②只计算房建类工程质量奖项，其他非房建项目，如：路桥、铁路、水利、电力、化工、冶金、市政等获奖不参与计分。同一项目获得多个奖项的，该项目获奖只按其中一个奖项所在最高级别计算一次分数，不得重复计算。</w:t>
      </w:r>
    </w:p>
    <w:p w14:paraId="5C0BEACE">
      <w:pPr>
        <w:pStyle w:val="7"/>
        <w:spacing w:before="75" w:after="0" w:line="262" w:lineRule="auto"/>
        <w:ind w:left="25" w:right="68" w:firstLine="438" w:firstLineChars="200"/>
        <w:jc w:val="left"/>
        <w:rPr>
          <w:rFonts w:hint="default" w:ascii="Times New Roman" w:hAnsi="Times New Roman" w:cs="Times New Roman"/>
          <w:b/>
          <w:bCs/>
          <w:color w:val="FF0000"/>
          <w:spacing w:val="9"/>
          <w:highlight w:val="none"/>
          <w:u w:val="single"/>
        </w:rPr>
      </w:pPr>
      <w:r>
        <w:rPr>
          <w:rFonts w:hint="default" w:ascii="Times New Roman" w:hAnsi="Times New Roman" w:cs="Times New Roman"/>
          <w:b/>
          <w:bCs/>
          <w:color w:val="FF0000"/>
          <w:spacing w:val="9"/>
          <w:highlight w:val="none"/>
          <w:u w:val="single"/>
        </w:rPr>
        <w:t>（</w:t>
      </w:r>
      <w:r>
        <w:rPr>
          <w:rFonts w:hint="eastAsia" w:ascii="Times New Roman" w:hAnsi="Times New Roman" w:cs="Times New Roman"/>
          <w:b/>
          <w:bCs/>
          <w:color w:val="FF0000"/>
          <w:spacing w:val="9"/>
          <w:highlight w:val="none"/>
          <w:u w:val="single"/>
          <w:lang w:val="en-US" w:eastAsia="zh-CN"/>
        </w:rPr>
        <w:t>2</w:t>
      </w:r>
      <w:r>
        <w:rPr>
          <w:rFonts w:hint="default" w:ascii="Times New Roman" w:hAnsi="Times New Roman" w:cs="Times New Roman"/>
          <w:b/>
          <w:bCs/>
          <w:color w:val="FF0000"/>
          <w:spacing w:val="9"/>
          <w:highlight w:val="none"/>
          <w:u w:val="single"/>
        </w:rPr>
        <w:t>）投标人可根据自身情况选择以下两种方式提供资料：①</w:t>
      </w:r>
      <w:r>
        <w:rPr>
          <w:rFonts w:hint="default" w:ascii="Times New Roman" w:hAnsi="Times New Roman" w:cs="Times New Roman"/>
          <w:b/>
          <w:bCs/>
          <w:color w:val="FF0000"/>
          <w:spacing w:val="9"/>
          <w:highlight w:val="none"/>
          <w:u w:val="single"/>
          <w:lang w:val="en-US" w:eastAsia="zh-CN"/>
        </w:rPr>
        <w:t>奖项业绩取自广州市住建行业信用管理平台的，投标人须提供网页信息截图（网页信息截图须能清晰显示带有“住建行业信用管理平台”名称，并至少包含“项目基本信息”、“奖项信息”等信息）。评标委员会对工程奖项的评审以投标截止时间在平台内工程奖项上传件为依据（投标文件中可不需重复提交相关业绩上传件）</w:t>
      </w:r>
      <w:r>
        <w:rPr>
          <w:rFonts w:hint="default" w:ascii="Times New Roman" w:hAnsi="Times New Roman" w:cs="Times New Roman"/>
          <w:b/>
          <w:bCs/>
          <w:color w:val="FF0000"/>
          <w:spacing w:val="9"/>
          <w:highlight w:val="none"/>
          <w:u w:val="single"/>
        </w:rPr>
        <w:t>。②</w:t>
      </w:r>
      <w:r>
        <w:rPr>
          <w:rFonts w:hint="default" w:ascii="Times New Roman" w:hAnsi="Times New Roman" w:cs="Times New Roman"/>
          <w:b/>
          <w:bCs/>
          <w:color w:val="FF0000"/>
          <w:spacing w:val="9"/>
          <w:highlight w:val="none"/>
          <w:u w:val="single"/>
          <w:lang w:val="en-US" w:eastAsia="zh-CN"/>
        </w:rPr>
        <w:t>奖项业绩</w:t>
      </w:r>
      <w:r>
        <w:rPr>
          <w:rFonts w:hint="default" w:ascii="Times New Roman" w:hAnsi="Times New Roman" w:cs="Times New Roman"/>
          <w:b/>
          <w:bCs/>
          <w:color w:val="FF0000"/>
          <w:spacing w:val="9"/>
          <w:highlight w:val="none"/>
          <w:u w:val="single"/>
        </w:rPr>
        <w:t>不取自广州市住建行业信用管理平台的，须提供获奖证书或获奖文件相关资料并加盖投标单位</w:t>
      </w:r>
      <w:r>
        <w:rPr>
          <w:rFonts w:hint="eastAsia" w:ascii="Times New Roman" w:hAnsi="Times New Roman" w:cs="Times New Roman"/>
          <w:b/>
          <w:bCs/>
          <w:color w:val="FF0000"/>
          <w:spacing w:val="9"/>
          <w:highlight w:val="none"/>
          <w:u w:val="single"/>
          <w:lang w:val="en-US" w:eastAsia="zh-CN"/>
        </w:rPr>
        <w:t>电子印章</w:t>
      </w:r>
      <w:r>
        <w:rPr>
          <w:rFonts w:hint="default" w:ascii="Times New Roman" w:hAnsi="Times New Roman" w:cs="Times New Roman"/>
          <w:b/>
          <w:bCs/>
          <w:color w:val="FF0000"/>
          <w:spacing w:val="9"/>
          <w:highlight w:val="none"/>
          <w:u w:val="single"/>
        </w:rPr>
        <w:t>，否则不得分。获奖时间以证书颁发日期为准</w:t>
      </w:r>
      <w:r>
        <w:rPr>
          <w:rFonts w:hint="eastAsia" w:ascii="Times New Roman" w:hAnsi="Times New Roman" w:cs="Times New Roman"/>
          <w:b/>
          <w:bCs/>
          <w:color w:val="FF0000"/>
          <w:spacing w:val="9"/>
          <w:highlight w:val="none"/>
          <w:u w:val="single"/>
          <w:lang w:eastAsia="zh-CN"/>
        </w:rPr>
        <w:t>。</w:t>
      </w:r>
      <w:r>
        <w:rPr>
          <w:rFonts w:hint="eastAsia" w:ascii="Times New Roman" w:hAnsi="Times New Roman" w:cs="Times New Roman"/>
          <w:b/>
          <w:bCs/>
          <w:color w:val="FF0000"/>
          <w:spacing w:val="9"/>
          <w:highlight w:val="none"/>
          <w:u w:val="single"/>
          <w:lang w:val="en-US" w:eastAsia="zh-CN"/>
        </w:rPr>
        <w:t>③</w:t>
      </w:r>
      <w:r>
        <w:rPr>
          <w:rFonts w:hint="default" w:ascii="Times New Roman" w:hAnsi="Times New Roman" w:cs="Times New Roman"/>
          <w:b/>
          <w:bCs/>
          <w:color w:val="FF0000"/>
          <w:spacing w:val="9"/>
          <w:highlight w:val="none"/>
          <w:u w:val="single"/>
        </w:rPr>
        <w:t>同一工程项目获得多个奖项的，按其获得的最高奖项计分，且不得重复计分，不符合条件或无提交</w:t>
      </w:r>
      <w:r>
        <w:rPr>
          <w:rFonts w:hint="eastAsia" w:ascii="Times New Roman" w:hAnsi="Times New Roman" w:cs="Times New Roman"/>
          <w:b/>
          <w:bCs/>
          <w:color w:val="FF0000"/>
          <w:spacing w:val="9"/>
          <w:highlight w:val="none"/>
          <w:u w:val="single"/>
          <w:lang w:val="en-US" w:eastAsia="zh-CN"/>
        </w:rPr>
        <w:t>相应证明材料的</w:t>
      </w:r>
      <w:r>
        <w:rPr>
          <w:rFonts w:hint="default" w:ascii="Times New Roman" w:hAnsi="Times New Roman" w:cs="Times New Roman"/>
          <w:b/>
          <w:bCs/>
          <w:color w:val="FF0000"/>
          <w:spacing w:val="9"/>
          <w:highlight w:val="none"/>
          <w:u w:val="single"/>
        </w:rPr>
        <w:t>不计分。</w:t>
      </w:r>
    </w:p>
    <w:p w14:paraId="121B736F">
      <w:pPr>
        <w:widowControl/>
        <w:numPr>
          <w:ilvl w:val="0"/>
          <w:numId w:val="0"/>
        </w:numPr>
        <w:shd w:val="clear" w:color="auto" w:fill="FFFFFF"/>
        <w:rPr>
          <w:rFonts w:hint="default" w:ascii="Times New Roman" w:hAnsi="Times New Roman" w:cs="Times New Roman"/>
          <w:b/>
          <w:color w:val="FF0000"/>
          <w:szCs w:val="21"/>
          <w:highlight w:val="none"/>
          <w:u w:val="single"/>
        </w:rPr>
      </w:pPr>
      <w:r>
        <w:rPr>
          <w:rFonts w:hint="default" w:ascii="Times New Roman" w:hAnsi="Times New Roman" w:cs="Times New Roman"/>
          <w:b/>
          <w:bCs w:val="0"/>
          <w:color w:val="FF0000"/>
          <w:spacing w:val="0"/>
          <w:szCs w:val="21"/>
          <w:highlight w:val="none"/>
          <w:u w:val="single"/>
        </w:rPr>
        <w:t>3、工程研发能力</w:t>
      </w:r>
    </w:p>
    <w:p w14:paraId="0B3FB7D5">
      <w:pPr>
        <w:keepNext w:val="0"/>
        <w:keepLines w:val="0"/>
        <w:widowControl/>
        <w:suppressLineNumbers w:val="0"/>
        <w:shd w:val="clear" w:fill="FFFFFF"/>
        <w:spacing w:before="0" w:beforeAutospacing="0" w:after="0" w:afterAutospacing="0"/>
        <w:ind w:left="0" w:right="0" w:firstLine="422" w:firstLineChars="200"/>
        <w:jc w:val="both"/>
        <w:rPr>
          <w:rFonts w:hint="default" w:ascii="Times New Roman" w:hAnsi="Times New Roman" w:eastAsia="宋体" w:cs="Times New Roman"/>
          <w:b/>
          <w:bCs/>
          <w:color w:val="FF0000"/>
          <w:kern w:val="0"/>
          <w:sz w:val="21"/>
          <w:szCs w:val="21"/>
          <w:highlight w:val="none"/>
          <w:u w:val="single"/>
          <w:shd w:val="clear" w:fill="FFFFFF"/>
          <w:lang w:val="en-US" w:eastAsia="zh-CN" w:bidi="ar"/>
        </w:rPr>
      </w:pPr>
      <w:r>
        <w:rPr>
          <w:rFonts w:hint="default" w:ascii="Times New Roman" w:hAnsi="Times New Roman" w:eastAsia="宋体" w:cs="Times New Roman"/>
          <w:b/>
          <w:bCs/>
          <w:color w:val="FF0000"/>
          <w:kern w:val="0"/>
          <w:sz w:val="21"/>
          <w:szCs w:val="21"/>
          <w:highlight w:val="none"/>
          <w:u w:val="single"/>
          <w:shd w:val="clear" w:fill="FFFFFF"/>
          <w:lang w:val="en-US" w:eastAsia="zh-CN" w:bidi="ar"/>
        </w:rPr>
        <w:t>投标人须提供工法证书（含工法获奖证书）等证明材料为准，时间以工法证书（含工法获奖证书）颁发时间为准。投标人所提供的工法科技成果须提交建设行政主管部门或行业协会(若颁发单位是行业协会，须同时提供该颁发单位在“中国社会组织政务服务平台”网站(https://chinanpo.mca.gov.cn/)登记的查询结果截图。)或其他工法主管部门颁发的工法证书（含工法获奖证书）扫描件,以上扫描件均需加着投标单位电子印章。同一工法获得多个奖项的，只按其中1个奖项所在最高级别计算一次分数，不得重复计算。</w:t>
      </w:r>
    </w:p>
    <w:p w14:paraId="75853404">
      <w:pPr>
        <w:widowControl/>
        <w:numPr>
          <w:ilvl w:val="0"/>
          <w:numId w:val="0"/>
        </w:numPr>
        <w:shd w:val="clear" w:color="auto" w:fill="FFFFFF"/>
        <w:rPr>
          <w:rFonts w:hint="default" w:ascii="Times New Roman" w:hAnsi="Times New Roman" w:cs="Times New Roman"/>
          <w:b/>
          <w:bCs w:val="0"/>
          <w:color w:val="auto"/>
          <w:spacing w:val="0"/>
          <w:szCs w:val="21"/>
          <w:highlight w:val="none"/>
        </w:rPr>
      </w:pPr>
      <w:r>
        <w:rPr>
          <w:rFonts w:hint="default" w:ascii="Times New Roman" w:hAnsi="Times New Roman" w:cs="Times New Roman"/>
          <w:b/>
          <w:bCs w:val="0"/>
          <w:color w:val="auto"/>
          <w:spacing w:val="0"/>
          <w:szCs w:val="21"/>
          <w:highlight w:val="none"/>
          <w:lang w:eastAsia="zh-CN"/>
        </w:rPr>
        <w:t>4</w:t>
      </w:r>
      <w:r>
        <w:rPr>
          <w:rFonts w:hint="default" w:ascii="Times New Roman" w:hAnsi="Times New Roman" w:cs="Times New Roman"/>
          <w:b/>
          <w:bCs w:val="0"/>
          <w:color w:val="auto"/>
          <w:spacing w:val="0"/>
          <w:szCs w:val="21"/>
          <w:highlight w:val="none"/>
        </w:rPr>
        <w:t>、第三方评价</w:t>
      </w:r>
    </w:p>
    <w:p w14:paraId="3FB7CFA7">
      <w:pPr>
        <w:pStyle w:val="7"/>
        <w:spacing w:before="75" w:after="0" w:line="262" w:lineRule="auto"/>
        <w:ind w:left="25" w:right="68" w:firstLine="436" w:firstLineChars="200"/>
        <w:jc w:val="left"/>
        <w:rPr>
          <w:rFonts w:hint="default" w:ascii="Times New Roman" w:hAnsi="Times New Roman" w:eastAsia="宋体" w:cs="Times New Roman"/>
          <w:color w:val="auto"/>
          <w:spacing w:val="9"/>
          <w:highlight w:val="none"/>
          <w:lang w:eastAsia="zh-CN"/>
        </w:rPr>
      </w:pPr>
      <w:r>
        <w:rPr>
          <w:rFonts w:hint="default" w:ascii="Times New Roman" w:hAnsi="Times New Roman" w:cs="Times New Roman"/>
          <w:color w:val="auto"/>
          <w:spacing w:val="9"/>
          <w:highlight w:val="none"/>
        </w:rPr>
        <w:t>（</w:t>
      </w:r>
      <w:r>
        <w:rPr>
          <w:rFonts w:hint="default" w:ascii="Times New Roman" w:hAnsi="Times New Roman" w:eastAsia="宋体" w:cs="Times New Roman"/>
          <w:color w:val="auto"/>
          <w:spacing w:val="9"/>
          <w:highlight w:val="none"/>
        </w:rPr>
        <w:t>1</w:t>
      </w:r>
      <w:r>
        <w:rPr>
          <w:rFonts w:hint="default" w:ascii="Times New Roman" w:hAnsi="Times New Roman" w:cs="Times New Roman"/>
          <w:color w:val="auto"/>
          <w:spacing w:val="9"/>
          <w:highlight w:val="none"/>
        </w:rPr>
        <w:t>）须由人民政府或建设行业协会或学会颁发，须提供证书扫描件以及网上查询结果截图（省级或以上的人民政府或建设行业协会或学会网站）</w:t>
      </w:r>
      <w:r>
        <w:rPr>
          <w:rFonts w:hint="default" w:ascii="Times New Roman" w:hAnsi="Times New Roman" w:cs="Times New Roman"/>
          <w:color w:val="auto"/>
          <w:spacing w:val="9"/>
          <w:highlight w:val="none"/>
          <w:lang w:eastAsia="zh-CN"/>
        </w:rPr>
        <w:t>。</w:t>
      </w:r>
    </w:p>
    <w:p w14:paraId="4C7E3A11">
      <w:pPr>
        <w:pStyle w:val="7"/>
        <w:spacing w:before="75" w:after="0" w:line="262" w:lineRule="auto"/>
        <w:ind w:left="25" w:right="68" w:firstLine="436" w:firstLineChars="200"/>
        <w:jc w:val="left"/>
        <w:rPr>
          <w:rFonts w:hint="default" w:ascii="Times New Roman" w:hAnsi="Times New Roman" w:cs="Times New Roman"/>
          <w:color w:val="auto"/>
          <w:spacing w:val="9"/>
          <w:highlight w:val="none"/>
        </w:rPr>
      </w:pPr>
      <w:r>
        <w:rPr>
          <w:rFonts w:hint="default" w:ascii="Times New Roman" w:hAnsi="Times New Roman" w:cs="Times New Roman"/>
          <w:color w:val="auto"/>
          <w:spacing w:val="9"/>
          <w:highlight w:val="none"/>
        </w:rPr>
        <w:t>（</w:t>
      </w:r>
      <w:r>
        <w:rPr>
          <w:rFonts w:hint="default" w:ascii="Times New Roman" w:hAnsi="Times New Roman" w:eastAsia="宋体" w:cs="Times New Roman"/>
          <w:color w:val="auto"/>
          <w:spacing w:val="9"/>
          <w:highlight w:val="none"/>
        </w:rPr>
        <w:t>2</w:t>
      </w:r>
      <w:r>
        <w:rPr>
          <w:rFonts w:hint="default" w:ascii="Times New Roman" w:hAnsi="Times New Roman" w:cs="Times New Roman"/>
          <w:color w:val="auto"/>
          <w:spacing w:val="9"/>
          <w:highlight w:val="none"/>
        </w:rPr>
        <w:t>）投标人需同时提供体系证书原件扫描件及在国家认证认可监督管理委员会（网址：http://www.cnca.gov.cn/）网站查询结果截图并加盖投标单位电子印章，只计算投标人自身（不含投标人的子、分公司或区域公司），已失效或撤销或无提供的不得分。不符合上述条件或未提供上述资料的不得分。</w:t>
      </w:r>
    </w:p>
    <w:p w14:paraId="5519BBD0">
      <w:pPr>
        <w:widowControl/>
        <w:numPr>
          <w:ilvl w:val="0"/>
          <w:numId w:val="0"/>
        </w:numPr>
        <w:shd w:val="clear" w:color="auto" w:fill="FFFFFF"/>
        <w:rPr>
          <w:rFonts w:hint="default" w:ascii="Times New Roman" w:hAnsi="Times New Roman" w:cs="Times New Roman"/>
          <w:b/>
          <w:bCs w:val="0"/>
          <w:color w:val="auto"/>
          <w:spacing w:val="0"/>
          <w:szCs w:val="21"/>
          <w:highlight w:val="none"/>
        </w:rPr>
      </w:pPr>
      <w:r>
        <w:rPr>
          <w:rFonts w:hint="default" w:ascii="Times New Roman" w:hAnsi="Times New Roman" w:cs="Times New Roman"/>
          <w:b/>
          <w:bCs w:val="0"/>
          <w:color w:val="auto"/>
          <w:spacing w:val="0"/>
          <w:szCs w:val="21"/>
          <w:highlight w:val="none"/>
          <w:lang w:val="en-US" w:eastAsia="zh-CN"/>
        </w:rPr>
        <w:t>5</w:t>
      </w:r>
      <w:r>
        <w:rPr>
          <w:rFonts w:hint="default" w:ascii="Times New Roman" w:hAnsi="Times New Roman" w:cs="Times New Roman"/>
          <w:b/>
          <w:bCs w:val="0"/>
          <w:color w:val="auto"/>
          <w:spacing w:val="0"/>
          <w:szCs w:val="21"/>
          <w:highlight w:val="none"/>
        </w:rPr>
        <w:t>、项目管理机构能力</w:t>
      </w:r>
    </w:p>
    <w:p w14:paraId="17F2DBD7">
      <w:pPr>
        <w:pStyle w:val="7"/>
        <w:spacing w:before="75" w:after="0" w:line="262" w:lineRule="auto"/>
        <w:ind w:left="25" w:right="68" w:firstLine="438" w:firstLineChars="200"/>
        <w:jc w:val="left"/>
        <w:rPr>
          <w:rFonts w:hint="default" w:ascii="Times New Roman" w:hAnsi="Times New Roman" w:cs="Times New Roman"/>
          <w:b/>
          <w:bCs/>
          <w:color w:val="FF0000"/>
          <w:spacing w:val="9"/>
          <w:highlight w:val="none"/>
          <w:u w:val="single"/>
        </w:rPr>
      </w:pPr>
      <w:r>
        <w:rPr>
          <w:rFonts w:hint="default" w:ascii="Times New Roman" w:hAnsi="Times New Roman" w:cs="Times New Roman"/>
          <w:b/>
          <w:bCs/>
          <w:color w:val="FF0000"/>
          <w:spacing w:val="9"/>
          <w:highlight w:val="none"/>
          <w:u w:val="single"/>
        </w:rPr>
        <w:t>（1）上述人员需</w:t>
      </w:r>
      <w:r>
        <w:rPr>
          <w:rFonts w:hint="default" w:ascii="Times New Roman" w:hAnsi="Times New Roman" w:cs="Times New Roman"/>
          <w:b/>
          <w:bCs/>
          <w:color w:val="FF0000"/>
          <w:spacing w:val="9"/>
          <w:highlight w:val="none"/>
          <w:u w:val="single"/>
          <w:lang w:val="en-US" w:eastAsia="zh-CN"/>
        </w:rPr>
        <w:t>按评审要求</w:t>
      </w:r>
      <w:r>
        <w:rPr>
          <w:rFonts w:hint="default" w:ascii="Times New Roman" w:hAnsi="Times New Roman" w:cs="Times New Roman"/>
          <w:b/>
          <w:bCs/>
          <w:color w:val="FF0000"/>
          <w:spacing w:val="9"/>
          <w:highlight w:val="none"/>
          <w:u w:val="single"/>
        </w:rPr>
        <w:t>提供相</w:t>
      </w:r>
      <w:r>
        <w:rPr>
          <w:rFonts w:hint="default" w:ascii="Times New Roman" w:hAnsi="Times New Roman" w:cs="Times New Roman"/>
          <w:b/>
          <w:bCs/>
          <w:color w:val="FF0000"/>
          <w:spacing w:val="9"/>
          <w:highlight w:val="none"/>
          <w:u w:val="single"/>
          <w:lang w:val="en-US" w:eastAsia="zh-CN"/>
        </w:rPr>
        <w:t>应</w:t>
      </w:r>
      <w:r>
        <w:rPr>
          <w:rFonts w:hint="default" w:ascii="Times New Roman" w:hAnsi="Times New Roman" w:cs="Times New Roman"/>
          <w:b/>
          <w:bCs/>
          <w:color w:val="FF0000"/>
          <w:spacing w:val="9"/>
          <w:highlight w:val="none"/>
          <w:u w:val="single"/>
        </w:rPr>
        <w:t>证明资料的扫描件并加盖投标人电子印章；各岗位人员不得相互兼职，上述材料不提供或提供不齐全的不得分。</w:t>
      </w:r>
    </w:p>
    <w:p w14:paraId="4BFD2348">
      <w:pPr>
        <w:pStyle w:val="7"/>
        <w:spacing w:before="75" w:after="0" w:line="262" w:lineRule="auto"/>
        <w:ind w:left="25" w:right="68" w:firstLine="436" w:firstLineChars="200"/>
        <w:jc w:val="left"/>
        <w:rPr>
          <w:rFonts w:hint="default" w:ascii="Times New Roman" w:hAnsi="Times New Roman" w:cs="Times New Roman"/>
          <w:color w:val="auto"/>
          <w:spacing w:val="9"/>
          <w:highlight w:val="none"/>
        </w:rPr>
      </w:pPr>
      <w:r>
        <w:rPr>
          <w:rFonts w:hint="default" w:ascii="Times New Roman" w:hAnsi="Times New Roman" w:cs="Times New Roman"/>
          <w:color w:val="auto"/>
          <w:spacing w:val="9"/>
          <w:highlight w:val="none"/>
        </w:rPr>
        <w:t>（2）上述人员除须提供相关证明资料外，还须提供近一个月（即2025年</w:t>
      </w:r>
      <w:r>
        <w:rPr>
          <w:rFonts w:hint="default" w:ascii="Times New Roman" w:hAnsi="Times New Roman" w:cs="Times New Roman"/>
          <w:color w:val="auto"/>
          <w:spacing w:val="9"/>
          <w:highlight w:val="none"/>
          <w:lang w:val="en-US" w:eastAsia="zh-CN"/>
        </w:rPr>
        <w:t>10</w:t>
      </w:r>
      <w:r>
        <w:rPr>
          <w:rFonts w:hint="default" w:ascii="Times New Roman" w:hAnsi="Times New Roman" w:cs="Times New Roman"/>
          <w:color w:val="auto"/>
          <w:spacing w:val="9"/>
          <w:highlight w:val="none"/>
        </w:rPr>
        <w:t>月）在投标人单位（或其非独立法人分支机构）参保的社保缴纳记录证明扫描件，未提供或提供资料不全的不得分。</w:t>
      </w:r>
    </w:p>
    <w:p w14:paraId="367EC0E2">
      <w:pPr>
        <w:pStyle w:val="7"/>
        <w:spacing w:before="75" w:after="0" w:line="262" w:lineRule="auto"/>
        <w:ind w:left="25" w:right="68" w:firstLine="436" w:firstLineChars="200"/>
        <w:jc w:val="left"/>
        <w:rPr>
          <w:rFonts w:hint="default" w:ascii="Times New Roman" w:hAnsi="Times New Roman" w:cs="Times New Roman"/>
          <w:color w:val="auto"/>
          <w:spacing w:val="9"/>
          <w:highlight w:val="none"/>
        </w:rPr>
      </w:pPr>
      <w:r>
        <w:rPr>
          <w:rFonts w:hint="default" w:ascii="Times New Roman" w:hAnsi="Times New Roman" w:cs="Times New Roman"/>
          <w:color w:val="auto"/>
          <w:spacing w:val="9"/>
          <w:highlight w:val="none"/>
        </w:rPr>
        <w:t>（3）“建筑工程类”技术职称是指包含建筑施工管理、建筑施工、建筑工程、土木工程、工程管理、建筑工程造价、建筑生产技术管理、建筑机械、安全工程等工程项目建设所涉及的相关专业的技术职称。</w:t>
      </w:r>
    </w:p>
    <w:p w14:paraId="5E12B368">
      <w:pPr>
        <w:pStyle w:val="7"/>
        <w:spacing w:before="75" w:after="0" w:line="262" w:lineRule="auto"/>
        <w:ind w:left="25" w:right="68" w:firstLine="438" w:firstLineChars="200"/>
        <w:jc w:val="left"/>
        <w:rPr>
          <w:rFonts w:hint="default" w:ascii="Times New Roman" w:hAnsi="Times New Roman" w:cs="Times New Roman"/>
          <w:b/>
          <w:bCs/>
          <w:color w:val="FF0000"/>
          <w:spacing w:val="7"/>
          <w:highlight w:val="none"/>
          <w:u w:val="single"/>
          <w:lang w:val="en-US" w:eastAsia="zh-CN"/>
        </w:rPr>
      </w:pPr>
      <w:r>
        <w:rPr>
          <w:rFonts w:hint="default" w:ascii="Times New Roman" w:hAnsi="Times New Roman" w:cs="Times New Roman"/>
          <w:b/>
          <w:bCs/>
          <w:color w:val="FF0000"/>
          <w:spacing w:val="9"/>
          <w:highlight w:val="none"/>
          <w:u w:val="single"/>
        </w:rPr>
        <w:t>（4）</w:t>
      </w:r>
      <w:r>
        <w:rPr>
          <w:rFonts w:hint="default" w:ascii="Times New Roman" w:hAnsi="Times New Roman" w:cs="Times New Roman"/>
          <w:b/>
          <w:bCs/>
          <w:color w:val="FF0000"/>
          <w:spacing w:val="9"/>
          <w:highlight w:val="none"/>
          <w:u w:val="single"/>
          <w:lang w:val="en-US" w:eastAsia="zh-CN"/>
        </w:rPr>
        <w:t>上述人员</w:t>
      </w:r>
      <w:r>
        <w:rPr>
          <w:rFonts w:hint="eastAsia" w:ascii="Times New Roman" w:hAnsi="Times New Roman" w:cs="Times New Roman"/>
          <w:b/>
          <w:bCs/>
          <w:color w:val="FF0000"/>
          <w:szCs w:val="21"/>
          <w:highlight w:val="none"/>
          <w:u w:val="single"/>
          <w:lang w:val="en-US" w:eastAsia="zh-CN" w:bidi="ar"/>
        </w:rPr>
        <w:t>工作</w:t>
      </w:r>
      <w:r>
        <w:rPr>
          <w:rFonts w:hint="default" w:ascii="Times New Roman" w:hAnsi="Times New Roman" w:eastAsia="宋体" w:cs="Times New Roman"/>
          <w:b/>
          <w:bCs/>
          <w:color w:val="FF0000"/>
          <w:szCs w:val="21"/>
          <w:highlight w:val="none"/>
          <w:u w:val="single"/>
          <w:lang w:bidi="ar"/>
        </w:rPr>
        <w:t>经历</w:t>
      </w:r>
      <w:r>
        <w:rPr>
          <w:rFonts w:hint="default" w:ascii="Times New Roman" w:hAnsi="Times New Roman" w:cs="Times New Roman"/>
          <w:b/>
          <w:bCs/>
          <w:color w:val="FF0000"/>
          <w:spacing w:val="7"/>
          <w:highlight w:val="none"/>
          <w:u w:val="single"/>
          <w:lang w:val="en-US" w:eastAsia="zh-CN"/>
        </w:rPr>
        <w:t>以大专或以上毕业证书颁发时间至投标截止时间计算。</w:t>
      </w:r>
    </w:p>
    <w:p w14:paraId="6AEF4E07">
      <w:pPr>
        <w:widowControl/>
        <w:numPr>
          <w:ilvl w:val="0"/>
          <w:numId w:val="0"/>
        </w:numPr>
        <w:shd w:val="clear" w:color="auto" w:fill="FFFFFF"/>
        <w:rPr>
          <w:rFonts w:hint="default" w:ascii="Times New Roman" w:hAnsi="Times New Roman" w:cs="Times New Roman"/>
          <w:b/>
          <w:color w:val="auto"/>
          <w:szCs w:val="21"/>
          <w:highlight w:val="none"/>
        </w:rPr>
      </w:pPr>
      <w:r>
        <w:rPr>
          <w:rFonts w:hint="default" w:ascii="Times New Roman" w:hAnsi="Times New Roman" w:cs="Times New Roman"/>
          <w:b/>
          <w:bCs w:val="0"/>
          <w:color w:val="auto"/>
          <w:spacing w:val="0"/>
          <w:szCs w:val="21"/>
          <w:highlight w:val="none"/>
          <w:lang w:val="en-US" w:eastAsia="zh-CN"/>
        </w:rPr>
        <w:t>6</w:t>
      </w:r>
      <w:r>
        <w:rPr>
          <w:rFonts w:hint="default" w:ascii="Times New Roman" w:hAnsi="Times New Roman" w:cs="Times New Roman"/>
          <w:b/>
          <w:bCs w:val="0"/>
          <w:color w:val="auto"/>
          <w:spacing w:val="0"/>
          <w:szCs w:val="21"/>
          <w:highlight w:val="none"/>
        </w:rPr>
        <w:t>.项目管理团队答辩：</w:t>
      </w:r>
    </w:p>
    <w:p w14:paraId="5CA0E21D">
      <w:pPr>
        <w:pStyle w:val="7"/>
        <w:spacing w:before="75" w:after="0" w:line="262" w:lineRule="auto"/>
        <w:ind w:left="25" w:right="68" w:firstLine="436" w:firstLineChars="200"/>
        <w:jc w:val="left"/>
        <w:rPr>
          <w:rFonts w:hint="default" w:ascii="Times New Roman" w:hAnsi="Times New Roman" w:cs="Times New Roman"/>
          <w:color w:val="auto"/>
          <w:spacing w:val="9"/>
          <w:highlight w:val="none"/>
        </w:rPr>
      </w:pPr>
      <w:r>
        <w:rPr>
          <w:rFonts w:hint="default" w:ascii="Times New Roman" w:hAnsi="Times New Roman" w:cs="Times New Roman"/>
          <w:color w:val="auto"/>
          <w:spacing w:val="9"/>
          <w:highlight w:val="none"/>
        </w:rPr>
        <w:t>由投标人拟投入的项目负责人或技术负责人讲解投标方案、</w:t>
      </w:r>
      <w:r>
        <w:rPr>
          <w:rFonts w:hint="default" w:ascii="Times New Roman" w:hAnsi="Times New Roman" w:cs="Times New Roman"/>
          <w:color w:val="auto"/>
          <w:spacing w:val="9"/>
          <w:highlight w:val="none"/>
          <w:lang w:val="en-US" w:eastAsia="zh-CN"/>
        </w:rPr>
        <w:t>答辩</w:t>
      </w:r>
      <w:r>
        <w:rPr>
          <w:rFonts w:hint="default" w:ascii="Times New Roman" w:hAnsi="Times New Roman" w:cs="Times New Roman"/>
          <w:color w:val="auto"/>
          <w:spacing w:val="9"/>
          <w:highlight w:val="none"/>
        </w:rPr>
        <w:t>，评标委员根</w:t>
      </w:r>
      <w:r>
        <w:rPr>
          <w:rFonts w:hint="default" w:ascii="Times New Roman" w:hAnsi="Times New Roman" w:cs="Times New Roman"/>
          <w:color w:val="auto"/>
          <w:spacing w:val="9"/>
          <w:highlight w:val="none"/>
          <w:lang w:val="en-US" w:eastAsia="zh-CN"/>
        </w:rPr>
        <w:t>据</w:t>
      </w:r>
      <w:r>
        <w:rPr>
          <w:rFonts w:hint="default" w:ascii="Times New Roman" w:hAnsi="Times New Roman" w:cs="Times New Roman"/>
          <w:color w:val="auto"/>
          <w:spacing w:val="7"/>
          <w:highlight w:val="none"/>
        </w:rPr>
        <w:t>其陈述内容及方案</w:t>
      </w:r>
      <w:r>
        <w:rPr>
          <w:rFonts w:hint="default" w:ascii="Times New Roman" w:hAnsi="Times New Roman" w:cs="Times New Roman"/>
          <w:color w:val="auto"/>
          <w:spacing w:val="7"/>
          <w:highlight w:val="none"/>
          <w:lang w:val="en-US" w:eastAsia="zh-CN"/>
        </w:rPr>
        <w:t>进行提问，并结合</w:t>
      </w:r>
      <w:r>
        <w:rPr>
          <w:rFonts w:hint="default" w:ascii="Times New Roman" w:hAnsi="Times New Roman" w:cs="Times New Roman"/>
          <w:color w:val="auto"/>
          <w:spacing w:val="9"/>
          <w:highlight w:val="none"/>
        </w:rPr>
        <w:t>答辩情况进行评审。讲解投标方案</w:t>
      </w:r>
      <w:r>
        <w:rPr>
          <w:rFonts w:hint="default" w:ascii="Times New Roman" w:hAnsi="Times New Roman" w:cs="Times New Roman"/>
          <w:color w:val="auto"/>
          <w:spacing w:val="9"/>
          <w:highlight w:val="none"/>
          <w:lang w:eastAsia="zh-CN"/>
        </w:rPr>
        <w:t>、</w:t>
      </w:r>
      <w:r>
        <w:rPr>
          <w:rFonts w:hint="default" w:ascii="Times New Roman" w:hAnsi="Times New Roman" w:cs="Times New Roman"/>
          <w:color w:val="auto"/>
          <w:spacing w:val="9"/>
          <w:highlight w:val="none"/>
          <w:lang w:val="en-US" w:eastAsia="zh-CN"/>
        </w:rPr>
        <w:t>答辩</w:t>
      </w:r>
      <w:r>
        <w:rPr>
          <w:rFonts w:hint="default" w:ascii="Times New Roman" w:hAnsi="Times New Roman" w:cs="Times New Roman"/>
          <w:color w:val="auto"/>
          <w:spacing w:val="9"/>
          <w:highlight w:val="none"/>
        </w:rPr>
        <w:t>注意事项如下：</w:t>
      </w:r>
    </w:p>
    <w:p w14:paraId="371FC780">
      <w:pPr>
        <w:pStyle w:val="7"/>
        <w:spacing w:before="75" w:after="0" w:line="262" w:lineRule="auto"/>
        <w:ind w:left="25" w:right="68" w:firstLine="436" w:firstLineChars="200"/>
        <w:jc w:val="left"/>
        <w:rPr>
          <w:rFonts w:hint="default" w:ascii="Times New Roman" w:hAnsi="Times New Roman" w:cs="Times New Roman"/>
          <w:color w:val="auto"/>
          <w:spacing w:val="9"/>
          <w:highlight w:val="none"/>
        </w:rPr>
      </w:pPr>
      <w:r>
        <w:rPr>
          <w:rFonts w:hint="default" w:ascii="Times New Roman" w:hAnsi="Times New Roman" w:cs="Times New Roman"/>
          <w:color w:val="auto"/>
          <w:spacing w:val="9"/>
          <w:highlight w:val="none"/>
        </w:rPr>
        <w:t>（1）讲解投标方案</w:t>
      </w:r>
      <w:r>
        <w:rPr>
          <w:rFonts w:hint="default" w:ascii="Times New Roman" w:hAnsi="Times New Roman" w:cs="Times New Roman"/>
          <w:color w:val="auto"/>
          <w:spacing w:val="9"/>
          <w:highlight w:val="none"/>
          <w:lang w:eastAsia="zh-CN"/>
        </w:rPr>
        <w:t>、</w:t>
      </w:r>
      <w:r>
        <w:rPr>
          <w:rFonts w:hint="default" w:ascii="Times New Roman" w:hAnsi="Times New Roman" w:cs="Times New Roman"/>
          <w:color w:val="auto"/>
          <w:spacing w:val="9"/>
          <w:highlight w:val="none"/>
          <w:lang w:val="en-US" w:eastAsia="zh-CN"/>
        </w:rPr>
        <w:t>答辩</w:t>
      </w:r>
      <w:r>
        <w:rPr>
          <w:rFonts w:hint="default" w:ascii="Times New Roman" w:hAnsi="Times New Roman" w:cs="Times New Roman"/>
          <w:color w:val="auto"/>
          <w:spacing w:val="9"/>
          <w:highlight w:val="none"/>
        </w:rPr>
        <w:t>的人员组成：由项目负责人或技术负责人其中的1人或2人组成（参与人员均须是本单位的在职人员）。</w:t>
      </w:r>
    </w:p>
    <w:p w14:paraId="7D799ED3">
      <w:pPr>
        <w:pStyle w:val="7"/>
        <w:spacing w:before="75" w:after="0" w:line="262" w:lineRule="auto"/>
        <w:ind w:left="25" w:right="68" w:firstLine="436" w:firstLineChars="200"/>
        <w:jc w:val="left"/>
        <w:rPr>
          <w:rFonts w:hint="default" w:ascii="Times New Roman" w:hAnsi="Times New Roman" w:cs="Times New Roman"/>
          <w:color w:val="auto"/>
          <w:spacing w:val="9"/>
          <w:highlight w:val="none"/>
        </w:rPr>
      </w:pPr>
      <w:r>
        <w:rPr>
          <w:rFonts w:hint="default" w:ascii="Times New Roman" w:hAnsi="Times New Roman" w:cs="Times New Roman"/>
          <w:color w:val="auto"/>
          <w:spacing w:val="9"/>
          <w:highlight w:val="none"/>
        </w:rPr>
        <w:t>（2）讲解投标方案</w:t>
      </w:r>
      <w:r>
        <w:rPr>
          <w:rFonts w:hint="default" w:ascii="Times New Roman" w:hAnsi="Times New Roman" w:cs="Times New Roman"/>
          <w:color w:val="auto"/>
          <w:spacing w:val="9"/>
          <w:highlight w:val="none"/>
          <w:lang w:eastAsia="zh-CN"/>
        </w:rPr>
        <w:t>、</w:t>
      </w:r>
      <w:r>
        <w:rPr>
          <w:rFonts w:hint="default" w:ascii="Times New Roman" w:hAnsi="Times New Roman" w:cs="Times New Roman"/>
          <w:color w:val="auto"/>
          <w:spacing w:val="9"/>
          <w:highlight w:val="none"/>
          <w:lang w:val="en-US" w:eastAsia="zh-CN"/>
        </w:rPr>
        <w:t>答辩</w:t>
      </w:r>
      <w:r>
        <w:rPr>
          <w:rFonts w:hint="default" w:ascii="Times New Roman" w:hAnsi="Times New Roman" w:cs="Times New Roman"/>
          <w:color w:val="auto"/>
          <w:spacing w:val="9"/>
          <w:highlight w:val="none"/>
        </w:rPr>
        <w:t>的顺序：答辩顺序（即投标人对应的数字代号）由招标代理或招标人代表或监督小组或交易中心见证人员组织通过随机抽取方式抽取产生。</w:t>
      </w:r>
    </w:p>
    <w:p w14:paraId="70670D3C">
      <w:pPr>
        <w:pStyle w:val="7"/>
        <w:spacing w:before="75" w:after="0" w:line="262" w:lineRule="auto"/>
        <w:ind w:left="25" w:right="68" w:firstLine="436" w:firstLineChars="200"/>
        <w:jc w:val="left"/>
        <w:rPr>
          <w:rFonts w:hint="default" w:ascii="Times New Roman" w:hAnsi="Times New Roman" w:cs="Times New Roman"/>
          <w:color w:val="auto"/>
          <w:spacing w:val="9"/>
          <w:highlight w:val="none"/>
        </w:rPr>
      </w:pPr>
      <w:r>
        <w:rPr>
          <w:rFonts w:hint="default" w:ascii="Times New Roman" w:hAnsi="Times New Roman" w:cs="Times New Roman"/>
          <w:color w:val="auto"/>
          <w:spacing w:val="9"/>
          <w:highlight w:val="none"/>
        </w:rPr>
        <w:t>（3）讲解</w:t>
      </w:r>
      <w:r>
        <w:rPr>
          <w:rFonts w:hint="default" w:ascii="Times New Roman" w:hAnsi="Times New Roman" w:cs="Times New Roman"/>
          <w:color w:val="auto"/>
          <w:spacing w:val="9"/>
          <w:highlight w:val="none"/>
          <w:lang w:val="en-US" w:eastAsia="zh-CN"/>
        </w:rPr>
        <w:t>投标</w:t>
      </w:r>
      <w:r>
        <w:rPr>
          <w:rFonts w:hint="default" w:ascii="Times New Roman" w:hAnsi="Times New Roman" w:cs="Times New Roman"/>
          <w:color w:val="auto"/>
          <w:spacing w:val="9"/>
          <w:highlight w:val="none"/>
        </w:rPr>
        <w:t>方案</w:t>
      </w:r>
      <w:r>
        <w:rPr>
          <w:rFonts w:hint="default" w:ascii="Times New Roman" w:hAnsi="Times New Roman" w:cs="Times New Roman"/>
          <w:color w:val="auto"/>
          <w:spacing w:val="9"/>
          <w:highlight w:val="none"/>
          <w:lang w:eastAsia="zh-CN"/>
        </w:rPr>
        <w:t>、</w:t>
      </w:r>
      <w:r>
        <w:rPr>
          <w:rFonts w:hint="default" w:ascii="Times New Roman" w:hAnsi="Times New Roman" w:cs="Times New Roman"/>
          <w:color w:val="auto"/>
          <w:spacing w:val="9"/>
          <w:highlight w:val="none"/>
          <w:lang w:val="en-US" w:eastAsia="zh-CN"/>
        </w:rPr>
        <w:t>答辩</w:t>
      </w:r>
      <w:r>
        <w:rPr>
          <w:rFonts w:hint="default" w:ascii="Times New Roman" w:hAnsi="Times New Roman" w:cs="Times New Roman"/>
          <w:color w:val="auto"/>
          <w:spacing w:val="9"/>
          <w:highlight w:val="none"/>
        </w:rPr>
        <w:t>人员的要求：投标人办理答辩签到手续时，应向招标人（招标代理）提供一份加盖</w:t>
      </w:r>
      <w:r>
        <w:rPr>
          <w:rFonts w:hint="default" w:ascii="Times New Roman" w:hAnsi="Times New Roman" w:cs="Times New Roman"/>
          <w:b/>
          <w:bCs/>
          <w:color w:val="FF0000"/>
          <w:spacing w:val="9"/>
          <w:highlight w:val="none"/>
          <w:u w:val="single"/>
        </w:rPr>
        <w:t>投标人电子印章</w:t>
      </w:r>
      <w:r>
        <w:rPr>
          <w:rFonts w:hint="default" w:ascii="Times New Roman" w:hAnsi="Times New Roman" w:cs="Times New Roman"/>
          <w:color w:val="auto"/>
          <w:spacing w:val="9"/>
          <w:highlight w:val="none"/>
        </w:rPr>
        <w:t>的法定代表人证明书及授权委托书，并提供讲解人员在本单位2025年</w:t>
      </w:r>
      <w:r>
        <w:rPr>
          <w:rFonts w:hint="default" w:ascii="Times New Roman" w:hAnsi="Times New Roman" w:cs="Times New Roman"/>
          <w:color w:val="auto"/>
          <w:spacing w:val="9"/>
          <w:highlight w:val="none"/>
          <w:lang w:val="en-US" w:eastAsia="zh-CN"/>
        </w:rPr>
        <w:t>10</w:t>
      </w:r>
      <w:r>
        <w:rPr>
          <w:rFonts w:hint="default" w:ascii="Times New Roman" w:hAnsi="Times New Roman" w:cs="Times New Roman"/>
          <w:color w:val="auto"/>
          <w:spacing w:val="9"/>
          <w:highlight w:val="none"/>
        </w:rPr>
        <w:t>月的有效社保证明复印件并加盖</w:t>
      </w:r>
      <w:r>
        <w:rPr>
          <w:rFonts w:hint="default" w:ascii="Times New Roman" w:hAnsi="Times New Roman" w:cs="Times New Roman"/>
          <w:b/>
          <w:bCs/>
          <w:color w:val="FF0000"/>
          <w:spacing w:val="9"/>
          <w:highlight w:val="none"/>
          <w:u w:val="single"/>
        </w:rPr>
        <w:t>投标人电子印章</w:t>
      </w:r>
      <w:r>
        <w:rPr>
          <w:rFonts w:hint="default" w:ascii="Times New Roman" w:hAnsi="Times New Roman" w:cs="Times New Roman"/>
          <w:color w:val="auto"/>
          <w:spacing w:val="9"/>
          <w:highlight w:val="none"/>
        </w:rPr>
        <w:t>、身份证原件或电子身份证，招标人（招标代理）核对确认身份后办理签到手续。未能出示前述证明文件的单位不予参加答辩签到和讲解</w:t>
      </w:r>
      <w:r>
        <w:rPr>
          <w:rFonts w:hint="default" w:ascii="Times New Roman" w:hAnsi="Times New Roman" w:cs="Times New Roman"/>
          <w:color w:val="auto"/>
          <w:spacing w:val="9"/>
          <w:highlight w:val="none"/>
          <w:lang w:val="en-US" w:eastAsia="zh-CN"/>
        </w:rPr>
        <w:t>、解答疑问等</w:t>
      </w:r>
      <w:r>
        <w:rPr>
          <w:rFonts w:hint="default" w:ascii="Times New Roman" w:hAnsi="Times New Roman" w:cs="Times New Roman"/>
          <w:color w:val="auto"/>
          <w:spacing w:val="9"/>
          <w:highlight w:val="none"/>
        </w:rPr>
        <w:t>环节。</w:t>
      </w:r>
    </w:p>
    <w:p w14:paraId="63E37FE2">
      <w:pPr>
        <w:pStyle w:val="7"/>
        <w:spacing w:before="75" w:after="0" w:line="262" w:lineRule="auto"/>
        <w:ind w:left="25" w:right="68" w:firstLine="436" w:firstLineChars="200"/>
        <w:jc w:val="left"/>
        <w:rPr>
          <w:rFonts w:hint="default" w:ascii="Times New Roman" w:hAnsi="Times New Roman" w:cs="Times New Roman"/>
          <w:color w:val="auto"/>
          <w:spacing w:val="9"/>
          <w:highlight w:val="none"/>
        </w:rPr>
      </w:pPr>
      <w:r>
        <w:rPr>
          <w:rFonts w:hint="default" w:ascii="Times New Roman" w:hAnsi="Times New Roman" w:cs="Times New Roman"/>
          <w:color w:val="auto"/>
          <w:spacing w:val="9"/>
          <w:highlight w:val="none"/>
        </w:rPr>
        <w:t>（4）讲解</w:t>
      </w:r>
      <w:r>
        <w:rPr>
          <w:rFonts w:hint="default" w:ascii="Times New Roman" w:hAnsi="Times New Roman" w:cs="Times New Roman"/>
          <w:color w:val="auto"/>
          <w:spacing w:val="9"/>
          <w:highlight w:val="none"/>
          <w:lang w:eastAsia="zh-CN"/>
        </w:rPr>
        <w:t>、</w:t>
      </w:r>
      <w:r>
        <w:rPr>
          <w:rFonts w:hint="default" w:ascii="Times New Roman" w:hAnsi="Times New Roman" w:cs="Times New Roman"/>
          <w:color w:val="auto"/>
          <w:spacing w:val="9"/>
          <w:highlight w:val="none"/>
          <w:lang w:val="en-US" w:eastAsia="zh-CN"/>
        </w:rPr>
        <w:t>答辩</w:t>
      </w:r>
      <w:r>
        <w:rPr>
          <w:rFonts w:hint="default" w:ascii="Times New Roman" w:hAnsi="Times New Roman" w:cs="Times New Roman"/>
          <w:color w:val="auto"/>
          <w:spacing w:val="9"/>
          <w:highlight w:val="none"/>
        </w:rPr>
        <w:t>形式与要求：讲解环节在评标时进行，具体时间根据评标委员会评审进度而定；招标人（招标代理）在投标方案讲解开始前通知投标人到达讲解地点（讲解人员应预留出足够的时间，并保持通信畅通），讲解人员先陈述，评委针对其陈述内容及方案提问，由讲解人员进行解答。</w:t>
      </w:r>
    </w:p>
    <w:p w14:paraId="01B8E316">
      <w:pPr>
        <w:pStyle w:val="7"/>
        <w:spacing w:before="75" w:after="0" w:line="262" w:lineRule="auto"/>
        <w:ind w:left="25" w:right="68" w:firstLine="436" w:firstLineChars="200"/>
        <w:jc w:val="left"/>
        <w:rPr>
          <w:rFonts w:hint="default" w:ascii="Times New Roman" w:hAnsi="Times New Roman" w:cs="Times New Roman"/>
          <w:color w:val="auto"/>
          <w:spacing w:val="9"/>
          <w:highlight w:val="none"/>
        </w:rPr>
      </w:pPr>
      <w:r>
        <w:rPr>
          <w:rFonts w:hint="default" w:ascii="Times New Roman" w:hAnsi="Times New Roman" w:cs="Times New Roman"/>
          <w:color w:val="auto"/>
          <w:spacing w:val="9"/>
          <w:highlight w:val="none"/>
        </w:rPr>
        <w:t>（5）讲解</w:t>
      </w:r>
      <w:r>
        <w:rPr>
          <w:rFonts w:hint="default" w:ascii="Times New Roman" w:hAnsi="Times New Roman" w:cs="Times New Roman"/>
          <w:color w:val="auto"/>
          <w:spacing w:val="9"/>
          <w:highlight w:val="none"/>
          <w:lang w:eastAsia="zh-CN"/>
        </w:rPr>
        <w:t>、</w:t>
      </w:r>
      <w:r>
        <w:rPr>
          <w:rFonts w:hint="default" w:ascii="Times New Roman" w:hAnsi="Times New Roman" w:cs="Times New Roman"/>
          <w:color w:val="auto"/>
          <w:spacing w:val="9"/>
          <w:highlight w:val="none"/>
          <w:lang w:val="en-US" w:eastAsia="zh-CN"/>
        </w:rPr>
        <w:t>答辩</w:t>
      </w:r>
      <w:r>
        <w:rPr>
          <w:rFonts w:hint="default" w:ascii="Times New Roman" w:hAnsi="Times New Roman" w:cs="Times New Roman"/>
          <w:color w:val="auto"/>
          <w:spacing w:val="9"/>
          <w:highlight w:val="none"/>
        </w:rPr>
        <w:t>时长控制：每家投标人答辩总时长控制在10分钟内，其中管理团队陈述不超过6分钟。</w:t>
      </w:r>
    </w:p>
    <w:p w14:paraId="12A0829A">
      <w:pPr>
        <w:pStyle w:val="7"/>
        <w:spacing w:before="75" w:after="0" w:line="262" w:lineRule="auto"/>
        <w:ind w:left="25" w:right="68" w:firstLine="436" w:firstLineChars="200"/>
        <w:jc w:val="left"/>
        <w:rPr>
          <w:rFonts w:hint="default" w:ascii="Times New Roman" w:hAnsi="Times New Roman" w:cs="Times New Roman"/>
          <w:color w:val="auto"/>
          <w:spacing w:val="9"/>
          <w:highlight w:val="none"/>
        </w:rPr>
      </w:pPr>
      <w:r>
        <w:rPr>
          <w:rFonts w:hint="default" w:ascii="Times New Roman" w:hAnsi="Times New Roman" w:cs="Times New Roman"/>
          <w:color w:val="auto"/>
          <w:spacing w:val="9"/>
          <w:highlight w:val="none"/>
        </w:rPr>
        <w:t>（6）本项目答辩时允许携带稿件和纸笔，但不得携带具有通讯、存储、编程、查询等功能的电子产品（包括但不限于电脑、手机、智能手表、智能手环、智能眼镜等），如发现携带上述电子产品的，答辩不得分。</w:t>
      </w:r>
    </w:p>
    <w:p w14:paraId="7560B702">
      <w:pPr>
        <w:widowControl/>
        <w:numPr>
          <w:ilvl w:val="0"/>
          <w:numId w:val="0"/>
        </w:numPr>
        <w:shd w:val="clear" w:color="auto" w:fill="FFFFFF"/>
        <w:ind w:leftChars="0"/>
        <w:rPr>
          <w:rFonts w:hint="default" w:ascii="Times New Roman" w:hAnsi="Times New Roman" w:cs="Times New Roman"/>
          <w:bCs/>
          <w:color w:val="auto"/>
          <w:szCs w:val="21"/>
          <w:highlight w:val="none"/>
          <w:lang w:val="en-US" w:eastAsia="zh-CN"/>
        </w:rPr>
      </w:pPr>
      <w:r>
        <w:rPr>
          <w:rFonts w:hint="default" w:ascii="Times New Roman" w:hAnsi="Times New Roman" w:cs="Times New Roman"/>
          <w:b/>
          <w:bCs w:val="0"/>
          <w:color w:val="auto"/>
          <w:szCs w:val="21"/>
          <w:highlight w:val="none"/>
          <w:lang w:val="en-US" w:eastAsia="zh-CN"/>
        </w:rPr>
        <w:t>7、本表按百分制评分，所有评委的总分汇总后的算术平均值为投标人的最终得分</w:t>
      </w:r>
      <w:r>
        <w:rPr>
          <w:rFonts w:hint="default" w:ascii="Times New Roman" w:hAnsi="Times New Roman" w:cs="Times New Roman"/>
          <w:bCs/>
          <w:color w:val="auto"/>
          <w:szCs w:val="21"/>
          <w:highlight w:val="none"/>
          <w:lang w:val="en-US" w:eastAsia="zh-CN"/>
        </w:rPr>
        <w:t>。分数出现小数点，保留小数点后二位小数，第三位小数四舍五入。投标人满足多个档次的，按最高档得分。</w:t>
      </w:r>
    </w:p>
    <w:p w14:paraId="31DF95C6">
      <w:pPr>
        <w:rPr>
          <w:rFonts w:hint="default" w:ascii="Times New Roman" w:hAnsi="Times New Roman" w:cs="Times New Roman"/>
          <w:color w:val="auto"/>
          <w:highlight w:val="none"/>
        </w:rPr>
      </w:pPr>
    </w:p>
    <w:p w14:paraId="013B3F0B">
      <w:pPr>
        <w:pStyle w:val="19"/>
        <w:ind w:firstLine="0"/>
        <w:jc w:val="left"/>
        <w:rPr>
          <w:rFonts w:hint="default" w:ascii="Times New Roman" w:hAnsi="Times New Roman" w:cs="Times New Roman"/>
          <w:color w:val="auto"/>
          <w:szCs w:val="21"/>
          <w:highlight w:val="none"/>
        </w:rPr>
      </w:pPr>
    </w:p>
    <w:p w14:paraId="3CE12653">
      <w:pPr>
        <w:pStyle w:val="19"/>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评委签名：</w:t>
      </w:r>
      <w:r>
        <w:rPr>
          <w:rFonts w:hint="eastAsia" w:cs="Times New Roman"/>
          <w:color w:val="auto"/>
          <w:szCs w:val="21"/>
          <w:highlight w:val="none"/>
          <w:lang w:val="en-US" w:eastAsia="zh-CN"/>
        </w:rPr>
        <w:t xml:space="preserve">                      </w:t>
      </w:r>
      <w:r>
        <w:rPr>
          <w:rFonts w:hint="default" w:ascii="Times New Roman" w:hAnsi="Times New Roman" w:cs="Times New Roman"/>
          <w:color w:val="auto"/>
          <w:szCs w:val="21"/>
          <w:highlight w:val="none"/>
        </w:rPr>
        <w:t>日期：</w:t>
      </w:r>
    </w:p>
    <w:p w14:paraId="470ED7CD">
      <w:pPr>
        <w:pStyle w:val="19"/>
        <w:jc w:val="left"/>
        <w:rPr>
          <w:rFonts w:hint="default" w:ascii="Times New Roman" w:hAnsi="Times New Roman" w:cs="Times New Roman"/>
          <w:color w:val="auto"/>
          <w:szCs w:val="21"/>
          <w:highlight w:val="none"/>
        </w:rPr>
      </w:pPr>
    </w:p>
    <w:p w14:paraId="27902542">
      <w:pPr>
        <w:pStyle w:val="19"/>
        <w:jc w:val="left"/>
        <w:rPr>
          <w:rFonts w:hint="default" w:ascii="Times New Roman" w:hAnsi="Times New Roman" w:cs="Times New Roman"/>
          <w:color w:val="auto"/>
          <w:szCs w:val="21"/>
          <w:highlight w:val="none"/>
        </w:rPr>
        <w:sectPr>
          <w:headerReference r:id="rId12" w:type="first"/>
          <w:footerReference r:id="rId14" w:type="first"/>
          <w:headerReference r:id="rId11" w:type="default"/>
          <w:footerReference r:id="rId13" w:type="default"/>
          <w:pgSz w:w="16838" w:h="11906" w:orient="landscape"/>
          <w:pgMar w:top="1803" w:right="1440" w:bottom="1803" w:left="1440" w:header="720" w:footer="720" w:gutter="0"/>
          <w:pgNumType w:fmt="decimal"/>
          <w:cols w:space="720" w:num="1"/>
        </w:sectPr>
      </w:pPr>
    </w:p>
    <w:p w14:paraId="1BE7C7D9">
      <w:pPr>
        <w:snapToGrid w:val="0"/>
        <w:spacing w:line="320" w:lineRule="exact"/>
        <w:ind w:firstLine="420" w:firstLineChars="200"/>
        <w:rPr>
          <w:color w:val="auto"/>
          <w:highlight w:val="none"/>
        </w:rPr>
      </w:pPr>
      <w:r>
        <w:rPr>
          <w:rFonts w:hint="eastAsia"/>
          <w:color w:val="auto"/>
          <w:highlight w:val="none"/>
        </w:rPr>
        <w:t>附表附件：</w:t>
      </w:r>
    </w:p>
    <w:p w14:paraId="230DCF84">
      <w:pPr>
        <w:jc w:val="center"/>
        <w:rPr>
          <w:b/>
          <w:color w:val="auto"/>
          <w:sz w:val="24"/>
          <w:szCs w:val="24"/>
          <w:highlight w:val="none"/>
        </w:rPr>
      </w:pPr>
      <w:r>
        <w:rPr>
          <w:rFonts w:hint="eastAsia"/>
          <w:b/>
          <w:color w:val="auto"/>
          <w:sz w:val="24"/>
          <w:szCs w:val="24"/>
          <w:highlight w:val="none"/>
        </w:rPr>
        <w:t>《项目管理机构人员要求汇总表》</w:t>
      </w:r>
    </w:p>
    <w:tbl>
      <w:tblPr>
        <w:tblStyle w:val="21"/>
        <w:tblW w:w="14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011"/>
        <w:gridCol w:w="6168"/>
        <w:gridCol w:w="5750"/>
      </w:tblGrid>
      <w:tr w14:paraId="03A3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14:paraId="10505F5F">
            <w:pPr>
              <w:keepNext w:val="0"/>
              <w:keepLines w:val="0"/>
              <w:widowControl/>
              <w:suppressLineNumbers w:val="0"/>
              <w:spacing w:before="0" w:beforeAutospacing="0" w:after="0" w:afterAutospacing="0" w:line="256" w:lineRule="exact"/>
              <w:ind w:left="408" w:leftChars="35" w:right="0" w:hanging="335" w:hangingChars="159"/>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项目管理团队</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6DD753CF">
            <w:pPr>
              <w:keepNext w:val="0"/>
              <w:keepLines w:val="0"/>
              <w:widowControl/>
              <w:suppressLineNumbers w:val="0"/>
              <w:spacing w:before="0" w:beforeAutospacing="0" w:after="0" w:afterAutospacing="0" w:line="256" w:lineRule="exact"/>
              <w:ind w:left="424" w:leftChars="-5" w:right="0" w:hanging="434" w:hangingChars="206"/>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数量</w:t>
            </w:r>
          </w:p>
          <w:p w14:paraId="419A04DB">
            <w:pPr>
              <w:keepNext w:val="0"/>
              <w:keepLines w:val="0"/>
              <w:widowControl/>
              <w:suppressLineNumbers w:val="0"/>
              <w:spacing w:before="0" w:beforeAutospacing="0" w:after="0" w:afterAutospacing="0" w:line="256" w:lineRule="exact"/>
              <w:ind w:left="424" w:leftChars="-5" w:right="0" w:hanging="434" w:hangingChars="206"/>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（人）</w:t>
            </w:r>
          </w:p>
        </w:tc>
        <w:tc>
          <w:tcPr>
            <w:tcW w:w="6168" w:type="dxa"/>
            <w:tcBorders>
              <w:top w:val="single" w:color="auto" w:sz="4" w:space="0"/>
              <w:left w:val="single" w:color="auto" w:sz="4" w:space="0"/>
              <w:bottom w:val="single" w:color="auto" w:sz="4" w:space="0"/>
              <w:right w:val="single" w:color="auto" w:sz="4" w:space="0"/>
            </w:tcBorders>
            <w:noWrap w:val="0"/>
            <w:vAlign w:val="center"/>
          </w:tcPr>
          <w:p w14:paraId="346AEC4B">
            <w:pPr>
              <w:keepNext w:val="0"/>
              <w:keepLines w:val="0"/>
              <w:widowControl/>
              <w:suppressLineNumbers w:val="0"/>
              <w:spacing w:before="0" w:beforeAutospacing="0" w:after="0" w:afterAutospacing="0" w:line="256" w:lineRule="exact"/>
              <w:ind w:left="408" w:leftChars="35" w:right="0" w:hanging="335" w:hangingChars="159"/>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基本的要求</w:t>
            </w:r>
          </w:p>
        </w:tc>
        <w:tc>
          <w:tcPr>
            <w:tcW w:w="5750" w:type="dxa"/>
            <w:tcBorders>
              <w:top w:val="single" w:color="auto" w:sz="4" w:space="0"/>
              <w:left w:val="single" w:color="auto" w:sz="4" w:space="0"/>
              <w:bottom w:val="single" w:color="auto" w:sz="4" w:space="0"/>
              <w:right w:val="single" w:color="auto" w:sz="4" w:space="0"/>
            </w:tcBorders>
            <w:noWrap w:val="0"/>
            <w:vAlign w:val="center"/>
          </w:tcPr>
          <w:p w14:paraId="4C7F0DF6">
            <w:pPr>
              <w:keepNext w:val="0"/>
              <w:keepLines w:val="0"/>
              <w:widowControl/>
              <w:suppressLineNumbers w:val="0"/>
              <w:spacing w:before="0" w:beforeAutospacing="0" w:after="0" w:afterAutospacing="0" w:line="256" w:lineRule="exact"/>
              <w:ind w:left="0" w:right="0"/>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14110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14:paraId="4B81E001">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项目负责人</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26BB5BA4">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w:t>
            </w:r>
          </w:p>
        </w:tc>
        <w:tc>
          <w:tcPr>
            <w:tcW w:w="6168" w:type="dxa"/>
            <w:tcBorders>
              <w:top w:val="single" w:color="auto" w:sz="4" w:space="0"/>
              <w:left w:val="single" w:color="auto" w:sz="4" w:space="0"/>
              <w:bottom w:val="single" w:color="auto" w:sz="4" w:space="0"/>
              <w:right w:val="single" w:color="auto" w:sz="4" w:space="0"/>
            </w:tcBorders>
            <w:noWrap w:val="0"/>
            <w:vAlign w:val="center"/>
          </w:tcPr>
          <w:p w14:paraId="78D6B9EF">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按招标公告要求</w:t>
            </w:r>
          </w:p>
        </w:tc>
        <w:tc>
          <w:tcPr>
            <w:tcW w:w="5750" w:type="dxa"/>
            <w:tcBorders>
              <w:top w:val="single" w:color="auto" w:sz="4" w:space="0"/>
              <w:left w:val="single" w:color="auto" w:sz="4" w:space="0"/>
              <w:bottom w:val="single" w:color="auto" w:sz="4" w:space="0"/>
              <w:right w:val="single" w:color="auto" w:sz="4" w:space="0"/>
            </w:tcBorders>
            <w:noWrap w:val="0"/>
            <w:vAlign w:val="center"/>
          </w:tcPr>
          <w:p w14:paraId="5351F946">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须提供建造师注册证书</w:t>
            </w:r>
          </w:p>
        </w:tc>
      </w:tr>
      <w:tr w14:paraId="1E674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14:paraId="2AB7BC11">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技术负责人</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0931D586">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w:t>
            </w:r>
          </w:p>
        </w:tc>
        <w:tc>
          <w:tcPr>
            <w:tcW w:w="6168" w:type="dxa"/>
            <w:tcBorders>
              <w:top w:val="single" w:color="auto" w:sz="4" w:space="0"/>
              <w:left w:val="single" w:color="auto" w:sz="4" w:space="0"/>
              <w:bottom w:val="single" w:color="auto" w:sz="4" w:space="0"/>
              <w:right w:val="single" w:color="auto" w:sz="4" w:space="0"/>
            </w:tcBorders>
            <w:noWrap w:val="0"/>
            <w:vAlign w:val="center"/>
          </w:tcPr>
          <w:p w14:paraId="1DB2B6DF">
            <w:pPr>
              <w:keepNext w:val="0"/>
              <w:keepLines w:val="0"/>
              <w:widowControl/>
              <w:suppressLineNumbers w:val="0"/>
              <w:spacing w:before="0" w:beforeAutospacing="0" w:after="0" w:afterAutospacing="0" w:line="256" w:lineRule="exact"/>
              <w:ind w:left="0" w:right="0" w:hanging="6"/>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具有建筑工程相关专业中级或以上技术职称</w:t>
            </w:r>
          </w:p>
        </w:tc>
        <w:tc>
          <w:tcPr>
            <w:tcW w:w="5750" w:type="dxa"/>
            <w:tcBorders>
              <w:top w:val="single" w:color="auto" w:sz="4" w:space="0"/>
              <w:left w:val="single" w:color="auto" w:sz="4" w:space="0"/>
              <w:bottom w:val="single" w:color="auto" w:sz="4" w:space="0"/>
              <w:right w:val="single" w:color="auto" w:sz="4" w:space="0"/>
            </w:tcBorders>
            <w:noWrap w:val="0"/>
            <w:vAlign w:val="center"/>
          </w:tcPr>
          <w:p w14:paraId="72E2E1DA">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须提供职称证书</w:t>
            </w:r>
          </w:p>
        </w:tc>
      </w:tr>
      <w:tr w14:paraId="24192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14:paraId="390A4021">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质量负责人</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1B6012C7">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w:t>
            </w:r>
          </w:p>
        </w:tc>
        <w:tc>
          <w:tcPr>
            <w:tcW w:w="6168" w:type="dxa"/>
            <w:tcBorders>
              <w:top w:val="single" w:color="auto" w:sz="4" w:space="0"/>
              <w:left w:val="single" w:color="auto" w:sz="4" w:space="0"/>
              <w:bottom w:val="single" w:color="auto" w:sz="4" w:space="0"/>
              <w:right w:val="single" w:color="auto" w:sz="4" w:space="0"/>
            </w:tcBorders>
            <w:noWrap w:val="0"/>
            <w:vAlign w:val="center"/>
          </w:tcPr>
          <w:p w14:paraId="120BE336">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具有建筑工程相关专业中级或以上技术职称</w:t>
            </w:r>
          </w:p>
        </w:tc>
        <w:tc>
          <w:tcPr>
            <w:tcW w:w="5750" w:type="dxa"/>
            <w:tcBorders>
              <w:top w:val="single" w:color="auto" w:sz="4" w:space="0"/>
              <w:left w:val="single" w:color="auto" w:sz="4" w:space="0"/>
              <w:bottom w:val="single" w:color="auto" w:sz="4" w:space="0"/>
              <w:right w:val="single" w:color="auto" w:sz="4" w:space="0"/>
            </w:tcBorders>
            <w:noWrap w:val="0"/>
            <w:vAlign w:val="center"/>
          </w:tcPr>
          <w:p w14:paraId="2177056F">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须提供职称证书</w:t>
            </w:r>
          </w:p>
        </w:tc>
      </w:tr>
      <w:tr w14:paraId="1ADDB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14:paraId="76A6ED6D">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安全负责人</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381058D7">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w:t>
            </w:r>
          </w:p>
        </w:tc>
        <w:tc>
          <w:tcPr>
            <w:tcW w:w="6168" w:type="dxa"/>
            <w:tcBorders>
              <w:top w:val="single" w:color="auto" w:sz="4" w:space="0"/>
              <w:left w:val="single" w:color="auto" w:sz="4" w:space="0"/>
              <w:bottom w:val="single" w:color="auto" w:sz="4" w:space="0"/>
              <w:right w:val="single" w:color="auto" w:sz="4" w:space="0"/>
            </w:tcBorders>
            <w:noWrap w:val="0"/>
            <w:vAlign w:val="center"/>
          </w:tcPr>
          <w:p w14:paraId="1485D43D">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具有建筑工程相关专业中级或以上技术职称</w:t>
            </w:r>
            <w:r>
              <w:rPr>
                <w:rFonts w:hint="eastAsia" w:cs="宋体"/>
                <w:color w:val="auto"/>
                <w:kern w:val="0"/>
                <w:szCs w:val="21"/>
                <w:highlight w:val="none"/>
                <w:lang w:eastAsia="zh-CN"/>
              </w:rPr>
              <w:t>，</w:t>
            </w:r>
            <w:r>
              <w:rPr>
                <w:rFonts w:hint="eastAsia" w:cs="宋体"/>
                <w:color w:val="auto"/>
                <w:kern w:val="0"/>
                <w:szCs w:val="21"/>
                <w:highlight w:val="none"/>
                <w:lang w:val="en-US" w:eastAsia="zh-CN"/>
              </w:rPr>
              <w:t>其他</w:t>
            </w:r>
            <w:r>
              <w:rPr>
                <w:rFonts w:hint="eastAsia" w:ascii="宋体" w:hAnsi="宋体" w:cs="宋体"/>
                <w:color w:val="auto"/>
                <w:kern w:val="0"/>
                <w:szCs w:val="21"/>
                <w:highlight w:val="none"/>
              </w:rPr>
              <w:t>按招标</w:t>
            </w:r>
            <w:r>
              <w:rPr>
                <w:rFonts w:hint="eastAsia" w:cs="宋体"/>
                <w:color w:val="auto"/>
                <w:kern w:val="0"/>
                <w:szCs w:val="21"/>
                <w:highlight w:val="none"/>
                <w:lang w:val="en-US" w:eastAsia="zh-CN"/>
              </w:rPr>
              <w:t>文件</w:t>
            </w:r>
            <w:r>
              <w:rPr>
                <w:rFonts w:hint="eastAsia" w:ascii="宋体" w:hAnsi="宋体" w:cs="宋体"/>
                <w:color w:val="auto"/>
                <w:kern w:val="0"/>
                <w:szCs w:val="21"/>
                <w:highlight w:val="none"/>
              </w:rPr>
              <w:t>要求</w:t>
            </w:r>
          </w:p>
        </w:tc>
        <w:tc>
          <w:tcPr>
            <w:tcW w:w="5750" w:type="dxa"/>
            <w:tcBorders>
              <w:top w:val="single" w:color="auto" w:sz="4" w:space="0"/>
              <w:left w:val="single" w:color="auto" w:sz="4" w:space="0"/>
              <w:bottom w:val="single" w:color="auto" w:sz="4" w:space="0"/>
              <w:right w:val="single" w:color="auto" w:sz="4" w:space="0"/>
            </w:tcBorders>
            <w:noWrap w:val="0"/>
            <w:vAlign w:val="center"/>
          </w:tcPr>
          <w:p w14:paraId="392065C6">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提供安全生产考核合格证</w:t>
            </w:r>
            <w:r>
              <w:rPr>
                <w:rFonts w:hint="eastAsia" w:ascii="宋体" w:hAnsi="宋体" w:cs="宋体"/>
                <w:color w:val="auto"/>
                <w:kern w:val="0"/>
                <w:szCs w:val="21"/>
                <w:highlight w:val="none"/>
                <w:u w:val="single"/>
              </w:rPr>
              <w:t>（C类）</w:t>
            </w:r>
            <w:r>
              <w:rPr>
                <w:rFonts w:hint="eastAsia" w:ascii="宋体" w:hAnsi="宋体" w:cs="宋体"/>
                <w:color w:val="auto"/>
                <w:kern w:val="0"/>
                <w:szCs w:val="21"/>
                <w:highlight w:val="none"/>
              </w:rPr>
              <w:t>或</w:t>
            </w:r>
            <w:r>
              <w:rPr>
                <w:rFonts w:hint="default" w:ascii="宋体" w:hAnsi="宋体" w:cs="宋体"/>
                <w:color w:val="auto"/>
                <w:szCs w:val="21"/>
                <w:highlight w:val="none"/>
              </w:rPr>
              <w:t>建筑施工企业综合类专职安全生产管理人员</w:t>
            </w:r>
            <w:r>
              <w:rPr>
                <w:rFonts w:hint="eastAsia" w:ascii="宋体" w:hAnsi="宋体" w:cs="宋体"/>
                <w:color w:val="auto"/>
                <w:kern w:val="0"/>
                <w:szCs w:val="21"/>
                <w:highlight w:val="none"/>
              </w:rPr>
              <w:t>安全生产考核合格证书</w:t>
            </w:r>
            <w:r>
              <w:rPr>
                <w:rFonts w:hint="default"/>
                <w:color w:val="auto"/>
                <w:sz w:val="24"/>
                <w:szCs w:val="24"/>
                <w:highlight w:val="none"/>
              </w:rPr>
              <w:t>（C3类）</w:t>
            </w:r>
            <w:r>
              <w:rPr>
                <w:rFonts w:hint="eastAsia" w:ascii="宋体" w:hAnsi="宋体" w:cs="宋体"/>
                <w:color w:val="auto"/>
                <w:kern w:val="0"/>
                <w:szCs w:val="21"/>
                <w:highlight w:val="none"/>
              </w:rPr>
              <w:t>。</w:t>
            </w:r>
          </w:p>
        </w:tc>
      </w:tr>
      <w:tr w14:paraId="07A10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14:paraId="38A9B7F8">
            <w:pPr>
              <w:keepNext w:val="0"/>
              <w:keepLines w:val="0"/>
              <w:widowControl/>
              <w:suppressLineNumbers w:val="0"/>
              <w:spacing w:before="0" w:beforeAutospacing="0" w:after="0" w:afterAutospacing="0" w:line="256" w:lineRule="exact"/>
              <w:ind w:left="0" w:right="0" w:hanging="6"/>
              <w:jc w:val="center"/>
              <w:rPr>
                <w:rFonts w:hint="eastAsia" w:ascii="宋体" w:hAnsi="宋体" w:cs="宋体"/>
                <w:color w:val="auto"/>
                <w:kern w:val="0"/>
                <w:szCs w:val="21"/>
                <w:highlight w:val="none"/>
              </w:rPr>
            </w:pPr>
            <w:r>
              <w:rPr>
                <w:rFonts w:hint="default"/>
                <w:color w:val="auto"/>
                <w:spacing w:val="8"/>
                <w:highlight w:val="none"/>
              </w:rPr>
              <w:t>造价负责人</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75C95C26">
            <w:pPr>
              <w:keepNext w:val="0"/>
              <w:keepLines w:val="0"/>
              <w:widowControl/>
              <w:suppressLineNumbers w:val="0"/>
              <w:spacing w:before="0" w:beforeAutospacing="0" w:after="0" w:afterAutospacing="0" w:line="256" w:lineRule="exact"/>
              <w:ind w:left="0" w:right="0" w:hanging="6"/>
              <w:jc w:val="center"/>
              <w:rPr>
                <w:rFonts w:hint="eastAsia" w:ascii="宋体" w:hAnsi="宋体" w:cs="宋体"/>
                <w:color w:val="auto"/>
                <w:kern w:val="0"/>
                <w:szCs w:val="21"/>
                <w:highlight w:val="none"/>
              </w:rPr>
            </w:pPr>
          </w:p>
        </w:tc>
        <w:tc>
          <w:tcPr>
            <w:tcW w:w="6168" w:type="dxa"/>
            <w:tcBorders>
              <w:top w:val="single" w:color="auto" w:sz="4" w:space="0"/>
              <w:left w:val="single" w:color="auto" w:sz="4" w:space="0"/>
              <w:bottom w:val="single" w:color="auto" w:sz="4" w:space="0"/>
              <w:right w:val="single" w:color="auto" w:sz="4" w:space="0"/>
            </w:tcBorders>
            <w:noWrap w:val="0"/>
            <w:vAlign w:val="center"/>
          </w:tcPr>
          <w:p w14:paraId="280E9DB7">
            <w:pPr>
              <w:keepNext w:val="0"/>
              <w:keepLines w:val="0"/>
              <w:widowControl/>
              <w:suppressLineNumbers w:val="0"/>
              <w:spacing w:before="0" w:beforeAutospacing="0" w:after="0" w:afterAutospacing="0" w:line="256" w:lineRule="exact"/>
              <w:ind w:left="0" w:right="0" w:hanging="6"/>
              <w:jc w:val="center"/>
              <w:rPr>
                <w:rFonts w:hint="eastAsia" w:ascii="宋体" w:hAnsi="宋体" w:cs="宋体"/>
                <w:color w:val="auto"/>
                <w:kern w:val="0"/>
                <w:szCs w:val="21"/>
                <w:highlight w:val="none"/>
              </w:rPr>
            </w:pPr>
            <w:r>
              <w:rPr>
                <w:rFonts w:hint="default"/>
                <w:color w:val="auto"/>
                <w:spacing w:val="8"/>
                <w:highlight w:val="none"/>
              </w:rPr>
              <w:t>具有建筑工程造价相关专业中级</w:t>
            </w:r>
            <w:r>
              <w:rPr>
                <w:rFonts w:hint="eastAsia"/>
                <w:color w:val="auto"/>
                <w:spacing w:val="8"/>
                <w:highlight w:val="none"/>
                <w:lang w:val="en-US" w:eastAsia="zh-CN"/>
              </w:rPr>
              <w:t>或以上</w:t>
            </w:r>
            <w:r>
              <w:rPr>
                <w:rFonts w:hint="default"/>
                <w:color w:val="auto"/>
                <w:spacing w:val="8"/>
                <w:highlight w:val="none"/>
              </w:rPr>
              <w:t>技术职称的</w:t>
            </w:r>
          </w:p>
        </w:tc>
        <w:tc>
          <w:tcPr>
            <w:tcW w:w="5750" w:type="dxa"/>
            <w:tcBorders>
              <w:top w:val="single" w:color="auto" w:sz="4" w:space="0"/>
              <w:left w:val="single" w:color="auto" w:sz="4" w:space="0"/>
              <w:bottom w:val="single" w:color="auto" w:sz="4" w:space="0"/>
              <w:right w:val="single" w:color="auto" w:sz="4" w:space="0"/>
            </w:tcBorders>
            <w:noWrap w:val="0"/>
            <w:vAlign w:val="center"/>
          </w:tcPr>
          <w:p w14:paraId="39766630">
            <w:pPr>
              <w:keepNext w:val="0"/>
              <w:keepLines w:val="0"/>
              <w:widowControl/>
              <w:suppressLineNumbers w:val="0"/>
              <w:spacing w:before="0" w:beforeAutospacing="0" w:after="0" w:afterAutospacing="0" w:line="256" w:lineRule="exact"/>
              <w:ind w:left="0" w:right="0" w:hanging="6"/>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须提供职称证书</w:t>
            </w:r>
          </w:p>
        </w:tc>
      </w:tr>
      <w:tr w14:paraId="0D21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14:paraId="793C19B2">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材料员</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31A186C5">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w:t>
            </w:r>
          </w:p>
        </w:tc>
        <w:tc>
          <w:tcPr>
            <w:tcW w:w="6168" w:type="dxa"/>
            <w:tcBorders>
              <w:top w:val="single" w:color="auto" w:sz="4" w:space="0"/>
              <w:left w:val="single" w:color="auto" w:sz="4" w:space="0"/>
              <w:bottom w:val="single" w:color="auto" w:sz="4" w:space="0"/>
              <w:right w:val="single" w:color="auto" w:sz="4" w:space="0"/>
            </w:tcBorders>
            <w:noWrap w:val="0"/>
            <w:vAlign w:val="center"/>
          </w:tcPr>
          <w:p w14:paraId="05F68C8A">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szCs w:val="21"/>
                <w:highlight w:val="none"/>
              </w:rPr>
            </w:pPr>
            <w:r>
              <w:rPr>
                <w:rFonts w:hint="eastAsia" w:ascii="宋体" w:hAnsi="宋体" w:cs="宋体"/>
                <w:color w:val="auto"/>
                <w:kern w:val="0"/>
                <w:szCs w:val="21"/>
                <w:highlight w:val="none"/>
              </w:rPr>
              <w:t>具有</w:t>
            </w:r>
            <w:r>
              <w:rPr>
                <w:rFonts w:hint="eastAsia" w:cs="宋体"/>
                <w:color w:val="auto"/>
                <w:kern w:val="0"/>
                <w:szCs w:val="21"/>
                <w:highlight w:val="none"/>
                <w:lang w:val="en-US" w:eastAsia="zh-CN"/>
              </w:rPr>
              <w:t>材料</w:t>
            </w:r>
            <w:r>
              <w:rPr>
                <w:rFonts w:hint="eastAsia" w:ascii="宋体" w:hAnsi="宋体" w:cs="宋体"/>
                <w:color w:val="auto"/>
                <w:kern w:val="0"/>
                <w:szCs w:val="21"/>
                <w:highlight w:val="none"/>
              </w:rPr>
              <w:t>员证</w:t>
            </w:r>
          </w:p>
        </w:tc>
        <w:tc>
          <w:tcPr>
            <w:tcW w:w="5750" w:type="dxa"/>
            <w:tcBorders>
              <w:top w:val="single" w:color="auto" w:sz="4" w:space="0"/>
              <w:left w:val="single" w:color="auto" w:sz="4" w:space="0"/>
              <w:bottom w:val="single" w:color="auto" w:sz="4" w:space="0"/>
              <w:right w:val="single" w:color="auto" w:sz="4" w:space="0"/>
            </w:tcBorders>
            <w:noWrap w:val="0"/>
            <w:vAlign w:val="center"/>
          </w:tcPr>
          <w:p w14:paraId="41F2740E">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szCs w:val="21"/>
                <w:highlight w:val="none"/>
              </w:rPr>
            </w:pPr>
            <w:r>
              <w:rPr>
                <w:rFonts w:hint="eastAsia" w:ascii="宋体" w:hAnsi="宋体" w:cs="宋体"/>
                <w:color w:val="auto"/>
                <w:kern w:val="0"/>
                <w:szCs w:val="21"/>
                <w:highlight w:val="none"/>
              </w:rPr>
              <w:t>须提供</w:t>
            </w:r>
            <w:r>
              <w:rPr>
                <w:rFonts w:hint="eastAsia" w:cs="宋体"/>
                <w:color w:val="auto"/>
                <w:kern w:val="0"/>
                <w:szCs w:val="21"/>
                <w:highlight w:val="none"/>
                <w:lang w:val="en-US" w:eastAsia="zh-CN"/>
              </w:rPr>
              <w:t>材料</w:t>
            </w:r>
            <w:r>
              <w:rPr>
                <w:rFonts w:hint="eastAsia" w:ascii="宋体" w:hAnsi="宋体" w:cs="宋体"/>
                <w:color w:val="auto"/>
                <w:kern w:val="0"/>
                <w:szCs w:val="21"/>
                <w:highlight w:val="none"/>
              </w:rPr>
              <w:t>员证书</w:t>
            </w:r>
          </w:p>
        </w:tc>
      </w:tr>
      <w:tr w14:paraId="06AD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14:paraId="764E88C5">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专职安全员</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52C96315">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w:t>
            </w:r>
          </w:p>
        </w:tc>
        <w:tc>
          <w:tcPr>
            <w:tcW w:w="6168" w:type="dxa"/>
            <w:tcBorders>
              <w:top w:val="single" w:color="auto" w:sz="4" w:space="0"/>
              <w:left w:val="single" w:color="auto" w:sz="4" w:space="0"/>
              <w:bottom w:val="single" w:color="auto" w:sz="4" w:space="0"/>
              <w:right w:val="single" w:color="auto" w:sz="4" w:space="0"/>
            </w:tcBorders>
            <w:noWrap w:val="0"/>
            <w:vAlign w:val="center"/>
          </w:tcPr>
          <w:p w14:paraId="73945378">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szCs w:val="21"/>
                <w:highlight w:val="none"/>
              </w:rPr>
            </w:pPr>
            <w:r>
              <w:rPr>
                <w:rFonts w:hint="eastAsia" w:ascii="宋体" w:hAnsi="宋体" w:cs="宋体"/>
                <w:color w:val="auto"/>
                <w:kern w:val="0"/>
                <w:szCs w:val="21"/>
                <w:highlight w:val="none"/>
              </w:rPr>
              <w:t>按</w:t>
            </w:r>
            <w:r>
              <w:rPr>
                <w:rFonts w:hint="eastAsia" w:ascii="宋体" w:hAnsi="宋体" w:cs="宋体"/>
                <w:color w:val="auto"/>
                <w:kern w:val="0"/>
                <w:szCs w:val="21"/>
                <w:highlight w:val="none"/>
                <w:u w:val="thick"/>
              </w:rPr>
              <w:t>招标公告</w:t>
            </w:r>
            <w:r>
              <w:rPr>
                <w:rFonts w:hint="eastAsia" w:ascii="宋体" w:hAnsi="宋体" w:cs="宋体"/>
                <w:color w:val="auto"/>
                <w:kern w:val="0"/>
                <w:szCs w:val="21"/>
                <w:highlight w:val="none"/>
              </w:rPr>
              <w:t>要求，需与投标登记时提供的一致</w:t>
            </w:r>
          </w:p>
        </w:tc>
        <w:tc>
          <w:tcPr>
            <w:tcW w:w="5750" w:type="dxa"/>
            <w:tcBorders>
              <w:top w:val="single" w:color="auto" w:sz="4" w:space="0"/>
              <w:left w:val="single" w:color="auto" w:sz="4" w:space="0"/>
              <w:bottom w:val="single" w:color="auto" w:sz="4" w:space="0"/>
              <w:right w:val="single" w:color="auto" w:sz="4" w:space="0"/>
            </w:tcBorders>
            <w:noWrap w:val="0"/>
            <w:vAlign w:val="center"/>
          </w:tcPr>
          <w:p w14:paraId="77FDDA06">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szCs w:val="21"/>
                <w:highlight w:val="none"/>
              </w:rPr>
            </w:pPr>
            <w:r>
              <w:rPr>
                <w:rFonts w:hint="eastAsia" w:ascii="宋体" w:hAnsi="宋体" w:cs="宋体"/>
                <w:color w:val="auto"/>
                <w:kern w:val="0"/>
                <w:szCs w:val="21"/>
                <w:highlight w:val="none"/>
              </w:rPr>
              <w:t>提供安全生产考核合格证</w:t>
            </w:r>
            <w:r>
              <w:rPr>
                <w:rFonts w:hint="eastAsia" w:ascii="宋体" w:hAnsi="宋体" w:cs="宋体"/>
                <w:color w:val="auto"/>
                <w:kern w:val="0"/>
                <w:szCs w:val="21"/>
                <w:highlight w:val="none"/>
                <w:u w:val="single"/>
              </w:rPr>
              <w:t>（C类）</w:t>
            </w:r>
            <w:r>
              <w:rPr>
                <w:rFonts w:hint="eastAsia" w:ascii="宋体" w:hAnsi="宋体" w:cs="宋体"/>
                <w:color w:val="auto"/>
                <w:kern w:val="0"/>
                <w:szCs w:val="21"/>
                <w:highlight w:val="none"/>
              </w:rPr>
              <w:t>或</w:t>
            </w:r>
            <w:r>
              <w:rPr>
                <w:rFonts w:hint="default" w:ascii="宋体" w:hAnsi="宋体" w:cs="宋体"/>
                <w:color w:val="auto"/>
                <w:szCs w:val="21"/>
                <w:highlight w:val="none"/>
              </w:rPr>
              <w:t>建筑施工企业综合类专职安全生产管理人员</w:t>
            </w:r>
            <w:r>
              <w:rPr>
                <w:rFonts w:hint="eastAsia" w:ascii="宋体" w:hAnsi="宋体" w:cs="宋体"/>
                <w:color w:val="auto"/>
                <w:kern w:val="0"/>
                <w:szCs w:val="21"/>
                <w:highlight w:val="none"/>
              </w:rPr>
              <w:t>安全生产考核合格证书</w:t>
            </w:r>
            <w:r>
              <w:rPr>
                <w:rFonts w:hint="default"/>
                <w:color w:val="auto"/>
                <w:sz w:val="24"/>
                <w:szCs w:val="24"/>
                <w:highlight w:val="none"/>
              </w:rPr>
              <w:t>（C3类）</w:t>
            </w:r>
            <w:r>
              <w:rPr>
                <w:rFonts w:hint="eastAsia" w:ascii="宋体" w:hAnsi="宋体" w:cs="宋体"/>
                <w:color w:val="auto"/>
                <w:kern w:val="0"/>
                <w:szCs w:val="21"/>
                <w:highlight w:val="none"/>
              </w:rPr>
              <w:t>。</w:t>
            </w:r>
          </w:p>
        </w:tc>
      </w:tr>
      <w:tr w14:paraId="6B53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14:paraId="70D29FEA">
            <w:pPr>
              <w:keepNext w:val="0"/>
              <w:keepLines w:val="0"/>
              <w:suppressLineNumbers w:val="0"/>
              <w:spacing w:before="0" w:beforeAutospacing="0" w:after="0" w:afterAutospacing="0"/>
              <w:ind w:left="0" w:right="0" w:hanging="6"/>
              <w:jc w:val="center"/>
              <w:rPr>
                <w:rFonts w:hint="default" w:ascii="宋体" w:hAnsi="宋体" w:cs="宋体"/>
                <w:color w:val="auto"/>
                <w:kern w:val="0"/>
                <w:szCs w:val="21"/>
                <w:highlight w:val="none"/>
              </w:rPr>
            </w:pPr>
            <w:r>
              <w:rPr>
                <w:rFonts w:hint="eastAsia" w:ascii="宋体" w:hAnsi="宋体" w:cs="宋体"/>
                <w:color w:val="auto"/>
                <w:szCs w:val="21"/>
                <w:highlight w:val="none"/>
              </w:rPr>
              <w:t>土建施工员</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4EEB96B6">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w:t>
            </w:r>
          </w:p>
        </w:tc>
        <w:tc>
          <w:tcPr>
            <w:tcW w:w="6168" w:type="dxa"/>
            <w:tcBorders>
              <w:top w:val="single" w:color="auto" w:sz="4" w:space="0"/>
              <w:left w:val="single" w:color="auto" w:sz="4" w:space="0"/>
              <w:bottom w:val="single" w:color="auto" w:sz="4" w:space="0"/>
              <w:right w:val="single" w:color="auto" w:sz="4" w:space="0"/>
            </w:tcBorders>
            <w:noWrap w:val="0"/>
            <w:vAlign w:val="center"/>
          </w:tcPr>
          <w:p w14:paraId="11F8EE27">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具有施工员证</w:t>
            </w:r>
          </w:p>
        </w:tc>
        <w:tc>
          <w:tcPr>
            <w:tcW w:w="5750" w:type="dxa"/>
            <w:tcBorders>
              <w:top w:val="single" w:color="auto" w:sz="4" w:space="0"/>
              <w:left w:val="single" w:color="auto" w:sz="4" w:space="0"/>
              <w:bottom w:val="single" w:color="auto" w:sz="4" w:space="0"/>
              <w:right w:val="single" w:color="auto" w:sz="4" w:space="0"/>
            </w:tcBorders>
            <w:noWrap w:val="0"/>
            <w:vAlign w:val="center"/>
          </w:tcPr>
          <w:p w14:paraId="24D8BA2F">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szCs w:val="21"/>
                <w:highlight w:val="none"/>
              </w:rPr>
            </w:pPr>
            <w:r>
              <w:rPr>
                <w:rFonts w:hint="eastAsia" w:ascii="宋体" w:hAnsi="宋体" w:cs="宋体"/>
                <w:color w:val="auto"/>
                <w:kern w:val="0"/>
                <w:szCs w:val="21"/>
                <w:highlight w:val="none"/>
              </w:rPr>
              <w:t>须提供施工员证书</w:t>
            </w:r>
          </w:p>
        </w:tc>
      </w:tr>
      <w:tr w14:paraId="15CEF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14:paraId="02F97D70">
            <w:pPr>
              <w:keepNext w:val="0"/>
              <w:keepLines w:val="0"/>
              <w:suppressLineNumbers w:val="0"/>
              <w:spacing w:before="0" w:beforeAutospacing="0" w:after="0" w:afterAutospacing="0"/>
              <w:ind w:left="0" w:right="0" w:hanging="6"/>
              <w:jc w:val="center"/>
              <w:rPr>
                <w:rFonts w:hint="default" w:ascii="宋体" w:hAnsi="宋体" w:cs="宋体"/>
                <w:color w:val="auto"/>
                <w:szCs w:val="21"/>
                <w:highlight w:val="none"/>
              </w:rPr>
            </w:pPr>
            <w:r>
              <w:rPr>
                <w:rFonts w:hint="eastAsia" w:ascii="宋体" w:hAnsi="宋体" w:cs="宋体"/>
                <w:color w:val="auto"/>
                <w:szCs w:val="21"/>
                <w:highlight w:val="none"/>
              </w:rPr>
              <w:t>资料员</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54BB06E2">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szCs w:val="21"/>
                <w:highlight w:val="none"/>
              </w:rPr>
            </w:pPr>
            <w:r>
              <w:rPr>
                <w:rFonts w:hint="eastAsia" w:ascii="宋体" w:hAnsi="宋体" w:cs="宋体"/>
                <w:color w:val="auto"/>
                <w:kern w:val="0"/>
                <w:szCs w:val="21"/>
                <w:highlight w:val="none"/>
              </w:rPr>
              <w:t>1</w:t>
            </w:r>
          </w:p>
        </w:tc>
        <w:tc>
          <w:tcPr>
            <w:tcW w:w="6168" w:type="dxa"/>
            <w:tcBorders>
              <w:top w:val="single" w:color="auto" w:sz="4" w:space="0"/>
              <w:left w:val="single" w:color="auto" w:sz="4" w:space="0"/>
              <w:bottom w:val="single" w:color="auto" w:sz="4" w:space="0"/>
              <w:right w:val="single" w:color="auto" w:sz="4" w:space="0"/>
            </w:tcBorders>
            <w:noWrap w:val="0"/>
            <w:vAlign w:val="center"/>
          </w:tcPr>
          <w:p w14:paraId="727B8252">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szCs w:val="21"/>
                <w:highlight w:val="none"/>
              </w:rPr>
            </w:pPr>
            <w:r>
              <w:rPr>
                <w:rFonts w:hint="eastAsia" w:ascii="宋体" w:hAnsi="宋体" w:cs="宋体"/>
                <w:color w:val="auto"/>
                <w:kern w:val="0"/>
                <w:szCs w:val="21"/>
                <w:highlight w:val="none"/>
              </w:rPr>
              <w:t>具有资料员证</w:t>
            </w:r>
          </w:p>
        </w:tc>
        <w:tc>
          <w:tcPr>
            <w:tcW w:w="5750" w:type="dxa"/>
            <w:tcBorders>
              <w:top w:val="single" w:color="auto" w:sz="4" w:space="0"/>
              <w:left w:val="single" w:color="auto" w:sz="4" w:space="0"/>
              <w:bottom w:val="single" w:color="auto" w:sz="4" w:space="0"/>
              <w:right w:val="single" w:color="auto" w:sz="4" w:space="0"/>
            </w:tcBorders>
            <w:noWrap w:val="0"/>
            <w:vAlign w:val="center"/>
          </w:tcPr>
          <w:p w14:paraId="268A64E5">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须提供资料员证书</w:t>
            </w:r>
          </w:p>
        </w:tc>
      </w:tr>
    </w:tbl>
    <w:p w14:paraId="2FADDABC">
      <w:pPr>
        <w:snapToGrid w:val="0"/>
        <w:spacing w:beforeLines="25"/>
        <w:ind w:firstLine="210" w:firstLineChars="100"/>
        <w:rPr>
          <w:rFonts w:hint="eastAsia" w:ascii="Calibri" w:hAnsi="Calibri" w:eastAsia="宋体"/>
          <w:color w:val="auto"/>
          <w:highlight w:val="none"/>
          <w:lang w:val="en-US" w:eastAsia="zh-CN"/>
        </w:rPr>
      </w:pPr>
      <w:r>
        <w:rPr>
          <w:rFonts w:hint="eastAsia" w:ascii="Calibri" w:hAnsi="Calibri"/>
          <w:color w:val="auto"/>
          <w:highlight w:val="none"/>
          <w:lang w:val="en-US" w:eastAsia="zh-CN"/>
        </w:rPr>
        <w:t>注：</w:t>
      </w:r>
    </w:p>
    <w:p w14:paraId="5FE3EBCF">
      <w:pPr>
        <w:snapToGrid w:val="0"/>
        <w:spacing w:beforeLines="25"/>
        <w:ind w:firstLine="210" w:firstLineChars="100"/>
        <w:rPr>
          <w:rFonts w:ascii="Calibri" w:hAnsi="Calibri"/>
          <w:color w:val="auto"/>
          <w:highlight w:val="none"/>
        </w:rPr>
      </w:pPr>
      <w:r>
        <w:rPr>
          <w:rFonts w:ascii="Calibri" w:hAnsi="Calibri"/>
          <w:color w:val="auto"/>
          <w:highlight w:val="none"/>
        </w:rPr>
        <w:t>（1）上述人员需提供相关证明资料的扫描件并加盖投标人电子印章；各岗位人员不得相互兼职，上述材料不提供或提供不齐全的不得分。</w:t>
      </w:r>
    </w:p>
    <w:p w14:paraId="08ED69BF">
      <w:pPr>
        <w:snapToGrid w:val="0"/>
        <w:spacing w:beforeLines="25"/>
        <w:ind w:firstLine="210" w:firstLineChars="100"/>
        <w:rPr>
          <w:rFonts w:ascii="Calibri" w:hAnsi="Calibri"/>
          <w:color w:val="auto"/>
          <w:highlight w:val="none"/>
        </w:rPr>
      </w:pPr>
      <w:r>
        <w:rPr>
          <w:rFonts w:ascii="Calibri" w:hAnsi="Calibri"/>
          <w:color w:val="auto"/>
          <w:highlight w:val="none"/>
        </w:rPr>
        <w:t>（2）上述人员除须提供相关证明资料外，还须提供近一个月（即2025年</w:t>
      </w:r>
      <w:r>
        <w:rPr>
          <w:rFonts w:hint="eastAsia" w:ascii="Calibri" w:hAnsi="Calibri"/>
          <w:color w:val="auto"/>
          <w:highlight w:val="none"/>
          <w:lang w:val="en-US" w:eastAsia="zh-CN"/>
        </w:rPr>
        <w:t>10</w:t>
      </w:r>
      <w:r>
        <w:rPr>
          <w:rFonts w:ascii="Calibri" w:hAnsi="Calibri"/>
          <w:color w:val="auto"/>
          <w:highlight w:val="none"/>
        </w:rPr>
        <w:t>月）在投标人单位（或其非独立法人分支机构）参保的社保缴纳记录证明扫描件，未提供或提供资料不全的不得分。</w:t>
      </w:r>
    </w:p>
    <w:p w14:paraId="49A44250">
      <w:pPr>
        <w:snapToGrid w:val="0"/>
        <w:spacing w:beforeLines="25"/>
        <w:ind w:firstLine="210" w:firstLineChars="100"/>
        <w:rPr>
          <w:rFonts w:ascii="Calibri" w:hAnsi="Calibri"/>
          <w:color w:val="auto"/>
          <w:highlight w:val="none"/>
        </w:rPr>
      </w:pPr>
      <w:r>
        <w:rPr>
          <w:rFonts w:ascii="Calibri" w:hAnsi="Calibri"/>
          <w:color w:val="auto"/>
          <w:highlight w:val="none"/>
        </w:rPr>
        <w:t>（3）“建筑工程”</w:t>
      </w:r>
      <w:r>
        <w:rPr>
          <w:rFonts w:hint="eastAsia" w:ascii="Calibri" w:hAnsi="Calibri"/>
          <w:color w:val="auto"/>
          <w:highlight w:val="none"/>
          <w:lang w:val="en-US" w:eastAsia="zh-CN"/>
        </w:rPr>
        <w:t>相关</w:t>
      </w:r>
      <w:r>
        <w:rPr>
          <w:rFonts w:ascii="Calibri" w:hAnsi="Calibri"/>
          <w:color w:val="auto"/>
          <w:highlight w:val="none"/>
        </w:rPr>
        <w:t>技术职称是指包含建筑施工管理、建筑施工、建筑工程、土木工程、工程管理、建筑工程造价、建筑生产技术管理、建筑机械、安全工程等工程项目建设所涉及的相关专业的技术职称。</w:t>
      </w:r>
    </w:p>
    <w:p w14:paraId="555378FD">
      <w:pPr>
        <w:snapToGrid w:val="0"/>
        <w:spacing w:beforeLines="25"/>
        <w:ind w:firstLine="210" w:firstLineChars="100"/>
        <w:rPr>
          <w:rFonts w:ascii="Calibri" w:hAnsi="Calibri"/>
          <w:color w:val="auto"/>
          <w:highlight w:val="none"/>
        </w:rPr>
      </w:pPr>
      <w:r>
        <w:rPr>
          <w:rFonts w:ascii="Calibri" w:hAnsi="Calibri"/>
          <w:color w:val="auto"/>
          <w:highlight w:val="none"/>
        </w:rPr>
        <w:t>（4）按照《造价工程师职业资格制度规定》的规定，根据原人事部、原建设部发布的《造价工程师执业资格制度暂行规定》（人发〔1996〕77号）取得的造价工程师执业资格，并经注册且在有效期内的，等同于一级注册造价工程师。</w:t>
      </w:r>
    </w:p>
    <w:p w14:paraId="2EA819D5">
      <w:pPr>
        <w:snapToGrid w:val="0"/>
        <w:spacing w:beforeLines="25"/>
        <w:ind w:firstLine="210" w:firstLineChars="100"/>
        <w:rPr>
          <w:rFonts w:ascii="Calibri" w:hAnsi="Calibri"/>
          <w:color w:val="auto"/>
          <w:highlight w:val="none"/>
        </w:rPr>
      </w:pPr>
    </w:p>
    <w:p w14:paraId="787457A5">
      <w:pPr>
        <w:rPr>
          <w:color w:val="auto"/>
          <w:highlight w:val="none"/>
        </w:rPr>
      </w:pPr>
    </w:p>
    <w:p w14:paraId="11A48071">
      <w:pPr>
        <w:pStyle w:val="19"/>
        <w:jc w:val="left"/>
        <w:rPr>
          <w:rFonts w:cs="仿宋"/>
          <w:color w:val="auto"/>
          <w:sz w:val="28"/>
          <w:szCs w:val="28"/>
          <w:highlight w:val="none"/>
        </w:rPr>
        <w:sectPr>
          <w:headerReference r:id="rId16" w:type="first"/>
          <w:footerReference r:id="rId18" w:type="first"/>
          <w:headerReference r:id="rId15" w:type="default"/>
          <w:footerReference r:id="rId17" w:type="default"/>
          <w:pgSz w:w="15840" w:h="12240" w:orient="landscape"/>
          <w:pgMar w:top="1803" w:right="1440" w:bottom="1803" w:left="1440" w:header="720" w:footer="720" w:gutter="0"/>
          <w:pgNumType w:fmt="decimal"/>
          <w:cols w:space="720" w:num="1"/>
        </w:sectPr>
      </w:pPr>
      <w:r>
        <w:rPr>
          <w:rFonts w:hint="eastAsia" w:ascii="宋体" w:hAnsi="宋体" w:cs="宋体"/>
          <w:color w:val="auto"/>
          <w:szCs w:val="21"/>
          <w:highlight w:val="none"/>
        </w:rPr>
        <w:t>评委签名：日期：</w:t>
      </w:r>
    </w:p>
    <w:p w14:paraId="29027C67">
      <w:pPr>
        <w:rPr>
          <w:color w:val="auto"/>
          <w:szCs w:val="21"/>
          <w:highlight w:val="none"/>
        </w:rPr>
      </w:pPr>
      <w:r>
        <w:rPr>
          <w:rFonts w:hint="eastAsia"/>
          <w:color w:val="auto"/>
          <w:szCs w:val="21"/>
          <w:highlight w:val="none"/>
        </w:rPr>
        <w:t>附表五</w:t>
      </w:r>
    </w:p>
    <w:p w14:paraId="3D5DB3E2">
      <w:pPr>
        <w:jc w:val="center"/>
        <w:rPr>
          <w:b/>
          <w:color w:val="auto"/>
          <w:sz w:val="36"/>
          <w:szCs w:val="36"/>
          <w:highlight w:val="none"/>
        </w:rPr>
      </w:pPr>
      <w:r>
        <w:rPr>
          <w:rFonts w:hint="eastAsia"/>
          <w:b/>
          <w:color w:val="auto"/>
          <w:sz w:val="36"/>
          <w:szCs w:val="36"/>
          <w:highlight w:val="none"/>
        </w:rPr>
        <w:t>经济标评分表</w:t>
      </w:r>
    </w:p>
    <w:p w14:paraId="401302A3">
      <w:pPr>
        <w:rPr>
          <w:color w:val="auto"/>
          <w:szCs w:val="21"/>
          <w:highlight w:val="none"/>
        </w:rPr>
      </w:pPr>
      <w:r>
        <w:rPr>
          <w:rFonts w:hint="eastAsia"/>
          <w:color w:val="auto"/>
          <w:szCs w:val="21"/>
          <w:highlight w:val="none"/>
        </w:rPr>
        <w:t>工程名称：</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8"/>
        <w:gridCol w:w="916"/>
        <w:gridCol w:w="12"/>
        <w:gridCol w:w="940"/>
        <w:gridCol w:w="941"/>
        <w:gridCol w:w="941"/>
        <w:gridCol w:w="941"/>
        <w:gridCol w:w="941"/>
        <w:gridCol w:w="941"/>
        <w:gridCol w:w="941"/>
        <w:gridCol w:w="941"/>
        <w:gridCol w:w="941"/>
        <w:gridCol w:w="941"/>
        <w:gridCol w:w="956"/>
      </w:tblGrid>
      <w:tr w14:paraId="2465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13" w:type="pct"/>
            <w:tcBorders>
              <w:top w:val="single" w:color="auto" w:sz="4" w:space="0"/>
              <w:left w:val="single" w:color="auto" w:sz="4" w:space="0"/>
              <w:bottom w:val="single" w:color="auto" w:sz="4" w:space="0"/>
              <w:right w:val="single" w:color="auto" w:sz="4" w:space="0"/>
            </w:tcBorders>
            <w:vAlign w:val="center"/>
          </w:tcPr>
          <w:p w14:paraId="21F60DC7">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投标人名称</w:t>
            </w:r>
          </w:p>
        </w:tc>
        <w:tc>
          <w:tcPr>
            <w:tcW w:w="353" w:type="pct"/>
            <w:gridSpan w:val="2"/>
            <w:tcBorders>
              <w:top w:val="single" w:color="auto" w:sz="4" w:space="0"/>
              <w:left w:val="single" w:color="auto" w:sz="4" w:space="0"/>
              <w:bottom w:val="single" w:color="auto" w:sz="4" w:space="0"/>
              <w:right w:val="single" w:color="auto" w:sz="4" w:space="0"/>
            </w:tcBorders>
            <w:vAlign w:val="center"/>
          </w:tcPr>
          <w:p w14:paraId="2C5EB842">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BA822F2">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B83AA87">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5566327E">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A0E1BC8">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464769C">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747371E">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36EAC46">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3C37658">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3EC909F">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7203A32">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3AFEF808">
            <w:pPr>
              <w:keepNext w:val="0"/>
              <w:keepLines w:val="0"/>
              <w:suppressLineNumbers w:val="0"/>
              <w:spacing w:before="0" w:beforeAutospacing="0" w:after="0" w:afterAutospacing="0"/>
              <w:ind w:left="0" w:right="0"/>
              <w:rPr>
                <w:rFonts w:hint="default"/>
                <w:color w:val="auto"/>
                <w:szCs w:val="21"/>
                <w:highlight w:val="none"/>
              </w:rPr>
            </w:pPr>
          </w:p>
        </w:tc>
      </w:tr>
      <w:tr w14:paraId="4B0A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13" w:type="pct"/>
            <w:tcBorders>
              <w:top w:val="single" w:color="auto" w:sz="4" w:space="0"/>
              <w:left w:val="single" w:color="auto" w:sz="4" w:space="0"/>
              <w:bottom w:val="single" w:color="auto" w:sz="4" w:space="0"/>
              <w:right w:val="single" w:color="auto" w:sz="4" w:space="0"/>
            </w:tcBorders>
            <w:vAlign w:val="center"/>
          </w:tcPr>
          <w:p w14:paraId="5F4797A8">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投标报价PT（元）</w:t>
            </w:r>
          </w:p>
        </w:tc>
        <w:tc>
          <w:tcPr>
            <w:tcW w:w="353" w:type="pct"/>
            <w:gridSpan w:val="2"/>
            <w:tcBorders>
              <w:top w:val="single" w:color="auto" w:sz="4" w:space="0"/>
              <w:left w:val="single" w:color="auto" w:sz="4" w:space="0"/>
              <w:bottom w:val="single" w:color="auto" w:sz="4" w:space="0"/>
              <w:right w:val="single" w:color="auto" w:sz="4" w:space="0"/>
            </w:tcBorders>
            <w:vAlign w:val="center"/>
          </w:tcPr>
          <w:p w14:paraId="5FAC502E">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34CC8F4A">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34540A36">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663B527">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09AC51D">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1683ACF">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565E56B1">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18FDF19">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C25CC82">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5815B30F">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255550AB">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92E4F58">
            <w:pPr>
              <w:keepNext w:val="0"/>
              <w:keepLines w:val="0"/>
              <w:suppressLineNumbers w:val="0"/>
              <w:spacing w:before="0" w:beforeAutospacing="0" w:after="0" w:afterAutospacing="0"/>
              <w:ind w:left="0" w:right="0"/>
              <w:rPr>
                <w:rFonts w:hint="default"/>
                <w:color w:val="auto"/>
                <w:szCs w:val="21"/>
                <w:highlight w:val="none"/>
              </w:rPr>
            </w:pPr>
          </w:p>
        </w:tc>
      </w:tr>
      <w:tr w14:paraId="4C81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13" w:type="pct"/>
            <w:tcBorders>
              <w:top w:val="single" w:color="auto" w:sz="4" w:space="0"/>
              <w:left w:val="single" w:color="auto" w:sz="4" w:space="0"/>
              <w:bottom w:val="single" w:color="auto" w:sz="4" w:space="0"/>
              <w:right w:val="single" w:color="auto" w:sz="4" w:space="0"/>
            </w:tcBorders>
            <w:vAlign w:val="center"/>
          </w:tcPr>
          <w:p w14:paraId="753A235D">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报价权重</w:t>
            </w:r>
          </w:p>
        </w:tc>
        <w:tc>
          <w:tcPr>
            <w:tcW w:w="348" w:type="pct"/>
            <w:tcBorders>
              <w:top w:val="single" w:color="auto" w:sz="4" w:space="0"/>
              <w:left w:val="single" w:color="auto" w:sz="4" w:space="0"/>
              <w:bottom w:val="single" w:color="auto" w:sz="4" w:space="0"/>
              <w:right w:val="single" w:color="auto" w:sz="4" w:space="0"/>
            </w:tcBorders>
            <w:vAlign w:val="center"/>
          </w:tcPr>
          <w:p w14:paraId="6081E426">
            <w:pPr>
              <w:keepNext w:val="0"/>
              <w:keepLines w:val="0"/>
              <w:suppressLineNumbers w:val="0"/>
              <w:spacing w:before="0" w:beforeAutospacing="0" w:after="0" w:afterAutospacing="0"/>
              <w:ind w:left="0" w:right="0"/>
              <w:rPr>
                <w:rFonts w:hint="default"/>
                <w:color w:val="auto"/>
                <w:szCs w:val="21"/>
                <w:highlight w:val="none"/>
              </w:rPr>
            </w:pPr>
          </w:p>
        </w:tc>
        <w:tc>
          <w:tcPr>
            <w:tcW w:w="361" w:type="pct"/>
            <w:gridSpan w:val="2"/>
            <w:tcBorders>
              <w:top w:val="single" w:color="auto" w:sz="4" w:space="0"/>
              <w:left w:val="single" w:color="auto" w:sz="4" w:space="0"/>
              <w:bottom w:val="single" w:color="auto" w:sz="4" w:space="0"/>
              <w:right w:val="single" w:color="auto" w:sz="4" w:space="0"/>
            </w:tcBorders>
            <w:vAlign w:val="center"/>
          </w:tcPr>
          <w:p w14:paraId="1437FF6E">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373C3091">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75092FA">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A1CF97F">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3CCE6350">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E69F8D3">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0689361">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485A4E2">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110F3354">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8AB4643">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EB7FFD8">
            <w:pPr>
              <w:keepNext w:val="0"/>
              <w:keepLines w:val="0"/>
              <w:suppressLineNumbers w:val="0"/>
              <w:spacing w:before="0" w:beforeAutospacing="0" w:after="0" w:afterAutospacing="0"/>
              <w:ind w:left="0" w:right="0"/>
              <w:rPr>
                <w:rFonts w:hint="default"/>
                <w:color w:val="auto"/>
                <w:szCs w:val="21"/>
                <w:highlight w:val="none"/>
              </w:rPr>
            </w:pPr>
          </w:p>
        </w:tc>
      </w:tr>
      <w:tr w14:paraId="263F4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13" w:type="pct"/>
            <w:tcBorders>
              <w:top w:val="single" w:color="auto" w:sz="4" w:space="0"/>
              <w:left w:val="single" w:color="auto" w:sz="4" w:space="0"/>
              <w:bottom w:val="single" w:color="auto" w:sz="4" w:space="0"/>
              <w:right w:val="single" w:color="auto" w:sz="4" w:space="0"/>
            </w:tcBorders>
            <w:vAlign w:val="center"/>
          </w:tcPr>
          <w:p w14:paraId="2B175CC7">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计算评标参考价的下浮率（%）</w:t>
            </w:r>
          </w:p>
        </w:tc>
        <w:tc>
          <w:tcPr>
            <w:tcW w:w="4286" w:type="pct"/>
            <w:gridSpan w:val="13"/>
            <w:tcBorders>
              <w:top w:val="single" w:color="auto" w:sz="4" w:space="0"/>
              <w:left w:val="single" w:color="auto" w:sz="4" w:space="0"/>
              <w:bottom w:val="single" w:color="auto" w:sz="4" w:space="0"/>
              <w:right w:val="single" w:color="auto" w:sz="4" w:space="0"/>
            </w:tcBorders>
            <w:vAlign w:val="center"/>
          </w:tcPr>
          <w:p w14:paraId="46E3D383">
            <w:pPr>
              <w:keepNext w:val="0"/>
              <w:keepLines w:val="0"/>
              <w:suppressLineNumbers w:val="0"/>
              <w:spacing w:before="0" w:beforeAutospacing="0" w:after="0" w:afterAutospacing="0"/>
              <w:ind w:left="0" w:right="0"/>
              <w:rPr>
                <w:rFonts w:hint="default"/>
                <w:color w:val="auto"/>
                <w:szCs w:val="21"/>
                <w:highlight w:val="none"/>
              </w:rPr>
            </w:pPr>
          </w:p>
        </w:tc>
      </w:tr>
      <w:tr w14:paraId="0E1EB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13" w:type="pct"/>
            <w:tcBorders>
              <w:top w:val="single" w:color="auto" w:sz="4" w:space="0"/>
              <w:left w:val="single" w:color="auto" w:sz="4" w:space="0"/>
              <w:bottom w:val="single" w:color="auto" w:sz="4" w:space="0"/>
              <w:right w:val="single" w:color="auto" w:sz="4" w:space="0"/>
            </w:tcBorders>
            <w:vAlign w:val="center"/>
          </w:tcPr>
          <w:p w14:paraId="1A1FA634">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评标参考价PC（元）</w:t>
            </w:r>
          </w:p>
        </w:tc>
        <w:tc>
          <w:tcPr>
            <w:tcW w:w="4286" w:type="pct"/>
            <w:gridSpan w:val="13"/>
            <w:tcBorders>
              <w:top w:val="single" w:color="auto" w:sz="4" w:space="0"/>
              <w:left w:val="single" w:color="auto" w:sz="4" w:space="0"/>
              <w:bottom w:val="single" w:color="auto" w:sz="4" w:space="0"/>
              <w:right w:val="single" w:color="auto" w:sz="4" w:space="0"/>
            </w:tcBorders>
            <w:vAlign w:val="center"/>
          </w:tcPr>
          <w:p w14:paraId="3739554C">
            <w:pPr>
              <w:keepNext w:val="0"/>
              <w:keepLines w:val="0"/>
              <w:suppressLineNumbers w:val="0"/>
              <w:spacing w:before="0" w:beforeAutospacing="0" w:after="0" w:afterAutospacing="0"/>
              <w:ind w:left="0" w:right="0"/>
              <w:rPr>
                <w:rFonts w:hint="default"/>
                <w:color w:val="auto"/>
                <w:szCs w:val="21"/>
                <w:highlight w:val="none"/>
              </w:rPr>
            </w:pPr>
          </w:p>
        </w:tc>
      </w:tr>
      <w:tr w14:paraId="1511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13" w:type="pct"/>
            <w:tcBorders>
              <w:top w:val="single" w:color="auto" w:sz="4" w:space="0"/>
              <w:left w:val="single" w:color="auto" w:sz="4" w:space="0"/>
              <w:bottom w:val="single" w:color="auto" w:sz="4" w:space="0"/>
              <w:right w:val="single" w:color="auto" w:sz="4" w:space="0"/>
            </w:tcBorders>
            <w:vAlign w:val="center"/>
          </w:tcPr>
          <w:p w14:paraId="3E8098D2">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偏差（（PT-PC）/PC）（%）</w:t>
            </w:r>
          </w:p>
        </w:tc>
        <w:tc>
          <w:tcPr>
            <w:tcW w:w="353" w:type="pct"/>
            <w:gridSpan w:val="2"/>
            <w:tcBorders>
              <w:top w:val="single" w:color="auto" w:sz="4" w:space="0"/>
              <w:left w:val="single" w:color="auto" w:sz="4" w:space="0"/>
              <w:bottom w:val="single" w:color="auto" w:sz="4" w:space="0"/>
              <w:right w:val="single" w:color="auto" w:sz="4" w:space="0"/>
            </w:tcBorders>
            <w:vAlign w:val="center"/>
          </w:tcPr>
          <w:p w14:paraId="08D168CE">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463018D">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2669C0EC">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38BDE178">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C1F12F8">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334EC5EC">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273CF07D">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4EFC3D0">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5193EE1">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5EFADA4">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1A13905A">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220FBAF">
            <w:pPr>
              <w:keepNext w:val="0"/>
              <w:keepLines w:val="0"/>
              <w:suppressLineNumbers w:val="0"/>
              <w:spacing w:before="0" w:beforeAutospacing="0" w:after="0" w:afterAutospacing="0"/>
              <w:ind w:left="0" w:right="0"/>
              <w:rPr>
                <w:rFonts w:hint="default"/>
                <w:color w:val="auto"/>
                <w:szCs w:val="21"/>
                <w:highlight w:val="none"/>
              </w:rPr>
            </w:pPr>
          </w:p>
        </w:tc>
      </w:tr>
      <w:tr w14:paraId="6B1C5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13" w:type="pct"/>
            <w:tcBorders>
              <w:top w:val="single" w:color="auto" w:sz="4" w:space="0"/>
              <w:left w:val="single" w:color="auto" w:sz="4" w:space="0"/>
              <w:bottom w:val="single" w:color="auto" w:sz="4" w:space="0"/>
              <w:right w:val="single" w:color="auto" w:sz="4" w:space="0"/>
            </w:tcBorders>
            <w:vAlign w:val="center"/>
          </w:tcPr>
          <w:p w14:paraId="3AA30A1F">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减分（A）</w:t>
            </w:r>
          </w:p>
        </w:tc>
        <w:tc>
          <w:tcPr>
            <w:tcW w:w="353" w:type="pct"/>
            <w:gridSpan w:val="2"/>
            <w:tcBorders>
              <w:top w:val="single" w:color="auto" w:sz="4" w:space="0"/>
              <w:left w:val="single" w:color="auto" w:sz="4" w:space="0"/>
              <w:bottom w:val="single" w:color="auto" w:sz="4" w:space="0"/>
              <w:right w:val="single" w:color="auto" w:sz="4" w:space="0"/>
            </w:tcBorders>
            <w:vAlign w:val="center"/>
          </w:tcPr>
          <w:p w14:paraId="35BF2975">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1B3AC2C7">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5FF42F45">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1526663">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190F16EF">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3B65F38">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F06738F">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B958A7C">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A4AC9B2">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EB21D9C">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21D6217">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3D6C1FC5">
            <w:pPr>
              <w:keepNext w:val="0"/>
              <w:keepLines w:val="0"/>
              <w:suppressLineNumbers w:val="0"/>
              <w:spacing w:before="0" w:beforeAutospacing="0" w:after="0" w:afterAutospacing="0"/>
              <w:ind w:left="0" w:right="0"/>
              <w:rPr>
                <w:rFonts w:hint="default"/>
                <w:color w:val="auto"/>
                <w:szCs w:val="21"/>
                <w:highlight w:val="none"/>
              </w:rPr>
            </w:pPr>
          </w:p>
        </w:tc>
      </w:tr>
      <w:tr w14:paraId="78307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13" w:type="pct"/>
            <w:tcBorders>
              <w:top w:val="single" w:color="auto" w:sz="4" w:space="0"/>
              <w:left w:val="single" w:color="auto" w:sz="4" w:space="0"/>
              <w:bottom w:val="single" w:color="auto" w:sz="4" w:space="0"/>
              <w:right w:val="single" w:color="auto" w:sz="4" w:space="0"/>
            </w:tcBorders>
            <w:vAlign w:val="center"/>
          </w:tcPr>
          <w:p w14:paraId="012E5B39">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得分(I=100-A)</w:t>
            </w:r>
          </w:p>
        </w:tc>
        <w:tc>
          <w:tcPr>
            <w:tcW w:w="353" w:type="pct"/>
            <w:gridSpan w:val="2"/>
            <w:tcBorders>
              <w:top w:val="single" w:color="auto" w:sz="4" w:space="0"/>
              <w:left w:val="single" w:color="auto" w:sz="4" w:space="0"/>
              <w:bottom w:val="single" w:color="auto" w:sz="4" w:space="0"/>
              <w:right w:val="single" w:color="auto" w:sz="4" w:space="0"/>
            </w:tcBorders>
            <w:vAlign w:val="center"/>
          </w:tcPr>
          <w:p w14:paraId="073ECA9B">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EB163F1">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1717BF69">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80F485C">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1DA8EE74">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DC0C2A3">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3A7B1ED3">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58676706">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1EE4F5D7">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37EE3D5A">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541B9F42">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6AEA7F4">
            <w:pPr>
              <w:keepNext w:val="0"/>
              <w:keepLines w:val="0"/>
              <w:suppressLineNumbers w:val="0"/>
              <w:spacing w:before="0" w:beforeAutospacing="0" w:after="0" w:afterAutospacing="0"/>
              <w:ind w:left="0" w:right="0"/>
              <w:rPr>
                <w:rFonts w:hint="default"/>
                <w:color w:val="auto"/>
                <w:szCs w:val="21"/>
                <w:highlight w:val="none"/>
              </w:rPr>
            </w:pPr>
          </w:p>
        </w:tc>
      </w:tr>
      <w:tr w14:paraId="26E59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13" w:type="pct"/>
            <w:tcBorders>
              <w:top w:val="single" w:color="auto" w:sz="4" w:space="0"/>
              <w:left w:val="single" w:color="auto" w:sz="4" w:space="0"/>
              <w:bottom w:val="single" w:color="auto" w:sz="4" w:space="0"/>
              <w:right w:val="single" w:color="auto" w:sz="4" w:space="0"/>
            </w:tcBorders>
            <w:vAlign w:val="center"/>
          </w:tcPr>
          <w:p w14:paraId="23670AB2">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得分排名次序</w:t>
            </w:r>
          </w:p>
        </w:tc>
        <w:tc>
          <w:tcPr>
            <w:tcW w:w="353" w:type="pct"/>
            <w:gridSpan w:val="2"/>
            <w:tcBorders>
              <w:top w:val="single" w:color="auto" w:sz="4" w:space="0"/>
              <w:left w:val="single" w:color="auto" w:sz="4" w:space="0"/>
              <w:bottom w:val="single" w:color="auto" w:sz="4" w:space="0"/>
              <w:right w:val="single" w:color="auto" w:sz="4" w:space="0"/>
            </w:tcBorders>
            <w:vAlign w:val="center"/>
          </w:tcPr>
          <w:p w14:paraId="5C4EF5A8">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1926A42E">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DAAD61B">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FB8B048">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A19D311">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DDE28BA">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04B3938">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75995B2">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2ADEF7E">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E843214">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21D62EA8">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1A7A3A8">
            <w:pPr>
              <w:keepNext w:val="0"/>
              <w:keepLines w:val="0"/>
              <w:suppressLineNumbers w:val="0"/>
              <w:spacing w:before="0" w:beforeAutospacing="0" w:after="0" w:afterAutospacing="0"/>
              <w:ind w:left="0" w:right="0"/>
              <w:rPr>
                <w:rFonts w:hint="default"/>
                <w:color w:val="auto"/>
                <w:szCs w:val="21"/>
                <w:highlight w:val="none"/>
              </w:rPr>
            </w:pPr>
          </w:p>
        </w:tc>
      </w:tr>
    </w:tbl>
    <w:p w14:paraId="727FC70F">
      <w:pPr>
        <w:rPr>
          <w:rFonts w:cs="宋体"/>
          <w:color w:val="auto"/>
          <w:kern w:val="0"/>
          <w:szCs w:val="21"/>
          <w:highlight w:val="none"/>
        </w:rPr>
      </w:pPr>
      <w:r>
        <w:rPr>
          <w:rFonts w:cs="宋体"/>
          <w:color w:val="auto"/>
          <w:kern w:val="0"/>
          <w:szCs w:val="21"/>
          <w:highlight w:val="none"/>
        </w:rPr>
        <w:tab/>
      </w:r>
    </w:p>
    <w:p w14:paraId="32141A87">
      <w:pPr>
        <w:rPr>
          <w:color w:val="auto"/>
          <w:kern w:val="0"/>
          <w:szCs w:val="21"/>
          <w:highlight w:val="none"/>
        </w:rPr>
      </w:pPr>
      <w:r>
        <w:rPr>
          <w:rFonts w:hint="eastAsia"/>
          <w:color w:val="auto"/>
          <w:kern w:val="0"/>
          <w:szCs w:val="21"/>
          <w:highlight w:val="none"/>
        </w:rPr>
        <w:t>评委签名：</w:t>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rFonts w:hint="eastAsia"/>
          <w:color w:val="auto"/>
          <w:kern w:val="0"/>
          <w:szCs w:val="21"/>
          <w:highlight w:val="none"/>
        </w:rPr>
        <w:t>日期：</w:t>
      </w:r>
    </w:p>
    <w:p w14:paraId="554CEC43">
      <w:pPr>
        <w:rPr>
          <w:color w:val="auto"/>
          <w:highlight w:val="none"/>
        </w:rPr>
      </w:pPr>
    </w:p>
    <w:p w14:paraId="3A422D45">
      <w:pPr>
        <w:rPr>
          <w:color w:val="auto"/>
          <w:highlight w:val="none"/>
        </w:rPr>
      </w:pPr>
      <w:r>
        <w:rPr>
          <w:color w:val="auto"/>
          <w:highlight w:val="none"/>
        </w:rPr>
        <w:br w:type="page"/>
      </w:r>
    </w:p>
    <w:p w14:paraId="06D7223C">
      <w:pPr>
        <w:jc w:val="center"/>
        <w:rPr>
          <w:b/>
          <w:color w:val="auto"/>
          <w:sz w:val="36"/>
          <w:szCs w:val="36"/>
          <w:highlight w:val="none"/>
        </w:rPr>
      </w:pPr>
      <w:r>
        <w:rPr>
          <w:rFonts w:hint="eastAsia"/>
          <w:b/>
          <w:color w:val="auto"/>
          <w:sz w:val="36"/>
          <w:szCs w:val="36"/>
          <w:highlight w:val="none"/>
        </w:rPr>
        <w:t>算术复核表</w:t>
      </w:r>
    </w:p>
    <w:p w14:paraId="22E566A4">
      <w:pPr>
        <w:rPr>
          <w:color w:val="auto"/>
          <w:szCs w:val="21"/>
          <w:highlight w:val="none"/>
        </w:rPr>
      </w:pPr>
      <w:r>
        <w:rPr>
          <w:rFonts w:hint="eastAsia"/>
          <w:color w:val="auto"/>
          <w:szCs w:val="21"/>
          <w:highlight w:val="none"/>
        </w:rPr>
        <w:t>工程名称：</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3953"/>
        <w:gridCol w:w="2143"/>
        <w:gridCol w:w="2852"/>
        <w:gridCol w:w="3149"/>
      </w:tblGrid>
      <w:tr w14:paraId="0B830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41" w:type="dxa"/>
            <w:tcBorders>
              <w:top w:val="single" w:color="auto" w:sz="4" w:space="0"/>
              <w:left w:val="single" w:color="auto" w:sz="4" w:space="0"/>
              <w:bottom w:val="single" w:color="auto" w:sz="4" w:space="0"/>
              <w:right w:val="single" w:color="auto" w:sz="4" w:space="0"/>
            </w:tcBorders>
          </w:tcPr>
          <w:p w14:paraId="539F8B96">
            <w:pPr>
              <w:keepNext w:val="0"/>
              <w:keepLines w:val="0"/>
              <w:suppressLineNumbers w:val="0"/>
              <w:spacing w:before="0" w:beforeAutospacing="0" w:after="0" w:afterAutospacing="0"/>
              <w:ind w:left="0" w:right="0"/>
              <w:rPr>
                <w:rFonts w:hint="default"/>
                <w:b/>
                <w:color w:val="auto"/>
                <w:sz w:val="28"/>
                <w:szCs w:val="28"/>
                <w:highlight w:val="none"/>
              </w:rPr>
            </w:pPr>
            <w:r>
              <w:rPr>
                <w:rFonts w:hint="eastAsia"/>
                <w:b/>
                <w:color w:val="auto"/>
                <w:sz w:val="28"/>
                <w:szCs w:val="28"/>
                <w:highlight w:val="none"/>
              </w:rPr>
              <w:t>编号</w:t>
            </w:r>
          </w:p>
        </w:tc>
        <w:tc>
          <w:tcPr>
            <w:tcW w:w="3953" w:type="dxa"/>
            <w:tcBorders>
              <w:top w:val="single" w:color="auto" w:sz="4" w:space="0"/>
              <w:left w:val="single" w:color="auto" w:sz="4" w:space="0"/>
              <w:bottom w:val="single" w:color="auto" w:sz="4" w:space="0"/>
              <w:right w:val="single" w:color="auto" w:sz="4" w:space="0"/>
            </w:tcBorders>
          </w:tcPr>
          <w:p w14:paraId="0EB25101">
            <w:pPr>
              <w:keepNext w:val="0"/>
              <w:keepLines w:val="0"/>
              <w:suppressLineNumbers w:val="0"/>
              <w:spacing w:before="0" w:beforeAutospacing="0" w:after="0" w:afterAutospacing="0"/>
              <w:ind w:left="0" w:right="0"/>
              <w:rPr>
                <w:rFonts w:hint="default"/>
                <w:b/>
                <w:color w:val="auto"/>
                <w:sz w:val="28"/>
                <w:szCs w:val="28"/>
                <w:highlight w:val="none"/>
              </w:rPr>
            </w:pPr>
            <w:r>
              <w:rPr>
                <w:rFonts w:hint="eastAsia"/>
                <w:b/>
                <w:color w:val="auto"/>
                <w:sz w:val="28"/>
                <w:szCs w:val="28"/>
                <w:highlight w:val="none"/>
              </w:rPr>
              <w:t>投标人名称</w:t>
            </w:r>
          </w:p>
        </w:tc>
        <w:tc>
          <w:tcPr>
            <w:tcW w:w="2143" w:type="dxa"/>
            <w:tcBorders>
              <w:top w:val="single" w:color="auto" w:sz="4" w:space="0"/>
              <w:left w:val="single" w:color="auto" w:sz="4" w:space="0"/>
              <w:bottom w:val="single" w:color="auto" w:sz="4" w:space="0"/>
              <w:right w:val="single" w:color="auto" w:sz="4" w:space="0"/>
            </w:tcBorders>
          </w:tcPr>
          <w:p w14:paraId="4EC797FA">
            <w:pPr>
              <w:keepNext w:val="0"/>
              <w:keepLines w:val="0"/>
              <w:suppressLineNumbers w:val="0"/>
              <w:spacing w:before="0" w:beforeAutospacing="0" w:after="0" w:afterAutospacing="0"/>
              <w:ind w:left="0" w:right="0"/>
              <w:rPr>
                <w:rFonts w:hint="default"/>
                <w:b/>
                <w:color w:val="auto"/>
                <w:sz w:val="28"/>
                <w:szCs w:val="28"/>
                <w:highlight w:val="none"/>
              </w:rPr>
            </w:pPr>
            <w:r>
              <w:rPr>
                <w:rFonts w:hint="eastAsia"/>
                <w:b/>
                <w:color w:val="auto"/>
                <w:sz w:val="28"/>
                <w:szCs w:val="28"/>
                <w:highlight w:val="none"/>
              </w:rPr>
              <w:t>原投标报价（</w:t>
            </w:r>
            <w:r>
              <w:rPr>
                <w:rFonts w:hint="default"/>
                <w:b/>
                <w:color w:val="auto"/>
                <w:sz w:val="28"/>
                <w:szCs w:val="28"/>
                <w:highlight w:val="none"/>
              </w:rPr>
              <w:t>A</w:t>
            </w:r>
            <w:r>
              <w:rPr>
                <w:rFonts w:hint="eastAsia"/>
                <w:b/>
                <w:color w:val="auto"/>
                <w:sz w:val="28"/>
                <w:szCs w:val="28"/>
                <w:highlight w:val="none"/>
              </w:rPr>
              <w:t>）</w:t>
            </w:r>
          </w:p>
        </w:tc>
        <w:tc>
          <w:tcPr>
            <w:tcW w:w="2852" w:type="dxa"/>
            <w:tcBorders>
              <w:top w:val="single" w:color="auto" w:sz="4" w:space="0"/>
              <w:left w:val="single" w:color="auto" w:sz="4" w:space="0"/>
              <w:bottom w:val="single" w:color="auto" w:sz="4" w:space="0"/>
              <w:right w:val="single" w:color="auto" w:sz="4" w:space="0"/>
            </w:tcBorders>
          </w:tcPr>
          <w:p w14:paraId="75220DC1">
            <w:pPr>
              <w:keepNext w:val="0"/>
              <w:keepLines w:val="0"/>
              <w:suppressLineNumbers w:val="0"/>
              <w:spacing w:before="0" w:beforeAutospacing="0" w:after="0" w:afterAutospacing="0"/>
              <w:ind w:left="0" w:right="0"/>
              <w:rPr>
                <w:rFonts w:hint="default"/>
                <w:b/>
                <w:color w:val="auto"/>
                <w:sz w:val="28"/>
                <w:szCs w:val="28"/>
                <w:highlight w:val="none"/>
              </w:rPr>
            </w:pPr>
            <w:r>
              <w:rPr>
                <w:rFonts w:hint="eastAsia"/>
                <w:b/>
                <w:color w:val="auto"/>
                <w:sz w:val="28"/>
                <w:szCs w:val="28"/>
                <w:highlight w:val="none"/>
              </w:rPr>
              <w:t>算数复核后投标报价（</w:t>
            </w:r>
            <w:r>
              <w:rPr>
                <w:rFonts w:hint="default"/>
                <w:b/>
                <w:color w:val="auto"/>
                <w:sz w:val="28"/>
                <w:szCs w:val="28"/>
                <w:highlight w:val="none"/>
              </w:rPr>
              <w:t>B</w:t>
            </w:r>
            <w:r>
              <w:rPr>
                <w:rFonts w:hint="eastAsia"/>
                <w:b/>
                <w:color w:val="auto"/>
                <w:sz w:val="28"/>
                <w:szCs w:val="28"/>
                <w:highlight w:val="none"/>
              </w:rPr>
              <w:t>）</w:t>
            </w:r>
          </w:p>
        </w:tc>
        <w:tc>
          <w:tcPr>
            <w:tcW w:w="3149" w:type="dxa"/>
            <w:tcBorders>
              <w:top w:val="single" w:color="auto" w:sz="4" w:space="0"/>
              <w:left w:val="single" w:color="auto" w:sz="4" w:space="0"/>
              <w:bottom w:val="single" w:color="auto" w:sz="4" w:space="0"/>
              <w:right w:val="single" w:color="auto" w:sz="4" w:space="0"/>
            </w:tcBorders>
          </w:tcPr>
          <w:p w14:paraId="7E751A2C">
            <w:pPr>
              <w:keepNext w:val="0"/>
              <w:keepLines w:val="0"/>
              <w:suppressLineNumbers w:val="0"/>
              <w:spacing w:before="0" w:beforeAutospacing="0" w:after="0" w:afterAutospacing="0"/>
              <w:ind w:left="0" w:right="0"/>
              <w:rPr>
                <w:rFonts w:hint="default"/>
                <w:b/>
                <w:color w:val="auto"/>
                <w:sz w:val="28"/>
                <w:szCs w:val="28"/>
                <w:highlight w:val="none"/>
              </w:rPr>
            </w:pPr>
            <w:r>
              <w:rPr>
                <w:rFonts w:hint="eastAsia"/>
                <w:b/>
                <w:color w:val="auto"/>
                <w:sz w:val="28"/>
                <w:szCs w:val="28"/>
                <w:highlight w:val="none"/>
              </w:rPr>
              <w:t>误差率（</w:t>
            </w:r>
            <w:r>
              <w:rPr>
                <w:rFonts w:hint="default"/>
                <w:b/>
                <w:color w:val="auto"/>
                <w:sz w:val="28"/>
                <w:szCs w:val="28"/>
                <w:highlight w:val="none"/>
              </w:rPr>
              <w:t>r=|A-B|/A*100%</w:t>
            </w:r>
            <w:r>
              <w:rPr>
                <w:rFonts w:hint="eastAsia"/>
                <w:b/>
                <w:color w:val="auto"/>
                <w:sz w:val="28"/>
                <w:szCs w:val="28"/>
                <w:highlight w:val="none"/>
              </w:rPr>
              <w:t>）</w:t>
            </w:r>
          </w:p>
        </w:tc>
      </w:tr>
      <w:tr w14:paraId="66E4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41" w:type="dxa"/>
            <w:tcBorders>
              <w:top w:val="single" w:color="auto" w:sz="4" w:space="0"/>
              <w:left w:val="single" w:color="auto" w:sz="4" w:space="0"/>
              <w:bottom w:val="single" w:color="auto" w:sz="4" w:space="0"/>
              <w:right w:val="single" w:color="auto" w:sz="4" w:space="0"/>
            </w:tcBorders>
          </w:tcPr>
          <w:p w14:paraId="314B4CB9">
            <w:pPr>
              <w:keepNext w:val="0"/>
              <w:keepLines w:val="0"/>
              <w:suppressLineNumbers w:val="0"/>
              <w:spacing w:before="0" w:beforeAutospacing="0" w:after="0" w:afterAutospacing="0"/>
              <w:ind w:left="0" w:right="0"/>
              <w:rPr>
                <w:rFonts w:hint="default"/>
                <w:color w:val="auto"/>
                <w:sz w:val="36"/>
                <w:szCs w:val="36"/>
                <w:highlight w:val="none"/>
              </w:rPr>
            </w:pPr>
          </w:p>
        </w:tc>
        <w:tc>
          <w:tcPr>
            <w:tcW w:w="3953" w:type="dxa"/>
            <w:tcBorders>
              <w:top w:val="single" w:color="auto" w:sz="4" w:space="0"/>
              <w:left w:val="single" w:color="auto" w:sz="4" w:space="0"/>
              <w:bottom w:val="single" w:color="auto" w:sz="4" w:space="0"/>
              <w:right w:val="single" w:color="auto" w:sz="4" w:space="0"/>
            </w:tcBorders>
          </w:tcPr>
          <w:p w14:paraId="1283F5B1">
            <w:pPr>
              <w:keepNext w:val="0"/>
              <w:keepLines w:val="0"/>
              <w:suppressLineNumbers w:val="0"/>
              <w:spacing w:before="0" w:beforeAutospacing="0" w:after="0" w:afterAutospacing="0"/>
              <w:ind w:left="0" w:right="0"/>
              <w:rPr>
                <w:rFonts w:hint="default"/>
                <w:color w:val="auto"/>
                <w:sz w:val="36"/>
                <w:szCs w:val="36"/>
                <w:highlight w:val="none"/>
              </w:rPr>
            </w:pPr>
          </w:p>
        </w:tc>
        <w:tc>
          <w:tcPr>
            <w:tcW w:w="2143" w:type="dxa"/>
            <w:tcBorders>
              <w:top w:val="single" w:color="auto" w:sz="4" w:space="0"/>
              <w:left w:val="single" w:color="auto" w:sz="4" w:space="0"/>
              <w:bottom w:val="single" w:color="auto" w:sz="4" w:space="0"/>
              <w:right w:val="single" w:color="auto" w:sz="4" w:space="0"/>
            </w:tcBorders>
          </w:tcPr>
          <w:p w14:paraId="7629CF36">
            <w:pPr>
              <w:keepNext w:val="0"/>
              <w:keepLines w:val="0"/>
              <w:suppressLineNumbers w:val="0"/>
              <w:spacing w:before="0" w:beforeAutospacing="0" w:after="0" w:afterAutospacing="0"/>
              <w:ind w:left="0" w:right="0"/>
              <w:rPr>
                <w:rFonts w:hint="default"/>
                <w:color w:val="auto"/>
                <w:sz w:val="36"/>
                <w:szCs w:val="36"/>
                <w:highlight w:val="none"/>
              </w:rPr>
            </w:pPr>
          </w:p>
        </w:tc>
        <w:tc>
          <w:tcPr>
            <w:tcW w:w="2852" w:type="dxa"/>
            <w:tcBorders>
              <w:top w:val="single" w:color="auto" w:sz="4" w:space="0"/>
              <w:left w:val="single" w:color="auto" w:sz="4" w:space="0"/>
              <w:bottom w:val="single" w:color="auto" w:sz="4" w:space="0"/>
              <w:right w:val="single" w:color="auto" w:sz="4" w:space="0"/>
            </w:tcBorders>
          </w:tcPr>
          <w:p w14:paraId="5E3F7186">
            <w:pPr>
              <w:keepNext w:val="0"/>
              <w:keepLines w:val="0"/>
              <w:suppressLineNumbers w:val="0"/>
              <w:spacing w:before="0" w:beforeAutospacing="0" w:after="0" w:afterAutospacing="0"/>
              <w:ind w:left="0" w:right="0"/>
              <w:rPr>
                <w:rFonts w:hint="default"/>
                <w:color w:val="auto"/>
                <w:sz w:val="36"/>
                <w:szCs w:val="36"/>
                <w:highlight w:val="none"/>
              </w:rPr>
            </w:pPr>
          </w:p>
        </w:tc>
        <w:tc>
          <w:tcPr>
            <w:tcW w:w="3149" w:type="dxa"/>
            <w:tcBorders>
              <w:top w:val="single" w:color="auto" w:sz="4" w:space="0"/>
              <w:left w:val="single" w:color="auto" w:sz="4" w:space="0"/>
              <w:bottom w:val="single" w:color="auto" w:sz="4" w:space="0"/>
              <w:right w:val="single" w:color="auto" w:sz="4" w:space="0"/>
            </w:tcBorders>
          </w:tcPr>
          <w:p w14:paraId="449DF710">
            <w:pPr>
              <w:keepNext w:val="0"/>
              <w:keepLines w:val="0"/>
              <w:suppressLineNumbers w:val="0"/>
              <w:spacing w:before="0" w:beforeAutospacing="0" w:after="0" w:afterAutospacing="0"/>
              <w:ind w:left="0" w:right="0"/>
              <w:rPr>
                <w:rFonts w:hint="default"/>
                <w:color w:val="auto"/>
                <w:sz w:val="36"/>
                <w:szCs w:val="36"/>
                <w:highlight w:val="none"/>
              </w:rPr>
            </w:pPr>
          </w:p>
        </w:tc>
      </w:tr>
      <w:tr w14:paraId="11C5E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41" w:type="dxa"/>
            <w:tcBorders>
              <w:top w:val="single" w:color="auto" w:sz="4" w:space="0"/>
              <w:left w:val="single" w:color="auto" w:sz="4" w:space="0"/>
              <w:bottom w:val="single" w:color="auto" w:sz="4" w:space="0"/>
              <w:right w:val="single" w:color="auto" w:sz="4" w:space="0"/>
            </w:tcBorders>
          </w:tcPr>
          <w:p w14:paraId="78B55FAB">
            <w:pPr>
              <w:keepNext w:val="0"/>
              <w:keepLines w:val="0"/>
              <w:suppressLineNumbers w:val="0"/>
              <w:spacing w:before="0" w:beforeAutospacing="0" w:after="0" w:afterAutospacing="0"/>
              <w:ind w:left="0" w:right="0"/>
              <w:rPr>
                <w:rFonts w:hint="default"/>
                <w:color w:val="auto"/>
                <w:sz w:val="36"/>
                <w:szCs w:val="36"/>
                <w:highlight w:val="none"/>
              </w:rPr>
            </w:pPr>
          </w:p>
        </w:tc>
        <w:tc>
          <w:tcPr>
            <w:tcW w:w="3953" w:type="dxa"/>
            <w:tcBorders>
              <w:top w:val="single" w:color="auto" w:sz="4" w:space="0"/>
              <w:left w:val="single" w:color="auto" w:sz="4" w:space="0"/>
              <w:bottom w:val="single" w:color="auto" w:sz="4" w:space="0"/>
              <w:right w:val="single" w:color="auto" w:sz="4" w:space="0"/>
            </w:tcBorders>
          </w:tcPr>
          <w:p w14:paraId="5A59AB72">
            <w:pPr>
              <w:keepNext w:val="0"/>
              <w:keepLines w:val="0"/>
              <w:suppressLineNumbers w:val="0"/>
              <w:spacing w:before="0" w:beforeAutospacing="0" w:after="0" w:afterAutospacing="0"/>
              <w:ind w:left="0" w:right="0"/>
              <w:rPr>
                <w:rFonts w:hint="default"/>
                <w:color w:val="auto"/>
                <w:sz w:val="36"/>
                <w:szCs w:val="36"/>
                <w:highlight w:val="none"/>
              </w:rPr>
            </w:pPr>
          </w:p>
        </w:tc>
        <w:tc>
          <w:tcPr>
            <w:tcW w:w="2143" w:type="dxa"/>
            <w:tcBorders>
              <w:top w:val="single" w:color="auto" w:sz="4" w:space="0"/>
              <w:left w:val="single" w:color="auto" w:sz="4" w:space="0"/>
              <w:bottom w:val="single" w:color="auto" w:sz="4" w:space="0"/>
              <w:right w:val="single" w:color="auto" w:sz="4" w:space="0"/>
            </w:tcBorders>
          </w:tcPr>
          <w:p w14:paraId="06C64C8E">
            <w:pPr>
              <w:keepNext w:val="0"/>
              <w:keepLines w:val="0"/>
              <w:suppressLineNumbers w:val="0"/>
              <w:spacing w:before="0" w:beforeAutospacing="0" w:after="0" w:afterAutospacing="0"/>
              <w:ind w:left="0" w:right="0"/>
              <w:rPr>
                <w:rFonts w:hint="default"/>
                <w:color w:val="auto"/>
                <w:sz w:val="36"/>
                <w:szCs w:val="36"/>
                <w:highlight w:val="none"/>
              </w:rPr>
            </w:pPr>
          </w:p>
        </w:tc>
        <w:tc>
          <w:tcPr>
            <w:tcW w:w="2852" w:type="dxa"/>
            <w:tcBorders>
              <w:top w:val="single" w:color="auto" w:sz="4" w:space="0"/>
              <w:left w:val="single" w:color="auto" w:sz="4" w:space="0"/>
              <w:bottom w:val="single" w:color="auto" w:sz="4" w:space="0"/>
              <w:right w:val="single" w:color="auto" w:sz="4" w:space="0"/>
            </w:tcBorders>
          </w:tcPr>
          <w:p w14:paraId="30A20CA0">
            <w:pPr>
              <w:keepNext w:val="0"/>
              <w:keepLines w:val="0"/>
              <w:suppressLineNumbers w:val="0"/>
              <w:spacing w:before="0" w:beforeAutospacing="0" w:after="0" w:afterAutospacing="0"/>
              <w:ind w:left="0" w:right="0"/>
              <w:rPr>
                <w:rFonts w:hint="default"/>
                <w:color w:val="auto"/>
                <w:sz w:val="36"/>
                <w:szCs w:val="36"/>
                <w:highlight w:val="none"/>
              </w:rPr>
            </w:pPr>
          </w:p>
        </w:tc>
        <w:tc>
          <w:tcPr>
            <w:tcW w:w="3149" w:type="dxa"/>
            <w:tcBorders>
              <w:top w:val="single" w:color="auto" w:sz="4" w:space="0"/>
              <w:left w:val="single" w:color="auto" w:sz="4" w:space="0"/>
              <w:bottom w:val="single" w:color="auto" w:sz="4" w:space="0"/>
              <w:right w:val="single" w:color="auto" w:sz="4" w:space="0"/>
            </w:tcBorders>
          </w:tcPr>
          <w:p w14:paraId="4A279CFC">
            <w:pPr>
              <w:keepNext w:val="0"/>
              <w:keepLines w:val="0"/>
              <w:suppressLineNumbers w:val="0"/>
              <w:spacing w:before="0" w:beforeAutospacing="0" w:after="0" w:afterAutospacing="0"/>
              <w:ind w:left="0" w:right="0"/>
              <w:rPr>
                <w:rFonts w:hint="default"/>
                <w:color w:val="auto"/>
                <w:sz w:val="36"/>
                <w:szCs w:val="36"/>
                <w:highlight w:val="none"/>
              </w:rPr>
            </w:pPr>
          </w:p>
        </w:tc>
      </w:tr>
      <w:tr w14:paraId="6F5E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41" w:type="dxa"/>
            <w:tcBorders>
              <w:top w:val="single" w:color="auto" w:sz="4" w:space="0"/>
              <w:left w:val="single" w:color="auto" w:sz="4" w:space="0"/>
              <w:bottom w:val="single" w:color="auto" w:sz="4" w:space="0"/>
              <w:right w:val="single" w:color="auto" w:sz="4" w:space="0"/>
            </w:tcBorders>
          </w:tcPr>
          <w:p w14:paraId="3C673210">
            <w:pPr>
              <w:keepNext w:val="0"/>
              <w:keepLines w:val="0"/>
              <w:suppressLineNumbers w:val="0"/>
              <w:spacing w:before="0" w:beforeAutospacing="0" w:after="0" w:afterAutospacing="0"/>
              <w:ind w:left="0" w:right="0"/>
              <w:rPr>
                <w:rFonts w:hint="default"/>
                <w:color w:val="auto"/>
                <w:sz w:val="36"/>
                <w:szCs w:val="36"/>
                <w:highlight w:val="none"/>
              </w:rPr>
            </w:pPr>
          </w:p>
        </w:tc>
        <w:tc>
          <w:tcPr>
            <w:tcW w:w="3953" w:type="dxa"/>
            <w:tcBorders>
              <w:top w:val="single" w:color="auto" w:sz="4" w:space="0"/>
              <w:left w:val="single" w:color="auto" w:sz="4" w:space="0"/>
              <w:bottom w:val="single" w:color="auto" w:sz="4" w:space="0"/>
              <w:right w:val="single" w:color="auto" w:sz="4" w:space="0"/>
            </w:tcBorders>
          </w:tcPr>
          <w:p w14:paraId="3D15AAA8">
            <w:pPr>
              <w:keepNext w:val="0"/>
              <w:keepLines w:val="0"/>
              <w:suppressLineNumbers w:val="0"/>
              <w:spacing w:before="0" w:beforeAutospacing="0" w:after="0" w:afterAutospacing="0"/>
              <w:ind w:left="0" w:right="0"/>
              <w:rPr>
                <w:rFonts w:hint="default"/>
                <w:color w:val="auto"/>
                <w:sz w:val="36"/>
                <w:szCs w:val="36"/>
                <w:highlight w:val="none"/>
              </w:rPr>
            </w:pPr>
          </w:p>
        </w:tc>
        <w:tc>
          <w:tcPr>
            <w:tcW w:w="2143" w:type="dxa"/>
            <w:tcBorders>
              <w:top w:val="single" w:color="auto" w:sz="4" w:space="0"/>
              <w:left w:val="single" w:color="auto" w:sz="4" w:space="0"/>
              <w:bottom w:val="single" w:color="auto" w:sz="4" w:space="0"/>
              <w:right w:val="single" w:color="auto" w:sz="4" w:space="0"/>
            </w:tcBorders>
          </w:tcPr>
          <w:p w14:paraId="5E3B00C4">
            <w:pPr>
              <w:keepNext w:val="0"/>
              <w:keepLines w:val="0"/>
              <w:suppressLineNumbers w:val="0"/>
              <w:spacing w:before="0" w:beforeAutospacing="0" w:after="0" w:afterAutospacing="0"/>
              <w:ind w:left="0" w:right="0"/>
              <w:rPr>
                <w:rFonts w:hint="default"/>
                <w:color w:val="auto"/>
                <w:sz w:val="36"/>
                <w:szCs w:val="36"/>
                <w:highlight w:val="none"/>
              </w:rPr>
            </w:pPr>
          </w:p>
        </w:tc>
        <w:tc>
          <w:tcPr>
            <w:tcW w:w="2852" w:type="dxa"/>
            <w:tcBorders>
              <w:top w:val="single" w:color="auto" w:sz="4" w:space="0"/>
              <w:left w:val="single" w:color="auto" w:sz="4" w:space="0"/>
              <w:bottom w:val="single" w:color="auto" w:sz="4" w:space="0"/>
              <w:right w:val="single" w:color="auto" w:sz="4" w:space="0"/>
            </w:tcBorders>
          </w:tcPr>
          <w:p w14:paraId="39BCE149">
            <w:pPr>
              <w:keepNext w:val="0"/>
              <w:keepLines w:val="0"/>
              <w:suppressLineNumbers w:val="0"/>
              <w:spacing w:before="0" w:beforeAutospacing="0" w:after="0" w:afterAutospacing="0"/>
              <w:ind w:left="0" w:right="0"/>
              <w:rPr>
                <w:rFonts w:hint="default"/>
                <w:color w:val="auto"/>
                <w:sz w:val="36"/>
                <w:szCs w:val="36"/>
                <w:highlight w:val="none"/>
              </w:rPr>
            </w:pPr>
          </w:p>
        </w:tc>
        <w:tc>
          <w:tcPr>
            <w:tcW w:w="3149" w:type="dxa"/>
            <w:tcBorders>
              <w:top w:val="single" w:color="auto" w:sz="4" w:space="0"/>
              <w:left w:val="single" w:color="auto" w:sz="4" w:space="0"/>
              <w:bottom w:val="single" w:color="auto" w:sz="4" w:space="0"/>
              <w:right w:val="single" w:color="auto" w:sz="4" w:space="0"/>
            </w:tcBorders>
          </w:tcPr>
          <w:p w14:paraId="1401576A">
            <w:pPr>
              <w:keepNext w:val="0"/>
              <w:keepLines w:val="0"/>
              <w:suppressLineNumbers w:val="0"/>
              <w:spacing w:before="0" w:beforeAutospacing="0" w:after="0" w:afterAutospacing="0"/>
              <w:ind w:left="0" w:right="0"/>
              <w:rPr>
                <w:rFonts w:hint="default"/>
                <w:color w:val="auto"/>
                <w:sz w:val="36"/>
                <w:szCs w:val="36"/>
                <w:highlight w:val="none"/>
              </w:rPr>
            </w:pPr>
          </w:p>
        </w:tc>
      </w:tr>
      <w:tr w14:paraId="59EF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41" w:type="dxa"/>
            <w:tcBorders>
              <w:top w:val="single" w:color="auto" w:sz="4" w:space="0"/>
              <w:left w:val="single" w:color="auto" w:sz="4" w:space="0"/>
              <w:bottom w:val="single" w:color="auto" w:sz="4" w:space="0"/>
              <w:right w:val="single" w:color="auto" w:sz="4" w:space="0"/>
            </w:tcBorders>
          </w:tcPr>
          <w:p w14:paraId="272A39A6">
            <w:pPr>
              <w:keepNext w:val="0"/>
              <w:keepLines w:val="0"/>
              <w:suppressLineNumbers w:val="0"/>
              <w:spacing w:before="0" w:beforeAutospacing="0" w:after="0" w:afterAutospacing="0"/>
              <w:ind w:left="0" w:right="0"/>
              <w:rPr>
                <w:rFonts w:hint="default"/>
                <w:color w:val="auto"/>
                <w:sz w:val="36"/>
                <w:szCs w:val="36"/>
                <w:highlight w:val="none"/>
              </w:rPr>
            </w:pPr>
          </w:p>
        </w:tc>
        <w:tc>
          <w:tcPr>
            <w:tcW w:w="3953" w:type="dxa"/>
            <w:tcBorders>
              <w:top w:val="single" w:color="auto" w:sz="4" w:space="0"/>
              <w:left w:val="single" w:color="auto" w:sz="4" w:space="0"/>
              <w:bottom w:val="single" w:color="auto" w:sz="4" w:space="0"/>
              <w:right w:val="single" w:color="auto" w:sz="4" w:space="0"/>
            </w:tcBorders>
          </w:tcPr>
          <w:p w14:paraId="1C2D22B5">
            <w:pPr>
              <w:keepNext w:val="0"/>
              <w:keepLines w:val="0"/>
              <w:suppressLineNumbers w:val="0"/>
              <w:spacing w:before="0" w:beforeAutospacing="0" w:after="0" w:afterAutospacing="0"/>
              <w:ind w:left="0" w:right="0"/>
              <w:rPr>
                <w:rFonts w:hint="default"/>
                <w:color w:val="auto"/>
                <w:sz w:val="36"/>
                <w:szCs w:val="36"/>
                <w:highlight w:val="none"/>
              </w:rPr>
            </w:pPr>
          </w:p>
        </w:tc>
        <w:tc>
          <w:tcPr>
            <w:tcW w:w="2143" w:type="dxa"/>
            <w:tcBorders>
              <w:top w:val="single" w:color="auto" w:sz="4" w:space="0"/>
              <w:left w:val="single" w:color="auto" w:sz="4" w:space="0"/>
              <w:bottom w:val="single" w:color="auto" w:sz="4" w:space="0"/>
              <w:right w:val="single" w:color="auto" w:sz="4" w:space="0"/>
            </w:tcBorders>
          </w:tcPr>
          <w:p w14:paraId="3B9BD898">
            <w:pPr>
              <w:keepNext w:val="0"/>
              <w:keepLines w:val="0"/>
              <w:suppressLineNumbers w:val="0"/>
              <w:spacing w:before="0" w:beforeAutospacing="0" w:after="0" w:afterAutospacing="0"/>
              <w:ind w:left="0" w:right="0"/>
              <w:rPr>
                <w:rFonts w:hint="default"/>
                <w:color w:val="auto"/>
                <w:sz w:val="36"/>
                <w:szCs w:val="36"/>
                <w:highlight w:val="none"/>
              </w:rPr>
            </w:pPr>
          </w:p>
        </w:tc>
        <w:tc>
          <w:tcPr>
            <w:tcW w:w="2852" w:type="dxa"/>
            <w:tcBorders>
              <w:top w:val="single" w:color="auto" w:sz="4" w:space="0"/>
              <w:left w:val="single" w:color="auto" w:sz="4" w:space="0"/>
              <w:bottom w:val="single" w:color="auto" w:sz="4" w:space="0"/>
              <w:right w:val="single" w:color="auto" w:sz="4" w:space="0"/>
            </w:tcBorders>
          </w:tcPr>
          <w:p w14:paraId="4765B171">
            <w:pPr>
              <w:keepNext w:val="0"/>
              <w:keepLines w:val="0"/>
              <w:suppressLineNumbers w:val="0"/>
              <w:spacing w:before="0" w:beforeAutospacing="0" w:after="0" w:afterAutospacing="0"/>
              <w:ind w:left="0" w:right="0"/>
              <w:rPr>
                <w:rFonts w:hint="default"/>
                <w:color w:val="auto"/>
                <w:sz w:val="36"/>
                <w:szCs w:val="36"/>
                <w:highlight w:val="none"/>
              </w:rPr>
            </w:pPr>
          </w:p>
        </w:tc>
        <w:tc>
          <w:tcPr>
            <w:tcW w:w="3149" w:type="dxa"/>
            <w:tcBorders>
              <w:top w:val="single" w:color="auto" w:sz="4" w:space="0"/>
              <w:left w:val="single" w:color="auto" w:sz="4" w:space="0"/>
              <w:bottom w:val="single" w:color="auto" w:sz="4" w:space="0"/>
              <w:right w:val="single" w:color="auto" w:sz="4" w:space="0"/>
            </w:tcBorders>
          </w:tcPr>
          <w:p w14:paraId="6A3B6293">
            <w:pPr>
              <w:keepNext w:val="0"/>
              <w:keepLines w:val="0"/>
              <w:suppressLineNumbers w:val="0"/>
              <w:spacing w:before="0" w:beforeAutospacing="0" w:after="0" w:afterAutospacing="0"/>
              <w:ind w:left="0" w:right="0"/>
              <w:rPr>
                <w:rFonts w:hint="default"/>
                <w:color w:val="auto"/>
                <w:sz w:val="36"/>
                <w:szCs w:val="36"/>
                <w:highlight w:val="none"/>
              </w:rPr>
            </w:pPr>
          </w:p>
        </w:tc>
      </w:tr>
      <w:tr w14:paraId="07A3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41" w:type="dxa"/>
            <w:tcBorders>
              <w:top w:val="single" w:color="auto" w:sz="4" w:space="0"/>
              <w:left w:val="single" w:color="auto" w:sz="4" w:space="0"/>
              <w:bottom w:val="single" w:color="auto" w:sz="4" w:space="0"/>
              <w:right w:val="single" w:color="auto" w:sz="4" w:space="0"/>
            </w:tcBorders>
          </w:tcPr>
          <w:p w14:paraId="4DAAFC5B">
            <w:pPr>
              <w:keepNext w:val="0"/>
              <w:keepLines w:val="0"/>
              <w:suppressLineNumbers w:val="0"/>
              <w:spacing w:before="0" w:beforeAutospacing="0" w:after="0" w:afterAutospacing="0"/>
              <w:ind w:left="0" w:right="0"/>
              <w:rPr>
                <w:rFonts w:hint="default"/>
                <w:color w:val="auto"/>
                <w:sz w:val="36"/>
                <w:szCs w:val="36"/>
                <w:highlight w:val="none"/>
              </w:rPr>
            </w:pPr>
          </w:p>
        </w:tc>
        <w:tc>
          <w:tcPr>
            <w:tcW w:w="3953" w:type="dxa"/>
            <w:tcBorders>
              <w:top w:val="single" w:color="auto" w:sz="4" w:space="0"/>
              <w:left w:val="single" w:color="auto" w:sz="4" w:space="0"/>
              <w:bottom w:val="single" w:color="auto" w:sz="4" w:space="0"/>
              <w:right w:val="single" w:color="auto" w:sz="4" w:space="0"/>
            </w:tcBorders>
          </w:tcPr>
          <w:p w14:paraId="362E1316">
            <w:pPr>
              <w:keepNext w:val="0"/>
              <w:keepLines w:val="0"/>
              <w:suppressLineNumbers w:val="0"/>
              <w:spacing w:before="0" w:beforeAutospacing="0" w:after="0" w:afterAutospacing="0"/>
              <w:ind w:left="0" w:right="0"/>
              <w:rPr>
                <w:rFonts w:hint="default"/>
                <w:color w:val="auto"/>
                <w:sz w:val="36"/>
                <w:szCs w:val="36"/>
                <w:highlight w:val="none"/>
              </w:rPr>
            </w:pPr>
          </w:p>
        </w:tc>
        <w:tc>
          <w:tcPr>
            <w:tcW w:w="2143" w:type="dxa"/>
            <w:tcBorders>
              <w:top w:val="single" w:color="auto" w:sz="4" w:space="0"/>
              <w:left w:val="single" w:color="auto" w:sz="4" w:space="0"/>
              <w:bottom w:val="single" w:color="auto" w:sz="4" w:space="0"/>
              <w:right w:val="single" w:color="auto" w:sz="4" w:space="0"/>
            </w:tcBorders>
          </w:tcPr>
          <w:p w14:paraId="0A1134E6">
            <w:pPr>
              <w:keepNext w:val="0"/>
              <w:keepLines w:val="0"/>
              <w:suppressLineNumbers w:val="0"/>
              <w:spacing w:before="0" w:beforeAutospacing="0" w:after="0" w:afterAutospacing="0"/>
              <w:ind w:left="0" w:right="0"/>
              <w:rPr>
                <w:rFonts w:hint="default"/>
                <w:color w:val="auto"/>
                <w:sz w:val="36"/>
                <w:szCs w:val="36"/>
                <w:highlight w:val="none"/>
              </w:rPr>
            </w:pPr>
          </w:p>
        </w:tc>
        <w:tc>
          <w:tcPr>
            <w:tcW w:w="2852" w:type="dxa"/>
            <w:tcBorders>
              <w:top w:val="single" w:color="auto" w:sz="4" w:space="0"/>
              <w:left w:val="single" w:color="auto" w:sz="4" w:space="0"/>
              <w:bottom w:val="single" w:color="auto" w:sz="4" w:space="0"/>
              <w:right w:val="single" w:color="auto" w:sz="4" w:space="0"/>
            </w:tcBorders>
          </w:tcPr>
          <w:p w14:paraId="172E62B2">
            <w:pPr>
              <w:keepNext w:val="0"/>
              <w:keepLines w:val="0"/>
              <w:suppressLineNumbers w:val="0"/>
              <w:spacing w:before="0" w:beforeAutospacing="0" w:after="0" w:afterAutospacing="0"/>
              <w:ind w:left="0" w:right="0"/>
              <w:rPr>
                <w:rFonts w:hint="default"/>
                <w:color w:val="auto"/>
                <w:sz w:val="36"/>
                <w:szCs w:val="36"/>
                <w:highlight w:val="none"/>
              </w:rPr>
            </w:pPr>
          </w:p>
        </w:tc>
        <w:tc>
          <w:tcPr>
            <w:tcW w:w="3149" w:type="dxa"/>
            <w:tcBorders>
              <w:top w:val="single" w:color="auto" w:sz="4" w:space="0"/>
              <w:left w:val="single" w:color="auto" w:sz="4" w:space="0"/>
              <w:bottom w:val="single" w:color="auto" w:sz="4" w:space="0"/>
              <w:right w:val="single" w:color="auto" w:sz="4" w:space="0"/>
            </w:tcBorders>
          </w:tcPr>
          <w:p w14:paraId="2C0B9989">
            <w:pPr>
              <w:keepNext w:val="0"/>
              <w:keepLines w:val="0"/>
              <w:suppressLineNumbers w:val="0"/>
              <w:spacing w:before="0" w:beforeAutospacing="0" w:after="0" w:afterAutospacing="0"/>
              <w:ind w:left="0" w:right="0"/>
              <w:rPr>
                <w:rFonts w:hint="default"/>
                <w:color w:val="auto"/>
                <w:sz w:val="36"/>
                <w:szCs w:val="36"/>
                <w:highlight w:val="none"/>
              </w:rPr>
            </w:pPr>
          </w:p>
        </w:tc>
      </w:tr>
      <w:tr w14:paraId="4A280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41" w:type="dxa"/>
            <w:tcBorders>
              <w:top w:val="single" w:color="auto" w:sz="4" w:space="0"/>
              <w:left w:val="single" w:color="auto" w:sz="4" w:space="0"/>
              <w:bottom w:val="single" w:color="auto" w:sz="4" w:space="0"/>
              <w:right w:val="single" w:color="auto" w:sz="4" w:space="0"/>
            </w:tcBorders>
          </w:tcPr>
          <w:p w14:paraId="4D799926">
            <w:pPr>
              <w:keepNext w:val="0"/>
              <w:keepLines w:val="0"/>
              <w:suppressLineNumbers w:val="0"/>
              <w:spacing w:before="0" w:beforeAutospacing="0" w:after="0" w:afterAutospacing="0"/>
              <w:ind w:left="0" w:right="0"/>
              <w:rPr>
                <w:rFonts w:hint="default"/>
                <w:color w:val="auto"/>
                <w:sz w:val="36"/>
                <w:szCs w:val="36"/>
                <w:highlight w:val="none"/>
              </w:rPr>
            </w:pPr>
          </w:p>
        </w:tc>
        <w:tc>
          <w:tcPr>
            <w:tcW w:w="3953" w:type="dxa"/>
            <w:tcBorders>
              <w:top w:val="single" w:color="auto" w:sz="4" w:space="0"/>
              <w:left w:val="single" w:color="auto" w:sz="4" w:space="0"/>
              <w:bottom w:val="single" w:color="auto" w:sz="4" w:space="0"/>
              <w:right w:val="single" w:color="auto" w:sz="4" w:space="0"/>
            </w:tcBorders>
          </w:tcPr>
          <w:p w14:paraId="2E9903A1">
            <w:pPr>
              <w:keepNext w:val="0"/>
              <w:keepLines w:val="0"/>
              <w:suppressLineNumbers w:val="0"/>
              <w:spacing w:before="0" w:beforeAutospacing="0" w:after="0" w:afterAutospacing="0"/>
              <w:ind w:left="0" w:right="0"/>
              <w:rPr>
                <w:rFonts w:hint="default"/>
                <w:color w:val="auto"/>
                <w:sz w:val="36"/>
                <w:szCs w:val="36"/>
                <w:highlight w:val="none"/>
              </w:rPr>
            </w:pPr>
          </w:p>
        </w:tc>
        <w:tc>
          <w:tcPr>
            <w:tcW w:w="2143" w:type="dxa"/>
            <w:tcBorders>
              <w:top w:val="single" w:color="auto" w:sz="4" w:space="0"/>
              <w:left w:val="single" w:color="auto" w:sz="4" w:space="0"/>
              <w:bottom w:val="single" w:color="auto" w:sz="4" w:space="0"/>
              <w:right w:val="single" w:color="auto" w:sz="4" w:space="0"/>
            </w:tcBorders>
          </w:tcPr>
          <w:p w14:paraId="15B60BFD">
            <w:pPr>
              <w:keepNext w:val="0"/>
              <w:keepLines w:val="0"/>
              <w:suppressLineNumbers w:val="0"/>
              <w:spacing w:before="0" w:beforeAutospacing="0" w:after="0" w:afterAutospacing="0"/>
              <w:ind w:left="0" w:right="0"/>
              <w:rPr>
                <w:rFonts w:hint="default"/>
                <w:color w:val="auto"/>
                <w:sz w:val="36"/>
                <w:szCs w:val="36"/>
                <w:highlight w:val="none"/>
              </w:rPr>
            </w:pPr>
          </w:p>
        </w:tc>
        <w:tc>
          <w:tcPr>
            <w:tcW w:w="2852" w:type="dxa"/>
            <w:tcBorders>
              <w:top w:val="single" w:color="auto" w:sz="4" w:space="0"/>
              <w:left w:val="single" w:color="auto" w:sz="4" w:space="0"/>
              <w:bottom w:val="single" w:color="auto" w:sz="4" w:space="0"/>
              <w:right w:val="single" w:color="auto" w:sz="4" w:space="0"/>
            </w:tcBorders>
          </w:tcPr>
          <w:p w14:paraId="5ED5253B">
            <w:pPr>
              <w:keepNext w:val="0"/>
              <w:keepLines w:val="0"/>
              <w:suppressLineNumbers w:val="0"/>
              <w:spacing w:before="0" w:beforeAutospacing="0" w:after="0" w:afterAutospacing="0"/>
              <w:ind w:left="0" w:right="0"/>
              <w:rPr>
                <w:rFonts w:hint="default"/>
                <w:color w:val="auto"/>
                <w:sz w:val="36"/>
                <w:szCs w:val="36"/>
                <w:highlight w:val="none"/>
              </w:rPr>
            </w:pPr>
          </w:p>
        </w:tc>
        <w:tc>
          <w:tcPr>
            <w:tcW w:w="3149" w:type="dxa"/>
            <w:tcBorders>
              <w:top w:val="single" w:color="auto" w:sz="4" w:space="0"/>
              <w:left w:val="single" w:color="auto" w:sz="4" w:space="0"/>
              <w:bottom w:val="single" w:color="auto" w:sz="4" w:space="0"/>
              <w:right w:val="single" w:color="auto" w:sz="4" w:space="0"/>
            </w:tcBorders>
          </w:tcPr>
          <w:p w14:paraId="29D03370">
            <w:pPr>
              <w:keepNext w:val="0"/>
              <w:keepLines w:val="0"/>
              <w:suppressLineNumbers w:val="0"/>
              <w:spacing w:before="0" w:beforeAutospacing="0" w:after="0" w:afterAutospacing="0"/>
              <w:ind w:left="0" w:right="0"/>
              <w:rPr>
                <w:rFonts w:hint="default"/>
                <w:color w:val="auto"/>
                <w:sz w:val="36"/>
                <w:szCs w:val="36"/>
                <w:highlight w:val="none"/>
              </w:rPr>
            </w:pPr>
          </w:p>
        </w:tc>
      </w:tr>
      <w:tr w14:paraId="0DAA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41" w:type="dxa"/>
            <w:tcBorders>
              <w:top w:val="single" w:color="auto" w:sz="4" w:space="0"/>
              <w:left w:val="single" w:color="auto" w:sz="4" w:space="0"/>
              <w:bottom w:val="single" w:color="auto" w:sz="4" w:space="0"/>
              <w:right w:val="single" w:color="auto" w:sz="4" w:space="0"/>
            </w:tcBorders>
          </w:tcPr>
          <w:p w14:paraId="2A55AFBD">
            <w:pPr>
              <w:keepNext w:val="0"/>
              <w:keepLines w:val="0"/>
              <w:suppressLineNumbers w:val="0"/>
              <w:spacing w:before="0" w:beforeAutospacing="0" w:after="0" w:afterAutospacing="0"/>
              <w:ind w:left="0" w:right="0"/>
              <w:rPr>
                <w:rFonts w:hint="default"/>
                <w:color w:val="auto"/>
                <w:sz w:val="36"/>
                <w:szCs w:val="36"/>
                <w:highlight w:val="none"/>
              </w:rPr>
            </w:pPr>
          </w:p>
        </w:tc>
        <w:tc>
          <w:tcPr>
            <w:tcW w:w="3953" w:type="dxa"/>
            <w:tcBorders>
              <w:top w:val="single" w:color="auto" w:sz="4" w:space="0"/>
              <w:left w:val="single" w:color="auto" w:sz="4" w:space="0"/>
              <w:bottom w:val="single" w:color="auto" w:sz="4" w:space="0"/>
              <w:right w:val="single" w:color="auto" w:sz="4" w:space="0"/>
            </w:tcBorders>
          </w:tcPr>
          <w:p w14:paraId="4FD09D2D">
            <w:pPr>
              <w:keepNext w:val="0"/>
              <w:keepLines w:val="0"/>
              <w:suppressLineNumbers w:val="0"/>
              <w:spacing w:before="0" w:beforeAutospacing="0" w:after="0" w:afterAutospacing="0"/>
              <w:ind w:left="0" w:right="0"/>
              <w:rPr>
                <w:rFonts w:hint="default"/>
                <w:color w:val="auto"/>
                <w:sz w:val="36"/>
                <w:szCs w:val="36"/>
                <w:highlight w:val="none"/>
              </w:rPr>
            </w:pPr>
          </w:p>
        </w:tc>
        <w:tc>
          <w:tcPr>
            <w:tcW w:w="2143" w:type="dxa"/>
            <w:tcBorders>
              <w:top w:val="single" w:color="auto" w:sz="4" w:space="0"/>
              <w:left w:val="single" w:color="auto" w:sz="4" w:space="0"/>
              <w:bottom w:val="single" w:color="auto" w:sz="4" w:space="0"/>
              <w:right w:val="single" w:color="auto" w:sz="4" w:space="0"/>
            </w:tcBorders>
          </w:tcPr>
          <w:p w14:paraId="2FB2B638">
            <w:pPr>
              <w:keepNext w:val="0"/>
              <w:keepLines w:val="0"/>
              <w:suppressLineNumbers w:val="0"/>
              <w:spacing w:before="0" w:beforeAutospacing="0" w:after="0" w:afterAutospacing="0"/>
              <w:ind w:left="0" w:right="0"/>
              <w:rPr>
                <w:rFonts w:hint="default"/>
                <w:color w:val="auto"/>
                <w:sz w:val="36"/>
                <w:szCs w:val="36"/>
                <w:highlight w:val="none"/>
              </w:rPr>
            </w:pPr>
          </w:p>
        </w:tc>
        <w:tc>
          <w:tcPr>
            <w:tcW w:w="2852" w:type="dxa"/>
            <w:tcBorders>
              <w:top w:val="single" w:color="auto" w:sz="4" w:space="0"/>
              <w:left w:val="single" w:color="auto" w:sz="4" w:space="0"/>
              <w:bottom w:val="single" w:color="auto" w:sz="4" w:space="0"/>
              <w:right w:val="single" w:color="auto" w:sz="4" w:space="0"/>
            </w:tcBorders>
          </w:tcPr>
          <w:p w14:paraId="64DCE5AD">
            <w:pPr>
              <w:keepNext w:val="0"/>
              <w:keepLines w:val="0"/>
              <w:suppressLineNumbers w:val="0"/>
              <w:spacing w:before="0" w:beforeAutospacing="0" w:after="0" w:afterAutospacing="0"/>
              <w:ind w:left="0" w:right="0"/>
              <w:rPr>
                <w:rFonts w:hint="default"/>
                <w:color w:val="auto"/>
                <w:sz w:val="36"/>
                <w:szCs w:val="36"/>
                <w:highlight w:val="none"/>
              </w:rPr>
            </w:pPr>
          </w:p>
        </w:tc>
        <w:tc>
          <w:tcPr>
            <w:tcW w:w="3149" w:type="dxa"/>
            <w:tcBorders>
              <w:top w:val="single" w:color="auto" w:sz="4" w:space="0"/>
              <w:left w:val="single" w:color="auto" w:sz="4" w:space="0"/>
              <w:bottom w:val="single" w:color="auto" w:sz="4" w:space="0"/>
              <w:right w:val="single" w:color="auto" w:sz="4" w:space="0"/>
            </w:tcBorders>
          </w:tcPr>
          <w:p w14:paraId="17E1DAFA">
            <w:pPr>
              <w:keepNext w:val="0"/>
              <w:keepLines w:val="0"/>
              <w:suppressLineNumbers w:val="0"/>
              <w:spacing w:before="0" w:beforeAutospacing="0" w:after="0" w:afterAutospacing="0"/>
              <w:ind w:left="0" w:right="0"/>
              <w:rPr>
                <w:rFonts w:hint="default"/>
                <w:color w:val="auto"/>
                <w:sz w:val="36"/>
                <w:szCs w:val="36"/>
                <w:highlight w:val="none"/>
              </w:rPr>
            </w:pPr>
          </w:p>
        </w:tc>
      </w:tr>
      <w:tr w14:paraId="536A3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41" w:type="dxa"/>
            <w:tcBorders>
              <w:top w:val="single" w:color="auto" w:sz="4" w:space="0"/>
              <w:left w:val="single" w:color="auto" w:sz="4" w:space="0"/>
              <w:bottom w:val="single" w:color="auto" w:sz="4" w:space="0"/>
              <w:right w:val="single" w:color="auto" w:sz="4" w:space="0"/>
            </w:tcBorders>
          </w:tcPr>
          <w:p w14:paraId="57634700">
            <w:pPr>
              <w:keepNext w:val="0"/>
              <w:keepLines w:val="0"/>
              <w:suppressLineNumbers w:val="0"/>
              <w:spacing w:before="0" w:beforeAutospacing="0" w:after="0" w:afterAutospacing="0"/>
              <w:ind w:left="0" w:right="0"/>
              <w:rPr>
                <w:rFonts w:hint="default"/>
                <w:color w:val="auto"/>
                <w:sz w:val="36"/>
                <w:szCs w:val="36"/>
                <w:highlight w:val="none"/>
              </w:rPr>
            </w:pPr>
          </w:p>
        </w:tc>
        <w:tc>
          <w:tcPr>
            <w:tcW w:w="3953" w:type="dxa"/>
            <w:tcBorders>
              <w:top w:val="single" w:color="auto" w:sz="4" w:space="0"/>
              <w:left w:val="single" w:color="auto" w:sz="4" w:space="0"/>
              <w:bottom w:val="single" w:color="auto" w:sz="4" w:space="0"/>
              <w:right w:val="single" w:color="auto" w:sz="4" w:space="0"/>
            </w:tcBorders>
          </w:tcPr>
          <w:p w14:paraId="7409D681">
            <w:pPr>
              <w:keepNext w:val="0"/>
              <w:keepLines w:val="0"/>
              <w:suppressLineNumbers w:val="0"/>
              <w:spacing w:before="0" w:beforeAutospacing="0" w:after="0" w:afterAutospacing="0"/>
              <w:ind w:left="0" w:right="0"/>
              <w:rPr>
                <w:rFonts w:hint="default"/>
                <w:color w:val="auto"/>
                <w:sz w:val="36"/>
                <w:szCs w:val="36"/>
                <w:highlight w:val="none"/>
              </w:rPr>
            </w:pPr>
          </w:p>
        </w:tc>
        <w:tc>
          <w:tcPr>
            <w:tcW w:w="2143" w:type="dxa"/>
            <w:tcBorders>
              <w:top w:val="single" w:color="auto" w:sz="4" w:space="0"/>
              <w:left w:val="single" w:color="auto" w:sz="4" w:space="0"/>
              <w:bottom w:val="single" w:color="auto" w:sz="4" w:space="0"/>
              <w:right w:val="single" w:color="auto" w:sz="4" w:space="0"/>
            </w:tcBorders>
          </w:tcPr>
          <w:p w14:paraId="0AAD057A">
            <w:pPr>
              <w:keepNext w:val="0"/>
              <w:keepLines w:val="0"/>
              <w:suppressLineNumbers w:val="0"/>
              <w:spacing w:before="0" w:beforeAutospacing="0" w:after="0" w:afterAutospacing="0"/>
              <w:ind w:left="0" w:right="0"/>
              <w:rPr>
                <w:rFonts w:hint="default"/>
                <w:color w:val="auto"/>
                <w:sz w:val="36"/>
                <w:szCs w:val="36"/>
                <w:highlight w:val="none"/>
              </w:rPr>
            </w:pPr>
          </w:p>
        </w:tc>
        <w:tc>
          <w:tcPr>
            <w:tcW w:w="2852" w:type="dxa"/>
            <w:tcBorders>
              <w:top w:val="single" w:color="auto" w:sz="4" w:space="0"/>
              <w:left w:val="single" w:color="auto" w:sz="4" w:space="0"/>
              <w:bottom w:val="single" w:color="auto" w:sz="4" w:space="0"/>
              <w:right w:val="single" w:color="auto" w:sz="4" w:space="0"/>
            </w:tcBorders>
          </w:tcPr>
          <w:p w14:paraId="57BCD03B">
            <w:pPr>
              <w:keepNext w:val="0"/>
              <w:keepLines w:val="0"/>
              <w:suppressLineNumbers w:val="0"/>
              <w:spacing w:before="0" w:beforeAutospacing="0" w:after="0" w:afterAutospacing="0"/>
              <w:ind w:left="0" w:right="0"/>
              <w:rPr>
                <w:rFonts w:hint="default"/>
                <w:color w:val="auto"/>
                <w:sz w:val="36"/>
                <w:szCs w:val="36"/>
                <w:highlight w:val="none"/>
              </w:rPr>
            </w:pPr>
          </w:p>
        </w:tc>
        <w:tc>
          <w:tcPr>
            <w:tcW w:w="3149" w:type="dxa"/>
            <w:tcBorders>
              <w:top w:val="single" w:color="auto" w:sz="4" w:space="0"/>
              <w:left w:val="single" w:color="auto" w:sz="4" w:space="0"/>
              <w:bottom w:val="single" w:color="auto" w:sz="4" w:space="0"/>
              <w:right w:val="single" w:color="auto" w:sz="4" w:space="0"/>
            </w:tcBorders>
          </w:tcPr>
          <w:p w14:paraId="3760CDE6">
            <w:pPr>
              <w:keepNext w:val="0"/>
              <w:keepLines w:val="0"/>
              <w:suppressLineNumbers w:val="0"/>
              <w:spacing w:before="0" w:beforeAutospacing="0" w:after="0" w:afterAutospacing="0"/>
              <w:ind w:left="0" w:right="0"/>
              <w:rPr>
                <w:rFonts w:hint="default"/>
                <w:color w:val="auto"/>
                <w:sz w:val="36"/>
                <w:szCs w:val="36"/>
                <w:highlight w:val="none"/>
              </w:rPr>
            </w:pPr>
          </w:p>
        </w:tc>
      </w:tr>
    </w:tbl>
    <w:p w14:paraId="2867A679">
      <w:pPr>
        <w:rPr>
          <w:color w:val="auto"/>
          <w:szCs w:val="21"/>
          <w:highlight w:val="none"/>
        </w:rPr>
      </w:pPr>
      <w:r>
        <w:rPr>
          <w:rFonts w:hint="eastAsia"/>
          <w:color w:val="auto"/>
          <w:szCs w:val="21"/>
          <w:highlight w:val="none"/>
        </w:rPr>
        <w:t>修正原则：按就低不就高原则，当修正后报价小于原报价，总价按修正后报价；当修正后报价大于原报价，总价按原报价，并在签订合同时载明在结算价中扣除修正报价与原报价的差额。</w:t>
      </w:r>
    </w:p>
    <w:p w14:paraId="6B4C28F5">
      <w:pPr>
        <w:rPr>
          <w:color w:val="auto"/>
          <w:szCs w:val="21"/>
          <w:highlight w:val="none"/>
        </w:rPr>
      </w:pPr>
      <w:r>
        <w:rPr>
          <w:rFonts w:hint="eastAsia"/>
          <w:color w:val="auto"/>
          <w:szCs w:val="21"/>
          <w:highlight w:val="none"/>
        </w:rPr>
        <w:t>评委签名：</w:t>
      </w:r>
    </w:p>
    <w:p w14:paraId="4D69C9AA">
      <w:pPr>
        <w:spacing w:line="360" w:lineRule="auto"/>
        <w:jc w:val="center"/>
        <w:rPr>
          <w:rFonts w:ascii="仿宋_GB2312" w:eastAsia="仿宋_GB2312"/>
          <w:color w:val="auto"/>
          <w:szCs w:val="21"/>
          <w:highlight w:val="none"/>
        </w:rPr>
        <w:sectPr>
          <w:headerReference r:id="rId21" w:type="first"/>
          <w:footerReference r:id="rId24" w:type="first"/>
          <w:headerReference r:id="rId19" w:type="default"/>
          <w:footerReference r:id="rId22" w:type="default"/>
          <w:headerReference r:id="rId20" w:type="even"/>
          <w:footerReference r:id="rId23" w:type="even"/>
          <w:pgSz w:w="15840" w:h="12240" w:orient="landscape"/>
          <w:pgMar w:top="1803" w:right="1440" w:bottom="1803" w:left="1440" w:header="720" w:footer="720" w:gutter="0"/>
          <w:pgNumType w:fmt="decimal"/>
          <w:cols w:space="720" w:num="1"/>
        </w:sectPr>
      </w:pPr>
    </w:p>
    <w:p w14:paraId="6672874F">
      <w:pPr>
        <w:pStyle w:val="2"/>
        <w:jc w:val="center"/>
        <w:rPr>
          <w:rFonts w:hint="default"/>
          <w:color w:val="auto"/>
          <w:highlight w:val="none"/>
        </w:rPr>
      </w:pPr>
      <w:bookmarkStart w:id="20" w:name="_Toc22077"/>
      <w:r>
        <w:rPr>
          <w:color w:val="auto"/>
          <w:highlight w:val="none"/>
        </w:rPr>
        <w:t>第三章合同条款</w:t>
      </w:r>
      <w:bookmarkEnd w:id="20"/>
    </w:p>
    <w:p w14:paraId="0506B0BE">
      <w:pPr>
        <w:rPr>
          <w:color w:val="auto"/>
          <w:highlight w:val="none"/>
        </w:rPr>
      </w:pPr>
    </w:p>
    <w:p w14:paraId="1F57E874">
      <w:pPr>
        <w:topLinePunct/>
        <w:adjustRightInd w:val="0"/>
        <w:snapToGrid w:val="0"/>
        <w:spacing w:line="360" w:lineRule="auto"/>
        <w:rPr>
          <w:rFonts w:cs="宋体"/>
          <w:snapToGrid w:val="0"/>
          <w:color w:val="auto"/>
          <w:spacing w:val="4"/>
          <w:kern w:val="0"/>
          <w:sz w:val="24"/>
          <w:szCs w:val="24"/>
          <w:highlight w:val="none"/>
        </w:rPr>
      </w:pPr>
      <w:r>
        <w:rPr>
          <w:rFonts w:hint="eastAsia" w:cs="宋体"/>
          <w:snapToGrid w:val="0"/>
          <w:color w:val="auto"/>
          <w:spacing w:val="4"/>
          <w:kern w:val="0"/>
          <w:sz w:val="24"/>
          <w:szCs w:val="24"/>
          <w:highlight w:val="none"/>
        </w:rPr>
        <w:t>注：另册。</w:t>
      </w:r>
    </w:p>
    <w:p w14:paraId="66383526">
      <w:pPr>
        <w:rPr>
          <w:color w:val="auto"/>
          <w:sz w:val="24"/>
          <w:szCs w:val="24"/>
          <w:highlight w:val="none"/>
        </w:rPr>
      </w:pPr>
    </w:p>
    <w:p w14:paraId="4643285F">
      <w:pPr>
        <w:pStyle w:val="19"/>
        <w:spacing w:line="360" w:lineRule="auto"/>
        <w:rPr>
          <w:color w:val="auto"/>
          <w:sz w:val="24"/>
          <w:szCs w:val="24"/>
          <w:highlight w:val="none"/>
        </w:rPr>
      </w:pPr>
    </w:p>
    <w:p w14:paraId="58273E42">
      <w:pPr>
        <w:pStyle w:val="19"/>
        <w:spacing w:line="360" w:lineRule="auto"/>
        <w:rPr>
          <w:color w:val="auto"/>
          <w:sz w:val="24"/>
          <w:szCs w:val="24"/>
          <w:highlight w:val="none"/>
        </w:rPr>
      </w:pPr>
    </w:p>
    <w:p w14:paraId="79C18082">
      <w:pPr>
        <w:pStyle w:val="19"/>
        <w:spacing w:line="360" w:lineRule="auto"/>
        <w:rPr>
          <w:color w:val="auto"/>
          <w:sz w:val="24"/>
          <w:szCs w:val="24"/>
          <w:highlight w:val="none"/>
        </w:rPr>
      </w:pPr>
    </w:p>
    <w:p w14:paraId="723F8FE3">
      <w:pPr>
        <w:pStyle w:val="19"/>
        <w:spacing w:line="360" w:lineRule="auto"/>
        <w:rPr>
          <w:color w:val="auto"/>
          <w:sz w:val="24"/>
          <w:szCs w:val="24"/>
          <w:highlight w:val="none"/>
        </w:rPr>
      </w:pPr>
    </w:p>
    <w:p w14:paraId="15CA0BD1">
      <w:pPr>
        <w:pStyle w:val="19"/>
        <w:spacing w:line="360" w:lineRule="auto"/>
        <w:rPr>
          <w:color w:val="auto"/>
          <w:sz w:val="24"/>
          <w:szCs w:val="24"/>
          <w:highlight w:val="none"/>
        </w:rPr>
      </w:pPr>
    </w:p>
    <w:p w14:paraId="1859869B">
      <w:pPr>
        <w:pStyle w:val="19"/>
        <w:spacing w:line="360" w:lineRule="auto"/>
        <w:rPr>
          <w:color w:val="auto"/>
          <w:sz w:val="24"/>
          <w:szCs w:val="24"/>
          <w:highlight w:val="none"/>
        </w:rPr>
      </w:pPr>
    </w:p>
    <w:p w14:paraId="5C0BF0B2">
      <w:pPr>
        <w:pStyle w:val="11"/>
        <w:spacing w:line="360" w:lineRule="auto"/>
        <w:rPr>
          <w:color w:val="auto"/>
          <w:sz w:val="24"/>
          <w:szCs w:val="24"/>
          <w:highlight w:val="none"/>
        </w:rPr>
      </w:pPr>
    </w:p>
    <w:p w14:paraId="65974AB3">
      <w:pPr>
        <w:pStyle w:val="11"/>
        <w:spacing w:line="360" w:lineRule="auto"/>
        <w:rPr>
          <w:color w:val="auto"/>
          <w:sz w:val="24"/>
          <w:szCs w:val="24"/>
          <w:highlight w:val="none"/>
        </w:rPr>
      </w:pPr>
    </w:p>
    <w:p w14:paraId="5F1E73DE">
      <w:pPr>
        <w:pStyle w:val="2"/>
        <w:jc w:val="center"/>
        <w:rPr>
          <w:rFonts w:hint="default"/>
          <w:color w:val="auto"/>
          <w:highlight w:val="none"/>
        </w:rPr>
      </w:pPr>
      <w:r>
        <w:rPr>
          <w:color w:val="auto"/>
          <w:highlight w:val="none"/>
        </w:rPr>
        <w:br w:type="page"/>
      </w:r>
      <w:bookmarkStart w:id="21" w:name="_Toc28955"/>
      <w:r>
        <w:rPr>
          <w:color w:val="auto"/>
          <w:highlight w:val="none"/>
        </w:rPr>
        <w:t>第四章投标文件格式</w:t>
      </w:r>
      <w:bookmarkEnd w:id="21"/>
    </w:p>
    <w:p w14:paraId="5555E00F">
      <w:pPr>
        <w:pStyle w:val="25"/>
        <w:spacing w:before="120" w:line="360" w:lineRule="auto"/>
        <w:outlineLvl w:val="0"/>
        <w:rPr>
          <w:rFonts w:eastAsia="宋体"/>
          <w:color w:val="auto"/>
          <w:highlight w:val="none"/>
        </w:rPr>
      </w:pPr>
      <w:bookmarkStart w:id="22" w:name="_Toc28364"/>
      <w:r>
        <w:rPr>
          <w:rFonts w:hint="eastAsia" w:eastAsia="宋体"/>
          <w:color w:val="auto"/>
          <w:highlight w:val="none"/>
        </w:rPr>
        <w:t>一、技术标投标文件格式</w:t>
      </w:r>
      <w:bookmarkEnd w:id="22"/>
    </w:p>
    <w:p w14:paraId="1E93E423">
      <w:pPr>
        <w:pStyle w:val="4"/>
        <w:rPr>
          <w:color w:val="auto"/>
          <w:highlight w:val="none"/>
        </w:rPr>
      </w:pPr>
      <w:bookmarkStart w:id="23" w:name="_Toc15049"/>
      <w:r>
        <w:rPr>
          <w:rFonts w:hint="eastAsia"/>
          <w:color w:val="auto"/>
          <w:highlight w:val="none"/>
        </w:rPr>
        <w:t>格式一：</w:t>
      </w:r>
      <w:bookmarkEnd w:id="23"/>
    </w:p>
    <w:p w14:paraId="1023BA3B">
      <w:pPr>
        <w:autoSpaceDE w:val="0"/>
        <w:autoSpaceDN w:val="0"/>
        <w:adjustRightInd w:val="0"/>
        <w:ind w:left="-540" w:leftChars="-257" w:firstLine="1135" w:firstLineChars="257"/>
        <w:jc w:val="center"/>
        <w:rPr>
          <w:b/>
          <w:bCs/>
          <w:color w:val="auto"/>
          <w:sz w:val="52"/>
          <w:szCs w:val="52"/>
          <w:highlight w:val="none"/>
        </w:rPr>
      </w:pPr>
      <w:r>
        <w:rPr>
          <w:rFonts w:hint="eastAsia" w:cs="宋体"/>
          <w:b/>
          <w:bCs/>
          <w:color w:val="auto"/>
          <w:sz w:val="44"/>
          <w:szCs w:val="44"/>
          <w:highlight w:val="none"/>
          <w:lang w:val="zh-CN"/>
        </w:rPr>
        <w:t>广州建设工程施工招标投标书</w:t>
      </w:r>
    </w:p>
    <w:tbl>
      <w:tblPr>
        <w:tblStyle w:val="21"/>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14:paraId="58A47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374282B4">
            <w:pPr>
              <w:keepNext w:val="0"/>
              <w:keepLines w:val="0"/>
              <w:suppressLineNumbers w:val="0"/>
              <w:autoSpaceDE w:val="0"/>
              <w:autoSpaceDN w:val="0"/>
              <w:adjustRightInd w:val="0"/>
              <w:spacing w:before="0" w:beforeAutospacing="0" w:after="0" w:afterAutospacing="0"/>
              <w:ind w:left="0" w:right="0"/>
              <w:jc w:val="center"/>
              <w:rPr>
                <w:rFonts w:hint="default" w:cs="宋体"/>
                <w:b/>
                <w:bCs/>
                <w:color w:val="auto"/>
                <w:sz w:val="24"/>
                <w:szCs w:val="24"/>
                <w:highlight w:val="none"/>
                <w:lang w:val="zh-CN"/>
              </w:rPr>
            </w:pPr>
            <w:r>
              <w:rPr>
                <w:rFonts w:hint="eastAsia" w:cs="宋体"/>
                <w:b/>
                <w:color w:val="auto"/>
                <w:sz w:val="24"/>
                <w:szCs w:val="24"/>
                <w:highlight w:val="none"/>
                <w:lang w:val="zh-CN"/>
              </w:rPr>
              <w:t>工程名称</w:t>
            </w:r>
          </w:p>
        </w:tc>
        <w:tc>
          <w:tcPr>
            <w:tcW w:w="3574" w:type="dxa"/>
            <w:tcBorders>
              <w:top w:val="single" w:color="auto" w:sz="4" w:space="0"/>
              <w:left w:val="single" w:color="auto" w:sz="4" w:space="0"/>
              <w:bottom w:val="single" w:color="auto" w:sz="4" w:space="0"/>
              <w:right w:val="single" w:color="auto" w:sz="4" w:space="0"/>
            </w:tcBorders>
          </w:tcPr>
          <w:p w14:paraId="6728AE46">
            <w:pPr>
              <w:keepNext w:val="0"/>
              <w:keepLines w:val="0"/>
              <w:suppressLineNumbers w:val="0"/>
              <w:autoSpaceDE w:val="0"/>
              <w:autoSpaceDN w:val="0"/>
              <w:adjustRightInd w:val="0"/>
              <w:spacing w:before="0" w:beforeAutospacing="0" w:after="0" w:afterAutospacing="0"/>
              <w:ind w:left="0" w:right="0"/>
              <w:rPr>
                <w:rFonts w:hint="default" w:cs="宋体"/>
                <w:b/>
                <w:bCs/>
                <w:color w:val="auto"/>
                <w:sz w:val="24"/>
                <w:szCs w:val="24"/>
                <w:highlight w:val="none"/>
                <w:lang w:val="zh-CN"/>
              </w:rPr>
            </w:pPr>
          </w:p>
        </w:tc>
      </w:tr>
      <w:tr w14:paraId="4A0E5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4F9596C0">
            <w:pPr>
              <w:keepNext w:val="0"/>
              <w:keepLines w:val="0"/>
              <w:suppressLineNumbers w:val="0"/>
              <w:autoSpaceDE w:val="0"/>
              <w:autoSpaceDN w:val="0"/>
              <w:adjustRightInd w:val="0"/>
              <w:spacing w:before="0" w:beforeAutospacing="0" w:after="0" w:afterAutospacing="0"/>
              <w:ind w:left="0" w:right="0"/>
              <w:jc w:val="center"/>
              <w:rPr>
                <w:rFonts w:hint="default" w:cs="宋体"/>
                <w:b/>
                <w:bCs/>
                <w:color w:val="auto"/>
                <w:sz w:val="24"/>
                <w:szCs w:val="24"/>
                <w:highlight w:val="none"/>
                <w:lang w:val="zh-CN"/>
              </w:rPr>
            </w:pPr>
            <w:r>
              <w:rPr>
                <w:rFonts w:hint="eastAsia" w:cs="宋体"/>
                <w:b/>
                <w:color w:val="auto"/>
                <w:sz w:val="24"/>
                <w:szCs w:val="24"/>
                <w:highlight w:val="none"/>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14:paraId="7EB2A98C">
            <w:pPr>
              <w:keepNext w:val="0"/>
              <w:keepLines w:val="0"/>
              <w:suppressLineNumbers w:val="0"/>
              <w:autoSpaceDE w:val="0"/>
              <w:autoSpaceDN w:val="0"/>
              <w:adjustRightInd w:val="0"/>
              <w:spacing w:before="0" w:beforeAutospacing="0" w:after="0" w:afterAutospacing="0"/>
              <w:ind w:left="0" w:right="0"/>
              <w:rPr>
                <w:rFonts w:hint="default" w:cs="宋体"/>
                <w:b/>
                <w:bCs/>
                <w:color w:val="auto"/>
                <w:sz w:val="24"/>
                <w:szCs w:val="24"/>
                <w:highlight w:val="none"/>
                <w:lang w:val="zh-CN"/>
              </w:rPr>
            </w:pPr>
          </w:p>
        </w:tc>
      </w:tr>
      <w:tr w14:paraId="36AE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623D13EC">
            <w:pPr>
              <w:keepNext w:val="0"/>
              <w:keepLines w:val="0"/>
              <w:suppressLineNumbers w:val="0"/>
              <w:autoSpaceDE w:val="0"/>
              <w:autoSpaceDN w:val="0"/>
              <w:adjustRightInd w:val="0"/>
              <w:spacing w:before="0" w:beforeAutospacing="0" w:after="0" w:afterAutospacing="0"/>
              <w:ind w:left="0" w:right="0"/>
              <w:jc w:val="center"/>
              <w:rPr>
                <w:rFonts w:hint="default" w:cs="宋体"/>
                <w:b/>
                <w:bCs/>
                <w:color w:val="auto"/>
                <w:sz w:val="24"/>
                <w:szCs w:val="24"/>
                <w:highlight w:val="none"/>
                <w:lang w:val="zh-CN"/>
              </w:rPr>
            </w:pPr>
            <w:r>
              <w:rPr>
                <w:rFonts w:hint="eastAsia" w:cs="宋体"/>
                <w:b/>
                <w:color w:val="auto"/>
                <w:sz w:val="24"/>
                <w:szCs w:val="24"/>
                <w:highlight w:val="none"/>
                <w:lang w:val="zh-CN"/>
              </w:rPr>
              <w:t>其中：</w:t>
            </w:r>
            <w:r>
              <w:rPr>
                <w:rFonts w:hint="eastAsia" w:cs="宋体"/>
                <w:b/>
                <w:bCs/>
                <w:color w:val="auto"/>
                <w:sz w:val="24"/>
                <w:szCs w:val="24"/>
                <w:highlight w:val="none"/>
                <w:lang w:val="zh-CN"/>
              </w:rPr>
              <w:t>人工费</w:t>
            </w:r>
            <w:r>
              <w:rPr>
                <w:rFonts w:hint="eastAsia" w:cs="宋体"/>
                <w:b/>
                <w:color w:val="auto"/>
                <w:sz w:val="24"/>
                <w:szCs w:val="24"/>
                <w:highlight w:val="none"/>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14:paraId="592E63D4">
            <w:pPr>
              <w:keepNext w:val="0"/>
              <w:keepLines w:val="0"/>
              <w:suppressLineNumbers w:val="0"/>
              <w:autoSpaceDE w:val="0"/>
              <w:autoSpaceDN w:val="0"/>
              <w:adjustRightInd w:val="0"/>
              <w:spacing w:before="0" w:beforeAutospacing="0" w:after="0" w:afterAutospacing="0"/>
              <w:ind w:left="0" w:right="0"/>
              <w:rPr>
                <w:rFonts w:hint="default" w:cs="宋体"/>
                <w:b/>
                <w:bCs/>
                <w:color w:val="auto"/>
                <w:sz w:val="24"/>
                <w:szCs w:val="24"/>
                <w:highlight w:val="none"/>
                <w:lang w:val="zh-CN"/>
              </w:rPr>
            </w:pPr>
          </w:p>
        </w:tc>
      </w:tr>
      <w:tr w14:paraId="672F8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2A26CE58">
            <w:pPr>
              <w:keepNext w:val="0"/>
              <w:keepLines w:val="0"/>
              <w:widowControl/>
              <w:suppressLineNumbers w:val="0"/>
              <w:spacing w:before="0" w:beforeAutospacing="0" w:after="0" w:afterAutospacing="0"/>
              <w:ind w:left="0" w:right="0"/>
              <w:jc w:val="center"/>
              <w:rPr>
                <w:rFonts w:hint="default" w:cs="宋体"/>
                <w:b/>
                <w:bCs/>
                <w:color w:val="auto"/>
                <w:sz w:val="24"/>
                <w:szCs w:val="24"/>
                <w:highlight w:val="none"/>
                <w:lang w:val="zh-CN"/>
              </w:rPr>
            </w:pPr>
            <w:r>
              <w:rPr>
                <w:rFonts w:hint="eastAsia" w:cs="宋体"/>
                <w:b/>
                <w:bCs/>
                <w:color w:val="auto"/>
                <w:sz w:val="24"/>
                <w:szCs w:val="24"/>
                <w:highlight w:val="none"/>
                <w:lang w:val="zh-CN"/>
              </w:rPr>
              <w:t>其中：</w:t>
            </w:r>
            <w:r>
              <w:rPr>
                <w:rFonts w:hint="eastAsia" w:cs="宋体"/>
                <w:b/>
                <w:color w:val="auto"/>
                <w:sz w:val="24"/>
                <w:szCs w:val="24"/>
                <w:highlight w:val="none"/>
                <w:lang w:val="zh-CN"/>
              </w:rPr>
              <w:t>安全</w:t>
            </w:r>
            <w:r>
              <w:rPr>
                <w:rFonts w:hint="eastAsia" w:cs="宋体"/>
                <w:b/>
                <w:color w:val="auto"/>
                <w:sz w:val="24"/>
                <w:szCs w:val="24"/>
                <w:highlight w:val="none"/>
                <w:lang w:val="en-US" w:eastAsia="zh-CN"/>
              </w:rPr>
              <w:t>生产</w:t>
            </w:r>
            <w:r>
              <w:rPr>
                <w:rFonts w:hint="eastAsia" w:cs="宋体"/>
                <w:b/>
                <w:color w:val="auto"/>
                <w:sz w:val="24"/>
                <w:szCs w:val="24"/>
                <w:highlight w:val="none"/>
                <w:lang w:val="zh-CN"/>
              </w:rPr>
              <w:t>措施费（元）</w:t>
            </w:r>
          </w:p>
        </w:tc>
        <w:tc>
          <w:tcPr>
            <w:tcW w:w="3574" w:type="dxa"/>
            <w:tcBorders>
              <w:top w:val="single" w:color="auto" w:sz="4" w:space="0"/>
              <w:left w:val="single" w:color="auto" w:sz="4" w:space="0"/>
              <w:bottom w:val="single" w:color="auto" w:sz="4" w:space="0"/>
              <w:right w:val="single" w:color="auto" w:sz="4" w:space="0"/>
            </w:tcBorders>
            <w:vAlign w:val="center"/>
          </w:tcPr>
          <w:p w14:paraId="1D2CF3D4">
            <w:pPr>
              <w:keepNext w:val="0"/>
              <w:keepLines w:val="0"/>
              <w:suppressLineNumbers w:val="0"/>
              <w:autoSpaceDE w:val="0"/>
              <w:autoSpaceDN w:val="0"/>
              <w:adjustRightInd w:val="0"/>
              <w:spacing w:before="0" w:beforeAutospacing="0" w:after="0" w:afterAutospacing="0"/>
              <w:ind w:left="0" w:right="0"/>
              <w:rPr>
                <w:rFonts w:hint="default" w:cs="宋体"/>
                <w:b/>
                <w:bCs/>
                <w:color w:val="auto"/>
                <w:sz w:val="24"/>
                <w:szCs w:val="24"/>
                <w:highlight w:val="none"/>
                <w:lang w:val="zh-CN"/>
              </w:rPr>
            </w:pPr>
          </w:p>
        </w:tc>
      </w:tr>
      <w:tr w14:paraId="7603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42EDC068">
            <w:pPr>
              <w:keepNext w:val="0"/>
              <w:keepLines w:val="0"/>
              <w:suppressLineNumbers w:val="0"/>
              <w:spacing w:before="0" w:beforeAutospacing="0" w:after="0" w:afterAutospacing="0"/>
              <w:ind w:left="0" w:right="0"/>
              <w:jc w:val="center"/>
              <w:rPr>
                <w:rFonts w:hint="default" w:cs="宋体"/>
                <w:b/>
                <w:color w:val="auto"/>
                <w:sz w:val="24"/>
                <w:szCs w:val="24"/>
                <w:highlight w:val="none"/>
                <w:lang w:val="zh-CN"/>
              </w:rPr>
            </w:pPr>
            <w:r>
              <w:rPr>
                <w:rFonts w:hint="eastAsia" w:cs="宋体"/>
                <w:b/>
                <w:color w:val="auto"/>
                <w:sz w:val="24"/>
                <w:szCs w:val="24"/>
                <w:highlight w:val="none"/>
                <w:lang w:val="zh-CN"/>
              </w:rPr>
              <w:t>投标总工期</w:t>
            </w:r>
          </w:p>
        </w:tc>
        <w:tc>
          <w:tcPr>
            <w:tcW w:w="3574" w:type="dxa"/>
            <w:tcBorders>
              <w:top w:val="single" w:color="auto" w:sz="4" w:space="0"/>
              <w:left w:val="single" w:color="auto" w:sz="4" w:space="0"/>
              <w:bottom w:val="single" w:color="auto" w:sz="4" w:space="0"/>
              <w:right w:val="single" w:color="auto" w:sz="4" w:space="0"/>
            </w:tcBorders>
          </w:tcPr>
          <w:p w14:paraId="6C149BD8">
            <w:pPr>
              <w:keepNext w:val="0"/>
              <w:keepLines w:val="0"/>
              <w:suppressLineNumbers w:val="0"/>
              <w:autoSpaceDE w:val="0"/>
              <w:autoSpaceDN w:val="0"/>
              <w:adjustRightInd w:val="0"/>
              <w:spacing w:before="0" w:beforeAutospacing="0" w:after="0" w:afterAutospacing="0"/>
              <w:ind w:left="0" w:right="0"/>
              <w:rPr>
                <w:rFonts w:hint="default" w:cs="宋体"/>
                <w:b/>
                <w:bCs/>
                <w:color w:val="auto"/>
                <w:sz w:val="24"/>
                <w:szCs w:val="24"/>
                <w:highlight w:val="none"/>
                <w:lang w:val="zh-CN"/>
              </w:rPr>
            </w:pPr>
          </w:p>
        </w:tc>
      </w:tr>
      <w:tr w14:paraId="3A65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616D2068">
            <w:pPr>
              <w:keepNext w:val="0"/>
              <w:keepLines w:val="0"/>
              <w:suppressLineNumbers w:val="0"/>
              <w:spacing w:before="0" w:beforeAutospacing="0" w:after="0" w:afterAutospacing="0"/>
              <w:ind w:left="0" w:right="0"/>
              <w:jc w:val="center"/>
              <w:rPr>
                <w:rFonts w:hint="default"/>
                <w:b/>
                <w:color w:val="auto"/>
                <w:sz w:val="24"/>
                <w:szCs w:val="24"/>
                <w:highlight w:val="none"/>
              </w:rPr>
            </w:pPr>
            <w:r>
              <w:rPr>
                <w:rFonts w:hint="eastAsia" w:cs="宋体"/>
                <w:b/>
                <w:color w:val="auto"/>
                <w:sz w:val="24"/>
                <w:szCs w:val="24"/>
                <w:highlight w:val="none"/>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14:paraId="00C7B847">
            <w:pPr>
              <w:keepNext w:val="0"/>
              <w:keepLines w:val="0"/>
              <w:suppressLineNumbers w:val="0"/>
              <w:autoSpaceDE w:val="0"/>
              <w:autoSpaceDN w:val="0"/>
              <w:adjustRightInd w:val="0"/>
              <w:spacing w:before="0" w:beforeAutospacing="0" w:after="0" w:afterAutospacing="0"/>
              <w:ind w:left="0" w:right="0"/>
              <w:rPr>
                <w:rFonts w:hint="default" w:cs="宋体"/>
                <w:b/>
                <w:bCs/>
                <w:color w:val="auto"/>
                <w:sz w:val="24"/>
                <w:szCs w:val="24"/>
                <w:highlight w:val="none"/>
                <w:lang w:val="zh-CN"/>
              </w:rPr>
            </w:pPr>
          </w:p>
        </w:tc>
      </w:tr>
      <w:tr w14:paraId="47921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1BCEEFD0">
            <w:pPr>
              <w:keepNext w:val="0"/>
              <w:keepLines w:val="0"/>
              <w:suppressLineNumbers w:val="0"/>
              <w:autoSpaceDE w:val="0"/>
              <w:autoSpaceDN w:val="0"/>
              <w:adjustRightInd w:val="0"/>
              <w:spacing w:before="0" w:beforeAutospacing="0" w:after="0" w:afterAutospacing="0"/>
              <w:ind w:left="0" w:right="0" w:firstLine="472" w:firstLineChars="196"/>
              <w:jc w:val="center"/>
              <w:rPr>
                <w:rFonts w:hint="default" w:cs="宋体"/>
                <w:b/>
                <w:bCs/>
                <w:color w:val="auto"/>
                <w:sz w:val="24"/>
                <w:szCs w:val="24"/>
                <w:highlight w:val="none"/>
                <w:lang w:val="zh-CN"/>
              </w:rPr>
            </w:pPr>
            <w:r>
              <w:rPr>
                <w:rFonts w:hint="eastAsia" w:cs="宋体"/>
                <w:b/>
                <w:color w:val="auto"/>
                <w:sz w:val="24"/>
                <w:szCs w:val="24"/>
                <w:highlight w:val="none"/>
                <w:lang w:val="zh-CN"/>
              </w:rPr>
              <w:t>保修期限</w:t>
            </w:r>
          </w:p>
        </w:tc>
        <w:tc>
          <w:tcPr>
            <w:tcW w:w="3574" w:type="dxa"/>
            <w:tcBorders>
              <w:top w:val="single" w:color="auto" w:sz="4" w:space="0"/>
              <w:left w:val="single" w:color="auto" w:sz="4" w:space="0"/>
              <w:bottom w:val="single" w:color="auto" w:sz="4" w:space="0"/>
              <w:right w:val="single" w:color="auto" w:sz="4" w:space="0"/>
            </w:tcBorders>
          </w:tcPr>
          <w:p w14:paraId="361C1390">
            <w:pPr>
              <w:keepNext w:val="0"/>
              <w:keepLines w:val="0"/>
              <w:suppressLineNumbers w:val="0"/>
              <w:autoSpaceDE w:val="0"/>
              <w:autoSpaceDN w:val="0"/>
              <w:adjustRightInd w:val="0"/>
              <w:spacing w:before="0" w:beforeAutospacing="0" w:after="0" w:afterAutospacing="0"/>
              <w:ind w:left="0" w:right="0"/>
              <w:rPr>
                <w:rFonts w:hint="default" w:cs="宋体"/>
                <w:b/>
                <w:bCs/>
                <w:color w:val="auto"/>
                <w:sz w:val="24"/>
                <w:szCs w:val="24"/>
                <w:highlight w:val="none"/>
                <w:lang w:val="zh-CN"/>
              </w:rPr>
            </w:pPr>
          </w:p>
        </w:tc>
      </w:tr>
    </w:tbl>
    <w:p w14:paraId="7FDB3BDA">
      <w:pPr>
        <w:widowControl/>
        <w:jc w:val="left"/>
        <w:rPr>
          <w:color w:val="auto"/>
          <w:highlight w:val="none"/>
        </w:rPr>
      </w:pPr>
      <w:r>
        <w:rPr>
          <w:b/>
          <w:color w:val="auto"/>
          <w:highlight w:val="none"/>
        </w:rPr>
        <w:br w:type="page"/>
      </w:r>
    </w:p>
    <w:p w14:paraId="4063AED9">
      <w:pPr>
        <w:pStyle w:val="4"/>
        <w:rPr>
          <w:color w:val="auto"/>
          <w:highlight w:val="none"/>
        </w:rPr>
      </w:pPr>
      <w:bookmarkStart w:id="24" w:name="_Toc14295"/>
      <w:r>
        <w:rPr>
          <w:rFonts w:hint="eastAsia"/>
          <w:color w:val="auto"/>
          <w:highlight w:val="none"/>
        </w:rPr>
        <w:t>格式二：</w:t>
      </w:r>
      <w:bookmarkEnd w:id="24"/>
    </w:p>
    <w:p w14:paraId="1AB74F66">
      <w:pPr>
        <w:jc w:val="center"/>
        <w:rPr>
          <w:b/>
          <w:color w:val="auto"/>
          <w:sz w:val="36"/>
          <w:szCs w:val="36"/>
          <w:highlight w:val="none"/>
        </w:rPr>
      </w:pPr>
      <w:r>
        <w:rPr>
          <w:rFonts w:hint="eastAsia"/>
          <w:b/>
          <w:color w:val="auto"/>
          <w:sz w:val="36"/>
          <w:szCs w:val="36"/>
          <w:highlight w:val="none"/>
        </w:rPr>
        <w:t>危险性较大的分部分项工程清单及超过一定规模的危险性较大的分部分项工程清单</w:t>
      </w:r>
    </w:p>
    <w:p w14:paraId="62C0037B">
      <w:pPr>
        <w:numPr>
          <w:ilvl w:val="0"/>
          <w:numId w:val="1"/>
        </w:numPr>
        <w:autoSpaceDE w:val="0"/>
        <w:autoSpaceDN w:val="0"/>
        <w:adjustRightInd w:val="0"/>
        <w:spacing w:line="360" w:lineRule="auto"/>
        <w:jc w:val="left"/>
        <w:rPr>
          <w:snapToGrid w:val="0"/>
          <w:color w:val="auto"/>
          <w:spacing w:val="4"/>
          <w:kern w:val="0"/>
          <w:sz w:val="24"/>
          <w:szCs w:val="24"/>
          <w:highlight w:val="none"/>
        </w:rPr>
      </w:pPr>
      <w:r>
        <w:rPr>
          <w:rFonts w:hint="eastAsia"/>
          <w:color w:val="auto"/>
          <w:sz w:val="24"/>
          <w:szCs w:val="28"/>
          <w:highlight w:val="none"/>
        </w:rPr>
        <w:t>根据中华人民共和国住房和城乡建设部令第37号《危险性较大的分部分项工程安全管理规定》（以下简称“37号文”），投标人在投标时须补充完善危大工程清单并</w:t>
      </w:r>
      <w:r>
        <w:rPr>
          <w:rFonts w:hint="eastAsia"/>
          <w:snapToGrid w:val="0"/>
          <w:color w:val="auto"/>
          <w:spacing w:val="4"/>
          <w:kern w:val="0"/>
          <w:sz w:val="24"/>
          <w:szCs w:val="24"/>
          <w:highlight w:val="none"/>
        </w:rPr>
        <w:t>结合本工程的类型和特点，科学、合理地设置本项目的危险性较大的分部分项工程安全管理措施，危险性较大的分部分项工程安全管理措施由投标人结合招标人对本工程的具体要求自行设定。</w:t>
      </w:r>
    </w:p>
    <w:p w14:paraId="3FB2458C">
      <w:pPr>
        <w:numPr>
          <w:ilvl w:val="0"/>
          <w:numId w:val="1"/>
        </w:numPr>
        <w:autoSpaceDE w:val="0"/>
        <w:autoSpaceDN w:val="0"/>
        <w:adjustRightInd w:val="0"/>
        <w:spacing w:line="360" w:lineRule="auto"/>
        <w:jc w:val="left"/>
        <w:rPr>
          <w:color w:val="auto"/>
          <w:sz w:val="24"/>
          <w:szCs w:val="28"/>
          <w:highlight w:val="none"/>
        </w:rPr>
      </w:pPr>
      <w:r>
        <w:rPr>
          <w:rFonts w:hint="eastAsia"/>
          <w:color w:val="auto"/>
          <w:sz w:val="24"/>
          <w:szCs w:val="28"/>
          <w:highlight w:val="none"/>
        </w:rPr>
        <w:t>招标人根据设计文件的要求及37号文的规定列出“危险性较大的分部分项工程清单及超过一定规模的危险性较大的分部分项工程清单”中与本招标项目相关的清单项，具体详见第5点“打</w:t>
      </w:r>
      <w:r>
        <w:rPr>
          <w:rFonts w:hint="eastAsia"/>
          <w:color w:val="auto"/>
          <w:sz w:val="24"/>
          <w:szCs w:val="36"/>
          <w:highlight w:val="none"/>
        </w:rPr>
        <w:t>√”标识。</w:t>
      </w:r>
    </w:p>
    <w:p w14:paraId="7C1C62F5">
      <w:pPr>
        <w:numPr>
          <w:ilvl w:val="0"/>
          <w:numId w:val="2"/>
        </w:numPr>
        <w:autoSpaceDE w:val="0"/>
        <w:autoSpaceDN w:val="0"/>
        <w:adjustRightInd w:val="0"/>
        <w:spacing w:line="360" w:lineRule="auto"/>
        <w:jc w:val="left"/>
        <w:rPr>
          <w:color w:val="auto"/>
          <w:sz w:val="24"/>
          <w:szCs w:val="36"/>
          <w:highlight w:val="none"/>
        </w:rPr>
      </w:pPr>
      <w:r>
        <w:rPr>
          <w:rFonts w:hint="eastAsia"/>
          <w:color w:val="auto"/>
          <w:sz w:val="24"/>
          <w:szCs w:val="28"/>
          <w:highlight w:val="none"/>
        </w:rPr>
        <w:t>投标单位同意建设单位在清单中标识的该项请在对应项打“</w:t>
      </w:r>
      <w:r>
        <w:rPr>
          <w:rFonts w:hint="eastAsia"/>
          <w:color w:val="auto"/>
          <w:sz w:val="24"/>
          <w:szCs w:val="36"/>
          <w:highlight w:val="none"/>
        </w:rPr>
        <w:t>√”标识，并与投标文件中提供相应的安全管理措施。</w:t>
      </w:r>
    </w:p>
    <w:p w14:paraId="1108CE7D">
      <w:pPr>
        <w:numPr>
          <w:ilvl w:val="0"/>
          <w:numId w:val="2"/>
        </w:numPr>
        <w:autoSpaceDE w:val="0"/>
        <w:autoSpaceDN w:val="0"/>
        <w:adjustRightInd w:val="0"/>
        <w:spacing w:line="360" w:lineRule="auto"/>
        <w:jc w:val="left"/>
        <w:rPr>
          <w:color w:val="auto"/>
          <w:sz w:val="24"/>
          <w:szCs w:val="36"/>
          <w:highlight w:val="none"/>
        </w:rPr>
      </w:pPr>
      <w:r>
        <w:rPr>
          <w:rFonts w:hint="eastAsia"/>
          <w:color w:val="auto"/>
          <w:sz w:val="24"/>
          <w:szCs w:val="28"/>
          <w:highlight w:val="none"/>
        </w:rPr>
        <w:t>投标单位对清单中认为需要补充的该项请在对应项打“</w:t>
      </w:r>
      <w:r>
        <w:rPr>
          <w:rFonts w:hint="eastAsia"/>
          <w:color w:val="auto"/>
          <w:sz w:val="24"/>
          <w:szCs w:val="36"/>
          <w:highlight w:val="none"/>
        </w:rPr>
        <w:t>√”标识，并与投标文件中提供相应的安全管理措施。</w:t>
      </w:r>
    </w:p>
    <w:p w14:paraId="7EF2EA8C">
      <w:pPr>
        <w:numPr>
          <w:ilvl w:val="0"/>
          <w:numId w:val="2"/>
        </w:numPr>
        <w:autoSpaceDE w:val="0"/>
        <w:autoSpaceDN w:val="0"/>
        <w:adjustRightInd w:val="0"/>
        <w:spacing w:line="360" w:lineRule="auto"/>
        <w:jc w:val="left"/>
        <w:rPr>
          <w:color w:val="auto"/>
          <w:sz w:val="24"/>
          <w:szCs w:val="28"/>
          <w:highlight w:val="none"/>
        </w:rPr>
      </w:pPr>
      <w:r>
        <w:rPr>
          <w:rFonts w:hint="eastAsia"/>
          <w:color w:val="auto"/>
          <w:sz w:val="24"/>
          <w:szCs w:val="36"/>
          <w:highlight w:val="none"/>
        </w:rPr>
        <w:t>投标单位不同意建设单位</w:t>
      </w:r>
      <w:r>
        <w:rPr>
          <w:rFonts w:hint="eastAsia"/>
          <w:color w:val="auto"/>
          <w:sz w:val="24"/>
          <w:szCs w:val="28"/>
          <w:highlight w:val="none"/>
        </w:rPr>
        <w:t>在清单中标识的该项</w:t>
      </w:r>
      <w:r>
        <w:rPr>
          <w:rFonts w:hint="eastAsia"/>
          <w:color w:val="auto"/>
          <w:sz w:val="24"/>
          <w:szCs w:val="36"/>
          <w:highlight w:val="none"/>
        </w:rPr>
        <w:t>请在对应项打“×”标识，并在备注栏填上相关说明。</w:t>
      </w:r>
    </w:p>
    <w:p w14:paraId="4852BE91">
      <w:pPr>
        <w:numPr>
          <w:ilvl w:val="0"/>
          <w:numId w:val="1"/>
        </w:numPr>
        <w:autoSpaceDE w:val="0"/>
        <w:autoSpaceDN w:val="0"/>
        <w:adjustRightInd w:val="0"/>
        <w:spacing w:line="360" w:lineRule="auto"/>
        <w:jc w:val="left"/>
        <w:rPr>
          <w:color w:val="auto"/>
          <w:sz w:val="24"/>
          <w:szCs w:val="28"/>
          <w:highlight w:val="none"/>
        </w:rPr>
      </w:pPr>
      <w:r>
        <w:rPr>
          <w:rFonts w:hint="eastAsia"/>
          <w:color w:val="auto"/>
          <w:sz w:val="24"/>
          <w:szCs w:val="28"/>
          <w:highlight w:val="none"/>
        </w:rPr>
        <w:t>投标单位应当在投标时根据招标人提供的下述第5点清单，在投标文件中编制专项施工方案。</w:t>
      </w:r>
    </w:p>
    <w:p w14:paraId="333D3E45">
      <w:pPr>
        <w:numPr>
          <w:ilvl w:val="0"/>
          <w:numId w:val="1"/>
        </w:numPr>
        <w:autoSpaceDE w:val="0"/>
        <w:autoSpaceDN w:val="0"/>
        <w:adjustRightInd w:val="0"/>
        <w:spacing w:line="360" w:lineRule="auto"/>
        <w:jc w:val="left"/>
        <w:rPr>
          <w:color w:val="auto"/>
          <w:sz w:val="24"/>
          <w:szCs w:val="28"/>
          <w:highlight w:val="none"/>
        </w:rPr>
      </w:pPr>
      <w:r>
        <w:rPr>
          <w:rFonts w:hint="eastAsia"/>
          <w:color w:val="auto"/>
          <w:sz w:val="24"/>
          <w:szCs w:val="28"/>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15EAB816">
      <w:pPr>
        <w:numPr>
          <w:ilvl w:val="0"/>
          <w:numId w:val="1"/>
        </w:numPr>
        <w:autoSpaceDE w:val="0"/>
        <w:autoSpaceDN w:val="0"/>
        <w:adjustRightInd w:val="0"/>
        <w:spacing w:line="360" w:lineRule="auto"/>
        <w:jc w:val="left"/>
        <w:rPr>
          <w:color w:val="auto"/>
          <w:sz w:val="24"/>
          <w:szCs w:val="28"/>
          <w:highlight w:val="none"/>
        </w:rPr>
      </w:pPr>
      <w:r>
        <w:rPr>
          <w:rFonts w:hint="eastAsia"/>
          <w:color w:val="auto"/>
          <w:sz w:val="24"/>
          <w:szCs w:val="28"/>
          <w:highlight w:val="none"/>
        </w:rPr>
        <w:t>危险性较大的分部分项工程清单及超过一定规模的危险性较大的分部分项工程清单（参考版）：</w:t>
      </w:r>
    </w:p>
    <w:tbl>
      <w:tblPr>
        <w:tblStyle w:val="21"/>
        <w:tblW w:w="48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2"/>
        <w:gridCol w:w="1404"/>
        <w:gridCol w:w="1404"/>
        <w:gridCol w:w="858"/>
      </w:tblGrid>
      <w:tr w14:paraId="6149F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vAlign w:val="center"/>
          </w:tcPr>
          <w:p w14:paraId="00FE57B7">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b/>
                <w:color w:val="auto"/>
                <w:highlight w:val="none"/>
              </w:rPr>
              <w:t>一、危险性较大的分部分项工程清单</w:t>
            </w:r>
          </w:p>
        </w:tc>
        <w:tc>
          <w:tcPr>
            <w:tcW w:w="815" w:type="pct"/>
            <w:tcBorders>
              <w:top w:val="single" w:color="auto" w:sz="4" w:space="0"/>
              <w:left w:val="nil"/>
              <w:bottom w:val="single" w:color="auto" w:sz="4" w:space="0"/>
              <w:right w:val="single" w:color="auto" w:sz="4" w:space="0"/>
            </w:tcBorders>
            <w:vAlign w:val="center"/>
          </w:tcPr>
          <w:p w14:paraId="781B41D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建设单位</w:t>
            </w:r>
          </w:p>
        </w:tc>
        <w:tc>
          <w:tcPr>
            <w:tcW w:w="815" w:type="pct"/>
            <w:tcBorders>
              <w:top w:val="single" w:color="auto" w:sz="4" w:space="0"/>
              <w:left w:val="nil"/>
              <w:bottom w:val="single" w:color="auto" w:sz="4" w:space="0"/>
              <w:right w:val="single" w:color="auto" w:sz="4" w:space="0"/>
            </w:tcBorders>
            <w:vAlign w:val="center"/>
          </w:tcPr>
          <w:p w14:paraId="67096D3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投标单位</w:t>
            </w:r>
          </w:p>
        </w:tc>
        <w:tc>
          <w:tcPr>
            <w:tcW w:w="498" w:type="pct"/>
            <w:tcBorders>
              <w:top w:val="single" w:color="auto" w:sz="4" w:space="0"/>
              <w:left w:val="nil"/>
              <w:bottom w:val="single" w:color="auto" w:sz="4" w:space="0"/>
              <w:right w:val="single" w:color="auto" w:sz="4" w:space="0"/>
            </w:tcBorders>
            <w:vAlign w:val="center"/>
          </w:tcPr>
          <w:p w14:paraId="32F75FA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备注</w:t>
            </w:r>
          </w:p>
        </w:tc>
      </w:tr>
      <w:tr w14:paraId="25FE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614BC68C">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一、基坑支护</w:t>
            </w:r>
          </w:p>
        </w:tc>
        <w:tc>
          <w:tcPr>
            <w:tcW w:w="815" w:type="pct"/>
            <w:tcBorders>
              <w:top w:val="single" w:color="auto" w:sz="4" w:space="0"/>
              <w:left w:val="nil"/>
              <w:bottom w:val="single" w:color="auto" w:sz="4" w:space="0"/>
              <w:right w:val="single" w:color="auto" w:sz="4" w:space="0"/>
            </w:tcBorders>
            <w:vAlign w:val="center"/>
          </w:tcPr>
          <w:p w14:paraId="3059141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3A7846D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6373161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01D8C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4E19F421">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（一）开挖深度超过3m</w:t>
            </w:r>
            <w:r>
              <w:rPr>
                <w:rFonts w:hint="eastAsia"/>
                <w:color w:val="auto"/>
                <w:highlight w:val="none"/>
              </w:rPr>
              <w:t>（含</w:t>
            </w:r>
            <w:r>
              <w:rPr>
                <w:rFonts w:hint="eastAsia" w:ascii="Times New Roman" w:hAnsi="Times New Roman"/>
                <w:color w:val="auto"/>
                <w:highlight w:val="none"/>
              </w:rPr>
              <w:t>3m</w:t>
            </w:r>
            <w:r>
              <w:rPr>
                <w:rFonts w:hint="eastAsia"/>
                <w:color w:val="auto"/>
                <w:highlight w:val="none"/>
              </w:rPr>
              <w:t>）的基坑（槽）的土方开挖、支护、降水工程。</w:t>
            </w:r>
          </w:p>
        </w:tc>
        <w:tc>
          <w:tcPr>
            <w:tcW w:w="815" w:type="pct"/>
            <w:tcBorders>
              <w:top w:val="single" w:color="auto" w:sz="4" w:space="0"/>
              <w:left w:val="nil"/>
              <w:bottom w:val="single" w:color="auto" w:sz="4" w:space="0"/>
              <w:right w:val="single" w:color="auto" w:sz="4" w:space="0"/>
            </w:tcBorders>
            <w:vAlign w:val="center"/>
          </w:tcPr>
          <w:p w14:paraId="5E188811">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183F352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52D731F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244D3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D6CB53B">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（二）开挖深度虽未超过3m</w:t>
            </w:r>
            <w:r>
              <w:rPr>
                <w:rFonts w:hint="eastAsia"/>
                <w:color w:val="auto"/>
                <w:highlight w:val="none"/>
              </w:rPr>
              <w:t>，但地质条件、周围环境和地下管线复杂，或影响毗邻建、构筑物安全的基坑（槽）的土方开挖、支护、降水工程。</w:t>
            </w:r>
          </w:p>
        </w:tc>
        <w:tc>
          <w:tcPr>
            <w:tcW w:w="815" w:type="pct"/>
            <w:tcBorders>
              <w:top w:val="single" w:color="auto" w:sz="4" w:space="0"/>
              <w:left w:val="nil"/>
              <w:bottom w:val="single" w:color="auto" w:sz="4" w:space="0"/>
              <w:right w:val="single" w:color="auto" w:sz="4" w:space="0"/>
            </w:tcBorders>
            <w:vAlign w:val="center"/>
          </w:tcPr>
          <w:p w14:paraId="79C0DE9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0CC3CE8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74FE5C8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8285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F33074A">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二、模板工程及支撑体系</w:t>
            </w:r>
          </w:p>
        </w:tc>
        <w:tc>
          <w:tcPr>
            <w:tcW w:w="815" w:type="pct"/>
            <w:tcBorders>
              <w:top w:val="single" w:color="auto" w:sz="4" w:space="0"/>
              <w:left w:val="nil"/>
              <w:bottom w:val="single" w:color="auto" w:sz="4" w:space="0"/>
              <w:right w:val="single" w:color="auto" w:sz="4" w:space="0"/>
            </w:tcBorders>
            <w:vAlign w:val="center"/>
          </w:tcPr>
          <w:p w14:paraId="2C96E924">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5702539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2B3A929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03F65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646E058">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（一）各类工具式模板工程：包括滑模、爬模、飞模、隧道模等工程。</w:t>
            </w:r>
          </w:p>
        </w:tc>
        <w:tc>
          <w:tcPr>
            <w:tcW w:w="815" w:type="pct"/>
            <w:tcBorders>
              <w:top w:val="single" w:color="auto" w:sz="4" w:space="0"/>
              <w:left w:val="nil"/>
              <w:bottom w:val="single" w:color="auto" w:sz="4" w:space="0"/>
              <w:right w:val="single" w:color="auto" w:sz="4" w:space="0"/>
            </w:tcBorders>
            <w:vAlign w:val="center"/>
          </w:tcPr>
          <w:p w14:paraId="2F2DDD3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23EE487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672DB0A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1E4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44D9136">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（二）混凝土模板支撑工程：搭设高度5m</w:t>
            </w:r>
            <w:r>
              <w:rPr>
                <w:rFonts w:hint="eastAsia"/>
                <w:color w:val="auto"/>
                <w:highlight w:val="none"/>
              </w:rPr>
              <w:t>及以上，或搭设跨度</w:t>
            </w:r>
            <w:r>
              <w:rPr>
                <w:rFonts w:hint="eastAsia" w:ascii="Times New Roman" w:hAnsi="Times New Roman"/>
                <w:color w:val="auto"/>
                <w:highlight w:val="none"/>
              </w:rPr>
              <w:t>10m</w:t>
            </w:r>
            <w:r>
              <w:rPr>
                <w:rFonts w:hint="eastAsia"/>
                <w:color w:val="auto"/>
                <w:highlight w:val="none"/>
              </w:rPr>
              <w:t>及以上，或施工总荷载（荷载效应基本组合的设计值，以下简称设计值）</w:t>
            </w:r>
            <w:r>
              <w:rPr>
                <w:rFonts w:hint="eastAsia" w:ascii="Times New Roman" w:hAnsi="Times New Roman"/>
                <w:color w:val="auto"/>
                <w:highlight w:val="none"/>
              </w:rPr>
              <w:t>10kN/m2</w:t>
            </w:r>
            <w:r>
              <w:rPr>
                <w:rFonts w:hint="eastAsia"/>
                <w:color w:val="auto"/>
                <w:highlight w:val="none"/>
              </w:rPr>
              <w:t>及以上，或集中线荷载（设计值）</w:t>
            </w:r>
            <w:r>
              <w:rPr>
                <w:rFonts w:hint="eastAsia" w:ascii="Times New Roman" w:hAnsi="Times New Roman"/>
                <w:color w:val="auto"/>
                <w:highlight w:val="none"/>
              </w:rPr>
              <w:t>15kN/m</w:t>
            </w:r>
            <w:r>
              <w:rPr>
                <w:rFonts w:hint="eastAsia"/>
                <w:color w:val="auto"/>
                <w:highlight w:val="none"/>
              </w:rPr>
              <w:t>及以上，或高度大于支撑水平投影宽度且相对独立无联系构件的混凝土模板支撑工程。</w:t>
            </w:r>
          </w:p>
        </w:tc>
        <w:tc>
          <w:tcPr>
            <w:tcW w:w="815" w:type="pct"/>
            <w:tcBorders>
              <w:top w:val="single" w:color="auto" w:sz="4" w:space="0"/>
              <w:left w:val="nil"/>
              <w:bottom w:val="single" w:color="auto" w:sz="4" w:space="0"/>
              <w:right w:val="single" w:color="auto" w:sz="4" w:space="0"/>
            </w:tcBorders>
            <w:vAlign w:val="center"/>
          </w:tcPr>
          <w:p w14:paraId="7BC144C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4EBB1D48">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6FE09C2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57FB0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45E95CF3">
            <w:pPr>
              <w:keepNext w:val="0"/>
              <w:keepLines w:val="0"/>
              <w:widowControl/>
              <w:suppressLineNumbers w:val="0"/>
              <w:spacing w:before="0" w:beforeAutospacing="0" w:after="0" w:afterAutospacing="0"/>
              <w:ind w:left="0" w:right="0"/>
              <w:jc w:val="left"/>
              <w:rPr>
                <w:rFonts w:hint="default" w:ascii="Times New Roman" w:hAnsi="Times New Roman" w:cs="宋体"/>
                <w:color w:val="auto"/>
                <w:highlight w:val="none"/>
              </w:rPr>
            </w:pPr>
            <w:r>
              <w:rPr>
                <w:rFonts w:hint="eastAsia" w:ascii="Times New Roman" w:hAnsi="Times New Roman"/>
                <w:color w:val="auto"/>
                <w:highlight w:val="none"/>
              </w:rPr>
              <w:t>（三）承重支撑体系：用于钢结构安装等满堂支撑体系。</w:t>
            </w:r>
          </w:p>
        </w:tc>
        <w:tc>
          <w:tcPr>
            <w:tcW w:w="815" w:type="pct"/>
            <w:tcBorders>
              <w:top w:val="single" w:color="auto" w:sz="4" w:space="0"/>
              <w:left w:val="nil"/>
              <w:bottom w:val="single" w:color="auto" w:sz="4" w:space="0"/>
              <w:right w:val="single" w:color="auto" w:sz="4" w:space="0"/>
            </w:tcBorders>
            <w:vAlign w:val="center"/>
          </w:tcPr>
          <w:p w14:paraId="60E0490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3DF003C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279A2B3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2A5B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13D394B6">
            <w:pPr>
              <w:keepNext w:val="0"/>
              <w:keepLines w:val="0"/>
              <w:widowControl/>
              <w:suppressLineNumbers w:val="0"/>
              <w:spacing w:before="0" w:beforeAutospacing="0" w:after="0" w:afterAutospacing="0"/>
              <w:ind w:left="0" w:right="0"/>
              <w:jc w:val="left"/>
              <w:rPr>
                <w:rFonts w:hint="default" w:ascii="Times New Roman" w:hAnsi="Times New Roman" w:cs="宋体"/>
                <w:color w:val="auto"/>
                <w:highlight w:val="none"/>
              </w:rPr>
            </w:pPr>
            <w:r>
              <w:rPr>
                <w:rFonts w:hint="eastAsia" w:ascii="Times New Roman" w:hAnsi="Times New Roman"/>
                <w:color w:val="auto"/>
                <w:highlight w:val="none"/>
              </w:rPr>
              <w:t>三、起重吊装及起重机械安装拆卸工程</w:t>
            </w:r>
          </w:p>
        </w:tc>
        <w:tc>
          <w:tcPr>
            <w:tcW w:w="815" w:type="pct"/>
            <w:tcBorders>
              <w:top w:val="single" w:color="auto" w:sz="4" w:space="0"/>
              <w:left w:val="nil"/>
              <w:bottom w:val="single" w:color="auto" w:sz="4" w:space="0"/>
              <w:right w:val="single" w:color="auto" w:sz="4" w:space="0"/>
            </w:tcBorders>
            <w:vAlign w:val="center"/>
          </w:tcPr>
          <w:p w14:paraId="65AE79BD">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1AEB372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0CBE509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23C3F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5DCDDAFB">
            <w:pPr>
              <w:keepNext w:val="0"/>
              <w:keepLines w:val="0"/>
              <w:widowControl/>
              <w:suppressLineNumbers w:val="0"/>
              <w:spacing w:before="0" w:beforeAutospacing="0" w:after="0" w:afterAutospacing="0"/>
              <w:ind w:left="0" w:right="0"/>
              <w:jc w:val="left"/>
              <w:rPr>
                <w:rFonts w:hint="default" w:ascii="Times New Roman" w:hAnsi="Times New Roman" w:cs="宋体"/>
                <w:color w:val="auto"/>
                <w:highlight w:val="none"/>
              </w:rPr>
            </w:pPr>
            <w:r>
              <w:rPr>
                <w:rFonts w:hint="eastAsia" w:ascii="Times New Roman" w:hAnsi="Times New Roman"/>
                <w:color w:val="auto"/>
                <w:highlight w:val="none"/>
              </w:rPr>
              <w:t>（一）采用非常规起重设备、方法，且单件起吊重量在10kN</w:t>
            </w:r>
            <w:r>
              <w:rPr>
                <w:rFonts w:hint="eastAsia"/>
                <w:color w:val="auto"/>
                <w:highlight w:val="none"/>
              </w:rPr>
              <w:t>及以上的起重吊装工程。</w:t>
            </w:r>
          </w:p>
        </w:tc>
        <w:tc>
          <w:tcPr>
            <w:tcW w:w="815" w:type="pct"/>
            <w:tcBorders>
              <w:top w:val="single" w:color="auto" w:sz="4" w:space="0"/>
              <w:left w:val="nil"/>
              <w:bottom w:val="single" w:color="auto" w:sz="4" w:space="0"/>
              <w:right w:val="single" w:color="auto" w:sz="4" w:space="0"/>
            </w:tcBorders>
            <w:vAlign w:val="center"/>
          </w:tcPr>
          <w:p w14:paraId="29F20A7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083BDC41">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05422F9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3CA43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36C898A4">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（二）采用起重机械进行安装的工程。</w:t>
            </w:r>
          </w:p>
        </w:tc>
        <w:tc>
          <w:tcPr>
            <w:tcW w:w="815" w:type="pct"/>
            <w:tcBorders>
              <w:top w:val="single" w:color="auto" w:sz="4" w:space="0"/>
              <w:left w:val="nil"/>
              <w:bottom w:val="single" w:color="auto" w:sz="4" w:space="0"/>
              <w:right w:val="single" w:color="auto" w:sz="4" w:space="0"/>
            </w:tcBorders>
            <w:vAlign w:val="center"/>
          </w:tcPr>
          <w:p w14:paraId="31E00C0B">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3FCA4E2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1B9FDD7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66ADE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31370C0">
            <w:pPr>
              <w:keepNext w:val="0"/>
              <w:keepLines w:val="0"/>
              <w:suppressLineNumbers w:val="0"/>
              <w:spacing w:before="0" w:beforeAutospacing="0" w:after="0" w:afterAutospacing="0"/>
              <w:ind w:left="0" w:right="0"/>
              <w:jc w:val="left"/>
              <w:rPr>
                <w:rFonts w:hint="default" w:ascii="Times New Roman" w:hAnsi="Times New Roman" w:cs="宋体"/>
                <w:color w:val="auto"/>
                <w:highlight w:val="none"/>
              </w:rPr>
            </w:pPr>
            <w:r>
              <w:rPr>
                <w:rFonts w:hint="eastAsia" w:ascii="Times New Roman" w:hAnsi="Times New Roman"/>
                <w:color w:val="auto"/>
                <w:highlight w:val="none"/>
              </w:rPr>
              <w:t>（三）起重机械安装和拆卸工程。</w:t>
            </w:r>
          </w:p>
        </w:tc>
        <w:tc>
          <w:tcPr>
            <w:tcW w:w="815" w:type="pct"/>
            <w:tcBorders>
              <w:top w:val="single" w:color="auto" w:sz="4" w:space="0"/>
              <w:left w:val="nil"/>
              <w:bottom w:val="single" w:color="auto" w:sz="4" w:space="0"/>
              <w:right w:val="single" w:color="auto" w:sz="4" w:space="0"/>
            </w:tcBorders>
            <w:vAlign w:val="center"/>
          </w:tcPr>
          <w:p w14:paraId="748A554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6D6AEE9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43232FF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55648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510DED2">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四、脚手架工程</w:t>
            </w:r>
          </w:p>
        </w:tc>
        <w:tc>
          <w:tcPr>
            <w:tcW w:w="815" w:type="pct"/>
            <w:tcBorders>
              <w:top w:val="single" w:color="auto" w:sz="4" w:space="0"/>
              <w:left w:val="nil"/>
              <w:bottom w:val="single" w:color="auto" w:sz="4" w:space="0"/>
              <w:right w:val="single" w:color="auto" w:sz="4" w:space="0"/>
            </w:tcBorders>
            <w:vAlign w:val="center"/>
          </w:tcPr>
          <w:p w14:paraId="3448F8A4">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79939D6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199B0FE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030EA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14E02D3D">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（一）搭设高度24m</w:t>
            </w:r>
            <w:r>
              <w:rPr>
                <w:rFonts w:hint="eastAsia"/>
                <w:color w:val="auto"/>
                <w:highlight w:val="none"/>
              </w:rPr>
              <w:t>及以上的落地式钢管脚手架工程（包括采光井、电梯井脚手架）。</w:t>
            </w:r>
          </w:p>
        </w:tc>
        <w:tc>
          <w:tcPr>
            <w:tcW w:w="815" w:type="pct"/>
            <w:tcBorders>
              <w:top w:val="single" w:color="auto" w:sz="4" w:space="0"/>
              <w:left w:val="nil"/>
              <w:bottom w:val="single" w:color="auto" w:sz="4" w:space="0"/>
              <w:right w:val="single" w:color="auto" w:sz="4" w:space="0"/>
            </w:tcBorders>
            <w:vAlign w:val="center"/>
          </w:tcPr>
          <w:p w14:paraId="4C5A2788">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77C7CA5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16A4C5D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5D57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62B8C1ED">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（二）附着式升降脚手架工程。</w:t>
            </w:r>
          </w:p>
        </w:tc>
        <w:tc>
          <w:tcPr>
            <w:tcW w:w="815" w:type="pct"/>
            <w:tcBorders>
              <w:top w:val="single" w:color="auto" w:sz="4" w:space="0"/>
              <w:left w:val="nil"/>
              <w:bottom w:val="single" w:color="auto" w:sz="4" w:space="0"/>
              <w:right w:val="single" w:color="auto" w:sz="4" w:space="0"/>
            </w:tcBorders>
            <w:vAlign w:val="center"/>
          </w:tcPr>
          <w:p w14:paraId="3ADF0CC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7D52ABF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78B41FE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5A9F9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48E8D985">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（三）悬挑式脚手架工程。</w:t>
            </w:r>
          </w:p>
        </w:tc>
        <w:tc>
          <w:tcPr>
            <w:tcW w:w="815" w:type="pct"/>
            <w:tcBorders>
              <w:top w:val="single" w:color="auto" w:sz="4" w:space="0"/>
              <w:left w:val="nil"/>
              <w:bottom w:val="single" w:color="auto" w:sz="4" w:space="0"/>
              <w:right w:val="single" w:color="auto" w:sz="4" w:space="0"/>
            </w:tcBorders>
            <w:vAlign w:val="center"/>
          </w:tcPr>
          <w:p w14:paraId="5CE00A30">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01AB41F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1A67C56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5CAC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5A0946A">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（四）高处作业吊篮。</w:t>
            </w:r>
          </w:p>
        </w:tc>
        <w:tc>
          <w:tcPr>
            <w:tcW w:w="815" w:type="pct"/>
            <w:tcBorders>
              <w:top w:val="single" w:color="auto" w:sz="4" w:space="0"/>
              <w:left w:val="nil"/>
              <w:bottom w:val="single" w:color="auto" w:sz="4" w:space="0"/>
              <w:right w:val="single" w:color="auto" w:sz="4" w:space="0"/>
            </w:tcBorders>
            <w:vAlign w:val="center"/>
          </w:tcPr>
          <w:p w14:paraId="37F62CB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2C5459E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09547F78">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54B98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ADF57D8">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（五）卸料平台、操作平台工程。</w:t>
            </w:r>
          </w:p>
        </w:tc>
        <w:tc>
          <w:tcPr>
            <w:tcW w:w="815" w:type="pct"/>
            <w:tcBorders>
              <w:top w:val="single" w:color="auto" w:sz="4" w:space="0"/>
              <w:left w:val="nil"/>
              <w:bottom w:val="single" w:color="auto" w:sz="4" w:space="0"/>
              <w:right w:val="single" w:color="auto" w:sz="4" w:space="0"/>
            </w:tcBorders>
            <w:vAlign w:val="center"/>
          </w:tcPr>
          <w:p w14:paraId="7181D09D">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67AD392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43F0CCB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0FA58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53EEBB3">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（六）异型脚手架工程。</w:t>
            </w:r>
          </w:p>
        </w:tc>
        <w:tc>
          <w:tcPr>
            <w:tcW w:w="815" w:type="pct"/>
            <w:tcBorders>
              <w:top w:val="single" w:color="auto" w:sz="4" w:space="0"/>
              <w:left w:val="nil"/>
              <w:bottom w:val="single" w:color="auto" w:sz="4" w:space="0"/>
              <w:right w:val="single" w:color="auto" w:sz="4" w:space="0"/>
            </w:tcBorders>
            <w:vAlign w:val="center"/>
          </w:tcPr>
          <w:p w14:paraId="360A284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3FBBF37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59EE076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09FA3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70" w:type="pct"/>
            <w:tcBorders>
              <w:top w:val="single" w:color="auto" w:sz="4" w:space="0"/>
              <w:left w:val="single" w:color="auto" w:sz="4" w:space="0"/>
              <w:bottom w:val="single" w:color="auto" w:sz="4" w:space="0"/>
              <w:right w:val="single" w:color="auto" w:sz="4" w:space="0"/>
            </w:tcBorders>
          </w:tcPr>
          <w:p w14:paraId="56ED4AE9">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五、拆除工程</w:t>
            </w:r>
          </w:p>
        </w:tc>
        <w:tc>
          <w:tcPr>
            <w:tcW w:w="815" w:type="pct"/>
            <w:tcBorders>
              <w:top w:val="single" w:color="auto" w:sz="4" w:space="0"/>
              <w:left w:val="nil"/>
              <w:bottom w:val="single" w:color="auto" w:sz="4" w:space="0"/>
              <w:right w:val="single" w:color="auto" w:sz="4" w:space="0"/>
            </w:tcBorders>
            <w:vAlign w:val="center"/>
          </w:tcPr>
          <w:p w14:paraId="45AD7B82">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42F69AB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4D73DCC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5D315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0B51AF59">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可能影响行人、交通、电力设施、通讯设施或其它建、构筑物安全的拆除工程。</w:t>
            </w:r>
          </w:p>
        </w:tc>
        <w:tc>
          <w:tcPr>
            <w:tcW w:w="815" w:type="pct"/>
            <w:tcBorders>
              <w:top w:val="single" w:color="auto" w:sz="4" w:space="0"/>
              <w:left w:val="nil"/>
              <w:bottom w:val="single" w:color="auto" w:sz="4" w:space="0"/>
              <w:right w:val="single" w:color="auto" w:sz="4" w:space="0"/>
            </w:tcBorders>
            <w:vAlign w:val="center"/>
          </w:tcPr>
          <w:p w14:paraId="5282A7B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1DB3248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2FBEBA8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839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0C610930">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六、暗挖工程</w:t>
            </w:r>
          </w:p>
        </w:tc>
        <w:tc>
          <w:tcPr>
            <w:tcW w:w="815" w:type="pct"/>
            <w:tcBorders>
              <w:top w:val="single" w:color="auto" w:sz="4" w:space="0"/>
              <w:left w:val="nil"/>
              <w:bottom w:val="single" w:color="auto" w:sz="4" w:space="0"/>
              <w:right w:val="single" w:color="auto" w:sz="4" w:space="0"/>
            </w:tcBorders>
            <w:vAlign w:val="center"/>
          </w:tcPr>
          <w:p w14:paraId="5E848EE0">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29789DD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572AD88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FDAC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50D85341">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采用矿山法、盾构法、顶管法施工的隧道、洞室工程。</w:t>
            </w:r>
          </w:p>
        </w:tc>
        <w:tc>
          <w:tcPr>
            <w:tcW w:w="815" w:type="pct"/>
            <w:tcBorders>
              <w:top w:val="single" w:color="auto" w:sz="4" w:space="0"/>
              <w:left w:val="nil"/>
              <w:bottom w:val="single" w:color="auto" w:sz="4" w:space="0"/>
              <w:right w:val="single" w:color="auto" w:sz="4" w:space="0"/>
            </w:tcBorders>
            <w:vAlign w:val="center"/>
          </w:tcPr>
          <w:p w14:paraId="2027266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349F679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617DD8A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631A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0C817712">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七、其它</w:t>
            </w:r>
          </w:p>
        </w:tc>
        <w:tc>
          <w:tcPr>
            <w:tcW w:w="815" w:type="pct"/>
            <w:tcBorders>
              <w:top w:val="single" w:color="auto" w:sz="4" w:space="0"/>
              <w:left w:val="nil"/>
              <w:bottom w:val="single" w:color="auto" w:sz="4" w:space="0"/>
              <w:right w:val="single" w:color="auto" w:sz="4" w:space="0"/>
            </w:tcBorders>
            <w:vAlign w:val="center"/>
          </w:tcPr>
          <w:p w14:paraId="269D8AA9">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775B7451">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30C849B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E132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33EE64D9">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（一）建筑幕墙安装工程。</w:t>
            </w:r>
          </w:p>
        </w:tc>
        <w:tc>
          <w:tcPr>
            <w:tcW w:w="815" w:type="pct"/>
            <w:tcBorders>
              <w:top w:val="single" w:color="auto" w:sz="4" w:space="0"/>
              <w:left w:val="nil"/>
              <w:bottom w:val="single" w:color="auto" w:sz="4" w:space="0"/>
              <w:right w:val="single" w:color="auto" w:sz="4" w:space="0"/>
            </w:tcBorders>
            <w:vAlign w:val="center"/>
          </w:tcPr>
          <w:p w14:paraId="77EA034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47B4162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6EA055C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5704A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0B7AC99">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（二）钢结构、网架和索膜结构安装工程。</w:t>
            </w:r>
          </w:p>
        </w:tc>
        <w:tc>
          <w:tcPr>
            <w:tcW w:w="815" w:type="pct"/>
            <w:tcBorders>
              <w:top w:val="single" w:color="auto" w:sz="4" w:space="0"/>
              <w:left w:val="nil"/>
              <w:bottom w:val="single" w:color="auto" w:sz="4" w:space="0"/>
              <w:right w:val="single" w:color="auto" w:sz="4" w:space="0"/>
            </w:tcBorders>
            <w:vAlign w:val="center"/>
          </w:tcPr>
          <w:p w14:paraId="794D5125">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589AFAB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59CF05A1">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C974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05A7045D">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（三）人工挖孔桩工程。</w:t>
            </w:r>
          </w:p>
        </w:tc>
        <w:tc>
          <w:tcPr>
            <w:tcW w:w="815" w:type="pct"/>
            <w:tcBorders>
              <w:top w:val="single" w:color="auto" w:sz="4" w:space="0"/>
              <w:left w:val="nil"/>
              <w:bottom w:val="single" w:color="auto" w:sz="4" w:space="0"/>
              <w:right w:val="single" w:color="auto" w:sz="4" w:space="0"/>
            </w:tcBorders>
            <w:vAlign w:val="center"/>
          </w:tcPr>
          <w:p w14:paraId="7A1ED98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04852578">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637337A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01749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56B0AFD">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（四）水下作业工程。</w:t>
            </w:r>
          </w:p>
        </w:tc>
        <w:tc>
          <w:tcPr>
            <w:tcW w:w="815" w:type="pct"/>
            <w:tcBorders>
              <w:top w:val="single" w:color="auto" w:sz="4" w:space="0"/>
              <w:left w:val="nil"/>
              <w:bottom w:val="single" w:color="auto" w:sz="4" w:space="0"/>
              <w:right w:val="single" w:color="auto" w:sz="4" w:space="0"/>
            </w:tcBorders>
            <w:vAlign w:val="center"/>
          </w:tcPr>
          <w:p w14:paraId="5C2F497D">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12488AC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020CD39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F340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7675CFF">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（五）装配式建筑混凝土预制构件安装工程。</w:t>
            </w:r>
          </w:p>
        </w:tc>
        <w:tc>
          <w:tcPr>
            <w:tcW w:w="815" w:type="pct"/>
            <w:tcBorders>
              <w:top w:val="single" w:color="auto" w:sz="4" w:space="0"/>
              <w:left w:val="nil"/>
              <w:bottom w:val="single" w:color="auto" w:sz="4" w:space="0"/>
              <w:right w:val="single" w:color="auto" w:sz="4" w:space="0"/>
            </w:tcBorders>
            <w:vAlign w:val="center"/>
          </w:tcPr>
          <w:p w14:paraId="3D79663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419A808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190BF8D1">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6454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6AF46CE6">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（六）采用新技术、新工艺、新材料、新设备可能影响工程施工安全，尚无国家、行业及地方技术标准的分部分项工程。</w:t>
            </w:r>
          </w:p>
        </w:tc>
        <w:tc>
          <w:tcPr>
            <w:tcW w:w="815" w:type="pct"/>
            <w:tcBorders>
              <w:top w:val="single" w:color="auto" w:sz="4" w:space="0"/>
              <w:left w:val="nil"/>
              <w:bottom w:val="single" w:color="auto" w:sz="4" w:space="0"/>
              <w:right w:val="single" w:color="auto" w:sz="4" w:space="0"/>
            </w:tcBorders>
            <w:vAlign w:val="center"/>
          </w:tcPr>
          <w:p w14:paraId="273B5CBD">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5F35063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14EF36B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235DA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vAlign w:val="center"/>
          </w:tcPr>
          <w:p w14:paraId="24768F29">
            <w:pPr>
              <w:keepNext w:val="0"/>
              <w:keepLines w:val="0"/>
              <w:widowControl/>
              <w:suppressLineNumbers w:val="0"/>
              <w:spacing w:before="0" w:beforeAutospacing="0" w:after="0" w:afterAutospacing="0"/>
              <w:ind w:left="0" w:right="0"/>
              <w:rPr>
                <w:rFonts w:hint="default" w:ascii="Times New Roman" w:hAnsi="Times New Roman" w:cs="宋体"/>
                <w:b/>
                <w:color w:val="auto"/>
                <w:highlight w:val="none"/>
              </w:rPr>
            </w:pPr>
            <w:r>
              <w:rPr>
                <w:rFonts w:hint="eastAsia" w:ascii="Times New Roman" w:hAnsi="Times New Roman"/>
                <w:b/>
                <w:bCs/>
                <w:color w:val="auto"/>
                <w:highlight w:val="none"/>
              </w:rPr>
              <w:t>二、超过一定规模的危险性较大的分部分项工程清单</w:t>
            </w:r>
          </w:p>
        </w:tc>
        <w:tc>
          <w:tcPr>
            <w:tcW w:w="815" w:type="pct"/>
            <w:tcBorders>
              <w:top w:val="single" w:color="auto" w:sz="4" w:space="0"/>
              <w:left w:val="nil"/>
              <w:bottom w:val="single" w:color="auto" w:sz="4" w:space="0"/>
              <w:right w:val="single" w:color="auto" w:sz="4" w:space="0"/>
            </w:tcBorders>
            <w:vAlign w:val="center"/>
          </w:tcPr>
          <w:p w14:paraId="3D916871">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26F829E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6A44A15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6B935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64A97967">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一、深基坑工程</w:t>
            </w:r>
          </w:p>
        </w:tc>
        <w:tc>
          <w:tcPr>
            <w:tcW w:w="815" w:type="pct"/>
            <w:tcBorders>
              <w:top w:val="single" w:color="auto" w:sz="4" w:space="0"/>
              <w:left w:val="nil"/>
              <w:bottom w:val="single" w:color="auto" w:sz="4" w:space="0"/>
              <w:right w:val="single" w:color="auto" w:sz="4" w:space="0"/>
            </w:tcBorders>
            <w:vAlign w:val="center"/>
          </w:tcPr>
          <w:p w14:paraId="6BF0D01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1CD70D4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18891CF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7690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F077936">
            <w:pPr>
              <w:keepNext w:val="0"/>
              <w:keepLines w:val="0"/>
              <w:suppressLineNumbers w:val="0"/>
              <w:spacing w:before="0" w:beforeAutospacing="0" w:after="0" w:afterAutospacing="0"/>
              <w:ind w:left="0" w:right="0" w:firstLine="480"/>
              <w:jc w:val="left"/>
              <w:rPr>
                <w:rFonts w:hint="default" w:ascii="Times New Roman" w:hAnsi="Times New Roman"/>
                <w:color w:val="auto"/>
                <w:highlight w:val="none"/>
              </w:rPr>
            </w:pPr>
            <w:r>
              <w:rPr>
                <w:rFonts w:hint="eastAsia" w:ascii="Times New Roman" w:hAnsi="Times New Roman"/>
                <w:color w:val="auto"/>
                <w:highlight w:val="none"/>
              </w:rPr>
              <w:t>开挖深度超过5m</w:t>
            </w:r>
            <w:r>
              <w:rPr>
                <w:rFonts w:hint="eastAsia"/>
                <w:color w:val="auto"/>
                <w:highlight w:val="none"/>
              </w:rPr>
              <w:t>（含</w:t>
            </w:r>
            <w:r>
              <w:rPr>
                <w:rFonts w:hint="eastAsia" w:ascii="Times New Roman" w:hAnsi="Times New Roman"/>
                <w:color w:val="auto"/>
                <w:highlight w:val="none"/>
              </w:rPr>
              <w:t>5m</w:t>
            </w:r>
            <w:r>
              <w:rPr>
                <w:rFonts w:hint="eastAsia"/>
                <w:color w:val="auto"/>
                <w:highlight w:val="none"/>
              </w:rPr>
              <w:t>）的基坑（槽）的土方开挖、支护、降水工程。</w:t>
            </w:r>
          </w:p>
        </w:tc>
        <w:tc>
          <w:tcPr>
            <w:tcW w:w="815" w:type="pct"/>
            <w:tcBorders>
              <w:top w:val="single" w:color="auto" w:sz="4" w:space="0"/>
              <w:left w:val="nil"/>
              <w:bottom w:val="single" w:color="auto" w:sz="4" w:space="0"/>
              <w:right w:val="single" w:color="auto" w:sz="4" w:space="0"/>
            </w:tcBorders>
            <w:vAlign w:val="center"/>
          </w:tcPr>
          <w:p w14:paraId="2FC5D844">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498F845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567EB054">
            <w:pPr>
              <w:keepNext w:val="0"/>
              <w:keepLines w:val="0"/>
              <w:suppressLineNumbers w:val="0"/>
              <w:spacing w:before="0" w:beforeAutospacing="0" w:after="0" w:afterAutospacing="0"/>
              <w:ind w:left="0" w:right="0" w:firstLine="480"/>
              <w:jc w:val="center"/>
              <w:rPr>
                <w:rFonts w:hint="default" w:ascii="Times New Roman" w:hAnsi="Times New Roman"/>
                <w:color w:val="auto"/>
                <w:highlight w:val="none"/>
              </w:rPr>
            </w:pPr>
          </w:p>
        </w:tc>
      </w:tr>
      <w:tr w14:paraId="2369E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57696CE4">
            <w:pPr>
              <w:keepNext w:val="0"/>
              <w:keepLines w:val="0"/>
              <w:suppressLineNumbers w:val="0"/>
              <w:spacing w:before="0" w:beforeAutospacing="0" w:after="0" w:afterAutospacing="0"/>
              <w:ind w:left="0" w:right="0" w:firstLine="480"/>
              <w:jc w:val="left"/>
              <w:rPr>
                <w:rFonts w:hint="default" w:ascii="Times New Roman" w:hAnsi="Times New Roman"/>
                <w:color w:val="auto"/>
                <w:highlight w:val="none"/>
              </w:rPr>
            </w:pPr>
            <w:r>
              <w:rPr>
                <w:rFonts w:hint="eastAsia" w:ascii="Times New Roman" w:hAnsi="Times New Roman"/>
                <w:color w:val="auto"/>
                <w:highlight w:val="none"/>
              </w:rPr>
              <w:t>二、模板工程及支撑体系</w:t>
            </w:r>
          </w:p>
        </w:tc>
        <w:tc>
          <w:tcPr>
            <w:tcW w:w="815" w:type="pct"/>
            <w:tcBorders>
              <w:top w:val="single" w:color="auto" w:sz="4" w:space="0"/>
              <w:left w:val="nil"/>
              <w:bottom w:val="single" w:color="auto" w:sz="4" w:space="0"/>
              <w:right w:val="single" w:color="auto" w:sz="4" w:space="0"/>
            </w:tcBorders>
            <w:vAlign w:val="center"/>
          </w:tcPr>
          <w:p w14:paraId="6DE6EA41">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4E66BAD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556D561F">
            <w:pPr>
              <w:keepNext w:val="0"/>
              <w:keepLines w:val="0"/>
              <w:suppressLineNumbers w:val="0"/>
              <w:spacing w:before="0" w:beforeAutospacing="0" w:after="0" w:afterAutospacing="0"/>
              <w:ind w:left="0" w:right="0" w:firstLine="480"/>
              <w:jc w:val="center"/>
              <w:rPr>
                <w:rFonts w:hint="default" w:ascii="Times New Roman" w:hAnsi="Times New Roman"/>
                <w:color w:val="auto"/>
                <w:highlight w:val="none"/>
              </w:rPr>
            </w:pPr>
          </w:p>
        </w:tc>
      </w:tr>
      <w:tr w14:paraId="11EAA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5AE9C37F">
            <w:pPr>
              <w:keepNext w:val="0"/>
              <w:keepLines w:val="0"/>
              <w:suppressLineNumbers w:val="0"/>
              <w:spacing w:before="0" w:beforeAutospacing="0" w:after="0" w:afterAutospacing="0"/>
              <w:ind w:left="0" w:right="0" w:firstLine="480"/>
              <w:jc w:val="left"/>
              <w:rPr>
                <w:rFonts w:hint="default" w:ascii="Times New Roman" w:hAnsi="Times New Roman"/>
                <w:color w:val="auto"/>
                <w:highlight w:val="none"/>
              </w:rPr>
            </w:pPr>
            <w:r>
              <w:rPr>
                <w:rFonts w:hint="eastAsia" w:ascii="Times New Roman" w:hAnsi="Times New Roman"/>
                <w:color w:val="auto"/>
                <w:highlight w:val="none"/>
              </w:rPr>
              <w:t>（一）各类工具式模板工程：包括滑模、爬模、飞模、隧道模等工程。</w:t>
            </w:r>
          </w:p>
        </w:tc>
        <w:tc>
          <w:tcPr>
            <w:tcW w:w="815" w:type="pct"/>
            <w:tcBorders>
              <w:top w:val="single" w:color="auto" w:sz="4" w:space="0"/>
              <w:left w:val="nil"/>
              <w:bottom w:val="single" w:color="auto" w:sz="4" w:space="0"/>
              <w:right w:val="single" w:color="auto" w:sz="4" w:space="0"/>
            </w:tcBorders>
            <w:vAlign w:val="center"/>
          </w:tcPr>
          <w:p w14:paraId="0FAC644C">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67CD254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1EE7D012">
            <w:pPr>
              <w:keepNext w:val="0"/>
              <w:keepLines w:val="0"/>
              <w:suppressLineNumbers w:val="0"/>
              <w:spacing w:before="0" w:beforeAutospacing="0" w:after="0" w:afterAutospacing="0"/>
              <w:ind w:left="0" w:right="0" w:firstLine="480"/>
              <w:jc w:val="center"/>
              <w:rPr>
                <w:rFonts w:hint="default" w:ascii="Times New Roman" w:hAnsi="Times New Roman"/>
                <w:color w:val="auto"/>
                <w:highlight w:val="none"/>
              </w:rPr>
            </w:pPr>
          </w:p>
        </w:tc>
      </w:tr>
      <w:tr w14:paraId="62219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42CA9E5">
            <w:pPr>
              <w:keepNext w:val="0"/>
              <w:keepLines w:val="0"/>
              <w:suppressLineNumbers w:val="0"/>
              <w:spacing w:before="0" w:beforeAutospacing="0" w:after="0" w:afterAutospacing="0"/>
              <w:ind w:left="0" w:right="0" w:firstLine="480"/>
              <w:jc w:val="left"/>
              <w:rPr>
                <w:rFonts w:hint="default" w:ascii="Times New Roman" w:hAnsi="Times New Roman"/>
                <w:color w:val="auto"/>
                <w:highlight w:val="none"/>
              </w:rPr>
            </w:pPr>
            <w:r>
              <w:rPr>
                <w:rFonts w:hint="eastAsia" w:ascii="Times New Roman" w:hAnsi="Times New Roman"/>
                <w:color w:val="auto"/>
                <w:highlight w:val="none"/>
              </w:rPr>
              <w:t>（二）混凝土模板支撑工程：搭设高度8m</w:t>
            </w:r>
            <w:r>
              <w:rPr>
                <w:rFonts w:hint="eastAsia"/>
                <w:color w:val="auto"/>
                <w:highlight w:val="none"/>
              </w:rPr>
              <w:t>及以上，或搭设跨度</w:t>
            </w:r>
            <w:r>
              <w:rPr>
                <w:rFonts w:hint="eastAsia" w:ascii="Times New Roman" w:hAnsi="Times New Roman"/>
                <w:color w:val="auto"/>
                <w:highlight w:val="none"/>
              </w:rPr>
              <w:t>18m</w:t>
            </w:r>
            <w:r>
              <w:rPr>
                <w:rFonts w:hint="eastAsia"/>
                <w:color w:val="auto"/>
                <w:highlight w:val="none"/>
              </w:rPr>
              <w:t>及以上，或施工总荷载（设计值）</w:t>
            </w:r>
            <w:r>
              <w:rPr>
                <w:rFonts w:hint="eastAsia" w:ascii="Times New Roman" w:hAnsi="Times New Roman"/>
                <w:color w:val="auto"/>
                <w:highlight w:val="none"/>
              </w:rPr>
              <w:t>15kN/m2</w:t>
            </w:r>
            <w:r>
              <w:rPr>
                <w:rFonts w:hint="eastAsia"/>
                <w:color w:val="auto"/>
                <w:highlight w:val="none"/>
              </w:rPr>
              <w:t>及以上，或集中线荷载（设计值）</w:t>
            </w:r>
            <w:r>
              <w:rPr>
                <w:rFonts w:hint="eastAsia" w:ascii="Times New Roman" w:hAnsi="Times New Roman"/>
                <w:color w:val="auto"/>
                <w:highlight w:val="none"/>
              </w:rPr>
              <w:t>20kN/m</w:t>
            </w:r>
            <w:r>
              <w:rPr>
                <w:rFonts w:hint="eastAsia"/>
                <w:color w:val="auto"/>
                <w:highlight w:val="none"/>
              </w:rPr>
              <w:t>及以上。</w:t>
            </w:r>
          </w:p>
        </w:tc>
        <w:tc>
          <w:tcPr>
            <w:tcW w:w="815" w:type="pct"/>
            <w:tcBorders>
              <w:top w:val="single" w:color="auto" w:sz="4" w:space="0"/>
              <w:left w:val="nil"/>
              <w:bottom w:val="single" w:color="auto" w:sz="4" w:space="0"/>
              <w:right w:val="single" w:color="auto" w:sz="4" w:space="0"/>
            </w:tcBorders>
            <w:vAlign w:val="center"/>
          </w:tcPr>
          <w:p w14:paraId="15FB713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7C363F6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542A86E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E42B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4390D75A">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（三）承重支撑体系：用于钢结构安装等满堂支撑体系，承受单点集中荷载7kN</w:t>
            </w:r>
            <w:r>
              <w:rPr>
                <w:rFonts w:hint="eastAsia"/>
                <w:color w:val="auto"/>
                <w:highlight w:val="none"/>
              </w:rPr>
              <w:t>及以上。</w:t>
            </w:r>
          </w:p>
        </w:tc>
        <w:tc>
          <w:tcPr>
            <w:tcW w:w="815" w:type="pct"/>
            <w:tcBorders>
              <w:top w:val="single" w:color="auto" w:sz="4" w:space="0"/>
              <w:left w:val="nil"/>
              <w:bottom w:val="single" w:color="auto" w:sz="4" w:space="0"/>
              <w:right w:val="single" w:color="auto" w:sz="4" w:space="0"/>
            </w:tcBorders>
            <w:vAlign w:val="center"/>
          </w:tcPr>
          <w:p w14:paraId="1822AEA4">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2ED5B18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0BDB906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9B9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4AAC8A03">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三、起重吊装及起重机械安装拆卸工程</w:t>
            </w:r>
          </w:p>
        </w:tc>
        <w:tc>
          <w:tcPr>
            <w:tcW w:w="815" w:type="pct"/>
            <w:tcBorders>
              <w:top w:val="single" w:color="auto" w:sz="4" w:space="0"/>
              <w:left w:val="nil"/>
              <w:bottom w:val="single" w:color="auto" w:sz="4" w:space="0"/>
              <w:right w:val="single" w:color="auto" w:sz="4" w:space="0"/>
            </w:tcBorders>
            <w:vAlign w:val="center"/>
          </w:tcPr>
          <w:p w14:paraId="1A7E771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080AA72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7BB0A71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7F7C2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0596B44">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（一）采用非常规起重设备、方法，且单件起吊重量在100kN</w:t>
            </w:r>
            <w:r>
              <w:rPr>
                <w:rFonts w:hint="eastAsia"/>
                <w:color w:val="auto"/>
                <w:highlight w:val="none"/>
              </w:rPr>
              <w:t>及以上的起重吊装工程。</w:t>
            </w:r>
          </w:p>
        </w:tc>
        <w:tc>
          <w:tcPr>
            <w:tcW w:w="815" w:type="pct"/>
            <w:tcBorders>
              <w:top w:val="single" w:color="auto" w:sz="4" w:space="0"/>
              <w:left w:val="nil"/>
              <w:bottom w:val="single" w:color="auto" w:sz="4" w:space="0"/>
              <w:right w:val="single" w:color="auto" w:sz="4" w:space="0"/>
            </w:tcBorders>
            <w:vAlign w:val="center"/>
          </w:tcPr>
          <w:p w14:paraId="71BAB371">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0D2E11E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1F4FA3D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395ED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1A3C42E8">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（二）起重量300kN</w:t>
            </w:r>
            <w:r>
              <w:rPr>
                <w:rFonts w:hint="eastAsia"/>
                <w:color w:val="auto"/>
                <w:highlight w:val="none"/>
              </w:rPr>
              <w:t>及以上，或搭设总高度</w:t>
            </w:r>
            <w:r>
              <w:rPr>
                <w:rFonts w:hint="eastAsia" w:ascii="Times New Roman" w:hAnsi="Times New Roman"/>
                <w:color w:val="auto"/>
                <w:highlight w:val="none"/>
              </w:rPr>
              <w:t>200m</w:t>
            </w:r>
            <w:r>
              <w:rPr>
                <w:rFonts w:hint="eastAsia"/>
                <w:color w:val="auto"/>
                <w:highlight w:val="none"/>
              </w:rPr>
              <w:t>及以上，或搭设基础标高在</w:t>
            </w:r>
            <w:r>
              <w:rPr>
                <w:rFonts w:hint="eastAsia" w:ascii="Times New Roman" w:hAnsi="Times New Roman"/>
                <w:color w:val="auto"/>
                <w:highlight w:val="none"/>
              </w:rPr>
              <w:t>200m</w:t>
            </w:r>
            <w:r>
              <w:rPr>
                <w:rFonts w:hint="eastAsia"/>
                <w:color w:val="auto"/>
                <w:highlight w:val="none"/>
              </w:rPr>
              <w:t>及以上的起重机械安装和拆卸工程。</w:t>
            </w:r>
          </w:p>
        </w:tc>
        <w:tc>
          <w:tcPr>
            <w:tcW w:w="815" w:type="pct"/>
            <w:tcBorders>
              <w:top w:val="single" w:color="auto" w:sz="4" w:space="0"/>
              <w:left w:val="nil"/>
              <w:bottom w:val="single" w:color="auto" w:sz="4" w:space="0"/>
              <w:right w:val="single" w:color="auto" w:sz="4" w:space="0"/>
            </w:tcBorders>
            <w:vAlign w:val="center"/>
          </w:tcPr>
          <w:p w14:paraId="1A69D65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36E10A9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7E44402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7CEB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4DD13EF">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四、脚手架工程</w:t>
            </w:r>
          </w:p>
        </w:tc>
        <w:tc>
          <w:tcPr>
            <w:tcW w:w="815" w:type="pct"/>
            <w:tcBorders>
              <w:top w:val="single" w:color="auto" w:sz="4" w:space="0"/>
              <w:left w:val="nil"/>
              <w:bottom w:val="single" w:color="auto" w:sz="4" w:space="0"/>
              <w:right w:val="single" w:color="auto" w:sz="4" w:space="0"/>
            </w:tcBorders>
            <w:vAlign w:val="center"/>
          </w:tcPr>
          <w:p w14:paraId="27A82AEA">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3697EF8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38DDF59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09E0D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1ECF4671">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（一）搭设高度50m</w:t>
            </w:r>
            <w:r>
              <w:rPr>
                <w:rFonts w:hint="eastAsia"/>
                <w:color w:val="auto"/>
                <w:highlight w:val="none"/>
              </w:rPr>
              <w:t>及以上的落地式钢管脚手架工程。</w:t>
            </w:r>
          </w:p>
        </w:tc>
        <w:tc>
          <w:tcPr>
            <w:tcW w:w="815" w:type="pct"/>
            <w:tcBorders>
              <w:top w:val="single" w:color="auto" w:sz="4" w:space="0"/>
              <w:left w:val="nil"/>
              <w:bottom w:val="single" w:color="auto" w:sz="4" w:space="0"/>
              <w:right w:val="single" w:color="auto" w:sz="4" w:space="0"/>
            </w:tcBorders>
            <w:vAlign w:val="center"/>
          </w:tcPr>
          <w:p w14:paraId="5618AD1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5F58416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13A843F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FAA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161F9AA6">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（二）提升高度在150m</w:t>
            </w:r>
            <w:r>
              <w:rPr>
                <w:rFonts w:hint="eastAsia"/>
                <w:color w:val="auto"/>
                <w:highlight w:val="none"/>
              </w:rPr>
              <w:t>及以上的附着式升降脚手架工程或附着式升降操作平台工程。</w:t>
            </w:r>
          </w:p>
        </w:tc>
        <w:tc>
          <w:tcPr>
            <w:tcW w:w="815" w:type="pct"/>
            <w:tcBorders>
              <w:top w:val="single" w:color="auto" w:sz="4" w:space="0"/>
              <w:left w:val="nil"/>
              <w:bottom w:val="single" w:color="auto" w:sz="4" w:space="0"/>
              <w:right w:val="single" w:color="auto" w:sz="4" w:space="0"/>
            </w:tcBorders>
            <w:vAlign w:val="center"/>
          </w:tcPr>
          <w:p w14:paraId="63938B82">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261431B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0618E07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5D623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7770C9F">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（三）分段架体搭设高度20m</w:t>
            </w:r>
            <w:r>
              <w:rPr>
                <w:rFonts w:hint="eastAsia"/>
                <w:color w:val="auto"/>
                <w:highlight w:val="none"/>
              </w:rPr>
              <w:t>及以上的悬挑式脚手架工程。</w:t>
            </w:r>
          </w:p>
        </w:tc>
        <w:tc>
          <w:tcPr>
            <w:tcW w:w="815" w:type="pct"/>
            <w:tcBorders>
              <w:top w:val="single" w:color="auto" w:sz="4" w:space="0"/>
              <w:left w:val="nil"/>
              <w:bottom w:val="single" w:color="auto" w:sz="4" w:space="0"/>
              <w:right w:val="single" w:color="auto" w:sz="4" w:space="0"/>
            </w:tcBorders>
            <w:vAlign w:val="center"/>
          </w:tcPr>
          <w:p w14:paraId="390FD9E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7E309C0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38CBA45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2EB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F90F714">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五、拆除工程</w:t>
            </w:r>
          </w:p>
        </w:tc>
        <w:tc>
          <w:tcPr>
            <w:tcW w:w="815" w:type="pct"/>
            <w:tcBorders>
              <w:top w:val="single" w:color="auto" w:sz="4" w:space="0"/>
              <w:left w:val="nil"/>
              <w:bottom w:val="single" w:color="auto" w:sz="4" w:space="0"/>
              <w:right w:val="single" w:color="auto" w:sz="4" w:space="0"/>
            </w:tcBorders>
            <w:vAlign w:val="center"/>
          </w:tcPr>
          <w:p w14:paraId="1ABEC5DA">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06AE3B7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5321A4A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1D56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140A4FA0">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（一）码头、桥梁、高架、烟囱、水塔或拆除中容易引起有毒有害气（液）体或粉尘扩散、易燃易爆事故发生的特殊建、构筑物的拆除工程。</w:t>
            </w:r>
          </w:p>
        </w:tc>
        <w:tc>
          <w:tcPr>
            <w:tcW w:w="815" w:type="pct"/>
            <w:tcBorders>
              <w:top w:val="single" w:color="auto" w:sz="4" w:space="0"/>
              <w:left w:val="nil"/>
              <w:bottom w:val="single" w:color="auto" w:sz="4" w:space="0"/>
              <w:right w:val="single" w:color="auto" w:sz="4" w:space="0"/>
            </w:tcBorders>
            <w:vAlign w:val="center"/>
          </w:tcPr>
          <w:p w14:paraId="45C4B3C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7997B42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2DB35AE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BC10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45AFE58F">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（二）文物保护建筑、优秀历史建筑或历史文化风貌区影响范围内的拆除工程。</w:t>
            </w:r>
          </w:p>
        </w:tc>
        <w:tc>
          <w:tcPr>
            <w:tcW w:w="815" w:type="pct"/>
            <w:tcBorders>
              <w:top w:val="single" w:color="auto" w:sz="4" w:space="0"/>
              <w:left w:val="nil"/>
              <w:bottom w:val="single" w:color="auto" w:sz="4" w:space="0"/>
              <w:right w:val="single" w:color="auto" w:sz="4" w:space="0"/>
            </w:tcBorders>
            <w:vAlign w:val="center"/>
          </w:tcPr>
          <w:p w14:paraId="2484C4DC">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620A3F6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2211CBC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3ADB6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03C8E16A">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六、暗挖工程</w:t>
            </w:r>
          </w:p>
        </w:tc>
        <w:tc>
          <w:tcPr>
            <w:tcW w:w="815" w:type="pct"/>
            <w:tcBorders>
              <w:top w:val="single" w:color="auto" w:sz="4" w:space="0"/>
              <w:left w:val="nil"/>
              <w:bottom w:val="single" w:color="auto" w:sz="4" w:space="0"/>
              <w:right w:val="single" w:color="auto" w:sz="4" w:space="0"/>
            </w:tcBorders>
            <w:vAlign w:val="center"/>
          </w:tcPr>
          <w:p w14:paraId="5D011A0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0392B6C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7B90CAA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041F7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B048944">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采用矿山法、盾构法、顶管法施工的隧道、洞室工程。</w:t>
            </w:r>
          </w:p>
        </w:tc>
        <w:tc>
          <w:tcPr>
            <w:tcW w:w="815" w:type="pct"/>
            <w:tcBorders>
              <w:top w:val="single" w:color="auto" w:sz="4" w:space="0"/>
              <w:left w:val="nil"/>
              <w:bottom w:val="single" w:color="auto" w:sz="4" w:space="0"/>
              <w:right w:val="single" w:color="auto" w:sz="4" w:space="0"/>
            </w:tcBorders>
            <w:vAlign w:val="center"/>
          </w:tcPr>
          <w:p w14:paraId="6AD2DB45">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22658A2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054A10F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AEAC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14B0E73">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七、其它</w:t>
            </w:r>
          </w:p>
        </w:tc>
        <w:tc>
          <w:tcPr>
            <w:tcW w:w="815" w:type="pct"/>
            <w:tcBorders>
              <w:top w:val="single" w:color="auto" w:sz="4" w:space="0"/>
              <w:left w:val="nil"/>
              <w:bottom w:val="single" w:color="auto" w:sz="4" w:space="0"/>
              <w:right w:val="single" w:color="auto" w:sz="4" w:space="0"/>
            </w:tcBorders>
            <w:vAlign w:val="center"/>
          </w:tcPr>
          <w:p w14:paraId="0F6B6AA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46E51A2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730AC82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32AF5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43160C34">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（一）施工高度50m</w:t>
            </w:r>
            <w:r>
              <w:rPr>
                <w:rFonts w:hint="eastAsia"/>
                <w:color w:val="auto"/>
                <w:highlight w:val="none"/>
              </w:rPr>
              <w:t>及以上的建筑幕墙安装工程。</w:t>
            </w:r>
          </w:p>
        </w:tc>
        <w:tc>
          <w:tcPr>
            <w:tcW w:w="815" w:type="pct"/>
            <w:tcBorders>
              <w:top w:val="single" w:color="auto" w:sz="4" w:space="0"/>
              <w:left w:val="nil"/>
              <w:bottom w:val="single" w:color="auto" w:sz="4" w:space="0"/>
              <w:right w:val="single" w:color="auto" w:sz="4" w:space="0"/>
            </w:tcBorders>
            <w:vAlign w:val="center"/>
          </w:tcPr>
          <w:p w14:paraId="4404FED5">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4C97455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7EEB145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6CAF1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60D18EE3">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（二）跨度36m</w:t>
            </w:r>
            <w:r>
              <w:rPr>
                <w:rFonts w:hint="eastAsia"/>
                <w:color w:val="auto"/>
                <w:highlight w:val="none"/>
              </w:rPr>
              <w:t>及以上的钢结构安装工程，或跨度</w:t>
            </w:r>
            <w:r>
              <w:rPr>
                <w:rFonts w:hint="eastAsia" w:ascii="Times New Roman" w:hAnsi="Times New Roman"/>
                <w:color w:val="auto"/>
                <w:highlight w:val="none"/>
              </w:rPr>
              <w:t>60m</w:t>
            </w:r>
            <w:r>
              <w:rPr>
                <w:rFonts w:hint="eastAsia"/>
                <w:color w:val="auto"/>
                <w:highlight w:val="none"/>
              </w:rPr>
              <w:t>及以上的网架和索膜结构安装工程。</w:t>
            </w:r>
          </w:p>
        </w:tc>
        <w:tc>
          <w:tcPr>
            <w:tcW w:w="815" w:type="pct"/>
            <w:tcBorders>
              <w:top w:val="single" w:color="auto" w:sz="4" w:space="0"/>
              <w:left w:val="nil"/>
              <w:bottom w:val="single" w:color="auto" w:sz="4" w:space="0"/>
              <w:right w:val="single" w:color="auto" w:sz="4" w:space="0"/>
            </w:tcBorders>
            <w:vAlign w:val="center"/>
          </w:tcPr>
          <w:p w14:paraId="2F59949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3039778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7A1ED7F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5CB5B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21AAE8A">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（三）开挖深度16m</w:t>
            </w:r>
            <w:r>
              <w:rPr>
                <w:rFonts w:hint="eastAsia"/>
                <w:color w:val="auto"/>
                <w:highlight w:val="none"/>
              </w:rPr>
              <w:t>及以上的人工挖孔桩工程。</w:t>
            </w:r>
          </w:p>
        </w:tc>
        <w:tc>
          <w:tcPr>
            <w:tcW w:w="815" w:type="pct"/>
            <w:tcBorders>
              <w:top w:val="single" w:color="auto" w:sz="4" w:space="0"/>
              <w:left w:val="nil"/>
              <w:bottom w:val="single" w:color="auto" w:sz="4" w:space="0"/>
              <w:right w:val="single" w:color="auto" w:sz="4" w:space="0"/>
            </w:tcBorders>
            <w:vAlign w:val="center"/>
          </w:tcPr>
          <w:p w14:paraId="53D13E21">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3413F5F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263A4E5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BB0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53A7D373">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（四）水下作业工程。</w:t>
            </w:r>
          </w:p>
        </w:tc>
        <w:tc>
          <w:tcPr>
            <w:tcW w:w="815" w:type="pct"/>
            <w:tcBorders>
              <w:top w:val="single" w:color="auto" w:sz="4" w:space="0"/>
              <w:left w:val="nil"/>
              <w:bottom w:val="single" w:color="auto" w:sz="4" w:space="0"/>
              <w:right w:val="single" w:color="auto" w:sz="4" w:space="0"/>
            </w:tcBorders>
            <w:vAlign w:val="center"/>
          </w:tcPr>
          <w:p w14:paraId="4EB356FC">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37F0EAD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5A2F712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86D4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41A4AC97">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（五）重量1000kN</w:t>
            </w:r>
            <w:r>
              <w:rPr>
                <w:rFonts w:hint="eastAsia"/>
                <w:color w:val="auto"/>
                <w:highlight w:val="none"/>
              </w:rPr>
              <w:t>及以上的大型结构整体顶升、平移、转体等施工工艺。</w:t>
            </w:r>
          </w:p>
        </w:tc>
        <w:tc>
          <w:tcPr>
            <w:tcW w:w="815" w:type="pct"/>
            <w:tcBorders>
              <w:top w:val="single" w:color="auto" w:sz="4" w:space="0"/>
              <w:left w:val="nil"/>
              <w:bottom w:val="single" w:color="auto" w:sz="4" w:space="0"/>
              <w:right w:val="single" w:color="auto" w:sz="4" w:space="0"/>
            </w:tcBorders>
            <w:vAlign w:val="center"/>
          </w:tcPr>
          <w:p w14:paraId="44E2F3D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35369D6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2EDCDE1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65C19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B3163F7">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（六）采用新技术、新工艺、新材料、新设备可能影响工程施工安全，尚无国家、行业及地方技术标准的分部分项工程。</w:t>
            </w:r>
          </w:p>
        </w:tc>
        <w:tc>
          <w:tcPr>
            <w:tcW w:w="815" w:type="pct"/>
            <w:tcBorders>
              <w:top w:val="single" w:color="auto" w:sz="4" w:space="0"/>
              <w:left w:val="nil"/>
              <w:bottom w:val="single" w:color="auto" w:sz="4" w:space="0"/>
              <w:right w:val="single" w:color="auto" w:sz="4" w:space="0"/>
            </w:tcBorders>
            <w:vAlign w:val="center"/>
          </w:tcPr>
          <w:p w14:paraId="7599185E">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w:t>
            </w:r>
          </w:p>
        </w:tc>
        <w:tc>
          <w:tcPr>
            <w:tcW w:w="815" w:type="pct"/>
            <w:tcBorders>
              <w:top w:val="single" w:color="auto" w:sz="4" w:space="0"/>
              <w:left w:val="nil"/>
              <w:bottom w:val="single" w:color="auto" w:sz="4" w:space="0"/>
              <w:right w:val="single" w:color="auto" w:sz="4" w:space="0"/>
            </w:tcBorders>
            <w:vAlign w:val="center"/>
          </w:tcPr>
          <w:p w14:paraId="3D82663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w:t>
            </w:r>
          </w:p>
        </w:tc>
        <w:tc>
          <w:tcPr>
            <w:tcW w:w="498" w:type="pct"/>
            <w:tcBorders>
              <w:top w:val="single" w:color="auto" w:sz="4" w:space="0"/>
              <w:left w:val="nil"/>
              <w:bottom w:val="single" w:color="auto" w:sz="4" w:space="0"/>
              <w:right w:val="single" w:color="auto" w:sz="4" w:space="0"/>
            </w:tcBorders>
            <w:vAlign w:val="center"/>
          </w:tcPr>
          <w:p w14:paraId="06E4697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bl>
    <w:p w14:paraId="5CA33C31">
      <w:pPr>
        <w:topLinePunct/>
        <w:adjustRightInd w:val="0"/>
        <w:snapToGrid w:val="0"/>
        <w:spacing w:line="360" w:lineRule="auto"/>
        <w:ind w:firstLine="496" w:firstLineChars="200"/>
        <w:rPr>
          <w:color w:val="auto"/>
          <w:spacing w:val="4"/>
          <w:kern w:val="0"/>
          <w:sz w:val="24"/>
          <w:szCs w:val="24"/>
          <w:highlight w:val="none"/>
        </w:rPr>
      </w:pPr>
    </w:p>
    <w:p w14:paraId="51C2D150">
      <w:pPr>
        <w:topLinePunct/>
        <w:adjustRightInd w:val="0"/>
        <w:snapToGrid w:val="0"/>
        <w:spacing w:line="360" w:lineRule="auto"/>
        <w:ind w:firstLine="691" w:firstLineChars="279"/>
        <w:rPr>
          <w:rFonts w:cs="宋体"/>
          <w:snapToGrid w:val="0"/>
          <w:color w:val="FF0000"/>
          <w:spacing w:val="4"/>
          <w:kern w:val="0"/>
          <w:sz w:val="24"/>
          <w:szCs w:val="24"/>
          <w:highlight w:val="none"/>
        </w:rPr>
      </w:pPr>
      <w:r>
        <w:rPr>
          <w:rFonts w:hint="eastAsia" w:cs="宋体"/>
          <w:snapToGrid w:val="0"/>
          <w:color w:val="FF0000"/>
          <w:spacing w:val="4"/>
          <w:kern w:val="0"/>
          <w:sz w:val="24"/>
          <w:szCs w:val="24"/>
          <w:highlight w:val="none"/>
        </w:rPr>
        <w:t>投标人：（盖章）</w:t>
      </w:r>
    </w:p>
    <w:p w14:paraId="33B1B96C">
      <w:pPr>
        <w:autoSpaceDE w:val="0"/>
        <w:autoSpaceDN w:val="0"/>
        <w:adjustRightInd w:val="0"/>
        <w:spacing w:line="360" w:lineRule="auto"/>
        <w:ind w:firstLine="691" w:firstLineChars="279"/>
        <w:rPr>
          <w:color w:val="FF0000"/>
          <w:highlight w:val="none"/>
        </w:rPr>
      </w:pPr>
      <w:r>
        <w:rPr>
          <w:rFonts w:hint="eastAsia" w:cs="宋体"/>
          <w:snapToGrid w:val="0"/>
          <w:color w:val="FF0000"/>
          <w:spacing w:val="4"/>
          <w:kern w:val="0"/>
          <w:sz w:val="24"/>
          <w:szCs w:val="24"/>
          <w:highlight w:val="none"/>
        </w:rPr>
        <w:t>日期：年月日</w:t>
      </w:r>
    </w:p>
    <w:p w14:paraId="1B8524EA">
      <w:pPr>
        <w:widowControl/>
        <w:jc w:val="left"/>
        <w:rPr>
          <w:color w:val="auto"/>
          <w:highlight w:val="none"/>
        </w:rPr>
      </w:pPr>
    </w:p>
    <w:p w14:paraId="3DDF1928">
      <w:pPr>
        <w:pStyle w:val="4"/>
        <w:rPr>
          <w:color w:val="auto"/>
          <w:highlight w:val="none"/>
        </w:rPr>
      </w:pPr>
      <w:r>
        <w:rPr>
          <w:rFonts w:hint="eastAsia"/>
          <w:color w:val="auto"/>
          <w:highlight w:val="none"/>
        </w:rPr>
        <w:br w:type="page"/>
      </w:r>
      <w:bookmarkStart w:id="25" w:name="_Toc19725"/>
      <w:r>
        <w:rPr>
          <w:rFonts w:hint="eastAsia"/>
          <w:color w:val="auto"/>
          <w:highlight w:val="none"/>
        </w:rPr>
        <w:t>格式三：</w:t>
      </w:r>
      <w:bookmarkEnd w:id="25"/>
    </w:p>
    <w:p w14:paraId="70600C07">
      <w:pPr>
        <w:jc w:val="center"/>
        <w:rPr>
          <w:b/>
          <w:color w:val="auto"/>
          <w:sz w:val="36"/>
          <w:szCs w:val="36"/>
          <w:highlight w:val="none"/>
        </w:rPr>
      </w:pPr>
      <w:r>
        <w:rPr>
          <w:rFonts w:hint="eastAsia"/>
          <w:b/>
          <w:color w:val="auto"/>
          <w:sz w:val="36"/>
          <w:szCs w:val="36"/>
          <w:highlight w:val="none"/>
        </w:rPr>
        <w:t>参与编制技术标投标文件人员名单</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1427"/>
        <w:gridCol w:w="2444"/>
        <w:gridCol w:w="2343"/>
        <w:gridCol w:w="1411"/>
      </w:tblGrid>
      <w:tr w14:paraId="706FF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4"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02AA7033">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投标单位名称</w:t>
            </w:r>
          </w:p>
        </w:tc>
      </w:tr>
      <w:tr w14:paraId="0BDFB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92" w:type="pct"/>
            <w:tcBorders>
              <w:top w:val="single" w:color="auto" w:sz="4" w:space="0"/>
              <w:left w:val="single" w:color="auto" w:sz="4" w:space="0"/>
              <w:bottom w:val="single" w:color="auto" w:sz="4" w:space="0"/>
              <w:right w:val="single" w:color="auto" w:sz="4" w:space="0"/>
            </w:tcBorders>
            <w:vAlign w:val="center"/>
          </w:tcPr>
          <w:p w14:paraId="6649F7BA">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姓名</w:t>
            </w:r>
          </w:p>
        </w:tc>
        <w:tc>
          <w:tcPr>
            <w:tcW w:w="806" w:type="pct"/>
            <w:tcBorders>
              <w:top w:val="single" w:color="auto" w:sz="4" w:space="0"/>
              <w:left w:val="single" w:color="auto" w:sz="4" w:space="0"/>
              <w:bottom w:val="single" w:color="auto" w:sz="4" w:space="0"/>
              <w:right w:val="single" w:color="auto" w:sz="4" w:space="0"/>
            </w:tcBorders>
            <w:vAlign w:val="center"/>
          </w:tcPr>
          <w:p w14:paraId="6BB96DAE">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职务</w:t>
            </w:r>
          </w:p>
        </w:tc>
        <w:tc>
          <w:tcPr>
            <w:tcW w:w="1381" w:type="pct"/>
            <w:tcBorders>
              <w:top w:val="single" w:color="auto" w:sz="4" w:space="0"/>
              <w:left w:val="single" w:color="auto" w:sz="4" w:space="0"/>
              <w:bottom w:val="single" w:color="auto" w:sz="4" w:space="0"/>
              <w:right w:val="single" w:color="auto" w:sz="4" w:space="0"/>
            </w:tcBorders>
            <w:vAlign w:val="center"/>
          </w:tcPr>
          <w:p w14:paraId="14EC7863">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所承担工作</w:t>
            </w:r>
          </w:p>
        </w:tc>
        <w:tc>
          <w:tcPr>
            <w:tcW w:w="1324" w:type="pct"/>
            <w:tcBorders>
              <w:top w:val="single" w:color="auto" w:sz="4" w:space="0"/>
              <w:left w:val="single" w:color="auto" w:sz="4" w:space="0"/>
              <w:bottom w:val="single" w:color="auto" w:sz="4" w:space="0"/>
              <w:right w:val="single" w:color="auto" w:sz="4" w:space="0"/>
            </w:tcBorders>
            <w:vAlign w:val="center"/>
          </w:tcPr>
          <w:p w14:paraId="31959859">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身份证号码</w:t>
            </w:r>
          </w:p>
        </w:tc>
        <w:tc>
          <w:tcPr>
            <w:tcW w:w="795" w:type="pct"/>
            <w:tcBorders>
              <w:top w:val="single" w:color="auto" w:sz="4" w:space="0"/>
              <w:left w:val="single" w:color="auto" w:sz="4" w:space="0"/>
              <w:bottom w:val="single" w:color="auto" w:sz="4" w:space="0"/>
              <w:right w:val="single" w:color="auto" w:sz="4" w:space="0"/>
            </w:tcBorders>
            <w:vAlign w:val="center"/>
          </w:tcPr>
          <w:p w14:paraId="26C2ED3F">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本人签名栏</w:t>
            </w:r>
          </w:p>
        </w:tc>
      </w:tr>
      <w:tr w14:paraId="6579D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2" w:type="pct"/>
            <w:tcBorders>
              <w:top w:val="single" w:color="auto" w:sz="4" w:space="0"/>
              <w:left w:val="single" w:color="auto" w:sz="4" w:space="0"/>
              <w:bottom w:val="single" w:color="auto" w:sz="4" w:space="0"/>
              <w:right w:val="single" w:color="auto" w:sz="4" w:space="0"/>
            </w:tcBorders>
            <w:vAlign w:val="center"/>
          </w:tcPr>
          <w:p w14:paraId="28AB5C3F">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1F06D320">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81" w:type="pct"/>
            <w:tcBorders>
              <w:top w:val="single" w:color="auto" w:sz="4" w:space="0"/>
              <w:left w:val="single" w:color="auto" w:sz="4" w:space="0"/>
              <w:bottom w:val="single" w:color="auto" w:sz="4" w:space="0"/>
              <w:right w:val="single" w:color="auto" w:sz="4" w:space="0"/>
            </w:tcBorders>
            <w:vAlign w:val="center"/>
          </w:tcPr>
          <w:p w14:paraId="49D4C55C">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24" w:type="pct"/>
            <w:tcBorders>
              <w:top w:val="single" w:color="auto" w:sz="4" w:space="0"/>
              <w:left w:val="single" w:color="auto" w:sz="4" w:space="0"/>
              <w:bottom w:val="single" w:color="auto" w:sz="4" w:space="0"/>
              <w:right w:val="single" w:color="auto" w:sz="4" w:space="0"/>
            </w:tcBorders>
            <w:vAlign w:val="center"/>
          </w:tcPr>
          <w:p w14:paraId="38F4A34B">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6EEED5C9">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r>
      <w:tr w14:paraId="46528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2" w:type="pct"/>
            <w:tcBorders>
              <w:top w:val="single" w:color="auto" w:sz="4" w:space="0"/>
              <w:left w:val="single" w:color="auto" w:sz="4" w:space="0"/>
              <w:bottom w:val="single" w:color="auto" w:sz="4" w:space="0"/>
              <w:right w:val="single" w:color="auto" w:sz="4" w:space="0"/>
            </w:tcBorders>
            <w:vAlign w:val="center"/>
          </w:tcPr>
          <w:p w14:paraId="32CD04B9">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75CF8F2E">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81" w:type="pct"/>
            <w:tcBorders>
              <w:top w:val="single" w:color="auto" w:sz="4" w:space="0"/>
              <w:left w:val="single" w:color="auto" w:sz="4" w:space="0"/>
              <w:bottom w:val="single" w:color="auto" w:sz="4" w:space="0"/>
              <w:right w:val="single" w:color="auto" w:sz="4" w:space="0"/>
            </w:tcBorders>
            <w:vAlign w:val="center"/>
          </w:tcPr>
          <w:p w14:paraId="217082F1">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24" w:type="pct"/>
            <w:tcBorders>
              <w:top w:val="single" w:color="auto" w:sz="4" w:space="0"/>
              <w:left w:val="single" w:color="auto" w:sz="4" w:space="0"/>
              <w:bottom w:val="single" w:color="auto" w:sz="4" w:space="0"/>
              <w:right w:val="single" w:color="auto" w:sz="4" w:space="0"/>
            </w:tcBorders>
            <w:vAlign w:val="center"/>
          </w:tcPr>
          <w:p w14:paraId="445442CA">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02D54E3C">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r>
      <w:tr w14:paraId="7023A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2" w:type="pct"/>
            <w:tcBorders>
              <w:top w:val="single" w:color="auto" w:sz="4" w:space="0"/>
              <w:left w:val="single" w:color="auto" w:sz="4" w:space="0"/>
              <w:bottom w:val="single" w:color="auto" w:sz="4" w:space="0"/>
              <w:right w:val="single" w:color="auto" w:sz="4" w:space="0"/>
            </w:tcBorders>
            <w:vAlign w:val="center"/>
          </w:tcPr>
          <w:p w14:paraId="7198B43A">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74D1A93A">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81" w:type="pct"/>
            <w:tcBorders>
              <w:top w:val="single" w:color="auto" w:sz="4" w:space="0"/>
              <w:left w:val="single" w:color="auto" w:sz="4" w:space="0"/>
              <w:bottom w:val="single" w:color="auto" w:sz="4" w:space="0"/>
              <w:right w:val="single" w:color="auto" w:sz="4" w:space="0"/>
            </w:tcBorders>
            <w:vAlign w:val="center"/>
          </w:tcPr>
          <w:p w14:paraId="2429F133">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24" w:type="pct"/>
            <w:tcBorders>
              <w:top w:val="single" w:color="auto" w:sz="4" w:space="0"/>
              <w:left w:val="single" w:color="auto" w:sz="4" w:space="0"/>
              <w:bottom w:val="single" w:color="auto" w:sz="4" w:space="0"/>
              <w:right w:val="single" w:color="auto" w:sz="4" w:space="0"/>
            </w:tcBorders>
            <w:vAlign w:val="center"/>
          </w:tcPr>
          <w:p w14:paraId="121CEA30">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3D41C7D8">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r>
      <w:tr w14:paraId="44CE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2" w:type="pct"/>
            <w:tcBorders>
              <w:top w:val="single" w:color="auto" w:sz="4" w:space="0"/>
              <w:left w:val="single" w:color="auto" w:sz="4" w:space="0"/>
              <w:bottom w:val="single" w:color="auto" w:sz="4" w:space="0"/>
              <w:right w:val="single" w:color="auto" w:sz="4" w:space="0"/>
            </w:tcBorders>
            <w:vAlign w:val="center"/>
          </w:tcPr>
          <w:p w14:paraId="22BAE6FF">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4E8D8503">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81" w:type="pct"/>
            <w:tcBorders>
              <w:top w:val="single" w:color="auto" w:sz="4" w:space="0"/>
              <w:left w:val="single" w:color="auto" w:sz="4" w:space="0"/>
              <w:bottom w:val="single" w:color="auto" w:sz="4" w:space="0"/>
              <w:right w:val="single" w:color="auto" w:sz="4" w:space="0"/>
            </w:tcBorders>
            <w:vAlign w:val="center"/>
          </w:tcPr>
          <w:p w14:paraId="011474B0">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24" w:type="pct"/>
            <w:tcBorders>
              <w:top w:val="single" w:color="auto" w:sz="4" w:space="0"/>
              <w:left w:val="single" w:color="auto" w:sz="4" w:space="0"/>
              <w:bottom w:val="single" w:color="auto" w:sz="4" w:space="0"/>
              <w:right w:val="single" w:color="auto" w:sz="4" w:space="0"/>
            </w:tcBorders>
            <w:vAlign w:val="center"/>
          </w:tcPr>
          <w:p w14:paraId="54ADA8F7">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5D3C66DA">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r>
      <w:tr w14:paraId="436C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2" w:type="pct"/>
            <w:tcBorders>
              <w:top w:val="single" w:color="auto" w:sz="4" w:space="0"/>
              <w:left w:val="single" w:color="auto" w:sz="4" w:space="0"/>
              <w:bottom w:val="single" w:color="auto" w:sz="4" w:space="0"/>
              <w:right w:val="single" w:color="auto" w:sz="4" w:space="0"/>
            </w:tcBorders>
            <w:vAlign w:val="center"/>
          </w:tcPr>
          <w:p w14:paraId="25E757B4">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7994906E">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81" w:type="pct"/>
            <w:tcBorders>
              <w:top w:val="single" w:color="auto" w:sz="4" w:space="0"/>
              <w:left w:val="single" w:color="auto" w:sz="4" w:space="0"/>
              <w:bottom w:val="single" w:color="auto" w:sz="4" w:space="0"/>
              <w:right w:val="single" w:color="auto" w:sz="4" w:space="0"/>
            </w:tcBorders>
            <w:vAlign w:val="center"/>
          </w:tcPr>
          <w:p w14:paraId="61293067">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24" w:type="pct"/>
            <w:tcBorders>
              <w:top w:val="single" w:color="auto" w:sz="4" w:space="0"/>
              <w:left w:val="single" w:color="auto" w:sz="4" w:space="0"/>
              <w:bottom w:val="single" w:color="auto" w:sz="4" w:space="0"/>
              <w:right w:val="single" w:color="auto" w:sz="4" w:space="0"/>
            </w:tcBorders>
            <w:vAlign w:val="center"/>
          </w:tcPr>
          <w:p w14:paraId="6BA2C932">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06E82220">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r>
      <w:tr w14:paraId="1C714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2" w:type="pct"/>
            <w:tcBorders>
              <w:top w:val="single" w:color="auto" w:sz="4" w:space="0"/>
              <w:left w:val="single" w:color="auto" w:sz="4" w:space="0"/>
              <w:bottom w:val="single" w:color="auto" w:sz="4" w:space="0"/>
              <w:right w:val="single" w:color="auto" w:sz="4" w:space="0"/>
            </w:tcBorders>
            <w:vAlign w:val="center"/>
          </w:tcPr>
          <w:p w14:paraId="00CC9546">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5D95721F">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81" w:type="pct"/>
            <w:tcBorders>
              <w:top w:val="single" w:color="auto" w:sz="4" w:space="0"/>
              <w:left w:val="single" w:color="auto" w:sz="4" w:space="0"/>
              <w:bottom w:val="single" w:color="auto" w:sz="4" w:space="0"/>
              <w:right w:val="single" w:color="auto" w:sz="4" w:space="0"/>
            </w:tcBorders>
            <w:vAlign w:val="center"/>
          </w:tcPr>
          <w:p w14:paraId="79F517F0">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24" w:type="pct"/>
            <w:tcBorders>
              <w:top w:val="single" w:color="auto" w:sz="4" w:space="0"/>
              <w:left w:val="single" w:color="auto" w:sz="4" w:space="0"/>
              <w:bottom w:val="single" w:color="auto" w:sz="4" w:space="0"/>
              <w:right w:val="single" w:color="auto" w:sz="4" w:space="0"/>
            </w:tcBorders>
            <w:vAlign w:val="center"/>
          </w:tcPr>
          <w:p w14:paraId="5DBC65E4">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292B0F82">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r>
      <w:tr w14:paraId="0A33F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92" w:type="pct"/>
            <w:tcBorders>
              <w:top w:val="single" w:color="auto" w:sz="4" w:space="0"/>
              <w:left w:val="single" w:color="auto" w:sz="4" w:space="0"/>
              <w:bottom w:val="single" w:color="auto" w:sz="4" w:space="0"/>
              <w:right w:val="single" w:color="auto" w:sz="4" w:space="0"/>
            </w:tcBorders>
            <w:vAlign w:val="center"/>
          </w:tcPr>
          <w:p w14:paraId="783A71B8">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63CB0D1A">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81" w:type="pct"/>
            <w:tcBorders>
              <w:top w:val="single" w:color="auto" w:sz="4" w:space="0"/>
              <w:left w:val="single" w:color="auto" w:sz="4" w:space="0"/>
              <w:bottom w:val="single" w:color="auto" w:sz="4" w:space="0"/>
              <w:right w:val="single" w:color="auto" w:sz="4" w:space="0"/>
            </w:tcBorders>
            <w:vAlign w:val="center"/>
          </w:tcPr>
          <w:p w14:paraId="1E542F6D">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24" w:type="pct"/>
            <w:tcBorders>
              <w:top w:val="single" w:color="auto" w:sz="4" w:space="0"/>
              <w:left w:val="single" w:color="auto" w:sz="4" w:space="0"/>
              <w:bottom w:val="single" w:color="auto" w:sz="4" w:space="0"/>
              <w:right w:val="single" w:color="auto" w:sz="4" w:space="0"/>
            </w:tcBorders>
            <w:vAlign w:val="center"/>
          </w:tcPr>
          <w:p w14:paraId="176DD74E">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1DA1CF9A">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r>
      <w:tr w14:paraId="7FE6A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92" w:type="pct"/>
            <w:tcBorders>
              <w:top w:val="single" w:color="auto" w:sz="4" w:space="0"/>
              <w:left w:val="single" w:color="auto" w:sz="4" w:space="0"/>
              <w:bottom w:val="single" w:color="auto" w:sz="4" w:space="0"/>
              <w:right w:val="single" w:color="auto" w:sz="4" w:space="0"/>
            </w:tcBorders>
            <w:vAlign w:val="center"/>
          </w:tcPr>
          <w:p w14:paraId="6E7ABC42">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398CCF65">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81" w:type="pct"/>
            <w:tcBorders>
              <w:top w:val="single" w:color="auto" w:sz="4" w:space="0"/>
              <w:left w:val="single" w:color="auto" w:sz="4" w:space="0"/>
              <w:bottom w:val="single" w:color="auto" w:sz="4" w:space="0"/>
              <w:right w:val="single" w:color="auto" w:sz="4" w:space="0"/>
            </w:tcBorders>
            <w:vAlign w:val="center"/>
          </w:tcPr>
          <w:p w14:paraId="0E8929A3">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24" w:type="pct"/>
            <w:tcBorders>
              <w:top w:val="single" w:color="auto" w:sz="4" w:space="0"/>
              <w:left w:val="single" w:color="auto" w:sz="4" w:space="0"/>
              <w:bottom w:val="single" w:color="auto" w:sz="4" w:space="0"/>
              <w:right w:val="single" w:color="auto" w:sz="4" w:space="0"/>
            </w:tcBorders>
            <w:vAlign w:val="center"/>
          </w:tcPr>
          <w:p w14:paraId="3C1B721C">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61AACC02">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r>
    </w:tbl>
    <w:p w14:paraId="2866CD4B">
      <w:pPr>
        <w:autoSpaceDE w:val="0"/>
        <w:autoSpaceDN w:val="0"/>
        <w:adjustRightInd w:val="0"/>
        <w:spacing w:line="360" w:lineRule="auto"/>
        <w:rPr>
          <w:rFonts w:cs="宋体"/>
          <w:bCs/>
          <w:color w:val="auto"/>
          <w:sz w:val="24"/>
          <w:szCs w:val="24"/>
          <w:highlight w:val="none"/>
        </w:rPr>
      </w:pPr>
      <w:r>
        <w:rPr>
          <w:rFonts w:hint="eastAsia" w:cs="宋体"/>
          <w:color w:val="auto"/>
          <w:sz w:val="24"/>
          <w:szCs w:val="24"/>
          <w:highlight w:val="none"/>
        </w:rPr>
        <w:t>注：参与编制技术标书所有人员名单应包括如编制技术投标方案、负责清样校对、负责打印及复印等所有人员在内的人员名单。</w:t>
      </w:r>
    </w:p>
    <w:p w14:paraId="0AA3E6BA">
      <w:pPr>
        <w:rPr>
          <w:color w:val="auto"/>
          <w:highlight w:val="none"/>
        </w:rPr>
      </w:pPr>
    </w:p>
    <w:p w14:paraId="35ADC905">
      <w:pPr>
        <w:widowControl/>
        <w:jc w:val="left"/>
        <w:rPr>
          <w:color w:val="auto"/>
          <w:highlight w:val="none"/>
        </w:rPr>
      </w:pPr>
      <w:r>
        <w:rPr>
          <w:color w:val="auto"/>
          <w:highlight w:val="none"/>
        </w:rPr>
        <w:br w:type="page"/>
      </w:r>
    </w:p>
    <w:p w14:paraId="05992CA1">
      <w:pPr>
        <w:pStyle w:val="25"/>
        <w:spacing w:before="120" w:line="360" w:lineRule="auto"/>
        <w:outlineLvl w:val="0"/>
        <w:rPr>
          <w:rFonts w:eastAsia="宋体"/>
          <w:color w:val="auto"/>
          <w:highlight w:val="none"/>
        </w:rPr>
      </w:pPr>
      <w:bookmarkStart w:id="26" w:name="_Toc6650"/>
      <w:r>
        <w:rPr>
          <w:rFonts w:hint="eastAsia" w:eastAsia="宋体"/>
          <w:color w:val="auto"/>
          <w:highlight w:val="none"/>
        </w:rPr>
        <w:t>二、经济标投标文件格式</w:t>
      </w:r>
      <w:bookmarkEnd w:id="26"/>
    </w:p>
    <w:p w14:paraId="7EF025C6">
      <w:pPr>
        <w:pStyle w:val="4"/>
        <w:rPr>
          <w:rFonts w:cs="宋体"/>
          <w:b/>
          <w:bCs/>
          <w:color w:val="auto"/>
          <w:sz w:val="44"/>
          <w:szCs w:val="44"/>
          <w:highlight w:val="none"/>
          <w:lang w:val="zh-CN"/>
        </w:rPr>
      </w:pPr>
      <w:bookmarkStart w:id="27" w:name="_Toc14455"/>
      <w:r>
        <w:rPr>
          <w:rFonts w:hint="eastAsia"/>
          <w:snapToGrid w:val="0"/>
          <w:color w:val="auto"/>
          <w:highlight w:val="none"/>
        </w:rPr>
        <w:t>格式四：</w:t>
      </w:r>
      <w:bookmarkEnd w:id="27"/>
    </w:p>
    <w:p w14:paraId="28183174">
      <w:pPr>
        <w:jc w:val="center"/>
        <w:rPr>
          <w:b/>
          <w:color w:val="auto"/>
          <w:sz w:val="36"/>
          <w:szCs w:val="36"/>
          <w:highlight w:val="none"/>
        </w:rPr>
      </w:pPr>
      <w:r>
        <w:rPr>
          <w:rFonts w:hint="eastAsia"/>
          <w:b/>
          <w:color w:val="auto"/>
          <w:sz w:val="36"/>
          <w:szCs w:val="36"/>
          <w:highlight w:val="none"/>
        </w:rPr>
        <w:t>广州建设工程施工招标投标书（经济标）</w:t>
      </w:r>
    </w:p>
    <w:tbl>
      <w:tblPr>
        <w:tblStyle w:val="21"/>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6045"/>
      </w:tblGrid>
      <w:tr w14:paraId="29288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3334" w:type="dxa"/>
            <w:tcBorders>
              <w:top w:val="single" w:color="auto" w:sz="4" w:space="0"/>
              <w:left w:val="single" w:color="auto" w:sz="4" w:space="0"/>
              <w:bottom w:val="single" w:color="auto" w:sz="4" w:space="0"/>
              <w:right w:val="single" w:color="auto" w:sz="4" w:space="0"/>
            </w:tcBorders>
            <w:vAlign w:val="center"/>
          </w:tcPr>
          <w:p w14:paraId="3E590316">
            <w:pPr>
              <w:keepNext w:val="0"/>
              <w:keepLines w:val="0"/>
              <w:suppressLineNumbers w:val="0"/>
              <w:autoSpaceDE w:val="0"/>
              <w:autoSpaceDN w:val="0"/>
              <w:adjustRightInd w:val="0"/>
              <w:spacing w:before="0" w:beforeAutospacing="0" w:after="0" w:afterAutospacing="0"/>
              <w:ind w:left="0" w:right="0"/>
              <w:jc w:val="center"/>
              <w:rPr>
                <w:rFonts w:hint="default" w:cs="宋体"/>
                <w:bCs/>
                <w:color w:val="auto"/>
                <w:sz w:val="24"/>
                <w:szCs w:val="24"/>
                <w:highlight w:val="none"/>
                <w:lang w:val="zh-CN"/>
              </w:rPr>
            </w:pPr>
            <w:r>
              <w:rPr>
                <w:rFonts w:hint="eastAsia" w:cs="宋体"/>
                <w:color w:val="auto"/>
                <w:sz w:val="24"/>
                <w:szCs w:val="24"/>
                <w:highlight w:val="none"/>
                <w:lang w:val="zh-CN"/>
              </w:rPr>
              <w:t>工程名称</w:t>
            </w:r>
          </w:p>
        </w:tc>
        <w:tc>
          <w:tcPr>
            <w:tcW w:w="6045" w:type="dxa"/>
            <w:tcBorders>
              <w:top w:val="single" w:color="auto" w:sz="4" w:space="0"/>
              <w:left w:val="single" w:color="auto" w:sz="4" w:space="0"/>
              <w:bottom w:val="single" w:color="auto" w:sz="4" w:space="0"/>
              <w:right w:val="single" w:color="auto" w:sz="4" w:space="0"/>
            </w:tcBorders>
          </w:tcPr>
          <w:p w14:paraId="586CA60A">
            <w:pPr>
              <w:keepNext w:val="0"/>
              <w:keepLines w:val="0"/>
              <w:suppressLineNumbers w:val="0"/>
              <w:autoSpaceDE w:val="0"/>
              <w:autoSpaceDN w:val="0"/>
              <w:adjustRightInd w:val="0"/>
              <w:spacing w:before="0" w:beforeAutospacing="0" w:after="0" w:afterAutospacing="0"/>
              <w:ind w:left="0" w:right="0"/>
              <w:rPr>
                <w:rFonts w:hint="default" w:cs="宋体"/>
                <w:bCs/>
                <w:color w:val="auto"/>
                <w:sz w:val="24"/>
                <w:szCs w:val="24"/>
                <w:highlight w:val="none"/>
                <w:lang w:val="zh-CN"/>
              </w:rPr>
            </w:pPr>
          </w:p>
        </w:tc>
      </w:tr>
      <w:tr w14:paraId="38C19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334" w:type="dxa"/>
            <w:vMerge w:val="restart"/>
            <w:tcBorders>
              <w:top w:val="single" w:color="auto" w:sz="4" w:space="0"/>
              <w:left w:val="single" w:color="auto" w:sz="4" w:space="0"/>
              <w:bottom w:val="single" w:color="auto" w:sz="4" w:space="0"/>
              <w:right w:val="single" w:color="auto" w:sz="4" w:space="0"/>
            </w:tcBorders>
            <w:vAlign w:val="center"/>
          </w:tcPr>
          <w:p w14:paraId="56C69958">
            <w:pPr>
              <w:keepNext w:val="0"/>
              <w:keepLines w:val="0"/>
              <w:suppressLineNumbers w:val="0"/>
              <w:autoSpaceDE w:val="0"/>
              <w:autoSpaceDN w:val="0"/>
              <w:adjustRightInd w:val="0"/>
              <w:spacing w:before="0" w:beforeAutospacing="0" w:after="0" w:afterAutospacing="0"/>
              <w:ind w:left="0" w:right="0"/>
              <w:jc w:val="center"/>
              <w:rPr>
                <w:rFonts w:hint="default" w:cs="宋体"/>
                <w:bCs/>
                <w:color w:val="auto"/>
                <w:sz w:val="24"/>
                <w:szCs w:val="24"/>
                <w:highlight w:val="none"/>
                <w:lang w:val="zh-CN"/>
              </w:rPr>
            </w:pPr>
            <w:r>
              <w:rPr>
                <w:rFonts w:hint="eastAsia" w:cs="宋体"/>
                <w:color w:val="auto"/>
                <w:sz w:val="24"/>
                <w:szCs w:val="24"/>
                <w:highlight w:val="none"/>
                <w:lang w:val="zh-CN"/>
              </w:rPr>
              <w:t>投标总报价（元）</w:t>
            </w:r>
          </w:p>
        </w:tc>
        <w:tc>
          <w:tcPr>
            <w:tcW w:w="6045" w:type="dxa"/>
            <w:tcBorders>
              <w:top w:val="single" w:color="auto" w:sz="4" w:space="0"/>
              <w:left w:val="single" w:color="auto" w:sz="4" w:space="0"/>
              <w:bottom w:val="single" w:color="auto" w:sz="4" w:space="0"/>
              <w:right w:val="single" w:color="auto" w:sz="4" w:space="0"/>
            </w:tcBorders>
            <w:vAlign w:val="center"/>
          </w:tcPr>
          <w:p w14:paraId="76FAD858">
            <w:pPr>
              <w:keepNext w:val="0"/>
              <w:keepLines w:val="0"/>
              <w:suppressLineNumbers w:val="0"/>
              <w:autoSpaceDE w:val="0"/>
              <w:autoSpaceDN w:val="0"/>
              <w:adjustRightInd w:val="0"/>
              <w:spacing w:before="0" w:beforeAutospacing="0" w:after="0" w:afterAutospacing="0"/>
              <w:ind w:left="0" w:right="0"/>
              <w:rPr>
                <w:rFonts w:hint="default" w:cs="宋体"/>
                <w:bCs/>
                <w:color w:val="auto"/>
                <w:sz w:val="24"/>
                <w:szCs w:val="24"/>
                <w:highlight w:val="none"/>
                <w:lang w:val="zh-CN"/>
              </w:rPr>
            </w:pPr>
            <w:r>
              <w:rPr>
                <w:rFonts w:hint="eastAsia"/>
                <w:color w:val="auto"/>
                <w:sz w:val="24"/>
                <w:szCs w:val="24"/>
                <w:highlight w:val="none"/>
              </w:rPr>
              <w:t>大写：</w:t>
            </w:r>
          </w:p>
        </w:tc>
      </w:tr>
      <w:tr w14:paraId="7413C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334" w:type="dxa"/>
            <w:vMerge w:val="continue"/>
            <w:tcBorders>
              <w:top w:val="single" w:color="auto" w:sz="4" w:space="0"/>
              <w:left w:val="single" w:color="auto" w:sz="4" w:space="0"/>
              <w:bottom w:val="single" w:color="auto" w:sz="4" w:space="0"/>
              <w:right w:val="single" w:color="auto" w:sz="4" w:space="0"/>
            </w:tcBorders>
            <w:vAlign w:val="center"/>
          </w:tcPr>
          <w:p w14:paraId="4E2A9EE3">
            <w:pPr>
              <w:keepNext w:val="0"/>
              <w:keepLines w:val="0"/>
              <w:widowControl/>
              <w:suppressLineNumbers w:val="0"/>
              <w:spacing w:before="0" w:beforeAutospacing="0" w:after="0" w:afterAutospacing="0"/>
              <w:ind w:left="0" w:right="0"/>
              <w:jc w:val="left"/>
              <w:rPr>
                <w:rFonts w:hint="default"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14:paraId="786034E9">
            <w:pPr>
              <w:keepNext w:val="0"/>
              <w:keepLines w:val="0"/>
              <w:suppressLineNumbers w:val="0"/>
              <w:autoSpaceDE w:val="0"/>
              <w:autoSpaceDN w:val="0"/>
              <w:adjustRightInd w:val="0"/>
              <w:spacing w:before="0" w:beforeAutospacing="0" w:after="0" w:afterAutospacing="0"/>
              <w:ind w:left="0" w:right="0"/>
              <w:rPr>
                <w:rFonts w:hint="default" w:cs="宋体"/>
                <w:bCs/>
                <w:color w:val="auto"/>
                <w:sz w:val="24"/>
                <w:szCs w:val="24"/>
                <w:highlight w:val="none"/>
                <w:lang w:val="zh-CN"/>
              </w:rPr>
            </w:pPr>
            <w:r>
              <w:rPr>
                <w:rFonts w:hint="eastAsia"/>
                <w:color w:val="auto"/>
                <w:sz w:val="24"/>
                <w:szCs w:val="24"/>
                <w:highlight w:val="none"/>
              </w:rPr>
              <w:t>小写：</w:t>
            </w:r>
          </w:p>
        </w:tc>
      </w:tr>
      <w:tr w14:paraId="28ED2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334" w:type="dxa"/>
            <w:vMerge w:val="restart"/>
            <w:tcBorders>
              <w:top w:val="single" w:color="auto" w:sz="4" w:space="0"/>
              <w:left w:val="single" w:color="auto" w:sz="4" w:space="0"/>
              <w:bottom w:val="single" w:color="auto" w:sz="4" w:space="0"/>
              <w:right w:val="single" w:color="auto" w:sz="4" w:space="0"/>
            </w:tcBorders>
            <w:vAlign w:val="center"/>
          </w:tcPr>
          <w:p w14:paraId="24FA32F2">
            <w:pPr>
              <w:keepNext w:val="0"/>
              <w:keepLines w:val="0"/>
              <w:suppressLineNumbers w:val="0"/>
              <w:autoSpaceDE w:val="0"/>
              <w:autoSpaceDN w:val="0"/>
              <w:adjustRightInd w:val="0"/>
              <w:spacing w:before="0" w:beforeAutospacing="0" w:after="0" w:afterAutospacing="0"/>
              <w:ind w:left="0" w:right="0"/>
              <w:jc w:val="center"/>
              <w:rPr>
                <w:rFonts w:hint="default" w:cs="宋体"/>
                <w:bCs/>
                <w:color w:val="auto"/>
                <w:sz w:val="24"/>
                <w:szCs w:val="24"/>
                <w:highlight w:val="none"/>
                <w:lang w:val="zh-CN"/>
              </w:rPr>
            </w:pPr>
            <w:r>
              <w:rPr>
                <w:rFonts w:hint="eastAsia" w:cs="宋体"/>
                <w:color w:val="auto"/>
                <w:sz w:val="24"/>
                <w:szCs w:val="24"/>
                <w:highlight w:val="none"/>
                <w:lang w:val="zh-CN"/>
              </w:rPr>
              <w:t>其中：</w:t>
            </w:r>
            <w:r>
              <w:rPr>
                <w:rFonts w:hint="eastAsia" w:cs="宋体"/>
                <w:bCs/>
                <w:color w:val="auto"/>
                <w:sz w:val="24"/>
                <w:szCs w:val="24"/>
                <w:highlight w:val="none"/>
                <w:lang w:val="zh-CN"/>
              </w:rPr>
              <w:t>人工费</w:t>
            </w:r>
            <w:r>
              <w:rPr>
                <w:rFonts w:hint="eastAsia" w:cs="宋体"/>
                <w:color w:val="auto"/>
                <w:sz w:val="24"/>
                <w:szCs w:val="24"/>
                <w:highlight w:val="none"/>
                <w:lang w:val="zh-CN"/>
              </w:rPr>
              <w:t>（元）</w:t>
            </w:r>
          </w:p>
        </w:tc>
        <w:tc>
          <w:tcPr>
            <w:tcW w:w="6045" w:type="dxa"/>
            <w:tcBorders>
              <w:top w:val="single" w:color="auto" w:sz="4" w:space="0"/>
              <w:left w:val="single" w:color="auto" w:sz="4" w:space="0"/>
              <w:bottom w:val="single" w:color="auto" w:sz="4" w:space="0"/>
              <w:right w:val="single" w:color="auto" w:sz="4" w:space="0"/>
            </w:tcBorders>
            <w:vAlign w:val="center"/>
          </w:tcPr>
          <w:p w14:paraId="3143495F">
            <w:pPr>
              <w:keepNext w:val="0"/>
              <w:keepLines w:val="0"/>
              <w:suppressLineNumbers w:val="0"/>
              <w:autoSpaceDE w:val="0"/>
              <w:autoSpaceDN w:val="0"/>
              <w:adjustRightInd w:val="0"/>
              <w:spacing w:before="0" w:beforeAutospacing="0" w:after="0" w:afterAutospacing="0"/>
              <w:ind w:left="0" w:right="0"/>
              <w:rPr>
                <w:rFonts w:hint="default" w:cs="宋体"/>
                <w:bCs/>
                <w:color w:val="auto"/>
                <w:sz w:val="24"/>
                <w:szCs w:val="24"/>
                <w:highlight w:val="none"/>
                <w:lang w:val="zh-CN"/>
              </w:rPr>
            </w:pPr>
            <w:r>
              <w:rPr>
                <w:rFonts w:hint="eastAsia"/>
                <w:color w:val="auto"/>
                <w:sz w:val="24"/>
                <w:szCs w:val="24"/>
                <w:highlight w:val="none"/>
              </w:rPr>
              <w:t>大写：</w:t>
            </w:r>
          </w:p>
        </w:tc>
      </w:tr>
      <w:tr w14:paraId="2740B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top w:val="single" w:color="auto" w:sz="4" w:space="0"/>
              <w:left w:val="single" w:color="auto" w:sz="4" w:space="0"/>
              <w:bottom w:val="single" w:color="auto" w:sz="4" w:space="0"/>
              <w:right w:val="single" w:color="auto" w:sz="4" w:space="0"/>
            </w:tcBorders>
            <w:vAlign w:val="center"/>
          </w:tcPr>
          <w:p w14:paraId="662CF7AE">
            <w:pPr>
              <w:keepNext w:val="0"/>
              <w:keepLines w:val="0"/>
              <w:widowControl/>
              <w:suppressLineNumbers w:val="0"/>
              <w:spacing w:before="0" w:beforeAutospacing="0" w:after="0" w:afterAutospacing="0"/>
              <w:ind w:left="0" w:right="0"/>
              <w:jc w:val="left"/>
              <w:rPr>
                <w:rFonts w:hint="default"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14:paraId="09770F2F">
            <w:pPr>
              <w:keepNext w:val="0"/>
              <w:keepLines w:val="0"/>
              <w:suppressLineNumbers w:val="0"/>
              <w:autoSpaceDE w:val="0"/>
              <w:autoSpaceDN w:val="0"/>
              <w:adjustRightInd w:val="0"/>
              <w:spacing w:before="0" w:beforeAutospacing="0" w:after="0" w:afterAutospacing="0"/>
              <w:ind w:left="0" w:right="0"/>
              <w:rPr>
                <w:rFonts w:hint="default" w:cs="宋体"/>
                <w:bCs/>
                <w:color w:val="auto"/>
                <w:sz w:val="24"/>
                <w:szCs w:val="24"/>
                <w:highlight w:val="none"/>
                <w:lang w:val="zh-CN"/>
              </w:rPr>
            </w:pPr>
            <w:r>
              <w:rPr>
                <w:rFonts w:hint="eastAsia"/>
                <w:color w:val="auto"/>
                <w:sz w:val="24"/>
                <w:szCs w:val="24"/>
                <w:highlight w:val="none"/>
              </w:rPr>
              <w:t>小写：</w:t>
            </w:r>
          </w:p>
        </w:tc>
      </w:tr>
      <w:tr w14:paraId="52A19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restart"/>
            <w:tcBorders>
              <w:top w:val="single" w:color="auto" w:sz="4" w:space="0"/>
              <w:left w:val="single" w:color="auto" w:sz="4" w:space="0"/>
              <w:right w:val="single" w:color="auto" w:sz="4" w:space="0"/>
            </w:tcBorders>
            <w:vAlign w:val="center"/>
          </w:tcPr>
          <w:p w14:paraId="205B3131">
            <w:pPr>
              <w:keepNext w:val="0"/>
              <w:keepLines w:val="0"/>
              <w:widowControl/>
              <w:suppressLineNumbers w:val="0"/>
              <w:spacing w:before="0" w:beforeAutospacing="0" w:after="0" w:afterAutospacing="0"/>
              <w:ind w:left="0" w:right="0"/>
              <w:jc w:val="left"/>
              <w:rPr>
                <w:rFonts w:hint="default" w:cs="宋体"/>
                <w:b/>
                <w:color w:val="auto"/>
                <w:sz w:val="24"/>
                <w:szCs w:val="24"/>
                <w:highlight w:val="none"/>
                <w:lang w:val="zh-CN"/>
              </w:rPr>
            </w:pPr>
            <w:r>
              <w:rPr>
                <w:rFonts w:hint="eastAsia" w:cs="宋体"/>
                <w:bCs/>
                <w:color w:val="auto"/>
                <w:sz w:val="24"/>
                <w:szCs w:val="24"/>
                <w:highlight w:val="none"/>
                <w:lang w:val="zh-CN"/>
              </w:rPr>
              <w:t>其中：</w:t>
            </w:r>
            <w:r>
              <w:rPr>
                <w:rFonts w:hint="eastAsia" w:cs="宋体"/>
                <w:color w:val="auto"/>
                <w:sz w:val="24"/>
                <w:szCs w:val="24"/>
                <w:highlight w:val="none"/>
                <w:lang w:val="zh-CN"/>
              </w:rPr>
              <w:t>安全</w:t>
            </w:r>
            <w:r>
              <w:rPr>
                <w:rFonts w:hint="eastAsia" w:cs="宋体"/>
                <w:color w:val="auto"/>
                <w:sz w:val="24"/>
                <w:szCs w:val="24"/>
                <w:highlight w:val="none"/>
                <w:lang w:val="en-US" w:eastAsia="zh-CN"/>
              </w:rPr>
              <w:t>生产</w:t>
            </w:r>
            <w:r>
              <w:rPr>
                <w:rFonts w:hint="eastAsia" w:cs="宋体"/>
                <w:color w:val="auto"/>
                <w:sz w:val="24"/>
                <w:szCs w:val="24"/>
                <w:highlight w:val="none"/>
                <w:lang w:val="zh-CN"/>
              </w:rPr>
              <w:t>措施费（元）</w:t>
            </w:r>
          </w:p>
        </w:tc>
        <w:tc>
          <w:tcPr>
            <w:tcW w:w="6045" w:type="dxa"/>
            <w:tcBorders>
              <w:top w:val="single" w:color="auto" w:sz="4" w:space="0"/>
              <w:left w:val="single" w:color="auto" w:sz="4" w:space="0"/>
              <w:bottom w:val="single" w:color="auto" w:sz="4" w:space="0"/>
              <w:right w:val="single" w:color="auto" w:sz="4" w:space="0"/>
            </w:tcBorders>
            <w:vAlign w:val="center"/>
          </w:tcPr>
          <w:p w14:paraId="4952941D">
            <w:pPr>
              <w:keepNext w:val="0"/>
              <w:keepLines w:val="0"/>
              <w:suppressLineNumbers w:val="0"/>
              <w:autoSpaceDE w:val="0"/>
              <w:autoSpaceDN w:val="0"/>
              <w:adjustRightInd w:val="0"/>
              <w:spacing w:before="0" w:beforeAutospacing="0" w:after="0" w:afterAutospacing="0"/>
              <w:ind w:left="0" w:right="0"/>
              <w:rPr>
                <w:rFonts w:hint="default" w:cs="宋体"/>
                <w:bCs/>
                <w:color w:val="auto"/>
                <w:sz w:val="24"/>
                <w:szCs w:val="24"/>
                <w:highlight w:val="none"/>
                <w:lang w:val="zh-CN"/>
              </w:rPr>
            </w:pPr>
            <w:r>
              <w:rPr>
                <w:rFonts w:hint="eastAsia"/>
                <w:color w:val="auto"/>
                <w:sz w:val="24"/>
                <w:szCs w:val="24"/>
                <w:highlight w:val="none"/>
              </w:rPr>
              <w:t>大写：</w:t>
            </w:r>
          </w:p>
        </w:tc>
      </w:tr>
      <w:tr w14:paraId="1E81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left w:val="single" w:color="auto" w:sz="4" w:space="0"/>
              <w:right w:val="single" w:color="auto" w:sz="4" w:space="0"/>
            </w:tcBorders>
            <w:vAlign w:val="center"/>
          </w:tcPr>
          <w:p w14:paraId="15139646">
            <w:pPr>
              <w:keepNext w:val="0"/>
              <w:keepLines w:val="0"/>
              <w:widowControl/>
              <w:suppressLineNumbers w:val="0"/>
              <w:spacing w:before="0" w:beforeAutospacing="0" w:after="0" w:afterAutospacing="0"/>
              <w:ind w:left="0" w:right="0"/>
              <w:jc w:val="left"/>
              <w:rPr>
                <w:rFonts w:hint="default"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14:paraId="44A74A55">
            <w:pPr>
              <w:keepNext w:val="0"/>
              <w:keepLines w:val="0"/>
              <w:suppressLineNumbers w:val="0"/>
              <w:autoSpaceDE w:val="0"/>
              <w:autoSpaceDN w:val="0"/>
              <w:adjustRightInd w:val="0"/>
              <w:spacing w:before="0" w:beforeAutospacing="0" w:after="0" w:afterAutospacing="0"/>
              <w:ind w:left="0" w:right="0"/>
              <w:rPr>
                <w:rFonts w:hint="default" w:cs="宋体"/>
                <w:bCs/>
                <w:color w:val="auto"/>
                <w:sz w:val="24"/>
                <w:szCs w:val="24"/>
                <w:highlight w:val="none"/>
                <w:lang w:val="zh-CN"/>
              </w:rPr>
            </w:pPr>
            <w:r>
              <w:rPr>
                <w:rFonts w:hint="eastAsia"/>
                <w:color w:val="auto"/>
                <w:sz w:val="24"/>
                <w:szCs w:val="24"/>
                <w:highlight w:val="none"/>
              </w:rPr>
              <w:t>小写：</w:t>
            </w:r>
          </w:p>
        </w:tc>
      </w:tr>
      <w:tr w14:paraId="0E5FD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restart"/>
            <w:tcBorders>
              <w:left w:val="single" w:color="auto" w:sz="4" w:space="0"/>
              <w:right w:val="single" w:color="auto" w:sz="4" w:space="0"/>
            </w:tcBorders>
            <w:vAlign w:val="center"/>
          </w:tcPr>
          <w:p w14:paraId="448A0CF3">
            <w:pPr>
              <w:keepNext w:val="0"/>
              <w:keepLines w:val="0"/>
              <w:widowControl/>
              <w:suppressLineNumbers w:val="0"/>
              <w:spacing w:before="0" w:beforeAutospacing="0" w:after="0" w:afterAutospacing="0"/>
              <w:ind w:left="0" w:right="0"/>
              <w:jc w:val="left"/>
              <w:rPr>
                <w:rFonts w:hint="default" w:cs="宋体"/>
                <w:bCs/>
                <w:color w:val="auto"/>
                <w:sz w:val="24"/>
                <w:szCs w:val="24"/>
                <w:highlight w:val="none"/>
                <w:lang w:val="zh-CN"/>
              </w:rPr>
            </w:pPr>
            <w:r>
              <w:rPr>
                <w:rFonts w:hint="eastAsia" w:cs="宋体"/>
                <w:bCs/>
                <w:color w:val="auto"/>
                <w:sz w:val="24"/>
                <w:szCs w:val="24"/>
                <w:highlight w:val="none"/>
                <w:lang w:val="zh-CN"/>
              </w:rPr>
              <w:t>其中：暂列金额</w:t>
            </w:r>
            <w:r>
              <w:rPr>
                <w:rFonts w:hint="eastAsia" w:cs="宋体"/>
                <w:color w:val="auto"/>
                <w:sz w:val="24"/>
                <w:szCs w:val="24"/>
                <w:highlight w:val="none"/>
                <w:lang w:val="zh-CN"/>
              </w:rPr>
              <w:t>（元）</w:t>
            </w:r>
          </w:p>
        </w:tc>
        <w:tc>
          <w:tcPr>
            <w:tcW w:w="6045" w:type="dxa"/>
            <w:tcBorders>
              <w:top w:val="single" w:color="auto" w:sz="4" w:space="0"/>
              <w:left w:val="single" w:color="auto" w:sz="4" w:space="0"/>
              <w:bottom w:val="single" w:color="auto" w:sz="4" w:space="0"/>
              <w:right w:val="single" w:color="auto" w:sz="4" w:space="0"/>
            </w:tcBorders>
            <w:vAlign w:val="center"/>
          </w:tcPr>
          <w:p w14:paraId="194DD680">
            <w:pPr>
              <w:keepNext w:val="0"/>
              <w:keepLines w:val="0"/>
              <w:suppressLineNumbers w:val="0"/>
              <w:autoSpaceDE w:val="0"/>
              <w:autoSpaceDN w:val="0"/>
              <w:adjustRightInd w:val="0"/>
              <w:spacing w:before="0" w:beforeAutospacing="0" w:after="0" w:afterAutospacing="0"/>
              <w:ind w:left="0" w:right="0"/>
              <w:rPr>
                <w:rFonts w:hint="default" w:cs="宋体"/>
                <w:bCs/>
                <w:color w:val="auto"/>
                <w:sz w:val="24"/>
                <w:szCs w:val="24"/>
                <w:highlight w:val="none"/>
                <w:lang w:val="zh-CN"/>
              </w:rPr>
            </w:pPr>
            <w:r>
              <w:rPr>
                <w:rFonts w:hint="eastAsia"/>
                <w:color w:val="auto"/>
                <w:sz w:val="24"/>
                <w:szCs w:val="24"/>
                <w:highlight w:val="none"/>
              </w:rPr>
              <w:t>大写：</w:t>
            </w:r>
          </w:p>
        </w:tc>
      </w:tr>
      <w:tr w14:paraId="241F2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left w:val="single" w:color="auto" w:sz="4" w:space="0"/>
              <w:right w:val="single" w:color="auto" w:sz="4" w:space="0"/>
            </w:tcBorders>
            <w:vAlign w:val="center"/>
          </w:tcPr>
          <w:p w14:paraId="2EB2C388">
            <w:pPr>
              <w:keepNext w:val="0"/>
              <w:keepLines w:val="0"/>
              <w:widowControl/>
              <w:suppressLineNumbers w:val="0"/>
              <w:spacing w:before="0" w:beforeAutospacing="0" w:after="0" w:afterAutospacing="0"/>
              <w:ind w:left="0" w:right="0"/>
              <w:jc w:val="left"/>
              <w:rPr>
                <w:rFonts w:hint="default"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14:paraId="2B6DF5E0">
            <w:pPr>
              <w:keepNext w:val="0"/>
              <w:keepLines w:val="0"/>
              <w:suppressLineNumbers w:val="0"/>
              <w:autoSpaceDE w:val="0"/>
              <w:autoSpaceDN w:val="0"/>
              <w:adjustRightInd w:val="0"/>
              <w:spacing w:before="0" w:beforeAutospacing="0" w:after="0" w:afterAutospacing="0"/>
              <w:ind w:left="0" w:right="0"/>
              <w:rPr>
                <w:rFonts w:hint="default" w:cs="宋体"/>
                <w:bCs/>
                <w:color w:val="auto"/>
                <w:sz w:val="24"/>
                <w:szCs w:val="24"/>
                <w:highlight w:val="none"/>
                <w:lang w:val="zh-CN"/>
              </w:rPr>
            </w:pPr>
            <w:r>
              <w:rPr>
                <w:rFonts w:hint="eastAsia"/>
                <w:color w:val="auto"/>
                <w:sz w:val="24"/>
                <w:szCs w:val="24"/>
                <w:highlight w:val="none"/>
              </w:rPr>
              <w:t>小写：</w:t>
            </w:r>
          </w:p>
        </w:tc>
      </w:tr>
    </w:tbl>
    <w:p w14:paraId="09EC718C">
      <w:pPr>
        <w:autoSpaceDE w:val="0"/>
        <w:autoSpaceDN w:val="0"/>
        <w:adjustRightInd w:val="0"/>
        <w:jc w:val="left"/>
        <w:rPr>
          <w:rFonts w:cs="宋体"/>
          <w:b/>
          <w:color w:val="auto"/>
          <w:sz w:val="24"/>
          <w:szCs w:val="24"/>
          <w:highlight w:val="none"/>
          <w:lang w:val="zh-CN"/>
        </w:rPr>
      </w:pPr>
      <w:r>
        <w:rPr>
          <w:color w:val="auto"/>
          <w:highlight w:val="none"/>
        </w:rPr>
        <w:br w:type="page"/>
      </w:r>
    </w:p>
    <w:p w14:paraId="07792F56">
      <w:pPr>
        <w:pStyle w:val="4"/>
        <w:rPr>
          <w:bCs/>
          <w:color w:val="auto"/>
          <w:highlight w:val="none"/>
        </w:rPr>
      </w:pPr>
      <w:bookmarkStart w:id="28" w:name="_Toc3166"/>
      <w:r>
        <w:rPr>
          <w:rFonts w:hint="eastAsia"/>
          <w:snapToGrid w:val="0"/>
          <w:color w:val="auto"/>
          <w:highlight w:val="none"/>
        </w:rPr>
        <w:t>格式五：</w:t>
      </w:r>
      <w:bookmarkEnd w:id="28"/>
    </w:p>
    <w:p w14:paraId="6C4912B4">
      <w:pPr>
        <w:jc w:val="center"/>
        <w:rPr>
          <w:b/>
          <w:color w:val="auto"/>
          <w:sz w:val="36"/>
          <w:szCs w:val="36"/>
          <w:highlight w:val="none"/>
        </w:rPr>
      </w:pPr>
      <w:r>
        <w:rPr>
          <w:rFonts w:hint="eastAsia"/>
          <w:b/>
          <w:color w:val="auto"/>
          <w:sz w:val="36"/>
          <w:szCs w:val="36"/>
          <w:highlight w:val="none"/>
        </w:rPr>
        <w:t>参与编制经济标投标文件人员名单</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8"/>
        <w:gridCol w:w="1428"/>
        <w:gridCol w:w="2441"/>
        <w:gridCol w:w="2340"/>
        <w:gridCol w:w="1413"/>
      </w:tblGrid>
      <w:tr w14:paraId="50382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000" w:type="pct"/>
            <w:gridSpan w:val="5"/>
            <w:vAlign w:val="center"/>
          </w:tcPr>
          <w:p w14:paraId="73520C77">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r>
              <w:rPr>
                <w:rFonts w:hint="eastAsia"/>
                <w:color w:val="auto"/>
                <w:sz w:val="24"/>
                <w:szCs w:val="24"/>
                <w:highlight w:val="none"/>
              </w:rPr>
              <w:t>投标单位名称</w:t>
            </w:r>
          </w:p>
        </w:tc>
      </w:tr>
      <w:tr w14:paraId="7F991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94" w:type="pct"/>
            <w:vAlign w:val="center"/>
          </w:tcPr>
          <w:p w14:paraId="7163B455">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r>
              <w:rPr>
                <w:rFonts w:hint="eastAsia"/>
                <w:color w:val="auto"/>
                <w:sz w:val="24"/>
                <w:szCs w:val="24"/>
                <w:highlight w:val="none"/>
              </w:rPr>
              <w:t>姓名</w:t>
            </w:r>
          </w:p>
        </w:tc>
        <w:tc>
          <w:tcPr>
            <w:tcW w:w="807" w:type="pct"/>
            <w:vAlign w:val="center"/>
          </w:tcPr>
          <w:p w14:paraId="5666AE75">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r>
              <w:rPr>
                <w:rFonts w:hint="eastAsia"/>
                <w:color w:val="auto"/>
                <w:sz w:val="24"/>
                <w:szCs w:val="24"/>
                <w:highlight w:val="none"/>
              </w:rPr>
              <w:t>职务</w:t>
            </w:r>
          </w:p>
        </w:tc>
        <w:tc>
          <w:tcPr>
            <w:tcW w:w="1379" w:type="pct"/>
            <w:vAlign w:val="center"/>
          </w:tcPr>
          <w:p w14:paraId="650D0028">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r>
              <w:rPr>
                <w:rFonts w:hint="eastAsia"/>
                <w:color w:val="auto"/>
                <w:sz w:val="24"/>
                <w:szCs w:val="24"/>
                <w:highlight w:val="none"/>
              </w:rPr>
              <w:t>所承担工作</w:t>
            </w:r>
          </w:p>
        </w:tc>
        <w:tc>
          <w:tcPr>
            <w:tcW w:w="1322" w:type="pct"/>
            <w:vAlign w:val="center"/>
          </w:tcPr>
          <w:p w14:paraId="0ADEA86F">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r>
              <w:rPr>
                <w:rFonts w:hint="eastAsia"/>
                <w:color w:val="auto"/>
                <w:sz w:val="24"/>
                <w:szCs w:val="24"/>
                <w:highlight w:val="none"/>
              </w:rPr>
              <w:t>身份证号码</w:t>
            </w:r>
          </w:p>
        </w:tc>
        <w:tc>
          <w:tcPr>
            <w:tcW w:w="796" w:type="pct"/>
            <w:vAlign w:val="center"/>
          </w:tcPr>
          <w:p w14:paraId="59ED75EC">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r>
              <w:rPr>
                <w:rFonts w:hint="eastAsia"/>
                <w:color w:val="auto"/>
                <w:sz w:val="24"/>
                <w:szCs w:val="24"/>
                <w:highlight w:val="none"/>
              </w:rPr>
              <w:t>本人签名栏</w:t>
            </w:r>
          </w:p>
        </w:tc>
      </w:tr>
      <w:tr w14:paraId="4CADF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4" w:type="pct"/>
            <w:vAlign w:val="center"/>
          </w:tcPr>
          <w:p w14:paraId="4007AD95">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807" w:type="pct"/>
            <w:vAlign w:val="center"/>
          </w:tcPr>
          <w:p w14:paraId="0C326DCC">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79" w:type="pct"/>
            <w:vAlign w:val="center"/>
          </w:tcPr>
          <w:p w14:paraId="3E5E2CAA">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22" w:type="pct"/>
            <w:vAlign w:val="center"/>
          </w:tcPr>
          <w:p w14:paraId="1E87A29F">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796" w:type="pct"/>
            <w:vAlign w:val="center"/>
          </w:tcPr>
          <w:p w14:paraId="1E024FFD">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r>
      <w:tr w14:paraId="23CB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4" w:type="pct"/>
            <w:vAlign w:val="center"/>
          </w:tcPr>
          <w:p w14:paraId="02936252">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807" w:type="pct"/>
            <w:vAlign w:val="center"/>
          </w:tcPr>
          <w:p w14:paraId="0FD7405E">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79" w:type="pct"/>
            <w:vAlign w:val="center"/>
          </w:tcPr>
          <w:p w14:paraId="1607967F">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22" w:type="pct"/>
            <w:vAlign w:val="center"/>
          </w:tcPr>
          <w:p w14:paraId="4ACA5995">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796" w:type="pct"/>
            <w:vAlign w:val="center"/>
          </w:tcPr>
          <w:p w14:paraId="34F354B1">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r>
      <w:tr w14:paraId="71AFC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4" w:type="pct"/>
            <w:vAlign w:val="center"/>
          </w:tcPr>
          <w:p w14:paraId="563E78E9">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807" w:type="pct"/>
            <w:vAlign w:val="center"/>
          </w:tcPr>
          <w:p w14:paraId="6B00919E">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79" w:type="pct"/>
            <w:vAlign w:val="center"/>
          </w:tcPr>
          <w:p w14:paraId="1CFEFA5F">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22" w:type="pct"/>
            <w:vAlign w:val="center"/>
          </w:tcPr>
          <w:p w14:paraId="46A1D898">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796" w:type="pct"/>
            <w:vAlign w:val="center"/>
          </w:tcPr>
          <w:p w14:paraId="243932D1">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r>
      <w:tr w14:paraId="6DC6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4" w:type="pct"/>
            <w:vAlign w:val="center"/>
          </w:tcPr>
          <w:p w14:paraId="1994129B">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807" w:type="pct"/>
            <w:vAlign w:val="center"/>
          </w:tcPr>
          <w:p w14:paraId="57389A6C">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79" w:type="pct"/>
            <w:vAlign w:val="center"/>
          </w:tcPr>
          <w:p w14:paraId="793C6904">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22" w:type="pct"/>
            <w:vAlign w:val="center"/>
          </w:tcPr>
          <w:p w14:paraId="72AE00D8">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796" w:type="pct"/>
            <w:vAlign w:val="center"/>
          </w:tcPr>
          <w:p w14:paraId="05005514">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r>
      <w:tr w14:paraId="55881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4" w:type="pct"/>
            <w:vAlign w:val="center"/>
          </w:tcPr>
          <w:p w14:paraId="18AB5D29">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807" w:type="pct"/>
            <w:vAlign w:val="center"/>
          </w:tcPr>
          <w:p w14:paraId="45356A23">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79" w:type="pct"/>
            <w:vAlign w:val="center"/>
          </w:tcPr>
          <w:p w14:paraId="1CC5F5E2">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22" w:type="pct"/>
            <w:vAlign w:val="center"/>
          </w:tcPr>
          <w:p w14:paraId="41935629">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796" w:type="pct"/>
            <w:vAlign w:val="center"/>
          </w:tcPr>
          <w:p w14:paraId="3781C25E">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r>
      <w:tr w14:paraId="0795F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4" w:type="pct"/>
            <w:vAlign w:val="center"/>
          </w:tcPr>
          <w:p w14:paraId="0D2EB858">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807" w:type="pct"/>
            <w:vAlign w:val="center"/>
          </w:tcPr>
          <w:p w14:paraId="3B076FBD">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79" w:type="pct"/>
            <w:vAlign w:val="center"/>
          </w:tcPr>
          <w:p w14:paraId="50C6F8BF">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22" w:type="pct"/>
            <w:vAlign w:val="center"/>
          </w:tcPr>
          <w:p w14:paraId="2BEA0959">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796" w:type="pct"/>
            <w:vAlign w:val="center"/>
          </w:tcPr>
          <w:p w14:paraId="0BC3BF31">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r>
      <w:tr w14:paraId="6897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94" w:type="pct"/>
            <w:vAlign w:val="center"/>
          </w:tcPr>
          <w:p w14:paraId="34718C53">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807" w:type="pct"/>
            <w:vAlign w:val="center"/>
          </w:tcPr>
          <w:p w14:paraId="034872C7">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79" w:type="pct"/>
            <w:vAlign w:val="center"/>
          </w:tcPr>
          <w:p w14:paraId="4E5E0B1A">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22" w:type="pct"/>
            <w:vAlign w:val="center"/>
          </w:tcPr>
          <w:p w14:paraId="364C206C">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796" w:type="pct"/>
            <w:vAlign w:val="center"/>
          </w:tcPr>
          <w:p w14:paraId="78061753">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r>
      <w:tr w14:paraId="33FE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94" w:type="pct"/>
            <w:vAlign w:val="center"/>
          </w:tcPr>
          <w:p w14:paraId="7D8C1A33">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807" w:type="pct"/>
            <w:vAlign w:val="center"/>
          </w:tcPr>
          <w:p w14:paraId="61B9CD77">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79" w:type="pct"/>
            <w:vAlign w:val="center"/>
          </w:tcPr>
          <w:p w14:paraId="4BAF074C">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22" w:type="pct"/>
            <w:vAlign w:val="center"/>
          </w:tcPr>
          <w:p w14:paraId="1D71E856">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796" w:type="pct"/>
            <w:vAlign w:val="center"/>
          </w:tcPr>
          <w:p w14:paraId="15BBA27A">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r>
    </w:tbl>
    <w:p w14:paraId="049B3AC6">
      <w:pPr>
        <w:tabs>
          <w:tab w:val="left" w:pos="720"/>
        </w:tabs>
        <w:snapToGrid w:val="0"/>
        <w:spacing w:line="360" w:lineRule="auto"/>
        <w:rPr>
          <w:color w:val="auto"/>
          <w:sz w:val="24"/>
          <w:szCs w:val="24"/>
          <w:highlight w:val="none"/>
        </w:rPr>
      </w:pPr>
    </w:p>
    <w:p w14:paraId="4CDB7F54">
      <w:pPr>
        <w:rPr>
          <w:color w:val="auto"/>
          <w:highlight w:val="none"/>
        </w:rPr>
      </w:pPr>
      <w:r>
        <w:rPr>
          <w:rFonts w:hint="eastAsia"/>
          <w:color w:val="auto"/>
          <w:spacing w:val="4"/>
          <w:kern w:val="0"/>
          <w:sz w:val="24"/>
          <w:szCs w:val="24"/>
          <w:highlight w:val="none"/>
        </w:rPr>
        <w:t>注：参与编制经济标书所有人员名单应包括如编制各种专业工程量清单投标报价、负责清样校对、负责打印及复印等所有人员在内的人员名单。</w:t>
      </w:r>
    </w:p>
    <w:p w14:paraId="4AE00F5B">
      <w:pPr>
        <w:widowControl/>
        <w:jc w:val="left"/>
        <w:rPr>
          <w:rFonts w:cs="宋体"/>
          <w:b/>
          <w:color w:val="auto"/>
          <w:kern w:val="0"/>
          <w:sz w:val="24"/>
          <w:szCs w:val="24"/>
          <w:highlight w:val="none"/>
        </w:rPr>
      </w:pPr>
      <w:r>
        <w:rPr>
          <w:color w:val="auto"/>
          <w:highlight w:val="none"/>
        </w:rPr>
        <w:br w:type="page"/>
      </w:r>
    </w:p>
    <w:p w14:paraId="7482D004">
      <w:pPr>
        <w:pStyle w:val="4"/>
        <w:rPr>
          <w:color w:val="auto"/>
          <w:highlight w:val="none"/>
        </w:rPr>
      </w:pPr>
      <w:bookmarkStart w:id="29" w:name="_Toc1281"/>
      <w:r>
        <w:rPr>
          <w:rFonts w:hint="eastAsia"/>
          <w:color w:val="auto"/>
          <w:highlight w:val="none"/>
        </w:rPr>
        <w:t>格式</w:t>
      </w:r>
      <w:r>
        <w:rPr>
          <w:rFonts w:hint="eastAsia"/>
          <w:snapToGrid w:val="0"/>
          <w:color w:val="auto"/>
          <w:highlight w:val="none"/>
        </w:rPr>
        <w:t>六</w:t>
      </w:r>
      <w:r>
        <w:rPr>
          <w:rFonts w:hint="eastAsia"/>
          <w:color w:val="auto"/>
          <w:kern w:val="2"/>
          <w:highlight w:val="none"/>
        </w:rPr>
        <w:t>：</w:t>
      </w:r>
      <w:bookmarkEnd w:id="29"/>
    </w:p>
    <w:p w14:paraId="694EB829">
      <w:pPr>
        <w:pStyle w:val="19"/>
        <w:spacing w:after="0" w:line="360" w:lineRule="auto"/>
        <w:ind w:firstLine="0"/>
        <w:jc w:val="center"/>
        <w:rPr>
          <w:rFonts w:ascii="宋体" w:hAnsi="宋体" w:cs="宋体"/>
          <w:color w:val="auto"/>
          <w:sz w:val="36"/>
          <w:szCs w:val="36"/>
          <w:highlight w:val="none"/>
        </w:rPr>
      </w:pPr>
      <w:r>
        <w:rPr>
          <w:rFonts w:hint="eastAsia" w:ascii="宋体" w:hAnsi="宋体" w:cs="宋体"/>
          <w:b/>
          <w:color w:val="auto"/>
          <w:sz w:val="36"/>
          <w:szCs w:val="36"/>
          <w:highlight w:val="none"/>
        </w:rPr>
        <w:t>对投标文件编制的承诺</w:t>
      </w:r>
    </w:p>
    <w:p w14:paraId="76D17CB6">
      <w:pPr>
        <w:pStyle w:val="19"/>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本公司授权</w:t>
      </w:r>
      <w:r>
        <w:rPr>
          <w:rFonts w:hint="eastAsia" w:ascii="宋体" w:hAnsi="宋体" w:cs="宋体"/>
          <w:color w:val="auto"/>
          <w:sz w:val="24"/>
          <w:szCs w:val="24"/>
          <w:highlight w:val="none"/>
          <w:u w:val="single"/>
        </w:rPr>
        <w:t>（身份证号：）</w:t>
      </w:r>
      <w:r>
        <w:rPr>
          <w:rFonts w:hint="eastAsia" w:ascii="宋体" w:hAnsi="宋体" w:cs="宋体"/>
          <w:color w:val="auto"/>
          <w:sz w:val="24"/>
          <w:szCs w:val="24"/>
          <w:highlight w:val="none"/>
        </w:rPr>
        <w:t>负责对投标文件的编制及内容进行解释、说明，并承诺以下事项：</w:t>
      </w:r>
    </w:p>
    <w:p w14:paraId="5C23A81F">
      <w:pPr>
        <w:pStyle w:val="19"/>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1.被授权人清楚投标文件编制的具体情况，包括工程量清单、以及投标文件的加密打包的理解；</w:t>
      </w:r>
    </w:p>
    <w:p w14:paraId="439345C1">
      <w:pPr>
        <w:pStyle w:val="19"/>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2.在本项目开标至评标结束前，努力确保被授权人在项目评标所在地附近；</w:t>
      </w:r>
    </w:p>
    <w:p w14:paraId="316C9B36">
      <w:pPr>
        <w:pStyle w:val="19"/>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3.从评标委员会要求澄清起二小时内，被授权人应如实地书面澄清。</w:t>
      </w:r>
    </w:p>
    <w:p w14:paraId="2FEF3F2B">
      <w:pPr>
        <w:pStyle w:val="19"/>
        <w:spacing w:after="0" w:line="360" w:lineRule="auto"/>
        <w:ind w:left="-2" w:leftChars="-1" w:firstLine="540" w:firstLineChars="225"/>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如由于未遵守上述承诺内容之一导致无法进行澄清的，我公司认可和接受评标委员会作出的评审结论。</w:t>
      </w:r>
    </w:p>
    <w:p w14:paraId="2D898CF8">
      <w:pPr>
        <w:pStyle w:val="19"/>
        <w:spacing w:after="0" w:line="360" w:lineRule="auto"/>
        <w:ind w:firstLine="480" w:firstLineChars="200"/>
        <w:rPr>
          <w:rFonts w:ascii="宋体" w:hAnsi="宋体" w:cs="宋体"/>
          <w:color w:val="auto"/>
          <w:sz w:val="24"/>
          <w:szCs w:val="24"/>
          <w:highlight w:val="none"/>
        </w:rPr>
      </w:pPr>
    </w:p>
    <w:p w14:paraId="7F98C644">
      <w:pPr>
        <w:pStyle w:val="19"/>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附件：《投标文件编制情况》</w:t>
      </w:r>
    </w:p>
    <w:p w14:paraId="2347978D">
      <w:pPr>
        <w:spacing w:line="360" w:lineRule="auto"/>
        <w:ind w:right="90" w:firstLine="3240" w:firstLineChars="1350"/>
        <w:rPr>
          <w:rFonts w:hint="eastAsia" w:eastAsia="宋体" w:cs="宋体"/>
          <w:color w:val="auto"/>
          <w:sz w:val="24"/>
          <w:szCs w:val="24"/>
          <w:highlight w:val="none"/>
          <w:lang w:eastAsia="zh-CN"/>
        </w:rPr>
      </w:pPr>
      <w:r>
        <w:rPr>
          <w:rFonts w:cs="宋体"/>
          <w:color w:val="auto"/>
          <w:sz w:val="24"/>
          <w:szCs w:val="24"/>
          <w:highlight w:val="none"/>
        </w:rPr>
        <w:t>投标人名称：</w:t>
      </w:r>
    </w:p>
    <w:p w14:paraId="68034055">
      <w:pPr>
        <w:spacing w:line="360" w:lineRule="auto"/>
        <w:ind w:right="90" w:firstLine="3240" w:firstLineChars="1350"/>
        <w:rPr>
          <w:rFonts w:hint="eastAsia" w:eastAsia="宋体" w:cs="宋体"/>
          <w:color w:val="auto"/>
          <w:sz w:val="24"/>
          <w:szCs w:val="24"/>
          <w:highlight w:val="none"/>
          <w:lang w:eastAsia="zh-CN"/>
        </w:rPr>
      </w:pPr>
      <w:r>
        <w:rPr>
          <w:rFonts w:cs="宋体"/>
          <w:color w:val="auto"/>
          <w:sz w:val="24"/>
          <w:szCs w:val="24"/>
          <w:highlight w:val="none"/>
        </w:rPr>
        <w:t>日期：年月日</w:t>
      </w:r>
    </w:p>
    <w:p w14:paraId="593E4E16">
      <w:pPr>
        <w:pStyle w:val="19"/>
        <w:spacing w:after="0" w:line="360" w:lineRule="auto"/>
        <w:ind w:firstLine="0"/>
        <w:jc w:val="center"/>
        <w:rPr>
          <w:rFonts w:ascii="宋体" w:hAnsi="宋体" w:cs="宋体"/>
          <w:b/>
          <w:color w:val="auto"/>
          <w:sz w:val="36"/>
          <w:szCs w:val="36"/>
          <w:highlight w:val="none"/>
        </w:rPr>
      </w:pPr>
    </w:p>
    <w:p w14:paraId="489FD2DD">
      <w:pPr>
        <w:pStyle w:val="19"/>
        <w:spacing w:after="0" w:line="360" w:lineRule="auto"/>
        <w:ind w:firstLine="0"/>
        <w:jc w:val="center"/>
        <w:rPr>
          <w:rFonts w:ascii="宋体" w:hAnsi="宋体" w:cs="宋体"/>
          <w:color w:val="auto"/>
          <w:sz w:val="36"/>
          <w:szCs w:val="36"/>
          <w:highlight w:val="none"/>
        </w:rPr>
      </w:pPr>
      <w:r>
        <w:rPr>
          <w:rFonts w:hint="eastAsia" w:ascii="宋体" w:hAnsi="宋体" w:cs="宋体"/>
          <w:b/>
          <w:color w:val="auto"/>
          <w:sz w:val="36"/>
          <w:szCs w:val="36"/>
          <w:highlight w:val="none"/>
        </w:rPr>
        <w:t>投标文件编制情况</w:t>
      </w:r>
    </w:p>
    <w:p w14:paraId="62F216AA">
      <w:pPr>
        <w:pStyle w:val="19"/>
        <w:spacing w:after="0"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1.投标文件报价编制方式:□自行编制的，编制的负责人：</w:t>
      </w:r>
      <w:r>
        <w:rPr>
          <w:rFonts w:hint="eastAsia" w:ascii="宋体" w:hAnsi="宋体" w:cs="宋体"/>
          <w:color w:val="auto"/>
          <w:sz w:val="24"/>
          <w:szCs w:val="24"/>
          <w:highlight w:val="none"/>
          <w:u w:val="single"/>
        </w:rPr>
        <w:t>（盖造价工程师执业专用章或全国建设工程造价员章，执业单位应与投标人一致）</w:t>
      </w:r>
      <w:r>
        <w:rPr>
          <w:rFonts w:hint="eastAsia" w:ascii="宋体" w:hAnsi="宋体" w:cs="宋体"/>
          <w:color w:val="auto"/>
          <w:sz w:val="24"/>
          <w:szCs w:val="24"/>
          <w:highlight w:val="none"/>
        </w:rPr>
        <w:t>。□委托编制的，受委托单位，编制的负责人：</w:t>
      </w:r>
      <w:r>
        <w:rPr>
          <w:rFonts w:hint="eastAsia" w:ascii="宋体" w:hAnsi="宋体" w:cs="宋体"/>
          <w:color w:val="auto"/>
          <w:sz w:val="24"/>
          <w:szCs w:val="24"/>
          <w:highlight w:val="none"/>
          <w:u w:val="single"/>
        </w:rPr>
        <w:t>（盖造价工程师执业专用章或全国建设工程造价员章，执业单位应与受委托单位一致）</w:t>
      </w:r>
      <w:r>
        <w:rPr>
          <w:rFonts w:hint="eastAsia" w:ascii="宋体" w:hAnsi="宋体" w:cs="宋体"/>
          <w:color w:val="auto"/>
          <w:sz w:val="24"/>
          <w:szCs w:val="24"/>
          <w:highlight w:val="none"/>
        </w:rPr>
        <w:t>。</w:t>
      </w:r>
    </w:p>
    <w:p w14:paraId="285D4ED7">
      <w:pPr>
        <w:pStyle w:val="19"/>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2.投标文件加密打包的电脑情况</w:t>
      </w:r>
    </w:p>
    <w:tbl>
      <w:tblPr>
        <w:tblStyle w:val="21"/>
        <w:tblW w:w="5000" w:type="pct"/>
        <w:tblInd w:w="0" w:type="dxa"/>
        <w:tblLayout w:type="autofit"/>
        <w:tblCellMar>
          <w:top w:w="0" w:type="dxa"/>
          <w:left w:w="108" w:type="dxa"/>
          <w:bottom w:w="0" w:type="dxa"/>
          <w:right w:w="108" w:type="dxa"/>
        </w:tblCellMar>
      </w:tblPr>
      <w:tblGrid>
        <w:gridCol w:w="8850"/>
      </w:tblGrid>
      <w:tr w14:paraId="374C0103">
        <w:tblPrEx>
          <w:tblCellMar>
            <w:top w:w="0" w:type="dxa"/>
            <w:left w:w="108" w:type="dxa"/>
            <w:bottom w:w="0" w:type="dxa"/>
            <w:right w:w="108" w:type="dxa"/>
          </w:tblCellMar>
        </w:tblPrEx>
        <w:trPr>
          <w:trHeight w:val="2056" w:hRule="atLeast"/>
        </w:trPr>
        <w:tc>
          <w:tcPr>
            <w:tcW w:w="5000" w:type="pct"/>
          </w:tcPr>
          <w:p w14:paraId="1FC98574">
            <w:pPr>
              <w:pStyle w:val="19"/>
              <w:keepNext w:val="0"/>
              <w:keepLines w:val="0"/>
              <w:suppressLineNumbers w:val="0"/>
              <w:spacing w:before="0" w:beforeAutospacing="0" w:after="0" w:afterAutospacing="0" w:line="360" w:lineRule="auto"/>
              <w:ind w:left="0" w:right="0" w:firstLine="0"/>
              <w:rPr>
                <w:rFonts w:hint="default" w:ascii="宋体" w:hAnsi="宋体" w:cs="宋体"/>
                <w:color w:val="auto"/>
                <w:kern w:val="2"/>
                <w:sz w:val="24"/>
                <w:szCs w:val="24"/>
                <w:highlight w:val="none"/>
              </w:rPr>
            </w:pPr>
            <w:r>
              <w:rPr>
                <w:rFonts w:hint="eastAsia" w:ascii="宋体" w:hAnsi="宋体" w:cs="宋体"/>
                <w:color w:val="auto"/>
                <w:kern w:val="2"/>
                <w:sz w:val="24"/>
                <w:szCs w:val="24"/>
                <w:highlight w:val="none"/>
              </w:rPr>
              <w:t>投标文件加密打包的电脑自有□外包□其他□</w:t>
            </w:r>
          </w:p>
          <w:p w14:paraId="383567D4">
            <w:pPr>
              <w:pStyle w:val="19"/>
              <w:keepNext w:val="0"/>
              <w:keepLines w:val="0"/>
              <w:suppressLineNumbers w:val="0"/>
              <w:spacing w:before="0" w:beforeAutospacing="0" w:after="0" w:afterAutospacing="0" w:line="360" w:lineRule="auto"/>
              <w:ind w:left="0" w:right="0" w:firstLine="0"/>
              <w:rPr>
                <w:rFonts w:hint="default" w:ascii="宋体" w:hAnsi="宋体" w:cs="宋体"/>
                <w:color w:val="auto"/>
                <w:kern w:val="2"/>
                <w:sz w:val="24"/>
                <w:szCs w:val="24"/>
                <w:highlight w:val="none"/>
              </w:rPr>
            </w:pPr>
            <w:r>
              <w:rPr>
                <w:rFonts w:hint="eastAsia" w:ascii="宋体" w:hAnsi="宋体" w:cs="宋体"/>
                <w:color w:val="auto"/>
                <w:kern w:val="2"/>
                <w:sz w:val="24"/>
                <w:szCs w:val="24"/>
                <w:highlight w:val="none"/>
              </w:rPr>
              <w:t>电脑类型</w:t>
            </w:r>
          </w:p>
          <w:p w14:paraId="29098BE4">
            <w:pPr>
              <w:pStyle w:val="19"/>
              <w:keepNext w:val="0"/>
              <w:keepLines w:val="0"/>
              <w:suppressLineNumbers w:val="0"/>
              <w:spacing w:before="0" w:beforeAutospacing="0" w:after="0" w:afterAutospacing="0" w:line="360" w:lineRule="auto"/>
              <w:ind w:left="0" w:right="0" w:firstLine="0"/>
              <w:rPr>
                <w:rFonts w:hint="default" w:ascii="宋体" w:hAnsi="宋体" w:cs="宋体"/>
                <w:color w:val="auto"/>
                <w:kern w:val="2"/>
                <w:sz w:val="24"/>
                <w:szCs w:val="24"/>
                <w:highlight w:val="none"/>
              </w:rPr>
            </w:pPr>
            <w:r>
              <w:rPr>
                <w:rFonts w:hint="eastAsia" w:ascii="宋体" w:hAnsi="宋体" w:cs="宋体"/>
                <w:color w:val="auto"/>
                <w:kern w:val="2"/>
                <w:sz w:val="24"/>
                <w:szCs w:val="24"/>
                <w:highlight w:val="none"/>
              </w:rPr>
              <w:t>电脑所属单位</w:t>
            </w:r>
          </w:p>
          <w:p w14:paraId="3AB02696">
            <w:pPr>
              <w:pStyle w:val="19"/>
              <w:keepNext w:val="0"/>
              <w:keepLines w:val="0"/>
              <w:suppressLineNumbers w:val="0"/>
              <w:spacing w:before="0" w:beforeAutospacing="0" w:after="0" w:afterAutospacing="0" w:line="360" w:lineRule="auto"/>
              <w:ind w:left="0" w:right="0" w:firstLine="0"/>
              <w:rPr>
                <w:rFonts w:hint="default" w:ascii="宋体" w:hAnsi="宋体" w:cs="宋体"/>
                <w:color w:val="auto"/>
                <w:kern w:val="2"/>
                <w:sz w:val="24"/>
                <w:szCs w:val="24"/>
                <w:highlight w:val="none"/>
              </w:rPr>
            </w:pPr>
            <w:r>
              <w:rPr>
                <w:rFonts w:hint="eastAsia" w:ascii="宋体" w:hAnsi="宋体" w:cs="宋体"/>
                <w:color w:val="auto"/>
                <w:kern w:val="2"/>
                <w:sz w:val="24"/>
                <w:szCs w:val="24"/>
                <w:highlight w:val="none"/>
              </w:rPr>
              <w:t>电脑所在地址（如××市××区(县)××街（路）××号××大厦××房）</w:t>
            </w:r>
          </w:p>
        </w:tc>
      </w:tr>
    </w:tbl>
    <w:p w14:paraId="274305DE">
      <w:pPr>
        <w:tabs>
          <w:tab w:val="left" w:pos="720"/>
        </w:tabs>
        <w:snapToGrid w:val="0"/>
        <w:spacing w:line="360" w:lineRule="auto"/>
        <w:jc w:val="center"/>
        <w:outlineLvl w:val="0"/>
        <w:rPr>
          <w:rStyle w:val="26"/>
          <w:rFonts w:hint="default"/>
          <w:color w:val="auto"/>
          <w:highlight w:val="none"/>
        </w:rPr>
      </w:pPr>
      <w:r>
        <w:rPr>
          <w:rStyle w:val="26"/>
          <w:rFonts w:hint="default"/>
          <w:color w:val="auto"/>
          <w:highlight w:val="none"/>
        </w:rPr>
        <w:br w:type="page"/>
      </w:r>
    </w:p>
    <w:p w14:paraId="6C6FD9A5">
      <w:pPr>
        <w:pStyle w:val="4"/>
        <w:rPr>
          <w:color w:val="FF0000"/>
          <w:highlight w:val="none"/>
        </w:rPr>
      </w:pPr>
      <w:bookmarkStart w:id="30" w:name="_Toc30404"/>
      <w:r>
        <w:rPr>
          <w:rFonts w:hint="eastAsia"/>
          <w:color w:val="FF0000"/>
          <w:highlight w:val="none"/>
        </w:rPr>
        <w:t>格式</w:t>
      </w:r>
      <w:r>
        <w:rPr>
          <w:rFonts w:hint="eastAsia"/>
          <w:snapToGrid w:val="0"/>
          <w:color w:val="FF0000"/>
          <w:highlight w:val="none"/>
          <w:lang w:val="en-US" w:eastAsia="zh-CN"/>
        </w:rPr>
        <w:t>七</w:t>
      </w:r>
      <w:r>
        <w:rPr>
          <w:rFonts w:hint="eastAsia"/>
          <w:color w:val="FF0000"/>
          <w:kern w:val="2"/>
          <w:highlight w:val="none"/>
        </w:rPr>
        <w:t>：</w:t>
      </w:r>
      <w:bookmarkEnd w:id="30"/>
    </w:p>
    <w:p w14:paraId="78A4888C">
      <w:pPr>
        <w:rPr>
          <w:rFonts w:hint="default"/>
          <w:color w:val="FF0000"/>
        </w:rPr>
      </w:pPr>
    </w:p>
    <w:p w14:paraId="72961C18">
      <w:pPr>
        <w:widowControl/>
        <w:shd w:val="clear" w:color="auto" w:fill="auto"/>
        <w:jc w:val="center"/>
        <w:rPr>
          <w:rFonts w:hint="eastAsia" w:ascii="宋体" w:hAnsi="宋体"/>
          <w:b/>
          <w:color w:val="FF0000"/>
          <w:sz w:val="32"/>
          <w:szCs w:val="32"/>
          <w:highlight w:val="none"/>
        </w:rPr>
      </w:pPr>
      <w:r>
        <w:rPr>
          <w:rFonts w:hint="eastAsia" w:ascii="宋体" w:hAnsi="宋体"/>
          <w:b/>
          <w:color w:val="FF0000"/>
          <w:sz w:val="32"/>
          <w:szCs w:val="32"/>
          <w:highlight w:val="none"/>
        </w:rPr>
        <w:t>分包</w:t>
      </w:r>
      <w:r>
        <w:rPr>
          <w:rFonts w:hint="eastAsia"/>
          <w:b/>
          <w:color w:val="FF0000"/>
          <w:sz w:val="32"/>
          <w:szCs w:val="32"/>
          <w:highlight w:val="none"/>
          <w:lang w:val="en-US" w:eastAsia="zh-CN"/>
        </w:rPr>
        <w:t>承诺</w:t>
      </w:r>
      <w:r>
        <w:rPr>
          <w:rFonts w:hint="eastAsia" w:ascii="宋体" w:hAnsi="宋体"/>
          <w:b/>
          <w:color w:val="FF0000"/>
          <w:sz w:val="32"/>
          <w:szCs w:val="32"/>
          <w:highlight w:val="none"/>
          <w:lang w:val="en-US" w:eastAsia="zh-CN"/>
        </w:rPr>
        <w:t>书</w:t>
      </w:r>
      <w:r>
        <w:rPr>
          <w:rFonts w:hint="eastAsia" w:ascii="宋体" w:hAnsi="宋体"/>
          <w:b/>
          <w:color w:val="FF0000"/>
          <w:sz w:val="32"/>
          <w:szCs w:val="32"/>
          <w:highlight w:val="none"/>
        </w:rPr>
        <w:t>（如有）</w:t>
      </w:r>
    </w:p>
    <w:p w14:paraId="2BA16559">
      <w:pPr>
        <w:widowControl/>
        <w:shd w:val="clear" w:color="auto" w:fill="auto"/>
        <w:jc w:val="center"/>
        <w:rPr>
          <w:rFonts w:hint="eastAsia" w:ascii="宋体" w:hAnsi="宋体"/>
          <w:b/>
          <w:color w:val="FF0000"/>
          <w:sz w:val="32"/>
          <w:szCs w:val="32"/>
          <w:highlight w:val="none"/>
        </w:rPr>
      </w:pPr>
    </w:p>
    <w:p w14:paraId="5090B690">
      <w:pPr>
        <w:shd w:val="clear" w:color="auto" w:fill="auto"/>
        <w:spacing w:line="360" w:lineRule="auto"/>
        <w:rPr>
          <w:rFonts w:hint="default" w:ascii="CESI宋体-GB2312" w:hAnsi="CESI宋体-GB2312" w:eastAsia="CESI宋体-GB2312" w:cs="CESI宋体-GB2312"/>
          <w:color w:val="FF0000"/>
          <w:sz w:val="24"/>
          <w:szCs w:val="20"/>
          <w:highlight w:val="none"/>
          <w:lang w:val="en-US" w:eastAsia="zh-CN"/>
        </w:rPr>
      </w:pPr>
      <w:r>
        <w:rPr>
          <w:rFonts w:hint="eastAsia" w:ascii="CESI宋体-GB2312" w:hAnsi="CESI宋体-GB2312" w:eastAsia="CESI宋体-GB2312" w:cs="CESI宋体-GB2312"/>
          <w:color w:val="FF0000"/>
          <w:sz w:val="24"/>
          <w:szCs w:val="20"/>
          <w:highlight w:val="none"/>
        </w:rPr>
        <w:t>致：</w:t>
      </w:r>
      <w:r>
        <w:rPr>
          <w:rFonts w:hint="eastAsia" w:ascii="CESI宋体-GB2312" w:hAnsi="CESI宋体-GB2312" w:eastAsia="CESI宋体-GB2312" w:cs="CESI宋体-GB2312"/>
          <w:color w:val="FF0000"/>
          <w:sz w:val="24"/>
          <w:szCs w:val="20"/>
          <w:highlight w:val="none"/>
          <w:u w:val="single"/>
          <w:lang w:val="en-US" w:eastAsia="zh-CN"/>
        </w:rPr>
        <w:t>广州市殡葬服务中心</w:t>
      </w:r>
    </w:p>
    <w:p w14:paraId="3968788E">
      <w:pPr>
        <w:shd w:val="clear" w:color="auto" w:fill="auto"/>
        <w:spacing w:line="360" w:lineRule="auto"/>
        <w:ind w:firstLine="720" w:firstLineChars="300"/>
        <w:rPr>
          <w:rFonts w:hint="eastAsia" w:ascii="CESI宋体-GB2312" w:hAnsi="CESI宋体-GB2312" w:eastAsia="CESI宋体-GB2312" w:cs="CESI宋体-GB2312"/>
          <w:color w:val="FF0000"/>
          <w:sz w:val="24"/>
          <w:szCs w:val="20"/>
          <w:highlight w:val="none"/>
        </w:rPr>
      </w:pPr>
      <w:r>
        <w:rPr>
          <w:rFonts w:hint="eastAsia" w:ascii="CESI宋体-GB2312" w:hAnsi="CESI宋体-GB2312" w:eastAsia="CESI宋体-GB2312" w:cs="CESI宋体-GB2312"/>
          <w:color w:val="FF0000"/>
          <w:sz w:val="24"/>
          <w:szCs w:val="20"/>
          <w:highlight w:val="none"/>
        </w:rPr>
        <w:t>本公司就参加</w:t>
      </w:r>
      <w:r>
        <w:rPr>
          <w:rFonts w:hint="eastAsia" w:ascii="CESI宋体-GB2312" w:hAnsi="CESI宋体-GB2312" w:eastAsia="CESI宋体-GB2312" w:cs="CESI宋体-GB2312"/>
          <w:color w:val="FF0000"/>
          <w:sz w:val="24"/>
          <w:szCs w:val="20"/>
          <w:highlight w:val="none"/>
          <w:u w:val="single"/>
          <w:lang w:val="en-US" w:eastAsia="zh-CN"/>
        </w:rPr>
        <w:t xml:space="preserve"> 广州市观音山公墓（含市第二思园和教育基地及广场配套项目）二期工程施工总承包项目</w:t>
      </w:r>
      <w:r>
        <w:rPr>
          <w:rFonts w:hint="eastAsia" w:ascii="CESI宋体-GB2312" w:hAnsi="CESI宋体-GB2312" w:eastAsia="CESI宋体-GB2312" w:cs="CESI宋体-GB2312"/>
          <w:color w:val="FF0000"/>
          <w:sz w:val="24"/>
          <w:szCs w:val="20"/>
          <w:highlight w:val="none"/>
        </w:rPr>
        <w:t>投标工作，作出郑重承诺：</w:t>
      </w:r>
    </w:p>
    <w:p w14:paraId="0CD49D23">
      <w:pPr>
        <w:shd w:val="clear" w:color="auto" w:fill="auto"/>
        <w:spacing w:line="360" w:lineRule="auto"/>
        <w:ind w:firstLine="720" w:firstLineChars="300"/>
        <w:rPr>
          <w:rFonts w:hint="eastAsia" w:ascii="CESI宋体-GB2312" w:hAnsi="CESI宋体-GB2312" w:eastAsia="CESI宋体-GB2312" w:cs="CESI宋体-GB2312"/>
          <w:color w:val="FF0000"/>
          <w:sz w:val="24"/>
          <w:szCs w:val="20"/>
          <w:highlight w:val="none"/>
        </w:rPr>
      </w:pPr>
      <w:r>
        <w:rPr>
          <w:rFonts w:hint="eastAsia" w:ascii="CESI宋体-GB2312" w:hAnsi="CESI宋体-GB2312" w:eastAsia="CESI宋体-GB2312" w:cs="CESI宋体-GB2312"/>
          <w:color w:val="FF0000"/>
          <w:sz w:val="24"/>
          <w:szCs w:val="20"/>
          <w:highlight w:val="none"/>
        </w:rPr>
        <w:t>若本公司中标，会将把合同金额的30%以上分包给一家或多家小微企业。接受分包合同的小微企业与分包企业之间不存在直接控股、管理关系。</w:t>
      </w:r>
    </w:p>
    <w:p w14:paraId="1249BEF5">
      <w:pPr>
        <w:shd w:val="clear" w:color="auto" w:fill="auto"/>
        <w:spacing w:line="360" w:lineRule="auto"/>
        <w:ind w:firstLine="720" w:firstLineChars="300"/>
        <w:rPr>
          <w:rFonts w:hint="eastAsia" w:ascii="CESI宋体-GB2312" w:hAnsi="CESI宋体-GB2312" w:eastAsia="CESI宋体-GB2312" w:cs="CESI宋体-GB2312"/>
          <w:color w:val="FF0000"/>
          <w:sz w:val="24"/>
          <w:szCs w:val="20"/>
          <w:highlight w:val="none"/>
        </w:rPr>
      </w:pPr>
      <w:r>
        <w:rPr>
          <w:rFonts w:hint="eastAsia" w:ascii="CESI宋体-GB2312" w:hAnsi="CESI宋体-GB2312" w:eastAsia="CESI宋体-GB2312" w:cs="CESI宋体-GB2312"/>
          <w:color w:val="FF0000"/>
          <w:sz w:val="24"/>
          <w:szCs w:val="20"/>
          <w:highlight w:val="none"/>
        </w:rPr>
        <w:t>我方违反上述承诺或本承诺与事实不符，经查实，本公司愿意接受公开通报，记录不良行为，承担由此带来的法律后果。其中，违反上述承诺或本承诺与事实不符，属于弄虚作假骗取中标，将依法接受有关监管部门的处罚。</w:t>
      </w:r>
    </w:p>
    <w:p w14:paraId="5D1A66F7">
      <w:pPr>
        <w:shd w:val="clear" w:color="auto" w:fill="auto"/>
        <w:spacing w:line="360" w:lineRule="auto"/>
        <w:rPr>
          <w:rFonts w:hint="eastAsia" w:ascii="CESI宋体-GB2312" w:hAnsi="CESI宋体-GB2312" w:eastAsia="CESI宋体-GB2312" w:cs="CESI宋体-GB2312"/>
          <w:color w:val="FF0000"/>
          <w:sz w:val="24"/>
          <w:szCs w:val="20"/>
          <w:highlight w:val="none"/>
        </w:rPr>
      </w:pPr>
      <w:r>
        <w:rPr>
          <w:rFonts w:hint="eastAsia" w:ascii="CESI宋体-GB2312" w:hAnsi="CESI宋体-GB2312" w:eastAsia="CESI宋体-GB2312" w:cs="CESI宋体-GB2312"/>
          <w:color w:val="FF0000"/>
          <w:sz w:val="24"/>
          <w:szCs w:val="20"/>
          <w:highlight w:val="none"/>
        </w:rPr>
        <w:t>特此承诺。</w:t>
      </w:r>
    </w:p>
    <w:p w14:paraId="074B4A70">
      <w:pPr>
        <w:shd w:val="clear" w:color="auto" w:fill="auto"/>
        <w:spacing w:line="360" w:lineRule="auto"/>
        <w:rPr>
          <w:rFonts w:hint="eastAsia" w:ascii="CESI宋体-GB2312" w:hAnsi="CESI宋体-GB2312" w:eastAsia="CESI宋体-GB2312" w:cs="CESI宋体-GB2312"/>
          <w:color w:val="FF0000"/>
          <w:sz w:val="24"/>
          <w:szCs w:val="20"/>
          <w:highlight w:val="none"/>
        </w:rPr>
      </w:pPr>
    </w:p>
    <w:p w14:paraId="4109897F">
      <w:pPr>
        <w:shd w:val="clear" w:color="auto" w:fill="auto"/>
        <w:spacing w:line="360" w:lineRule="auto"/>
        <w:rPr>
          <w:rFonts w:hint="eastAsia" w:ascii="CESI宋体-GB2312" w:hAnsi="CESI宋体-GB2312" w:eastAsia="CESI宋体-GB2312" w:cs="CESI宋体-GB2312"/>
          <w:color w:val="FF0000"/>
          <w:sz w:val="24"/>
          <w:szCs w:val="20"/>
          <w:highlight w:val="none"/>
        </w:rPr>
      </w:pPr>
      <w:r>
        <w:rPr>
          <w:rFonts w:hint="eastAsia" w:ascii="CESI宋体-GB2312" w:hAnsi="CESI宋体-GB2312" w:eastAsia="CESI宋体-GB2312" w:cs="CESI宋体-GB2312"/>
          <w:color w:val="FF0000"/>
          <w:sz w:val="24"/>
          <w:szCs w:val="20"/>
          <w:highlight w:val="none"/>
          <w:lang w:val="en-US" w:eastAsia="zh-CN"/>
        </w:rPr>
        <w:t>投标人名称</w:t>
      </w:r>
      <w:r>
        <w:rPr>
          <w:rFonts w:hint="eastAsia" w:ascii="CESI宋体-GB2312" w:hAnsi="CESI宋体-GB2312" w:eastAsia="CESI宋体-GB2312" w:cs="CESI宋体-GB2312"/>
          <w:color w:val="FF0000"/>
          <w:sz w:val="24"/>
          <w:szCs w:val="20"/>
          <w:highlight w:val="none"/>
        </w:rPr>
        <w:t>：</w:t>
      </w:r>
    </w:p>
    <w:p w14:paraId="2F8985F4">
      <w:pPr>
        <w:shd w:val="clear" w:color="auto" w:fill="auto"/>
        <w:spacing w:line="360" w:lineRule="auto"/>
        <w:rPr>
          <w:rFonts w:hint="eastAsia" w:ascii="CESI宋体-GB2312" w:hAnsi="CESI宋体-GB2312" w:eastAsia="CESI宋体-GB2312" w:cs="CESI宋体-GB2312"/>
          <w:color w:val="FF0000"/>
          <w:sz w:val="24"/>
          <w:szCs w:val="20"/>
          <w:highlight w:val="none"/>
        </w:rPr>
      </w:pPr>
      <w:r>
        <w:rPr>
          <w:rFonts w:hint="eastAsia" w:ascii="CESI宋体-GB2312" w:hAnsi="CESI宋体-GB2312" w:eastAsia="CESI宋体-GB2312" w:cs="CESI宋体-GB2312"/>
          <w:color w:val="FF0000"/>
          <w:sz w:val="24"/>
          <w:szCs w:val="20"/>
          <w:highlight w:val="none"/>
        </w:rPr>
        <w:t xml:space="preserve">     年   月   日</w:t>
      </w:r>
    </w:p>
    <w:p w14:paraId="2D340433">
      <w:pPr>
        <w:tabs>
          <w:tab w:val="left" w:pos="720"/>
        </w:tabs>
        <w:snapToGrid w:val="0"/>
        <w:spacing w:line="360" w:lineRule="auto"/>
        <w:jc w:val="center"/>
        <w:outlineLvl w:val="0"/>
        <w:rPr>
          <w:rStyle w:val="26"/>
          <w:rFonts w:hint="default"/>
          <w:color w:val="auto"/>
          <w:highlight w:val="none"/>
        </w:rPr>
        <w:sectPr>
          <w:headerReference r:id="rId25" w:type="default"/>
          <w:footerReference r:id="rId26" w:type="default"/>
          <w:pgSz w:w="12240" w:h="15840"/>
          <w:pgMar w:top="1440" w:right="1803" w:bottom="1440" w:left="1803" w:header="720" w:footer="720" w:gutter="0"/>
          <w:pgNumType w:fmt="decimal"/>
          <w:cols w:space="720" w:num="1"/>
        </w:sectPr>
      </w:pPr>
    </w:p>
    <w:p w14:paraId="6B83B812">
      <w:pPr>
        <w:tabs>
          <w:tab w:val="left" w:pos="720"/>
        </w:tabs>
        <w:snapToGrid w:val="0"/>
        <w:spacing w:line="360" w:lineRule="auto"/>
        <w:jc w:val="center"/>
        <w:outlineLvl w:val="0"/>
        <w:rPr>
          <w:rStyle w:val="26"/>
          <w:rFonts w:hint="default"/>
          <w:color w:val="auto"/>
          <w:highlight w:val="none"/>
        </w:rPr>
      </w:pPr>
      <w:bookmarkStart w:id="31" w:name="_Toc9316"/>
      <w:r>
        <w:rPr>
          <w:rStyle w:val="26"/>
          <w:rFonts w:hint="default"/>
          <w:color w:val="auto"/>
          <w:highlight w:val="none"/>
        </w:rPr>
        <w:t>第五章技术条件（工程建设标准）</w:t>
      </w:r>
      <w:bookmarkEnd w:id="31"/>
    </w:p>
    <w:p w14:paraId="4606D3B3">
      <w:pPr>
        <w:widowControl/>
        <w:spacing w:line="420" w:lineRule="atLeast"/>
        <w:rPr>
          <w:rFonts w:cs="宋体"/>
          <w:color w:val="auto"/>
          <w:sz w:val="24"/>
          <w:szCs w:val="24"/>
          <w:highlight w:val="none"/>
        </w:rPr>
      </w:pPr>
      <w:r>
        <w:rPr>
          <w:rFonts w:hint="eastAsia" w:cs="宋体"/>
          <w:color w:val="auto"/>
          <w:sz w:val="24"/>
          <w:szCs w:val="24"/>
          <w:highlight w:val="none"/>
        </w:rPr>
        <w:t>一、下列文件应被认为是组成本章内容的一部分，并互为补充和解释，如各文件存在冲突之处，以如下排列次序在前者优先适用：</w:t>
      </w:r>
    </w:p>
    <w:p w14:paraId="0FCE87C0">
      <w:pPr>
        <w:widowControl/>
        <w:spacing w:line="420" w:lineRule="atLeast"/>
        <w:rPr>
          <w:rFonts w:cs="宋体"/>
          <w:color w:val="auto"/>
          <w:sz w:val="24"/>
          <w:szCs w:val="24"/>
          <w:highlight w:val="none"/>
        </w:rPr>
      </w:pPr>
      <w:r>
        <w:rPr>
          <w:rFonts w:hint="eastAsia" w:cs="宋体"/>
          <w:color w:val="auto"/>
          <w:sz w:val="24"/>
          <w:szCs w:val="24"/>
          <w:highlight w:val="none"/>
        </w:rPr>
        <w:t>1、遵照招标人相关管理规定要求；</w:t>
      </w:r>
    </w:p>
    <w:p w14:paraId="3716AF7E">
      <w:pPr>
        <w:widowControl/>
        <w:spacing w:line="420" w:lineRule="atLeast"/>
        <w:rPr>
          <w:rFonts w:cs="宋体"/>
          <w:color w:val="auto"/>
          <w:sz w:val="24"/>
          <w:szCs w:val="24"/>
          <w:highlight w:val="none"/>
        </w:rPr>
      </w:pPr>
      <w:r>
        <w:rPr>
          <w:rFonts w:hint="eastAsia" w:cs="宋体"/>
          <w:color w:val="auto"/>
          <w:sz w:val="24"/>
          <w:szCs w:val="24"/>
          <w:highlight w:val="none"/>
        </w:rPr>
        <w:t>2、采用图纸中规定的其它技术和验收标准；</w:t>
      </w:r>
    </w:p>
    <w:p w14:paraId="10855DB3">
      <w:pPr>
        <w:widowControl/>
        <w:spacing w:line="420" w:lineRule="atLeast"/>
        <w:rPr>
          <w:rFonts w:cs="宋体"/>
          <w:color w:val="auto"/>
          <w:sz w:val="24"/>
          <w:szCs w:val="24"/>
          <w:highlight w:val="none"/>
        </w:rPr>
      </w:pPr>
      <w:r>
        <w:rPr>
          <w:rFonts w:hint="eastAsia" w:cs="宋体"/>
          <w:color w:val="auto"/>
          <w:sz w:val="24"/>
          <w:szCs w:val="24"/>
          <w:highlight w:val="none"/>
        </w:rPr>
        <w:t>3、采用中华人民共和国现行技术和验收规范。</w:t>
      </w:r>
    </w:p>
    <w:p w14:paraId="626F7448">
      <w:pPr>
        <w:pStyle w:val="8"/>
        <w:ind w:left="0" w:leftChars="0"/>
        <w:rPr>
          <w:rFonts w:ascii="仿宋_GB2312" w:hAnsi="仿宋_GB2312" w:eastAsia="仿宋_GB2312" w:cs="仿宋_GB2312"/>
          <w:color w:val="auto"/>
          <w:sz w:val="32"/>
          <w:szCs w:val="32"/>
          <w:highlight w:val="none"/>
        </w:rPr>
      </w:pPr>
    </w:p>
    <w:p w14:paraId="0B3F8CF6">
      <w:pPr>
        <w:pStyle w:val="17"/>
        <w:widowControl/>
        <w:shd w:val="clear" w:color="auto" w:fill="FFFFFF"/>
        <w:spacing w:before="0" w:beforeAutospacing="0" w:after="0" w:afterAutospacing="0" w:line="360" w:lineRule="atLeast"/>
        <w:rPr>
          <w:color w:val="auto"/>
          <w:kern w:val="2"/>
          <w:sz w:val="28"/>
          <w:highlight w:val="none"/>
        </w:rPr>
      </w:pPr>
      <w:r>
        <w:rPr>
          <w:rFonts w:hint="eastAsia"/>
          <w:color w:val="auto"/>
          <w:kern w:val="2"/>
          <w:sz w:val="28"/>
          <w:highlight w:val="none"/>
        </w:rPr>
        <w:t>二</w:t>
      </w:r>
      <w:r>
        <w:rPr>
          <w:color w:val="auto"/>
          <w:kern w:val="2"/>
          <w:sz w:val="28"/>
          <w:highlight w:val="none"/>
        </w:rPr>
        <w:t>、施工现场建筑垃圾源头减量的具体要求和建筑垃圾综合利用产品的使用要求</w:t>
      </w:r>
    </w:p>
    <w:p w14:paraId="737C1F1D">
      <w:pPr>
        <w:pStyle w:val="17"/>
        <w:widowControl/>
        <w:shd w:val="clear" w:color="auto" w:fill="FFFFFF"/>
        <w:spacing w:before="0" w:beforeAutospacing="0" w:after="0" w:afterAutospacing="0" w:line="360" w:lineRule="atLeast"/>
        <w:ind w:firstLine="480"/>
        <w:jc w:val="both"/>
        <w:rPr>
          <w:color w:val="auto"/>
          <w:kern w:val="2"/>
          <w:sz w:val="28"/>
          <w:highlight w:val="none"/>
        </w:rPr>
      </w:pPr>
      <w:r>
        <w:rPr>
          <w:color w:val="auto"/>
          <w:kern w:val="2"/>
          <w:sz w:val="28"/>
          <w:highlight w:val="none"/>
        </w:rPr>
        <w:t>1.1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14:paraId="592ADD42">
      <w:pPr>
        <w:pStyle w:val="17"/>
        <w:widowControl/>
        <w:shd w:val="clear" w:color="auto" w:fill="FFFFFF"/>
        <w:spacing w:before="0" w:beforeAutospacing="0" w:after="0" w:afterAutospacing="0" w:line="360" w:lineRule="atLeast"/>
        <w:ind w:firstLine="480"/>
        <w:jc w:val="both"/>
        <w:rPr>
          <w:color w:val="auto"/>
          <w:kern w:val="2"/>
          <w:sz w:val="28"/>
          <w:highlight w:val="none"/>
        </w:rPr>
      </w:pPr>
      <w:r>
        <w:rPr>
          <w:color w:val="auto"/>
          <w:kern w:val="2"/>
          <w:sz w:val="28"/>
          <w:highlight w:val="none"/>
        </w:rPr>
        <w:t>1.2建筑垃圾应当按照国家有关规定进行分类，实行分类收集、分类贮存、分类运输、分类处置。</w:t>
      </w:r>
    </w:p>
    <w:p w14:paraId="687B1C57">
      <w:pPr>
        <w:pStyle w:val="17"/>
        <w:widowControl/>
        <w:shd w:val="clear" w:color="auto" w:fill="FFFFFF"/>
        <w:spacing w:before="0" w:beforeAutospacing="0" w:after="0" w:afterAutospacing="0" w:line="360" w:lineRule="atLeast"/>
        <w:ind w:firstLine="480"/>
        <w:jc w:val="both"/>
        <w:rPr>
          <w:color w:val="auto"/>
          <w:kern w:val="2"/>
          <w:sz w:val="28"/>
          <w:highlight w:val="none"/>
        </w:rPr>
      </w:pPr>
      <w:r>
        <w:rPr>
          <w:color w:val="auto"/>
          <w:kern w:val="2"/>
          <w:sz w:val="28"/>
          <w:highlight w:val="none"/>
        </w:rPr>
        <w:t>1.3施工单位应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14:paraId="3176052D">
      <w:pPr>
        <w:pStyle w:val="17"/>
        <w:widowControl/>
        <w:shd w:val="clear" w:color="auto" w:fill="FFFFFF"/>
        <w:spacing w:before="0" w:beforeAutospacing="0" w:after="0" w:afterAutospacing="0" w:line="360" w:lineRule="atLeast"/>
        <w:ind w:firstLine="480"/>
        <w:jc w:val="both"/>
        <w:rPr>
          <w:color w:val="auto"/>
          <w:kern w:val="2"/>
          <w:sz w:val="28"/>
          <w:highlight w:val="none"/>
        </w:rPr>
      </w:pPr>
      <w:r>
        <w:rPr>
          <w:color w:val="auto"/>
          <w:kern w:val="2"/>
          <w:sz w:val="28"/>
          <w:highlight w:val="none"/>
        </w:rPr>
        <w:t>1.4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建筑垃圾运输车辆、船舶应当符合相应的载运技术条件。建筑垃圾处置场所为陆域的，不得采用开底式船舶运输建筑垃圾。</w:t>
      </w:r>
    </w:p>
    <w:p w14:paraId="3EDB2777">
      <w:pPr>
        <w:pStyle w:val="17"/>
        <w:widowControl/>
        <w:shd w:val="clear" w:color="auto" w:fill="FFFFFF"/>
        <w:spacing w:before="0" w:beforeAutospacing="0" w:after="0" w:afterAutospacing="0" w:line="360" w:lineRule="atLeast"/>
        <w:ind w:firstLine="480"/>
        <w:jc w:val="both"/>
        <w:rPr>
          <w:color w:val="auto"/>
          <w:kern w:val="2"/>
          <w:sz w:val="28"/>
          <w:highlight w:val="none"/>
        </w:rPr>
      </w:pPr>
      <w:r>
        <w:rPr>
          <w:color w:val="auto"/>
          <w:kern w:val="2"/>
          <w:sz w:val="28"/>
          <w:highlight w:val="none"/>
        </w:rPr>
        <w:t>1.5工程泥浆应当在施工现场进行脱水固化处理。施工现场不具备条件的，应当采用罐装器具密闭运输至依法设置的建筑垃圾处置场所进行处置。水上工程中依法无需经脱水处理的除外。</w:t>
      </w:r>
    </w:p>
    <w:p w14:paraId="31D5F548">
      <w:pPr>
        <w:pStyle w:val="17"/>
        <w:widowControl/>
        <w:shd w:val="clear" w:color="auto" w:fill="FFFFFF"/>
        <w:spacing w:before="0" w:beforeAutospacing="0" w:after="0" w:afterAutospacing="0" w:line="360" w:lineRule="atLeast"/>
        <w:ind w:firstLine="480"/>
        <w:jc w:val="both"/>
        <w:rPr>
          <w:color w:val="auto"/>
          <w:kern w:val="2"/>
          <w:sz w:val="28"/>
          <w:highlight w:val="none"/>
        </w:rPr>
      </w:pPr>
      <w:r>
        <w:rPr>
          <w:color w:val="auto"/>
          <w:kern w:val="2"/>
          <w:sz w:val="28"/>
          <w:highlight w:val="none"/>
        </w:rPr>
        <w:t>1.6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14:paraId="01AEC79C">
      <w:pPr>
        <w:pStyle w:val="17"/>
        <w:widowControl/>
        <w:shd w:val="clear" w:color="auto" w:fill="FFFFFF"/>
        <w:spacing w:before="0" w:beforeAutospacing="0" w:after="0" w:afterAutospacing="0" w:line="360" w:lineRule="atLeast"/>
        <w:ind w:firstLine="480"/>
        <w:jc w:val="both"/>
        <w:rPr>
          <w:rFonts w:ascii="微软雅黑" w:hAnsi="微软雅黑" w:eastAsia="微软雅黑" w:cs="微软雅黑"/>
          <w:color w:val="auto"/>
          <w:szCs w:val="24"/>
          <w:highlight w:val="none"/>
        </w:rPr>
      </w:pPr>
      <w:r>
        <w:rPr>
          <w:color w:val="auto"/>
          <w:kern w:val="2"/>
          <w:sz w:val="28"/>
          <w:highlight w:val="none"/>
        </w:rPr>
        <w:t>1.7施工单位严格遵守并执行《广东省建筑垃圾管理条例》。</w:t>
      </w:r>
    </w:p>
    <w:p w14:paraId="56F9C442">
      <w:pPr>
        <w:pStyle w:val="5"/>
        <w:ind w:firstLine="480"/>
        <w:rPr>
          <w:rFonts w:cs="宋体"/>
          <w:color w:val="auto"/>
          <w:sz w:val="24"/>
          <w:szCs w:val="24"/>
          <w:highlight w:val="none"/>
        </w:rPr>
      </w:pPr>
    </w:p>
    <w:p w14:paraId="473214DA">
      <w:pPr>
        <w:rPr>
          <w:rFonts w:cs="宋体"/>
          <w:color w:val="auto"/>
          <w:sz w:val="24"/>
          <w:szCs w:val="24"/>
          <w:highlight w:val="none"/>
        </w:rPr>
      </w:pPr>
    </w:p>
    <w:p w14:paraId="16F79D99">
      <w:pPr>
        <w:pStyle w:val="5"/>
        <w:ind w:firstLine="480"/>
        <w:rPr>
          <w:rFonts w:cs="宋体"/>
          <w:color w:val="auto"/>
          <w:sz w:val="24"/>
          <w:szCs w:val="24"/>
          <w:highlight w:val="none"/>
        </w:rPr>
      </w:pPr>
    </w:p>
    <w:p w14:paraId="56F9D133">
      <w:pPr>
        <w:rPr>
          <w:rFonts w:cs="宋体"/>
          <w:color w:val="auto"/>
          <w:sz w:val="24"/>
          <w:szCs w:val="24"/>
          <w:highlight w:val="none"/>
        </w:rPr>
      </w:pPr>
    </w:p>
    <w:p w14:paraId="25FCEF8C">
      <w:pPr>
        <w:pStyle w:val="5"/>
        <w:ind w:firstLine="480"/>
        <w:rPr>
          <w:rFonts w:cs="宋体"/>
          <w:color w:val="auto"/>
          <w:sz w:val="24"/>
          <w:szCs w:val="24"/>
          <w:highlight w:val="none"/>
        </w:rPr>
      </w:pPr>
    </w:p>
    <w:p w14:paraId="0C7B3275">
      <w:pPr>
        <w:pStyle w:val="2"/>
        <w:jc w:val="center"/>
        <w:rPr>
          <w:rFonts w:hint="default"/>
          <w:color w:val="auto"/>
          <w:highlight w:val="none"/>
        </w:rPr>
      </w:pPr>
      <w:r>
        <w:rPr>
          <w:color w:val="auto"/>
          <w:highlight w:val="none"/>
        </w:rPr>
        <w:br w:type="page"/>
      </w:r>
      <w:bookmarkStart w:id="32" w:name="_Toc4343"/>
      <w:r>
        <w:rPr>
          <w:color w:val="auto"/>
          <w:highlight w:val="none"/>
        </w:rPr>
        <w:t>第六章图纸及勘察资料</w:t>
      </w:r>
      <w:bookmarkEnd w:id="32"/>
    </w:p>
    <w:p w14:paraId="4EB333A1">
      <w:pPr>
        <w:topLinePunct/>
        <w:adjustRightInd w:val="0"/>
        <w:snapToGrid w:val="0"/>
        <w:spacing w:line="360" w:lineRule="auto"/>
        <w:jc w:val="center"/>
        <w:rPr>
          <w:rFonts w:cs="宋体"/>
          <w:snapToGrid w:val="0"/>
          <w:color w:val="auto"/>
          <w:spacing w:val="4"/>
          <w:kern w:val="0"/>
          <w:sz w:val="24"/>
          <w:szCs w:val="24"/>
          <w:highlight w:val="none"/>
        </w:rPr>
      </w:pPr>
    </w:p>
    <w:p w14:paraId="32078AD7">
      <w:pPr>
        <w:topLinePunct/>
        <w:adjustRightInd w:val="0"/>
        <w:snapToGrid w:val="0"/>
        <w:spacing w:line="360" w:lineRule="auto"/>
        <w:rPr>
          <w:rFonts w:cs="宋体"/>
          <w:snapToGrid w:val="0"/>
          <w:color w:val="auto"/>
          <w:spacing w:val="4"/>
          <w:kern w:val="0"/>
          <w:sz w:val="24"/>
          <w:szCs w:val="24"/>
          <w:highlight w:val="none"/>
        </w:rPr>
      </w:pPr>
      <w:r>
        <w:rPr>
          <w:rFonts w:hint="eastAsia" w:cs="宋体"/>
          <w:snapToGrid w:val="0"/>
          <w:color w:val="auto"/>
          <w:spacing w:val="4"/>
          <w:kern w:val="0"/>
          <w:sz w:val="24"/>
          <w:szCs w:val="24"/>
          <w:highlight w:val="none"/>
        </w:rPr>
        <w:t>注：另册。</w:t>
      </w:r>
    </w:p>
    <w:p w14:paraId="175A1E9E">
      <w:pPr>
        <w:jc w:val="center"/>
        <w:rPr>
          <w:rFonts w:cs="宋体"/>
          <w:b/>
          <w:bCs/>
          <w:color w:val="auto"/>
          <w:sz w:val="28"/>
          <w:szCs w:val="28"/>
          <w:highlight w:val="none"/>
        </w:rPr>
      </w:pPr>
    </w:p>
    <w:p w14:paraId="718A77DD">
      <w:pPr>
        <w:pStyle w:val="2"/>
        <w:jc w:val="center"/>
        <w:rPr>
          <w:rFonts w:hint="default"/>
          <w:color w:val="auto"/>
          <w:highlight w:val="none"/>
        </w:rPr>
      </w:pPr>
      <w:r>
        <w:rPr>
          <w:color w:val="auto"/>
          <w:sz w:val="24"/>
          <w:szCs w:val="24"/>
          <w:highlight w:val="none"/>
        </w:rPr>
        <w:br w:type="page"/>
      </w:r>
      <w:bookmarkStart w:id="33" w:name="_Toc12376"/>
      <w:r>
        <w:rPr>
          <w:color w:val="auto"/>
          <w:highlight w:val="none"/>
        </w:rPr>
        <w:t>第七章工程量清单</w:t>
      </w:r>
      <w:bookmarkEnd w:id="33"/>
    </w:p>
    <w:p w14:paraId="0E6BA90C">
      <w:pPr>
        <w:rPr>
          <w:b/>
          <w:color w:val="auto"/>
          <w:sz w:val="24"/>
          <w:szCs w:val="24"/>
          <w:highlight w:val="none"/>
        </w:rPr>
      </w:pPr>
      <w:r>
        <w:rPr>
          <w:rFonts w:hint="eastAsia"/>
          <w:color w:val="auto"/>
          <w:sz w:val="24"/>
          <w:szCs w:val="24"/>
          <w:highlight w:val="none"/>
        </w:rPr>
        <w:t>注：另册。</w:t>
      </w:r>
    </w:p>
    <w:p w14:paraId="0FF2ACAD">
      <w:pPr>
        <w:pStyle w:val="19"/>
        <w:spacing w:after="0" w:line="360" w:lineRule="auto"/>
        <w:ind w:left="-2" w:leftChars="-1" w:firstLine="960" w:firstLineChars="400"/>
        <w:rPr>
          <w:rFonts w:ascii="宋体"/>
          <w:color w:val="auto"/>
          <w:sz w:val="24"/>
          <w:highlight w:val="none"/>
        </w:rPr>
      </w:pPr>
    </w:p>
    <w:p w14:paraId="3FECFFF8">
      <w:pPr>
        <w:pStyle w:val="2"/>
        <w:rPr>
          <w:rFonts w:hint="default"/>
          <w:color w:val="auto"/>
          <w:highlight w:val="none"/>
        </w:rPr>
      </w:pPr>
    </w:p>
    <w:p w14:paraId="0EBF40D0">
      <w:pPr>
        <w:pStyle w:val="2"/>
        <w:jc w:val="center"/>
        <w:rPr>
          <w:rFonts w:hint="default"/>
          <w:color w:val="auto"/>
          <w:highlight w:val="none"/>
        </w:rPr>
      </w:pPr>
      <w:r>
        <w:rPr>
          <w:color w:val="auto"/>
          <w:sz w:val="24"/>
          <w:szCs w:val="24"/>
          <w:highlight w:val="none"/>
        </w:rPr>
        <w:br w:type="page"/>
      </w:r>
      <w:bookmarkStart w:id="34" w:name="_Toc4763"/>
      <w:r>
        <w:rPr>
          <w:color w:val="auto"/>
          <w:highlight w:val="none"/>
        </w:rPr>
        <w:t>第八章最高投标限价</w:t>
      </w:r>
      <w:bookmarkEnd w:id="34"/>
    </w:p>
    <w:p w14:paraId="707ECCEE">
      <w:pPr>
        <w:spacing w:line="360" w:lineRule="auto"/>
        <w:ind w:firstLine="480"/>
        <w:rPr>
          <w:color w:val="auto"/>
          <w:sz w:val="24"/>
          <w:szCs w:val="24"/>
          <w:highlight w:val="none"/>
        </w:rPr>
      </w:pPr>
    </w:p>
    <w:p w14:paraId="247AF2CC">
      <w:pPr>
        <w:spacing w:line="600" w:lineRule="exact"/>
        <w:rPr>
          <w:rFonts w:hint="eastAsia"/>
          <w:color w:val="auto"/>
          <w:sz w:val="24"/>
          <w:szCs w:val="24"/>
          <w:highlight w:val="none"/>
        </w:rPr>
      </w:pPr>
      <w:r>
        <w:rPr>
          <w:rFonts w:hint="eastAsia"/>
          <w:color w:val="auto"/>
          <w:sz w:val="24"/>
          <w:szCs w:val="24"/>
          <w:highlight w:val="none"/>
        </w:rPr>
        <w:t>注：详见《最高投标限价公布函》</w:t>
      </w:r>
    </w:p>
    <w:p w14:paraId="0F9E5B74">
      <w:pPr>
        <w:spacing w:line="240" w:lineRule="auto"/>
        <w:rPr>
          <w:rFonts w:hint="eastAsia"/>
          <w:color w:val="auto"/>
          <w:sz w:val="24"/>
          <w:szCs w:val="24"/>
          <w:highlight w:val="none"/>
        </w:rPr>
      </w:pPr>
      <w:r>
        <w:rPr>
          <w:rFonts w:hint="eastAsia"/>
          <w:color w:val="auto"/>
          <w:sz w:val="24"/>
          <w:szCs w:val="24"/>
          <w:highlight w:val="none"/>
        </w:rPr>
        <w:br w:type="page"/>
      </w:r>
    </w:p>
    <w:p w14:paraId="56C17E52">
      <w:pPr>
        <w:pStyle w:val="2"/>
        <w:spacing w:line="600" w:lineRule="exact"/>
        <w:jc w:val="center"/>
        <w:rPr>
          <w:rFonts w:hint="eastAsia" w:ascii="宋体" w:hAnsi="宋体" w:eastAsia="宋体" w:cs="Times New Roman"/>
          <w:color w:val="auto"/>
          <w:sz w:val="48"/>
          <w:szCs w:val="48"/>
          <w:highlight w:val="none"/>
        </w:rPr>
      </w:pPr>
      <w:bookmarkStart w:id="35" w:name="_Toc7052"/>
      <w:r>
        <w:rPr>
          <w:rFonts w:hint="eastAsia" w:ascii="宋体" w:hAnsi="宋体" w:eastAsia="宋体" w:cs="Times New Roman"/>
          <w:color w:val="auto"/>
          <w:sz w:val="48"/>
          <w:szCs w:val="48"/>
          <w:highlight w:val="none"/>
        </w:rPr>
        <w:t>第九章工程保险</w:t>
      </w:r>
      <w:bookmarkEnd w:id="35"/>
    </w:p>
    <w:p w14:paraId="4D1CA2F2">
      <w:pPr>
        <w:spacing w:line="600" w:lineRule="exact"/>
        <w:ind w:firstLine="480" w:firstLineChars="200"/>
        <w:rPr>
          <w:rFonts w:hint="eastAsia"/>
          <w:color w:val="auto"/>
          <w:sz w:val="24"/>
          <w:szCs w:val="24"/>
          <w:highlight w:val="none"/>
        </w:rPr>
      </w:pPr>
      <w:r>
        <w:rPr>
          <w:rFonts w:hint="eastAsia"/>
          <w:color w:val="auto"/>
          <w:sz w:val="24"/>
          <w:szCs w:val="24"/>
          <w:highlight w:val="none"/>
        </w:rPr>
        <w:t>广州市观音山公墓(含市第二思园和教育基地及配套广场项目)二期工程工程保险费(仅指建筑(安装)工程一切险、附加第三者责任险、安全责任保险及其他应由发包人购买的保险)，按实际保费单据结算，且该保险费结算价累计不得超过概算评审对应金额:人民币</w:t>
      </w:r>
      <w:r>
        <w:rPr>
          <w:rFonts w:hint="eastAsia" w:ascii="宋体" w:hAnsi="宋体" w:eastAsia="宋体" w:cs="Times New Roman"/>
          <w:color w:val="auto"/>
          <w:sz w:val="24"/>
          <w:szCs w:val="24"/>
          <w:highlight w:val="none"/>
          <w:u w:val="single"/>
          <w:lang w:val="en-US" w:eastAsia="zh-CN"/>
        </w:rPr>
        <w:t xml:space="preserve">                 </w:t>
      </w:r>
      <w:r>
        <w:rPr>
          <w:rFonts w:hint="eastAsia"/>
          <w:color w:val="auto"/>
          <w:sz w:val="24"/>
          <w:szCs w:val="24"/>
          <w:highlight w:val="none"/>
        </w:rPr>
        <w:t>元(大写:</w:t>
      </w:r>
      <w:r>
        <w:rPr>
          <w:rFonts w:hint="eastAsia" w:ascii="宋体" w:hAnsi="宋体" w:eastAsia="宋体" w:cs="Times New Roman"/>
          <w:color w:val="auto"/>
          <w:sz w:val="24"/>
          <w:szCs w:val="24"/>
          <w:highlight w:val="none"/>
          <w:u w:val="single"/>
          <w:lang w:val="en-US" w:eastAsia="zh-CN"/>
        </w:rPr>
        <w:t xml:space="preserve">                 </w:t>
      </w:r>
      <w:r>
        <w:rPr>
          <w:rFonts w:hint="eastAsia"/>
          <w:color w:val="auto"/>
          <w:sz w:val="24"/>
          <w:szCs w:val="24"/>
          <w:highlight w:val="none"/>
        </w:rPr>
        <w:t>。承包人提供符合合同约定的投保证明资料，可申请支付该保险费，发包人审核合格后支付该保险费的 100%。</w:t>
      </w:r>
    </w:p>
    <w:p w14:paraId="2D73A647">
      <w:pPr>
        <w:rPr>
          <w:color w:val="auto"/>
          <w:highlight w:val="none"/>
        </w:rPr>
      </w:pPr>
    </w:p>
    <w:p w14:paraId="0E7DAFA5">
      <w:pPr>
        <w:rPr>
          <w:color w:val="auto"/>
          <w:highlight w:val="none"/>
        </w:rPr>
      </w:pPr>
    </w:p>
    <w:sectPr>
      <w:headerReference r:id="rId27" w:type="default"/>
      <w:footerReference r:id="rId28" w:type="default"/>
      <w:pgSz w:w="12240" w:h="15840"/>
      <w:pgMar w:top="1440" w:right="1803" w:bottom="1440" w:left="1803"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CESI宋体-GB2312">
    <w:altName w:val="宋体"/>
    <w:panose1 w:val="02000500000000000000"/>
    <w:charset w:val="86"/>
    <w:family w:val="script"/>
    <w:pitch w:val="default"/>
    <w:sig w:usb0="00000000" w:usb1="00000000" w:usb2="00000010"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2B24E">
    <w:pPr>
      <w:pStyle w:val="13"/>
      <w:ind w:firstLine="392"/>
      <w:jc w:val="right"/>
      <w:rPr>
        <w:rStyle w:val="23"/>
      </w:rPr>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6C669D">
                          <w:pPr>
                            <w:pStyle w:val="13"/>
                          </w:pPr>
                          <w:r>
                            <w:t>—</w:t>
                          </w:r>
                          <w:r>
                            <w:fldChar w:fldCharType="begin"/>
                          </w:r>
                          <w:r>
                            <w:instrText xml:space="preserve"> PAGE  \* MERGEFORMAT </w:instrText>
                          </w:r>
                          <w:r>
                            <w:fldChar w:fldCharType="separate"/>
                          </w:r>
                          <w:r>
                            <w:t>1</w:t>
                          </w:r>
                          <w:r>
                            <w:fldChar w:fldCharType="end"/>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6C669D">
                    <w:pPr>
                      <w:pStyle w:val="13"/>
                    </w:pPr>
                    <w:r>
                      <w:t>—</w:t>
                    </w:r>
                    <w:r>
                      <w:fldChar w:fldCharType="begin"/>
                    </w:r>
                    <w:r>
                      <w:instrText xml:space="preserve"> PAGE  \* MERGEFORMAT </w:instrText>
                    </w:r>
                    <w:r>
                      <w:fldChar w:fldCharType="separate"/>
                    </w:r>
                    <w:r>
                      <w:t>1</w:t>
                    </w:r>
                    <w:r>
                      <w:fldChar w:fldCharType="end"/>
                    </w:r>
                    <w:r>
                      <w:t>—</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876EC">
    <w:pPr>
      <w:pStyle w:val="13"/>
      <w:ind w:right="360" w:firstLine="360"/>
      <w:jc w:val="center"/>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20011E">
                          <w:pPr>
                            <w:pStyle w:val="13"/>
                          </w:pPr>
                          <w:r>
                            <w:t>—</w:t>
                          </w:r>
                          <w:r>
                            <w:fldChar w:fldCharType="begin"/>
                          </w:r>
                          <w:r>
                            <w:instrText xml:space="preserve"> PAGE  \* MERGEFORMAT </w:instrText>
                          </w:r>
                          <w:r>
                            <w:fldChar w:fldCharType="separate"/>
                          </w:r>
                          <w:r>
                            <w:t>60</w:t>
                          </w:r>
                          <w:r>
                            <w:fldChar w:fldCharType="end"/>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620011E">
                    <w:pPr>
                      <w:pStyle w:val="13"/>
                    </w:pPr>
                    <w:r>
                      <w:t>—</w:t>
                    </w:r>
                    <w:r>
                      <w:fldChar w:fldCharType="begin"/>
                    </w:r>
                    <w:r>
                      <w:instrText xml:space="preserve"> PAGE  \* MERGEFORMAT </w:instrText>
                    </w:r>
                    <w:r>
                      <w:fldChar w:fldCharType="separate"/>
                    </w:r>
                    <w:r>
                      <w:t>60</w:t>
                    </w:r>
                    <w:r>
                      <w:fldChar w:fldCharType="end"/>
                    </w:r>
                    <w:r>
                      <w:t>—</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72720"/>
              <wp:effectExtent l="0" t="0" r="0" b="0"/>
              <wp:wrapNone/>
              <wp:docPr id="17"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114935" cy="172720"/>
                      </a:xfrm>
                      <a:prstGeom prst="rect">
                        <a:avLst/>
                      </a:prstGeom>
                      <a:noFill/>
                      <a:ln>
                        <a:noFill/>
                      </a:ln>
                      <a:effectLst/>
                    </wps:spPr>
                    <wps:txbx>
                      <w:txbxContent>
                        <w:p w14:paraId="32746B4F"/>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3.6pt;width:9.05pt;mso-position-horizontal:center;mso-position-horizontal-relative:margin;mso-wrap-style:none;z-index:251663360;mso-width-relative:page;mso-height-relative:page;" filled="f" stroked="f" coordsize="21600,21600" o:gfxdata="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s6wltAAAAADAQAADwAAAAAAAAABACAAAAAiAAAA&#10;ZHJzL2Rvd25yZXYueG1sUEsBAhQAFAAAAAgAh07iQI/Kml0PAgAAEgQAAA4AAAAAAAAAAQAgAAAA&#10;HwEAAGRycy9lMm9Eb2MueG1sUEsFBgAAAAAGAAYAWQEAAKAFAAAAAA==&#10;">
              <v:fill on="f" focussize="0,0"/>
              <v:stroke on="f"/>
              <v:imagedata o:title=""/>
              <o:lock v:ext="edit" aspectratio="f"/>
              <v:textbox inset="0mm,0mm,0mm,0mm" style="mso-fit-shape-to-text:t;">
                <w:txbxContent>
                  <w:p w14:paraId="32746B4F"/>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F6892">
    <w:pPr>
      <w:pStyle w:val="13"/>
      <w:framePr w:wrap="around" w:vAnchor="text" w:hAnchor="margin" w:xAlign="outside" w:y="1"/>
      <w:rPr>
        <w:rStyle w:val="23"/>
      </w:rPr>
    </w:pPr>
    <w:r>
      <w:fldChar w:fldCharType="begin"/>
    </w:r>
    <w:r>
      <w:rPr>
        <w:rStyle w:val="23"/>
      </w:rPr>
      <w:instrText xml:space="preserve">PAGE  </w:instrText>
    </w:r>
    <w:r>
      <w:fldChar w:fldCharType="separate"/>
    </w:r>
    <w:r>
      <w:rPr>
        <w:rStyle w:val="23"/>
        <w:rFonts w:hint="eastAsia"/>
      </w:rPr>
      <w:t>一</w:t>
    </w:r>
    <w:r>
      <w:rPr>
        <w:rStyle w:val="23"/>
      </w:rPr>
      <w:t>–2</w:t>
    </w:r>
    <w:r>
      <w:fldChar w:fldCharType="end"/>
    </w:r>
  </w:p>
  <w:p w14:paraId="3D24277F">
    <w:pPr>
      <w:pStyle w:val="13"/>
      <w:ind w:right="360" w:firstLine="360"/>
      <w:jc w:val="center"/>
    </w:pPr>
    <w:r>
      <w:rPr>
        <w:sz w:val="20"/>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AD23B">
    <w:pPr>
      <w:pStyle w:val="13"/>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50EA8F0E"/>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RJcnJAkCAAAUBAAADgAAAAAAAAABACAAAAAeAQAAZHJz&#10;L2Uyb0RvYy54bWxQSwUGAAAAAAYABgBZAQAAmQUAAAAA&#10;">
              <v:fill on="f" focussize="0,0"/>
              <v:stroke on="f"/>
              <v:imagedata o:title=""/>
              <o:lock v:ext="edit" aspectratio="f"/>
              <v:textbox inset="0mm,0mm,0mm,0mm" style="mso-fit-shape-to-text:t;">
                <w:txbxContent>
                  <w:p w14:paraId="50EA8F0E"/>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F50A7">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D5ED8E">
                          <w:pPr>
                            <w:pStyle w:val="13"/>
                          </w:pPr>
                          <w:r>
                            <w:t>—</w:t>
                          </w:r>
                          <w:r>
                            <w:fldChar w:fldCharType="begin"/>
                          </w:r>
                          <w:r>
                            <w:instrText xml:space="preserve"> PAGE  \* MERGEFORMAT </w:instrText>
                          </w:r>
                          <w:r>
                            <w:fldChar w:fldCharType="separate"/>
                          </w:r>
                          <w:r>
                            <w:t>62</w:t>
                          </w:r>
                          <w:r>
                            <w:fldChar w:fldCharType="end"/>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8D5ED8E">
                    <w:pPr>
                      <w:pStyle w:val="13"/>
                    </w:pPr>
                    <w:r>
                      <w:t>—</w:t>
                    </w:r>
                    <w:r>
                      <w:fldChar w:fldCharType="begin"/>
                    </w:r>
                    <w:r>
                      <w:instrText xml:space="preserve"> PAGE  \* MERGEFORMAT </w:instrText>
                    </w:r>
                    <w:r>
                      <w:fldChar w:fldCharType="separate"/>
                    </w:r>
                    <w:r>
                      <w:t>62</w:t>
                    </w:r>
                    <w:r>
                      <w:fldChar w:fldCharType="end"/>
                    </w:r>
                    <w:r>
                      <w:t>—</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72720"/>
              <wp:effectExtent l="0" t="0" r="0" b="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114935" cy="172720"/>
                      </a:xfrm>
                      <a:prstGeom prst="rect">
                        <a:avLst/>
                      </a:prstGeom>
                      <a:noFill/>
                      <a:ln>
                        <a:noFill/>
                      </a:ln>
                      <a:effectLst/>
                    </wps:spPr>
                    <wps:txbx>
                      <w:txbxContent>
                        <w:p w14:paraId="1778893D"/>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3.6pt;width:9.05pt;mso-position-horizontal:center;mso-position-horizontal-relative:margin;mso-wrap-style:none;z-index:251659264;mso-width-relative:page;mso-height-relative:page;" filled="f" stroked="f" coordsize="21600,21600" o:gfxdata="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rOsJbQAAAAAwEAAA8AAAAAAAAAAQAgAAAAIgAA&#10;AGRycy9kb3ducmV2LnhtbFBLAQIUABQAAAAIAIdO4kCqV2twEAIAABIEAAAOAAAAAAAAAAEAIAAA&#10;AB8BAABkcnMvZTJvRG9jLnhtbFBLBQYAAAAABgAGAFkBAAChBQAAAAA=&#10;">
              <v:fill on="f" focussize="0,0"/>
              <v:stroke on="f"/>
              <v:imagedata o:title=""/>
              <o:lock v:ext="edit" aspectratio="f"/>
              <v:textbox inset="0mm,0mm,0mm,0mm" style="mso-fit-shape-to-text:t;">
                <w:txbxContent>
                  <w:p w14:paraId="1778893D"/>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C8722">
    <w:pPr>
      <w:pStyle w:val="13"/>
    </w:pPr>
    <w:r>
      <w:rPr>
        <w:sz w:val="1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22CB0">
                          <w:pPr>
                            <w:pStyle w:val="13"/>
                          </w:pPr>
                          <w:r>
                            <w:t>—</w:t>
                          </w:r>
                          <w:r>
                            <w:fldChar w:fldCharType="begin"/>
                          </w:r>
                          <w:r>
                            <w:instrText xml:space="preserve"> PAGE  \* MERGEFORMAT </w:instrText>
                          </w:r>
                          <w:r>
                            <w:fldChar w:fldCharType="separate"/>
                          </w:r>
                          <w:r>
                            <w:t>62</w:t>
                          </w:r>
                          <w:r>
                            <w:fldChar w:fldCharType="end"/>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DF22CB0">
                    <w:pPr>
                      <w:pStyle w:val="13"/>
                    </w:pPr>
                    <w:r>
                      <w:t>—</w:t>
                    </w:r>
                    <w:r>
                      <w:fldChar w:fldCharType="begin"/>
                    </w:r>
                    <w:r>
                      <w:instrText xml:space="preserve"> PAGE  \* MERGEFORMAT </w:instrText>
                    </w:r>
                    <w:r>
                      <w:fldChar w:fldCharType="separate"/>
                    </w:r>
                    <w:r>
                      <w:t>62</w:t>
                    </w:r>
                    <w:r>
                      <w:fldChar w:fldCharType="end"/>
                    </w:r>
                    <w:r>
                      <w:t>—</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72720"/>
              <wp:effectExtent l="0" t="0" r="0" b="0"/>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114935" cy="172720"/>
                      </a:xfrm>
                      <a:prstGeom prst="rect">
                        <a:avLst/>
                      </a:prstGeom>
                      <a:noFill/>
                      <a:ln>
                        <a:noFill/>
                      </a:ln>
                      <a:effectLst/>
                    </wps:spPr>
                    <wps:txbx>
                      <w:txbxContent>
                        <w:p w14:paraId="6A4D8640"/>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3.6pt;width:9.05pt;mso-position-horizontal:center;mso-position-horizontal-relative:margin;mso-wrap-style:none;z-index:251665408;mso-width-relative:page;mso-height-relative:page;" filled="f" stroked="f" coordsize="21600,21600" o:gfxdata="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rOsJbQAAAAAwEAAA8AAAAAAAAAAQAgAAAAIgAA&#10;AGRycy9kb3ducmV2LnhtbFBLAQIUABQAAAAIAIdO4kBUQAhPEAIAABIEAAAOAAAAAAAAAAEAIAAA&#10;AB8BAABkcnMvZTJvRG9jLnhtbFBLBQYAAAAABgAGAFkBAAChBQAAAAA=&#10;">
              <v:fill on="f" focussize="0,0"/>
              <v:stroke on="f"/>
              <v:imagedata o:title=""/>
              <o:lock v:ext="edit" aspectratio="f"/>
              <v:textbox inset="0mm,0mm,0mm,0mm" style="mso-fit-shape-to-text:t;">
                <w:txbxContent>
                  <w:p w14:paraId="6A4D8640"/>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A5E5A">
    <w:pPr>
      <w:pStyle w:val="13"/>
      <w:ind w:firstLine="392"/>
      <w:rPr>
        <w:rStyle w:val="23"/>
      </w:rPr>
    </w:pPr>
    <w:r>
      <w:fldChar w:fldCharType="begin"/>
    </w:r>
    <w:r>
      <w:rPr>
        <w:rStyle w:val="23"/>
      </w:rPr>
      <w:instrText xml:space="preserve">PAGE  </w:instrText>
    </w:r>
    <w:r>
      <w:fldChar w:fldCharType="separate"/>
    </w:r>
    <w:r>
      <w:rPr>
        <w:rStyle w:val="23"/>
        <w:rFonts w:hint="eastAsia"/>
      </w:rPr>
      <w:t>一</w:t>
    </w:r>
    <w:r>
      <w:rPr>
        <w:rStyle w:val="23"/>
      </w:rPr>
      <w:t>–2</w:t>
    </w:r>
    <w:r>
      <w:fldChar w:fldCharType="end"/>
    </w:r>
  </w:p>
  <w:p w14:paraId="30171F7D">
    <w:pPr>
      <w:pStyle w:val="13"/>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1EB92">
    <w:pPr>
      <w:pStyle w:val="13"/>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9A545">
    <w:pPr>
      <w:pStyle w:val="13"/>
      <w:ind w:firstLine="392"/>
      <w:jc w:val="right"/>
      <w:rPr>
        <w:rStyle w:val="23"/>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16205" cy="13970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7183C40F">
                          <w:pPr>
                            <w:pStyle w:val="13"/>
                          </w:pPr>
                          <w:r>
                            <w:t>—</w:t>
                          </w:r>
                          <w:r>
                            <w:fldChar w:fldCharType="begin"/>
                          </w:r>
                          <w:r>
                            <w:instrText xml:space="preserve"> PAGE  \* MERGEFORMAT </w:instrText>
                          </w:r>
                          <w:r>
                            <w:fldChar w:fldCharType="separate"/>
                          </w:r>
                          <w:r>
                            <w:t>2</w:t>
                          </w:r>
                          <w:r>
                            <w:fldChar w:fldCharType="end"/>
                          </w:r>
                          <w: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right;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FkosLAPAgAAEAQAAA4AAAAAAAAAAQAgAAAA&#10;HwEAAGRycy9lMm9Eb2MueG1sUEsFBgAAAAAGAAYAWQEAAKAFAAAAAA==&#10;">
              <v:fill on="f" focussize="0,0"/>
              <v:stroke on="f"/>
              <v:imagedata o:title=""/>
              <o:lock v:ext="edit" aspectratio="f"/>
              <v:textbox inset="0mm,0mm,0mm,0mm" style="mso-fit-shape-to-text:t;">
                <w:txbxContent>
                  <w:p w14:paraId="7183C40F">
                    <w:pPr>
                      <w:pStyle w:val="13"/>
                    </w:pPr>
                    <w:r>
                      <w:t>—</w:t>
                    </w:r>
                    <w:r>
                      <w:fldChar w:fldCharType="begin"/>
                    </w:r>
                    <w:r>
                      <w:instrText xml:space="preserve"> PAGE  \* MERGEFORMAT </w:instrText>
                    </w:r>
                    <w:r>
                      <w:fldChar w:fldCharType="separate"/>
                    </w:r>
                    <w:r>
                      <w:t>2</w:t>
                    </w:r>
                    <w:r>
                      <w:fldChar w:fldCharType="end"/>
                    </w:r>
                    <w: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F99E1">
    <w:pPr>
      <w:pStyle w:val="13"/>
      <w:ind w:firstLine="39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07340" cy="1397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307340" cy="139700"/>
                      </a:xfrm>
                      <a:prstGeom prst="rect">
                        <a:avLst/>
                      </a:prstGeom>
                      <a:noFill/>
                      <a:ln>
                        <a:noFill/>
                      </a:ln>
                      <a:effectLst/>
                    </wps:spPr>
                    <wps:txbx>
                      <w:txbxContent>
                        <w:p w14:paraId="45104D47">
                          <w:pPr>
                            <w:pStyle w:val="13"/>
                            <w:ind w:firstLine="392"/>
                          </w:pPr>
                          <w:r>
                            <w:fldChar w:fldCharType="begin"/>
                          </w:r>
                          <w:r>
                            <w:rPr>
                              <w:rStyle w:val="23"/>
                            </w:rPr>
                            <w:instrText xml:space="preserve"> PAGE </w:instrText>
                          </w:r>
                          <w:r>
                            <w:fldChar w:fldCharType="separate"/>
                          </w:r>
                          <w:r>
                            <w:rPr>
                              <w:rStyle w:val="23"/>
                            </w:rPr>
                            <w:t>52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pt;width:24.2pt;mso-position-horizontal:center;mso-position-horizontal-relative:margin;mso-wrap-style:none;z-index:251659264;mso-width-relative:page;mso-height-relative:page;" filled="f" stroked="f" coordsize="21600,21600" o:gfxdata="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ddMq8tEAAAADAQAADwAAAAAAAAABACAAAAAiAAAAZHJzL2Rvd25y&#10;ZXYueG1sUEsBAhQAFAAAAAgAh07iQC9yqAHMAQAAmQMAAA4AAAAAAAAAAQAgAAAAIAEAAGRycy9l&#10;Mm9Eb2MueG1sUEsFBgAAAAAGAAYAWQEAAF4FAAAAAA==&#10;">
              <v:fill on="f" focussize="0,0"/>
              <v:stroke on="f"/>
              <v:imagedata o:title=""/>
              <o:lock v:ext="edit" aspectratio="f"/>
              <v:textbox inset="0mm,0mm,0mm,0mm" style="mso-fit-shape-to-text:t;">
                <w:txbxContent>
                  <w:p w14:paraId="45104D47">
                    <w:pPr>
                      <w:pStyle w:val="13"/>
                      <w:ind w:firstLine="392"/>
                    </w:pPr>
                    <w:r>
                      <w:fldChar w:fldCharType="begin"/>
                    </w:r>
                    <w:r>
                      <w:rPr>
                        <w:rStyle w:val="23"/>
                      </w:rPr>
                      <w:instrText xml:space="preserve"> PAGE </w:instrText>
                    </w:r>
                    <w:r>
                      <w:fldChar w:fldCharType="separate"/>
                    </w:r>
                    <w:r>
                      <w:rPr>
                        <w:rStyle w:val="23"/>
                      </w:rPr>
                      <w:t>52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001FF">
    <w:pPr>
      <w:pStyle w:val="13"/>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16205" cy="139700"/>
              <wp:effectExtent l="0" t="0" r="0"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709DF20D">
                          <w:pPr>
                            <w:pStyle w:val="13"/>
                          </w:pPr>
                          <w:r>
                            <w:t>—</w:t>
                          </w:r>
                          <w:r>
                            <w:fldChar w:fldCharType="begin"/>
                          </w:r>
                          <w:r>
                            <w:instrText xml:space="preserve"> PAGE  \* MERGEFORMAT </w:instrText>
                          </w:r>
                          <w:r>
                            <w:fldChar w:fldCharType="separate"/>
                          </w:r>
                          <w:r>
                            <w:t>55</w:t>
                          </w:r>
                          <w:r>
                            <w:fldChar w:fldCharType="end"/>
                          </w:r>
                          <w: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right;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&#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GLpYU0AAAAAMBAAAPAAAAAAAAAAEAIAAAACIAAABk&#10;cnMvZG93bnJldi54bWxQSwECFAAUAAAACACHTuJARyMaoA4CAAAQBAAADgAAAAAAAAABACAAAAAf&#10;AQAAZHJzL2Uyb0RvYy54bWxQSwUGAAAAAAYABgBZAQAAnwUAAAAA&#10;">
              <v:fill on="f" focussize="0,0"/>
              <v:stroke on="f"/>
              <v:imagedata o:title=""/>
              <o:lock v:ext="edit" aspectratio="f"/>
              <v:textbox inset="0mm,0mm,0mm,0mm" style="mso-fit-shape-to-text:t;">
                <w:txbxContent>
                  <w:p w14:paraId="709DF20D">
                    <w:pPr>
                      <w:pStyle w:val="13"/>
                    </w:pPr>
                    <w:r>
                      <w:t>—</w:t>
                    </w:r>
                    <w:r>
                      <w:fldChar w:fldCharType="begin"/>
                    </w:r>
                    <w:r>
                      <w:instrText xml:space="preserve"> PAGE  \* MERGEFORMAT </w:instrText>
                    </w:r>
                    <w:r>
                      <w:fldChar w:fldCharType="separate"/>
                    </w:r>
                    <w:r>
                      <w:t>55</w:t>
                    </w:r>
                    <w:r>
                      <w:fldChar w:fldCharType="end"/>
                    </w:r>
                    <w: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4DA23">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487378F8"/>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rb0QsAkCAAASBAAADgAAAAAAAAABACAAAAAeAQAAZHJz&#10;L2Uyb0RvYy54bWxQSwUGAAAAAAYABgBZAQAAmQUAAAAA&#10;">
              <v:fill on="f" focussize="0,0"/>
              <v:stroke on="f"/>
              <v:imagedata o:title=""/>
              <o:lock v:ext="edit" aspectratio="f"/>
              <v:textbox inset="0mm,0mm,0mm,0mm" style="mso-fit-shape-to-text:t;">
                <w:txbxContent>
                  <w:p w14:paraId="487378F8"/>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33CF5">
    <w:pPr>
      <w:pStyle w:val="13"/>
      <w:ind w:right="360" w:firstLine="360"/>
      <w:jc w:val="cente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16205" cy="13970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046F6497">
                          <w:pPr>
                            <w:pStyle w:val="13"/>
                          </w:pPr>
                          <w:r>
                            <w:t>—</w:t>
                          </w:r>
                          <w:r>
                            <w:fldChar w:fldCharType="begin"/>
                          </w:r>
                          <w:r>
                            <w:instrText xml:space="preserve"> PAGE  \* MERGEFORMAT </w:instrText>
                          </w:r>
                          <w:r>
                            <w:fldChar w:fldCharType="separate"/>
                          </w:r>
                          <w:r>
                            <w:t>55</w:t>
                          </w:r>
                          <w:r>
                            <w:fldChar w:fldCharType="end"/>
                          </w:r>
                          <w: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right;mso-position-horizontal-relative:margin;mso-wrap-style:none;z-index:25166131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GLpYU0AAAAAMBAAAPAAAAAAAAAAEAIAAAACIAAABk&#10;cnMvZG93bnJldi54bWxQSwECFAAUAAAACACHTuJAO9XuXg4CAAAQBAAADgAAAAAAAAABACAAAAAf&#10;AQAAZHJzL2Uyb0RvYy54bWxQSwUGAAAAAAYABgBZAQAAnwUAAAAA&#10;">
              <v:fill on="f" focussize="0,0"/>
              <v:stroke on="f"/>
              <v:imagedata o:title=""/>
              <o:lock v:ext="edit" aspectratio="f"/>
              <v:textbox inset="0mm,0mm,0mm,0mm" style="mso-fit-shape-to-text:t;">
                <w:txbxContent>
                  <w:p w14:paraId="046F6497">
                    <w:pPr>
                      <w:pStyle w:val="13"/>
                    </w:pPr>
                    <w:r>
                      <w:t>—</w:t>
                    </w:r>
                    <w:r>
                      <w:fldChar w:fldCharType="begin"/>
                    </w:r>
                    <w:r>
                      <w:instrText xml:space="preserve"> PAGE  \* MERGEFORMAT </w:instrText>
                    </w:r>
                    <w:r>
                      <w:fldChar w:fldCharType="separate"/>
                    </w:r>
                    <w:r>
                      <w:t>55</w:t>
                    </w:r>
                    <w:r>
                      <w:fldChar w:fldCharType="end"/>
                    </w:r>
                    <w:r>
                      <w:t>—</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AF423">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03411DCC"/>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PPOGSwkCAAAUBAAADgAAAAAAAAABACAAAAAeAQAAZHJz&#10;L2Uyb0RvYy54bWxQSwUGAAAAAAYABgBZAQAAmQUAAAAA&#10;">
              <v:fill on="f" focussize="0,0"/>
              <v:stroke on="f"/>
              <v:imagedata o:title=""/>
              <o:lock v:ext="edit" aspectratio="f"/>
              <v:textbox inset="0mm,0mm,0mm,0mm" style="mso-fit-shape-to-text:t;">
                <w:txbxContent>
                  <w:p w14:paraId="03411DCC"/>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E8B14">
    <w:pPr>
      <w:pStyle w:val="14"/>
      <w:pBdr>
        <w:bottom w:val="none" w:color="auto" w:sz="0" w:space="1"/>
      </w:pBdr>
      <w:ind w:firstLine="392"/>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C1A9D">
    <w:pPr>
      <w:pStyle w:val="14"/>
      <w:pBdr>
        <w:bottom w:val="none" w:color="auto" w:sz="0" w:space="0"/>
      </w:pBdr>
      <w:jc w:val="right"/>
      <w:rPr>
        <w:i/>
        <w:iCs/>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B2829">
    <w:pPr>
      <w:pStyle w:val="14"/>
      <w:pBdr>
        <w:bottom w:val="none" w:color="auto" w:sz="0" w:space="0"/>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3430D">
    <w:pPr>
      <w:pStyle w:val="14"/>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9D353">
    <w:pPr>
      <w:pStyle w:val="14"/>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88749">
    <w:pPr>
      <w:pStyle w:val="14"/>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F1856">
    <w:pPr>
      <w:pStyle w:val="14"/>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559C5">
    <w:pPr>
      <w:pStyle w:val="14"/>
      <w:pBdr>
        <w:bottom w:val="none" w:color="auto" w:sz="0" w:space="0"/>
      </w:pBdr>
      <w:jc w:val="right"/>
      <w:rPr>
        <w:i/>
        <w:iC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12419">
    <w:pPr>
      <w:pStyle w:val="14"/>
      <w:pBdr>
        <w:bottom w:val="none" w:color="auto" w:sz="0" w:space="0"/>
      </w:pBd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C1592">
    <w:pPr>
      <w:pStyle w:val="14"/>
      <w:pBdr>
        <w:bottom w:val="none" w:color="auto" w:sz="0" w:space="0"/>
      </w:pBdr>
      <w:jc w:val="right"/>
      <w:rPr>
        <w:i/>
        <w:iCs/>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33BA3">
    <w:pPr>
      <w:pStyle w:val="14"/>
      <w:pBdr>
        <w:bottom w:val="none" w:color="auto" w:sz="0" w:space="0"/>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C7103">
    <w:pPr>
      <w:pStyle w:val="14"/>
      <w:jc w:val="right"/>
      <w:rPr>
        <w:i/>
        <w:iCs/>
      </w:rPr>
    </w:pPr>
    <w:r>
      <w:rPr>
        <w:rFonts w:hint="eastAsia"/>
        <w:i/>
        <w:iCs/>
      </w:rPr>
      <w:t>横枝岗路道路排水改造工程招标文件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
    <w:nsid w:val="3AD5465A"/>
    <w:multiLevelType w:val="multilevel"/>
    <w:tmpl w:val="3AD5465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hNTc4NjczZDE3ZjJhZmMwNzZiN2E1OGM0YWRhM2IifQ=="/>
    <w:docVar w:name="KGWebUrl" w:val="http://10.125.10.1/weaver/weaver.file.FileDownloadForNews?uuid=c4919e51-7800-4478-af38-1c59dce7af6d&amp;fileid=3204944&amp;type=document&amp;isofficeview=0"/>
  </w:docVars>
  <w:rsids>
    <w:rsidRoot w:val="00000000"/>
    <w:rsid w:val="0031535E"/>
    <w:rsid w:val="00CC555D"/>
    <w:rsid w:val="00F504AE"/>
    <w:rsid w:val="01941722"/>
    <w:rsid w:val="01F64D0F"/>
    <w:rsid w:val="025D2470"/>
    <w:rsid w:val="02C535E7"/>
    <w:rsid w:val="032C3DC2"/>
    <w:rsid w:val="03991DF6"/>
    <w:rsid w:val="03C7660C"/>
    <w:rsid w:val="044C6E68"/>
    <w:rsid w:val="046A01F7"/>
    <w:rsid w:val="04B67FC4"/>
    <w:rsid w:val="04BC20E2"/>
    <w:rsid w:val="05336716"/>
    <w:rsid w:val="054400FC"/>
    <w:rsid w:val="0555647C"/>
    <w:rsid w:val="05C27046"/>
    <w:rsid w:val="05F51011"/>
    <w:rsid w:val="05FD25AE"/>
    <w:rsid w:val="063D32B4"/>
    <w:rsid w:val="06417DE6"/>
    <w:rsid w:val="06420AD1"/>
    <w:rsid w:val="06546346"/>
    <w:rsid w:val="06BB35D5"/>
    <w:rsid w:val="07155DC5"/>
    <w:rsid w:val="07C3370E"/>
    <w:rsid w:val="083C444E"/>
    <w:rsid w:val="085F6D72"/>
    <w:rsid w:val="090C0F64"/>
    <w:rsid w:val="09562816"/>
    <w:rsid w:val="098E2225"/>
    <w:rsid w:val="0B223DF5"/>
    <w:rsid w:val="0B336888"/>
    <w:rsid w:val="0B713C52"/>
    <w:rsid w:val="0B7602A8"/>
    <w:rsid w:val="0B815649"/>
    <w:rsid w:val="0BF36D7D"/>
    <w:rsid w:val="0BFC1116"/>
    <w:rsid w:val="0C8B53A7"/>
    <w:rsid w:val="0CF84031"/>
    <w:rsid w:val="0D0E01FB"/>
    <w:rsid w:val="0D4234FE"/>
    <w:rsid w:val="0DA204E0"/>
    <w:rsid w:val="0DF25093"/>
    <w:rsid w:val="0E033F8B"/>
    <w:rsid w:val="0E664FCA"/>
    <w:rsid w:val="0E730A3C"/>
    <w:rsid w:val="0F141ED1"/>
    <w:rsid w:val="0F955B67"/>
    <w:rsid w:val="105534DB"/>
    <w:rsid w:val="11857586"/>
    <w:rsid w:val="12EA0F15"/>
    <w:rsid w:val="12EC15C7"/>
    <w:rsid w:val="142B0848"/>
    <w:rsid w:val="147F3A7B"/>
    <w:rsid w:val="14A64372"/>
    <w:rsid w:val="14BA16F0"/>
    <w:rsid w:val="14D24D2C"/>
    <w:rsid w:val="155C2F18"/>
    <w:rsid w:val="15B44C2C"/>
    <w:rsid w:val="15F829AC"/>
    <w:rsid w:val="166F0D3E"/>
    <w:rsid w:val="16C35D30"/>
    <w:rsid w:val="174F6BCB"/>
    <w:rsid w:val="17C3356A"/>
    <w:rsid w:val="18075128"/>
    <w:rsid w:val="182C3C6D"/>
    <w:rsid w:val="183835B7"/>
    <w:rsid w:val="184119D7"/>
    <w:rsid w:val="188456C2"/>
    <w:rsid w:val="188E3A9B"/>
    <w:rsid w:val="18BE4823"/>
    <w:rsid w:val="18EE6FBD"/>
    <w:rsid w:val="192C06DB"/>
    <w:rsid w:val="19391F6F"/>
    <w:rsid w:val="19E963DC"/>
    <w:rsid w:val="1A1A55E6"/>
    <w:rsid w:val="1A1D6B48"/>
    <w:rsid w:val="1A5E4080"/>
    <w:rsid w:val="1A7949AE"/>
    <w:rsid w:val="1AA94BBC"/>
    <w:rsid w:val="1B193AF0"/>
    <w:rsid w:val="1B5D1C74"/>
    <w:rsid w:val="1C0F4EF3"/>
    <w:rsid w:val="1C1B0F33"/>
    <w:rsid w:val="1D0600A4"/>
    <w:rsid w:val="1D556162"/>
    <w:rsid w:val="1DCA77EF"/>
    <w:rsid w:val="1DF21F55"/>
    <w:rsid w:val="1E174412"/>
    <w:rsid w:val="1EBF357F"/>
    <w:rsid w:val="1EDF6033"/>
    <w:rsid w:val="1EF27252"/>
    <w:rsid w:val="1F7A5EB1"/>
    <w:rsid w:val="1F952153"/>
    <w:rsid w:val="20021A54"/>
    <w:rsid w:val="200B1023"/>
    <w:rsid w:val="201054AB"/>
    <w:rsid w:val="202C7E22"/>
    <w:rsid w:val="20EF09AB"/>
    <w:rsid w:val="21C7131B"/>
    <w:rsid w:val="21DF2C72"/>
    <w:rsid w:val="226F4201"/>
    <w:rsid w:val="22AE5513"/>
    <w:rsid w:val="23C16B35"/>
    <w:rsid w:val="23FF1CD5"/>
    <w:rsid w:val="2402360E"/>
    <w:rsid w:val="243B693A"/>
    <w:rsid w:val="247840E5"/>
    <w:rsid w:val="247C5FA0"/>
    <w:rsid w:val="24A863FC"/>
    <w:rsid w:val="24B23744"/>
    <w:rsid w:val="24DF4D8F"/>
    <w:rsid w:val="24E76A0D"/>
    <w:rsid w:val="2555742C"/>
    <w:rsid w:val="258A6E7E"/>
    <w:rsid w:val="25CF35A6"/>
    <w:rsid w:val="26176501"/>
    <w:rsid w:val="26461D57"/>
    <w:rsid w:val="26AD27A0"/>
    <w:rsid w:val="26B76B93"/>
    <w:rsid w:val="26D32C40"/>
    <w:rsid w:val="271820AF"/>
    <w:rsid w:val="272C39B8"/>
    <w:rsid w:val="27316915"/>
    <w:rsid w:val="277C7BD6"/>
    <w:rsid w:val="27883FB8"/>
    <w:rsid w:val="27994F87"/>
    <w:rsid w:val="279A12BC"/>
    <w:rsid w:val="282C66F4"/>
    <w:rsid w:val="2866220B"/>
    <w:rsid w:val="28953E01"/>
    <w:rsid w:val="28FB5AC8"/>
    <w:rsid w:val="29117BC5"/>
    <w:rsid w:val="293314A5"/>
    <w:rsid w:val="29431740"/>
    <w:rsid w:val="29620050"/>
    <w:rsid w:val="2A2420B3"/>
    <w:rsid w:val="2AE33EC0"/>
    <w:rsid w:val="2AF7098F"/>
    <w:rsid w:val="2AFB3A5D"/>
    <w:rsid w:val="2B316E0D"/>
    <w:rsid w:val="2B8F74B6"/>
    <w:rsid w:val="2BAC2E33"/>
    <w:rsid w:val="2BC10680"/>
    <w:rsid w:val="2BFD1938"/>
    <w:rsid w:val="2C090FCE"/>
    <w:rsid w:val="2D352EF4"/>
    <w:rsid w:val="2D7828F8"/>
    <w:rsid w:val="2DE807E2"/>
    <w:rsid w:val="2E2A6537"/>
    <w:rsid w:val="2E5B7A5D"/>
    <w:rsid w:val="2E7E6C31"/>
    <w:rsid w:val="2EA24E18"/>
    <w:rsid w:val="2EAA691F"/>
    <w:rsid w:val="2F4125A7"/>
    <w:rsid w:val="2F762E69"/>
    <w:rsid w:val="301A2800"/>
    <w:rsid w:val="3049057C"/>
    <w:rsid w:val="305B3C04"/>
    <w:rsid w:val="30870544"/>
    <w:rsid w:val="30890898"/>
    <w:rsid w:val="30A04ED5"/>
    <w:rsid w:val="30FF4EEE"/>
    <w:rsid w:val="3172522D"/>
    <w:rsid w:val="31D2228D"/>
    <w:rsid w:val="31E22A36"/>
    <w:rsid w:val="31FE788A"/>
    <w:rsid w:val="32146595"/>
    <w:rsid w:val="322C533B"/>
    <w:rsid w:val="34313B9C"/>
    <w:rsid w:val="34441786"/>
    <w:rsid w:val="347D19AD"/>
    <w:rsid w:val="349E4B2E"/>
    <w:rsid w:val="34A43FD3"/>
    <w:rsid w:val="34B41D3C"/>
    <w:rsid w:val="34E003CD"/>
    <w:rsid w:val="350C7A7C"/>
    <w:rsid w:val="350F349A"/>
    <w:rsid w:val="35421CBC"/>
    <w:rsid w:val="35740C40"/>
    <w:rsid w:val="35AB45B9"/>
    <w:rsid w:val="35CA5DCC"/>
    <w:rsid w:val="360062A6"/>
    <w:rsid w:val="36716072"/>
    <w:rsid w:val="369D517D"/>
    <w:rsid w:val="36DF7E92"/>
    <w:rsid w:val="36E16C19"/>
    <w:rsid w:val="376D2C93"/>
    <w:rsid w:val="37720706"/>
    <w:rsid w:val="37EB70CB"/>
    <w:rsid w:val="37F646BC"/>
    <w:rsid w:val="382F3EBD"/>
    <w:rsid w:val="38646D95"/>
    <w:rsid w:val="387C0200"/>
    <w:rsid w:val="388E1059"/>
    <w:rsid w:val="38EE5EC0"/>
    <w:rsid w:val="390C65EA"/>
    <w:rsid w:val="39346C89"/>
    <w:rsid w:val="393E24A9"/>
    <w:rsid w:val="3955563A"/>
    <w:rsid w:val="39D15C66"/>
    <w:rsid w:val="3ABC194A"/>
    <w:rsid w:val="3AEF7F72"/>
    <w:rsid w:val="3AF04A81"/>
    <w:rsid w:val="3B212110"/>
    <w:rsid w:val="3B800465"/>
    <w:rsid w:val="3BC519A6"/>
    <w:rsid w:val="3C0C297D"/>
    <w:rsid w:val="3C2D5AC6"/>
    <w:rsid w:val="3C43474B"/>
    <w:rsid w:val="3C4879DB"/>
    <w:rsid w:val="3C762A42"/>
    <w:rsid w:val="3C7E15AD"/>
    <w:rsid w:val="3CA55A9E"/>
    <w:rsid w:val="3D2250D9"/>
    <w:rsid w:val="3D4C5F1D"/>
    <w:rsid w:val="3DE54ECA"/>
    <w:rsid w:val="3E44668D"/>
    <w:rsid w:val="3E707817"/>
    <w:rsid w:val="3EE028F7"/>
    <w:rsid w:val="3EF45B57"/>
    <w:rsid w:val="3F290A6D"/>
    <w:rsid w:val="3F39198E"/>
    <w:rsid w:val="3F823162"/>
    <w:rsid w:val="3F852C53"/>
    <w:rsid w:val="3F8A2017"/>
    <w:rsid w:val="3F9C35B1"/>
    <w:rsid w:val="3FAC4631"/>
    <w:rsid w:val="3FCD520E"/>
    <w:rsid w:val="3FE40160"/>
    <w:rsid w:val="40683D42"/>
    <w:rsid w:val="406B5B9C"/>
    <w:rsid w:val="409E1999"/>
    <w:rsid w:val="41651556"/>
    <w:rsid w:val="41B07B63"/>
    <w:rsid w:val="420E4C50"/>
    <w:rsid w:val="421A7747"/>
    <w:rsid w:val="42310E70"/>
    <w:rsid w:val="44127EBA"/>
    <w:rsid w:val="44494618"/>
    <w:rsid w:val="44661EA6"/>
    <w:rsid w:val="44C24001"/>
    <w:rsid w:val="44EB3558"/>
    <w:rsid w:val="450C3955"/>
    <w:rsid w:val="458A0DC2"/>
    <w:rsid w:val="466510E8"/>
    <w:rsid w:val="47946129"/>
    <w:rsid w:val="479C10D9"/>
    <w:rsid w:val="47A120FB"/>
    <w:rsid w:val="47BD5C6E"/>
    <w:rsid w:val="49096782"/>
    <w:rsid w:val="49561F88"/>
    <w:rsid w:val="49814AF7"/>
    <w:rsid w:val="499C3754"/>
    <w:rsid w:val="49C12A7C"/>
    <w:rsid w:val="4A030B7A"/>
    <w:rsid w:val="4AB77724"/>
    <w:rsid w:val="4B5847CA"/>
    <w:rsid w:val="4B8E6103"/>
    <w:rsid w:val="4BBF46D3"/>
    <w:rsid w:val="4C0E1ED4"/>
    <w:rsid w:val="4C1C1910"/>
    <w:rsid w:val="4C3C28EB"/>
    <w:rsid w:val="4C791583"/>
    <w:rsid w:val="4CA6114E"/>
    <w:rsid w:val="4D4B515F"/>
    <w:rsid w:val="4D717F8E"/>
    <w:rsid w:val="4D743D15"/>
    <w:rsid w:val="4E077A90"/>
    <w:rsid w:val="4E086F29"/>
    <w:rsid w:val="4E1857AC"/>
    <w:rsid w:val="4E6F0D56"/>
    <w:rsid w:val="4F9227E1"/>
    <w:rsid w:val="504D3F74"/>
    <w:rsid w:val="50552B58"/>
    <w:rsid w:val="505A7940"/>
    <w:rsid w:val="51611D91"/>
    <w:rsid w:val="518D22D5"/>
    <w:rsid w:val="52245352"/>
    <w:rsid w:val="52301165"/>
    <w:rsid w:val="523D7E25"/>
    <w:rsid w:val="52AD7835"/>
    <w:rsid w:val="533462B8"/>
    <w:rsid w:val="534B7333"/>
    <w:rsid w:val="53FD5AD5"/>
    <w:rsid w:val="54414F42"/>
    <w:rsid w:val="54B01AED"/>
    <w:rsid w:val="54F56ADF"/>
    <w:rsid w:val="55867E9D"/>
    <w:rsid w:val="55CC4CE0"/>
    <w:rsid w:val="55D50401"/>
    <w:rsid w:val="5650246B"/>
    <w:rsid w:val="56937008"/>
    <w:rsid w:val="56C34BB0"/>
    <w:rsid w:val="56ED74A9"/>
    <w:rsid w:val="572A6162"/>
    <w:rsid w:val="57327458"/>
    <w:rsid w:val="57B679F5"/>
    <w:rsid w:val="58182424"/>
    <w:rsid w:val="5856487D"/>
    <w:rsid w:val="5864776B"/>
    <w:rsid w:val="589164F4"/>
    <w:rsid w:val="58C106A9"/>
    <w:rsid w:val="59266457"/>
    <w:rsid w:val="595951B0"/>
    <w:rsid w:val="59B07FB1"/>
    <w:rsid w:val="59CB245A"/>
    <w:rsid w:val="59E5080C"/>
    <w:rsid w:val="59F0583D"/>
    <w:rsid w:val="5A3F0176"/>
    <w:rsid w:val="5A5E44D5"/>
    <w:rsid w:val="5A605D0A"/>
    <w:rsid w:val="5B3A7AB8"/>
    <w:rsid w:val="5B4E1F95"/>
    <w:rsid w:val="5BDE5A37"/>
    <w:rsid w:val="5C247EAF"/>
    <w:rsid w:val="5D374444"/>
    <w:rsid w:val="5DA62130"/>
    <w:rsid w:val="5E0D5702"/>
    <w:rsid w:val="5E1E4379"/>
    <w:rsid w:val="5E4F4B48"/>
    <w:rsid w:val="5EAC65C1"/>
    <w:rsid w:val="5EC46383"/>
    <w:rsid w:val="5F3B5A4A"/>
    <w:rsid w:val="5FA16A73"/>
    <w:rsid w:val="601A2F0F"/>
    <w:rsid w:val="606C7440"/>
    <w:rsid w:val="60B44E81"/>
    <w:rsid w:val="60CA77DA"/>
    <w:rsid w:val="614044DF"/>
    <w:rsid w:val="614F61ED"/>
    <w:rsid w:val="619B42AF"/>
    <w:rsid w:val="623A42B8"/>
    <w:rsid w:val="625472E1"/>
    <w:rsid w:val="62865532"/>
    <w:rsid w:val="631A194D"/>
    <w:rsid w:val="63371C4C"/>
    <w:rsid w:val="635003E3"/>
    <w:rsid w:val="63517A09"/>
    <w:rsid w:val="63626BC7"/>
    <w:rsid w:val="637E4DC3"/>
    <w:rsid w:val="63F1575E"/>
    <w:rsid w:val="6417248E"/>
    <w:rsid w:val="641B4D15"/>
    <w:rsid w:val="64971FCF"/>
    <w:rsid w:val="649D011F"/>
    <w:rsid w:val="64C44F48"/>
    <w:rsid w:val="65834F1A"/>
    <w:rsid w:val="65842EE1"/>
    <w:rsid w:val="65CD0D2C"/>
    <w:rsid w:val="66E1665E"/>
    <w:rsid w:val="67034111"/>
    <w:rsid w:val="67980D82"/>
    <w:rsid w:val="6801737B"/>
    <w:rsid w:val="68062A4E"/>
    <w:rsid w:val="68480D45"/>
    <w:rsid w:val="687C4877"/>
    <w:rsid w:val="68846FCB"/>
    <w:rsid w:val="688F051A"/>
    <w:rsid w:val="68F021D6"/>
    <w:rsid w:val="68F669EF"/>
    <w:rsid w:val="68F85197"/>
    <w:rsid w:val="69015F60"/>
    <w:rsid w:val="693D250A"/>
    <w:rsid w:val="696370F4"/>
    <w:rsid w:val="69AD29EB"/>
    <w:rsid w:val="69C61397"/>
    <w:rsid w:val="69C7345D"/>
    <w:rsid w:val="69E663B1"/>
    <w:rsid w:val="6A321D4B"/>
    <w:rsid w:val="6A4609EB"/>
    <w:rsid w:val="6A555782"/>
    <w:rsid w:val="6B1B6445"/>
    <w:rsid w:val="6B221653"/>
    <w:rsid w:val="6B4C1F26"/>
    <w:rsid w:val="6B7457A6"/>
    <w:rsid w:val="6BEE7AA2"/>
    <w:rsid w:val="6C344993"/>
    <w:rsid w:val="6CB5703F"/>
    <w:rsid w:val="6D112DAF"/>
    <w:rsid w:val="6DE211D7"/>
    <w:rsid w:val="6DFD2690"/>
    <w:rsid w:val="6E015DF0"/>
    <w:rsid w:val="6E076CA2"/>
    <w:rsid w:val="6E9817AB"/>
    <w:rsid w:val="6EA12FDA"/>
    <w:rsid w:val="6F4D4C8B"/>
    <w:rsid w:val="6FBA70F1"/>
    <w:rsid w:val="6FD23F05"/>
    <w:rsid w:val="6FD65E4D"/>
    <w:rsid w:val="6FEC41D7"/>
    <w:rsid w:val="6FF00C7D"/>
    <w:rsid w:val="6FF42DD4"/>
    <w:rsid w:val="706C4FFD"/>
    <w:rsid w:val="7086142A"/>
    <w:rsid w:val="709D48D3"/>
    <w:rsid w:val="709D579F"/>
    <w:rsid w:val="70F10AD9"/>
    <w:rsid w:val="710C2988"/>
    <w:rsid w:val="71127204"/>
    <w:rsid w:val="711B76F1"/>
    <w:rsid w:val="714D0F73"/>
    <w:rsid w:val="71CF4C44"/>
    <w:rsid w:val="71E03B95"/>
    <w:rsid w:val="72531E3B"/>
    <w:rsid w:val="72775691"/>
    <w:rsid w:val="728C5DAB"/>
    <w:rsid w:val="728E539F"/>
    <w:rsid w:val="72AC6A4D"/>
    <w:rsid w:val="72AD06C6"/>
    <w:rsid w:val="72BA5B47"/>
    <w:rsid w:val="72D75477"/>
    <w:rsid w:val="72D94F98"/>
    <w:rsid w:val="730A1149"/>
    <w:rsid w:val="735A21CD"/>
    <w:rsid w:val="73615375"/>
    <w:rsid w:val="74224317"/>
    <w:rsid w:val="748773BC"/>
    <w:rsid w:val="748E6D46"/>
    <w:rsid w:val="74CC462D"/>
    <w:rsid w:val="75266A6D"/>
    <w:rsid w:val="753B40F4"/>
    <w:rsid w:val="75722D56"/>
    <w:rsid w:val="758075D4"/>
    <w:rsid w:val="75A854A2"/>
    <w:rsid w:val="75C4732A"/>
    <w:rsid w:val="75D77FE2"/>
    <w:rsid w:val="75E92BF7"/>
    <w:rsid w:val="75EA7003"/>
    <w:rsid w:val="76AF1D88"/>
    <w:rsid w:val="76D02779"/>
    <w:rsid w:val="76F16770"/>
    <w:rsid w:val="76F91631"/>
    <w:rsid w:val="773412B1"/>
    <w:rsid w:val="780F6F82"/>
    <w:rsid w:val="78203A27"/>
    <w:rsid w:val="787A05B6"/>
    <w:rsid w:val="793918EE"/>
    <w:rsid w:val="794669D3"/>
    <w:rsid w:val="79467458"/>
    <w:rsid w:val="79494343"/>
    <w:rsid w:val="79A53940"/>
    <w:rsid w:val="7A1A2260"/>
    <w:rsid w:val="7A803D5A"/>
    <w:rsid w:val="7A8B129B"/>
    <w:rsid w:val="7BC24B9B"/>
    <w:rsid w:val="7BCF6905"/>
    <w:rsid w:val="7BEE565F"/>
    <w:rsid w:val="7BF4211E"/>
    <w:rsid w:val="7C345DD3"/>
    <w:rsid w:val="7C3945CD"/>
    <w:rsid w:val="7C3F6E6D"/>
    <w:rsid w:val="7C6B6751"/>
    <w:rsid w:val="7C9C22FF"/>
    <w:rsid w:val="7CAB3A80"/>
    <w:rsid w:val="7CF30790"/>
    <w:rsid w:val="7D086284"/>
    <w:rsid w:val="7D383C22"/>
    <w:rsid w:val="7D5939B7"/>
    <w:rsid w:val="7E3B4AB4"/>
    <w:rsid w:val="7E834226"/>
    <w:rsid w:val="7E901FA8"/>
    <w:rsid w:val="7EF73484"/>
    <w:rsid w:val="7EFB0260"/>
    <w:rsid w:val="7FB90F14"/>
    <w:rsid w:val="7FD92C9A"/>
    <w:rsid w:val="A7FF59C8"/>
    <w:rsid w:val="F1F35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kern w:val="44"/>
      <w:sz w:val="48"/>
      <w:szCs w:val="48"/>
    </w:rPr>
  </w:style>
  <w:style w:type="paragraph" w:styleId="3">
    <w:name w:val="heading 2"/>
    <w:basedOn w:val="1"/>
    <w:next w:val="1"/>
    <w:qFormat/>
    <w:uiPriority w:val="0"/>
    <w:pPr>
      <w:keepNext/>
      <w:keepLines/>
      <w:spacing w:before="120" w:after="120" w:line="415" w:lineRule="auto"/>
      <w:ind w:left="454"/>
      <w:jc w:val="center"/>
      <w:outlineLvl w:val="1"/>
    </w:pPr>
    <w:rPr>
      <w:rFonts w:ascii="Arial" w:hAnsi="Arial"/>
      <w:b/>
      <w:color w:val="000000"/>
      <w:kern w:val="0"/>
      <w:sz w:val="24"/>
      <w:szCs w:val="24"/>
    </w:rPr>
  </w:style>
  <w:style w:type="paragraph" w:styleId="4">
    <w:name w:val="heading 3"/>
    <w:basedOn w:val="1"/>
    <w:next w:val="1"/>
    <w:qFormat/>
    <w:uiPriority w:val="0"/>
    <w:pPr>
      <w:widowControl/>
      <w:spacing w:before="100" w:beforeAutospacing="1" w:after="100" w:afterAutospacing="1"/>
      <w:jc w:val="left"/>
      <w:outlineLvl w:val="2"/>
    </w:pPr>
    <w:rPr>
      <w:kern w:val="0"/>
      <w:sz w:val="27"/>
      <w:szCs w:val="27"/>
    </w:rPr>
  </w:style>
  <w:style w:type="character" w:default="1" w:styleId="22">
    <w:name w:val="Default Paragraph Font"/>
    <w:semiHidden/>
    <w:qFormat/>
    <w:uiPriority w:val="0"/>
  </w:style>
  <w:style w:type="table" w:default="1" w:styleId="2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style>
  <w:style w:type="paragraph" w:styleId="6">
    <w:name w:val="annotation text"/>
    <w:basedOn w:val="1"/>
    <w:unhideWhenUsed/>
    <w:qFormat/>
    <w:uiPriority w:val="99"/>
    <w:pPr>
      <w:jc w:val="left"/>
    </w:pPr>
    <w:rPr>
      <w:rFonts w:ascii="Calibri" w:hAnsi="Calibri"/>
    </w:rPr>
  </w:style>
  <w:style w:type="paragraph" w:styleId="7">
    <w:name w:val="Body Text"/>
    <w:basedOn w:val="1"/>
    <w:unhideWhenUsed/>
    <w:qFormat/>
    <w:uiPriority w:val="99"/>
    <w:pPr>
      <w:spacing w:after="120"/>
    </w:pPr>
    <w:rPr>
      <w:rFonts w:ascii="Calibri" w:hAnsi="Calibri"/>
      <w:kern w:val="0"/>
      <w:sz w:val="20"/>
      <w:szCs w:val="20"/>
    </w:rPr>
  </w:style>
  <w:style w:type="paragraph" w:styleId="8">
    <w:name w:val="Body Text Indent"/>
    <w:basedOn w:val="1"/>
    <w:next w:val="9"/>
    <w:qFormat/>
    <w:uiPriority w:val="0"/>
    <w:pPr>
      <w:spacing w:after="120"/>
      <w:ind w:left="420" w:leftChars="200"/>
    </w:pPr>
  </w:style>
  <w:style w:type="paragraph" w:styleId="9">
    <w:name w:val="envelope return"/>
    <w:basedOn w:val="1"/>
    <w:qFormat/>
    <w:uiPriority w:val="0"/>
    <w:pPr>
      <w:snapToGrid w:val="0"/>
    </w:pPr>
    <w:rPr>
      <w:rFonts w:ascii="Arial" w:hAnsi="Arial"/>
      <w:szCs w:val="24"/>
    </w:rPr>
  </w:style>
  <w:style w:type="paragraph" w:styleId="10">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1">
    <w:name w:val="Plain Text"/>
    <w:basedOn w:val="1"/>
    <w:next w:val="1"/>
    <w:qFormat/>
    <w:uiPriority w:val="0"/>
    <w:rPr>
      <w:rFonts w:hAnsi="Courier New"/>
      <w:kern w:val="0"/>
      <w:sz w:val="20"/>
      <w:szCs w:val="20"/>
    </w:rPr>
  </w:style>
  <w:style w:type="paragraph" w:styleId="12">
    <w:name w:val="Date"/>
    <w:basedOn w:val="1"/>
    <w:next w:val="1"/>
    <w:qFormat/>
    <w:uiPriority w:val="0"/>
    <w:rPr>
      <w:rFonts w:ascii="Times New Roman" w:hAnsi="Times New Roman"/>
      <w:kern w:val="0"/>
      <w:sz w:val="20"/>
      <w:szCs w:val="20"/>
    </w:rPr>
  </w:style>
  <w:style w:type="paragraph" w:styleId="13">
    <w:name w:val="footer"/>
    <w:basedOn w:val="1"/>
    <w:unhideWhenUsed/>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qFormat/>
    <w:uiPriority w:val="39"/>
    <w:pPr>
      <w:tabs>
        <w:tab w:val="right" w:leader="dot" w:pos="9060"/>
      </w:tabs>
      <w:adjustRightInd w:val="0"/>
      <w:snapToGrid w:val="0"/>
      <w:spacing w:line="360" w:lineRule="auto"/>
      <w:jc w:val="left"/>
      <w:textAlignment w:val="baseline"/>
    </w:pPr>
    <w:rPr>
      <w:caps/>
      <w:kern w:val="0"/>
      <w:sz w:val="24"/>
      <w:szCs w:val="32"/>
    </w:rPr>
  </w:style>
  <w:style w:type="paragraph" w:styleId="16">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17">
    <w:name w:val="Normal (Web)"/>
    <w:basedOn w:val="1"/>
    <w:unhideWhenUsed/>
    <w:qFormat/>
    <w:uiPriority w:val="99"/>
    <w:pPr>
      <w:spacing w:before="100" w:beforeAutospacing="1" w:after="100" w:afterAutospacing="1"/>
      <w:jc w:val="left"/>
    </w:pPr>
    <w:rPr>
      <w:kern w:val="0"/>
      <w:sz w:val="24"/>
    </w:rPr>
  </w:style>
  <w:style w:type="paragraph" w:styleId="18">
    <w:name w:val="Title"/>
    <w:basedOn w:val="1"/>
    <w:qFormat/>
    <w:uiPriority w:val="0"/>
    <w:pPr>
      <w:spacing w:before="120" w:after="60"/>
      <w:jc w:val="center"/>
    </w:pPr>
    <w:rPr>
      <w:rFonts w:ascii="Arial" w:hAnsi="Arial"/>
      <w:b/>
      <w:kern w:val="0"/>
      <w:sz w:val="44"/>
      <w:szCs w:val="20"/>
    </w:rPr>
  </w:style>
  <w:style w:type="paragraph" w:styleId="19">
    <w:name w:val="Body Text First Indent"/>
    <w:basedOn w:val="7"/>
    <w:qFormat/>
    <w:uiPriority w:val="0"/>
    <w:pPr>
      <w:ind w:firstLine="420"/>
    </w:pPr>
    <w:rPr>
      <w:rFonts w:ascii="Times New Roman" w:hAnsi="Times New Roman"/>
    </w:rPr>
  </w:style>
  <w:style w:type="paragraph" w:styleId="20">
    <w:name w:val="Body Text First Indent 2"/>
    <w:basedOn w:val="8"/>
    <w:qFormat/>
    <w:uiPriority w:val="0"/>
    <w:pPr>
      <w:ind w:firstLine="200" w:firstLineChars="200"/>
    </w:pPr>
    <w:rPr>
      <w:rFonts w:ascii="Times New Roman" w:hAnsi="Times New Roman"/>
      <w:kern w:val="0"/>
      <w:sz w:val="20"/>
      <w:szCs w:val="24"/>
    </w:rPr>
  </w:style>
  <w:style w:type="character" w:styleId="23">
    <w:name w:val="page number"/>
    <w:qFormat/>
    <w:uiPriority w:val="0"/>
    <w:rPr>
      <w:rFonts w:cs="Times New Roman"/>
    </w:rPr>
  </w:style>
  <w:style w:type="character" w:styleId="24">
    <w:name w:val="Hyperlink"/>
    <w:unhideWhenUsed/>
    <w:qFormat/>
    <w:uiPriority w:val="99"/>
    <w:rPr>
      <w:color w:val="000000"/>
      <w:u w:val="none"/>
    </w:rPr>
  </w:style>
  <w:style w:type="paragraph" w:customStyle="1" w:styleId="25">
    <w:name w:val="章节二"/>
    <w:basedOn w:val="1"/>
    <w:next w:val="1"/>
    <w:qFormat/>
    <w:uiPriority w:val="0"/>
    <w:pPr>
      <w:topLinePunct/>
      <w:adjustRightInd w:val="0"/>
      <w:snapToGrid w:val="0"/>
      <w:spacing w:beforeLines="50"/>
      <w:jc w:val="center"/>
      <w:outlineLvl w:val="1"/>
    </w:pPr>
    <w:rPr>
      <w:rFonts w:eastAsia="黑体"/>
      <w:b/>
      <w:spacing w:val="4"/>
      <w:kern w:val="0"/>
      <w:sz w:val="30"/>
      <w:szCs w:val="30"/>
    </w:rPr>
  </w:style>
  <w:style w:type="character" w:customStyle="1" w:styleId="26">
    <w:name w:val="标题 1 字符"/>
    <w:qFormat/>
    <w:uiPriority w:val="0"/>
    <w:rPr>
      <w:rFonts w:hint="eastAsia"/>
      <w:b/>
      <w:kern w:val="44"/>
      <w:sz w:val="48"/>
      <w:szCs w:val="48"/>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 w:type="character" w:customStyle="1" w:styleId="29">
    <w:name w:val="font31"/>
    <w:basedOn w:val="22"/>
    <w:qFormat/>
    <w:uiPriority w:val="0"/>
    <w:rPr>
      <w:rFonts w:hint="eastAsia" w:ascii="宋体" w:hAnsi="宋体" w:eastAsia="宋体" w:cs="宋体"/>
      <w:color w:val="000000"/>
      <w:sz w:val="24"/>
      <w:szCs w:val="24"/>
      <w:u w:val="single"/>
    </w:rPr>
  </w:style>
  <w:style w:type="character" w:customStyle="1" w:styleId="30">
    <w:name w:val="font01"/>
    <w:basedOn w:val="22"/>
    <w:qFormat/>
    <w:uiPriority w:val="0"/>
    <w:rPr>
      <w:rFonts w:hint="eastAsia" w:ascii="宋体" w:hAnsi="宋体" w:eastAsia="宋体" w:cs="宋体"/>
      <w:color w:val="000000"/>
      <w:sz w:val="24"/>
      <w:szCs w:val="24"/>
      <w:u w:val="none"/>
    </w:rPr>
  </w:style>
  <w:style w:type="character" w:customStyle="1" w:styleId="31">
    <w:name w:val="font21"/>
    <w:basedOn w:val="22"/>
    <w:qFormat/>
    <w:uiPriority w:val="0"/>
    <w:rPr>
      <w:rFonts w:hint="eastAsia" w:ascii="宋体" w:hAnsi="宋体" w:eastAsia="宋体" w:cs="宋体"/>
      <w:color w:val="000000"/>
      <w:sz w:val="18"/>
      <w:szCs w:val="18"/>
      <w:u w:val="none"/>
    </w:rPr>
  </w:style>
  <w:style w:type="character" w:customStyle="1" w:styleId="32">
    <w:name w:val="font41"/>
    <w:basedOn w:val="22"/>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4.xml"/><Relationship Id="rId27" Type="http://schemas.openxmlformats.org/officeDocument/2006/relationships/header" Target="header12.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653</Words>
  <Characters>695</Characters>
  <Lines>1</Lines>
  <Paragraphs>1</Paragraphs>
  <TotalTime>5</TotalTime>
  <ScaleCrop>false</ScaleCrop>
  <LinksUpToDate>false</LinksUpToDate>
  <CharactersWithSpaces>726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2024-11-29T23:31:00Z</dcterms:created>
  <dc:creator>Lenovo</dc:creator>
  <cp:lastModifiedBy>朱</cp:lastModifiedBy>
  <cp:lastPrinted>2025-11-03T10:35:00Z</cp:lastPrinted>
  <dcterms:modified xsi:type="dcterms:W3CDTF">2025-11-21T13:36:27Z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E1131FEB94114DA694E47E58B353711F_13</vt:lpwstr>
  </property>
  <property fmtid="{D5CDD505-2E9C-101B-9397-08002B2CF9AE}" pid="4" name="KSOTemplateDocerSaveRecord">
    <vt:lpwstr>eyJoZGlkIjoiOWE5OTEyYjFlNTY5ZTU1MmVhYmI0NWQyMWMyZWI5OWEiLCJ1c2VySWQiOiIxMzA3NzYxNCJ9</vt:lpwstr>
  </property>
</Properties>
</file>